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8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6"/>
              </w:rPr>
              <w:t>UNITED STATES</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w w:val="98"/>
              </w:rPr>
              <w:t>SECURITIES AND EXCHANGE COMMISSION</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0" w:type="dxa"/>
            <w:vAlign w:val="bottom"/>
          </w:tcPr>
          <w:p>
            <w:pPr>
              <w:spacing w:after="0"/>
              <w:rPr>
                <w:sz w:val="1"/>
                <w:szCs w:val="1"/>
                <w:color w:val="auto"/>
              </w:rPr>
            </w:pPr>
          </w:p>
        </w:tc>
      </w:tr>
      <w:tr>
        <w:trPr>
          <w:trHeight w:val="231"/>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81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w w:val="99"/>
              </w:rPr>
              <w:t>QUARTERLY REPORT PURSUANT TO SECTION 13 OR 15(D) OF THE SECURITIES EXCHANGE ACT OF 1934</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tc>
        <w:tc>
          <w:tcPr>
            <w:tcW w:w="0" w:type="dxa"/>
            <w:vAlign w:val="bottom"/>
          </w:tcPr>
          <w:p>
            <w:pPr>
              <w:spacing w:after="0"/>
              <w:rPr>
                <w:sz w:val="1"/>
                <w:szCs w:val="1"/>
                <w:color w:val="auto"/>
              </w:rPr>
            </w:pPr>
          </w:p>
        </w:tc>
      </w:tr>
      <w:tr>
        <w:trPr>
          <w:trHeight w:val="185"/>
        </w:trPr>
        <w:tc>
          <w:tcPr>
            <w:tcW w:w="11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5"/>
              </w:rPr>
              <w:t>OR</w:t>
            </w:r>
          </w:p>
        </w:tc>
        <w:tc>
          <w:tcPr>
            <w:tcW w:w="0" w:type="dxa"/>
            <w:vAlign w:val="bottom"/>
          </w:tcPr>
          <w:p>
            <w:pPr>
              <w:spacing w:after="0"/>
              <w:rPr>
                <w:sz w:val="1"/>
                <w:szCs w:val="1"/>
                <w:color w:val="auto"/>
              </w:rPr>
            </w:pPr>
          </w:p>
        </w:tc>
      </w:tr>
      <w:tr>
        <w:trPr>
          <w:trHeight w:val="233"/>
        </w:trPr>
        <w:tc>
          <w:tcPr>
            <w:tcW w:w="1120" w:type="dxa"/>
            <w:vAlign w:val="bottom"/>
            <w:vMerge w:val="continue"/>
          </w:tcPr>
          <w:p>
            <w:pPr>
              <w:spacing w:after="0"/>
              <w:rPr>
                <w:sz w:val="20"/>
                <w:szCs w:val="20"/>
                <w:color w:val="auto"/>
              </w:rPr>
            </w:pPr>
          </w:p>
        </w:tc>
        <w:tc>
          <w:tcPr>
            <w:tcW w:w="81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8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273685</wp:posOffset>
            </wp:positionH>
            <wp:positionV relativeFrom="page">
              <wp:posOffset>508000</wp:posOffset>
            </wp:positionV>
            <wp:extent cx="7000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875" cy="8255"/>
                    </a:xfrm>
                    <a:prstGeom prst="rect">
                      <a:avLst/>
                    </a:prstGeom>
                    <a:noFill/>
                  </pic:spPr>
                </pic:pic>
              </a:graphicData>
            </a:graphic>
          </wp:anchor>
        </w:drawing>
        <w:drawing>
          <wp:anchor simplePos="0" relativeHeight="251657728" behindDoc="1" locked="0" layoutInCell="0" allowOverlap="1">
            <wp:simplePos x="0" y="0"/>
            <wp:positionH relativeFrom="page">
              <wp:posOffset>273685</wp:posOffset>
            </wp:positionH>
            <wp:positionV relativeFrom="page">
              <wp:posOffset>474345</wp:posOffset>
            </wp:positionV>
            <wp:extent cx="7000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875"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107315</wp:posOffset>
            </wp:positionV>
            <wp:extent cx="1861185" cy="561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1185" cy="561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7"/>
              </w:rPr>
              <w:t>AGNC INVESTMENT CORP.</w:t>
            </w:r>
          </w:p>
        </w:tc>
      </w:tr>
      <w:tr>
        <w:trPr>
          <w:trHeight w:val="178"/>
        </w:trPr>
        <w:tc>
          <w:tcPr>
            <w:tcW w:w="2000" w:type="dxa"/>
            <w:vAlign w:val="bottom"/>
          </w:tcPr>
          <w:p>
            <w:pPr>
              <w:spacing w:after="0"/>
              <w:rPr>
                <w:sz w:val="15"/>
                <w:szCs w:val="15"/>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0"/>
        </w:trPr>
        <w:tc>
          <w:tcPr>
            <w:tcW w:w="2000" w:type="dxa"/>
            <w:vAlign w:val="bottom"/>
          </w:tcPr>
          <w:p>
            <w:pPr>
              <w:spacing w:after="0"/>
              <w:rPr>
                <w:sz w:val="13"/>
                <w:szCs w:val="13"/>
                <w:color w:val="auto"/>
              </w:rPr>
            </w:pPr>
          </w:p>
        </w:tc>
        <w:tc>
          <w:tcPr>
            <w:tcW w:w="5440" w:type="dxa"/>
            <w:vAlign w:val="bottom"/>
          </w:tcPr>
          <w:p>
            <w:pPr>
              <w:jc w:val="right"/>
              <w:ind w:right="175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tc>
      </w:tr>
      <w:tr>
        <w:trPr>
          <w:trHeight w:val="204"/>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40" w:type="dxa"/>
            <w:vAlign w:val="bottom"/>
          </w:tcPr>
          <w:p>
            <w:pPr>
              <w:jc w:val="center"/>
              <w:ind w:left="4250"/>
              <w:spacing w:after="0"/>
              <w:rPr>
                <w:sz w:val="20"/>
                <w:szCs w:val="20"/>
                <w:color w:val="auto"/>
              </w:rPr>
            </w:pPr>
            <w:r>
              <w:rPr>
                <w:rFonts w:ascii="Times New Roman" w:cs="Times New Roman" w:eastAsia="Times New Roman" w:hAnsi="Times New Roman"/>
                <w:sz w:val="14"/>
                <w:szCs w:val="14"/>
                <w:b w:val="1"/>
                <w:bCs w:val="1"/>
                <w:color w:val="auto"/>
              </w:rPr>
              <w:t>26-1701984</w:t>
            </w:r>
          </w:p>
        </w:tc>
      </w:tr>
      <w:tr>
        <w:trPr>
          <w:trHeight w:val="158"/>
        </w:trPr>
        <w:tc>
          <w:tcPr>
            <w:tcW w:w="2000" w:type="dxa"/>
            <w:vAlign w:val="bottom"/>
          </w:tcPr>
          <w:p>
            <w:pPr>
              <w:jc w:val="center"/>
              <w:ind w:right="30"/>
              <w:spacing w:after="0" w:line="15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40" w:type="dxa"/>
            <w:vAlign w:val="bottom"/>
          </w:tcPr>
          <w:p>
            <w:pPr>
              <w:jc w:val="center"/>
              <w:ind w:left="4250"/>
              <w:spacing w:after="0" w:line="158"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0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40" w:type="dxa"/>
            <w:vAlign w:val="bottom"/>
          </w:tcPr>
          <w:p>
            <w:pPr>
              <w:jc w:val="center"/>
              <w:ind w:left="42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4"/>
        </w:trPr>
        <w:tc>
          <w:tcPr>
            <w:tcW w:w="2000" w:type="dxa"/>
            <w:vAlign w:val="bottom"/>
          </w:tcPr>
          <w:p>
            <w:pPr>
              <w:spacing w:after="0"/>
              <w:rPr>
                <w:sz w:val="22"/>
                <w:szCs w:val="22"/>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w w:val="99"/>
              </w:rPr>
              <w:t>7373 Wisconsin Avenue, 22nd Floor</w:t>
            </w:r>
          </w:p>
        </w:tc>
      </w:tr>
      <w:tr>
        <w:trPr>
          <w:trHeight w:val="172"/>
        </w:trPr>
        <w:tc>
          <w:tcPr>
            <w:tcW w:w="2000" w:type="dxa"/>
            <w:vAlign w:val="bottom"/>
          </w:tcPr>
          <w:p>
            <w:pPr>
              <w:spacing w:after="0"/>
              <w:rPr>
                <w:sz w:val="14"/>
                <w:szCs w:val="14"/>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r>
      <w:tr>
        <w:trPr>
          <w:trHeight w:val="172"/>
        </w:trPr>
        <w:tc>
          <w:tcPr>
            <w:tcW w:w="2000" w:type="dxa"/>
            <w:vAlign w:val="bottom"/>
          </w:tcPr>
          <w:p>
            <w:pPr>
              <w:spacing w:after="0"/>
              <w:rPr>
                <w:sz w:val="14"/>
                <w:szCs w:val="14"/>
                <w:color w:val="auto"/>
              </w:rPr>
            </w:pPr>
          </w:p>
        </w:tc>
        <w:tc>
          <w:tcPr>
            <w:tcW w:w="5440" w:type="dxa"/>
            <w:vAlign w:val="bottom"/>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72"/>
        </w:trPr>
        <w:tc>
          <w:tcPr>
            <w:tcW w:w="2000" w:type="dxa"/>
            <w:vAlign w:val="bottom"/>
          </w:tcPr>
          <w:p>
            <w:pPr>
              <w:spacing w:after="0"/>
              <w:rPr>
                <w:sz w:val="14"/>
                <w:szCs w:val="14"/>
                <w:color w:val="auto"/>
              </w:rPr>
            </w:pPr>
          </w:p>
        </w:tc>
        <w:tc>
          <w:tcPr>
            <w:tcW w:w="5440" w:type="dxa"/>
            <w:vAlign w:val="bottom"/>
          </w:tcPr>
          <w:p>
            <w:pPr>
              <w:jc w:val="right"/>
              <w:ind w:right="3070"/>
              <w:spacing w:after="0"/>
              <w:rPr>
                <w:sz w:val="20"/>
                <w:szCs w:val="20"/>
                <w:color w:val="auto"/>
              </w:rPr>
            </w:pPr>
            <w:r>
              <w:rPr>
                <w:rFonts w:ascii="Times New Roman" w:cs="Times New Roman" w:eastAsia="Times New Roman" w:hAnsi="Times New Roman"/>
                <w:sz w:val="14"/>
                <w:szCs w:val="14"/>
                <w:b w:val="1"/>
                <w:bCs w:val="1"/>
                <w:color w:val="auto"/>
              </w:rPr>
              <w:t>(301) 968-9315</w:t>
            </w:r>
          </w:p>
        </w:tc>
      </w:tr>
      <w:tr>
        <w:trPr>
          <w:trHeight w:val="178"/>
        </w:trPr>
        <w:tc>
          <w:tcPr>
            <w:tcW w:w="2000" w:type="dxa"/>
            <w:vAlign w:val="bottom"/>
          </w:tcPr>
          <w:p>
            <w:pPr>
              <w:spacing w:after="0"/>
              <w:rPr>
                <w:sz w:val="15"/>
                <w:szCs w:val="15"/>
                <w:color w:val="auto"/>
              </w:rPr>
            </w:pPr>
          </w:p>
        </w:tc>
        <w:tc>
          <w:tcPr>
            <w:tcW w:w="544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0"/>
        </w:trPr>
        <w:tc>
          <w:tcPr>
            <w:tcW w:w="2000" w:type="dxa"/>
            <w:vAlign w:val="bottom"/>
          </w:tcPr>
          <w:p>
            <w:pPr>
              <w:spacing w:after="0"/>
              <w:rPr>
                <w:sz w:val="13"/>
                <w:szCs w:val="13"/>
                <w:color w:val="auto"/>
              </w:rPr>
            </w:pPr>
          </w:p>
        </w:tc>
        <w:tc>
          <w:tcPr>
            <w:tcW w:w="5440" w:type="dxa"/>
            <w:vAlign w:val="bottom"/>
          </w:tcPr>
          <w:p>
            <w:pPr>
              <w:jc w:val="center"/>
              <w:ind w:right="161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tc>
      </w:tr>
    </w:tbl>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1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40" w:type="dxa"/>
            <w:vAlign w:val="bottom"/>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1"/>
        </w:trPr>
        <w:tc>
          <w:tcPr>
            <w:tcW w:w="57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216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color w:val="auto"/>
              </w:rPr>
              <w:t>AGNCN</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2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w w:val="99"/>
              </w:rPr>
              <w:t>AGNCM</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216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color w:val="auto"/>
              </w:rPr>
              <w:t>AGNCO</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2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rPr>
              <w:t>AGNCP</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Depositary shares of 7.75% Series G Fixed-Rate Reset Cumulative</w:t>
            </w:r>
          </w:p>
        </w:tc>
        <w:tc>
          <w:tcPr>
            <w:tcW w:w="2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w w:val="99"/>
              </w:rPr>
              <w:t>AGNCL</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Depositary shares of 8.75% Series H Fixed-Rate Cumulative</w:t>
            </w:r>
          </w:p>
        </w:tc>
        <w:tc>
          <w:tcPr>
            <w:tcW w:w="2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w w:val="99"/>
              </w:rPr>
              <w:t>AGNCZ</w:t>
            </w:r>
          </w:p>
        </w:tc>
        <w:tc>
          <w:tcPr>
            <w:tcW w:w="33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4"/>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Redeemable Preferred Stock</w:t>
            </w:r>
          </w:p>
        </w:tc>
        <w:tc>
          <w:tcPr>
            <w:tcW w:w="2160" w:type="dxa"/>
            <w:vAlign w:val="bottom"/>
            <w:gridSpan w:val="3"/>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74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7900" w:type="dxa"/>
            <w:vAlign w:val="bottom"/>
            <w:gridSpan w:val="5"/>
          </w:tcPr>
          <w:p>
            <w:pPr>
              <w:ind w:left="38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right="360" w:firstLine="31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1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60" w:firstLine="317"/>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95"/>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85" w:lineRule="exact"/>
        <w:rPr>
          <w:sz w:val="24"/>
          <w:szCs w:val="24"/>
          <w:color w:val="auto"/>
        </w:rPr>
      </w:pPr>
    </w:p>
    <w:p>
      <w:pPr>
        <w:ind w:right="120" w:firstLine="317"/>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20" w:right="3460"/>
        <w:spacing w:after="0" w:line="1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April 30, 2026 was 1,147,929,272.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481330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57785</wp:posOffset>
            </wp:positionV>
            <wp:extent cx="6995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24130</wp:posOffset>
            </wp:positionV>
            <wp:extent cx="6995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79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3"/>
              </w:rPr>
              <w:t>PART I.</w:t>
            </w:r>
          </w:p>
        </w:tc>
        <w:tc>
          <w:tcPr>
            <w:tcW w:w="60" w:type="dxa"/>
            <w:vAlign w:val="bottom"/>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Financial Statements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24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FF"/>
                <w:w w:val="90"/>
              </w:rPr>
              <w:t>PART II.</w:t>
            </w: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2020" w:type="dxa"/>
            <w:vAlign w:val="bottom"/>
            <w:gridSpan w:val="4"/>
            <w:vMerge w:val="restart"/>
          </w:tcPr>
          <w:p>
            <w:pPr>
              <w:jc w:val="center"/>
              <w:ind w:left="1759"/>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0000FF"/>
              </w:rPr>
              <w:t>Item 1.</w:t>
            </w:r>
          </w:p>
        </w:tc>
        <w:tc>
          <w:tcPr>
            <w:tcW w:w="60" w:type="dxa"/>
            <w:vAlign w:val="bottom"/>
          </w:tcPr>
          <w:p>
            <w:pPr>
              <w:spacing w:after="0"/>
              <w:rPr>
                <w:sz w:val="16"/>
                <w:szCs w:val="16"/>
                <w:color w:val="auto"/>
              </w:rPr>
            </w:pPr>
          </w:p>
        </w:tc>
        <w:tc>
          <w:tcPr>
            <w:tcW w:w="7940" w:type="dxa"/>
            <w:vAlign w:val="bottom"/>
            <w:gridSpan w:val="13"/>
          </w:tcPr>
          <w:p>
            <w:pPr>
              <w:ind w:left="420"/>
              <w:spacing w:after="0" w:line="178" w:lineRule="exact"/>
              <w:rPr>
                <w:sz w:val="20"/>
                <w:szCs w:val="20"/>
                <w:color w:val="auto"/>
              </w:rPr>
            </w:pPr>
            <w:r>
              <w:rPr>
                <w:rFonts w:ascii="Times New Roman" w:cs="Times New Roman" w:eastAsia="Times New Roman" w:hAnsi="Times New Roman"/>
                <w:sz w:val="16"/>
                <w:szCs w:val="16"/>
                <w:color w:val="0000FF"/>
              </w:rPr>
              <w:t>Legal Proceedings</w:t>
            </w:r>
          </w:p>
        </w:tc>
        <w:tc>
          <w:tcPr>
            <w:tcW w:w="20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40" w:type="dxa"/>
            <w:vAlign w:val="bottom"/>
            <w:gridSpan w:val="4"/>
          </w:tcPr>
          <w:p>
            <w:pPr>
              <w:spacing w:after="0"/>
              <w:rPr>
                <w:sz w:val="2"/>
                <w:szCs w:val="2"/>
                <w:color w:val="auto"/>
              </w:rPr>
            </w:pPr>
          </w:p>
        </w:tc>
        <w:tc>
          <w:tcPr>
            <w:tcW w:w="1820" w:type="dxa"/>
            <w:vAlign w:val="bottom"/>
            <w:gridSpan w:val="2"/>
          </w:tcPr>
          <w:p>
            <w:pPr>
              <w:spacing w:after="0"/>
              <w:rPr>
                <w:sz w:val="2"/>
                <w:szCs w:val="2"/>
                <w:color w:val="auto"/>
              </w:rPr>
            </w:pPr>
          </w:p>
        </w:tc>
        <w:tc>
          <w:tcPr>
            <w:tcW w:w="3700" w:type="dxa"/>
            <w:vAlign w:val="bottom"/>
            <w:gridSpan w:val="3"/>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Risk Factors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0000FF"/>
                <w:w w:val="92"/>
              </w:rPr>
              <w:t>Item 3.</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line="178"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2020" w:type="dxa"/>
            <w:vAlign w:val="bottom"/>
            <w:gridSpan w:val="4"/>
          </w:tcPr>
          <w:p>
            <w:pPr>
              <w:jc w:val="center"/>
              <w:ind w:left="1759"/>
              <w:spacing w:after="0" w:line="178" w:lineRule="exact"/>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6"/>
        </w:trPr>
        <w:tc>
          <w:tcPr>
            <w:tcW w:w="620" w:type="dxa"/>
            <w:vAlign w:val="bottom"/>
            <w:gridSpan w:val="3"/>
            <w:shd w:val="clear" w:color="auto" w:fill="0000FF"/>
          </w:tcPr>
          <w:p>
            <w:pPr>
              <w:spacing w:after="0"/>
              <w:rPr>
                <w:sz w:val="2"/>
                <w:szCs w:val="2"/>
                <w:color w:val="auto"/>
              </w:rPr>
            </w:pPr>
          </w:p>
        </w:tc>
        <w:tc>
          <w:tcPr>
            <w:tcW w:w="940" w:type="dxa"/>
            <w:vAlign w:val="bottom"/>
            <w:gridSpan w:val="2"/>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6360" w:type="dxa"/>
            <w:vAlign w:val="bottom"/>
            <w:gridSpan w:val="9"/>
            <w:shd w:val="clear" w:color="auto" w:fill="0000FF"/>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160" w:type="dxa"/>
            <w:vAlign w:val="bottom"/>
            <w:gridSpan w:val="2"/>
          </w:tcPr>
          <w:p>
            <w:pPr>
              <w:spacing w:after="0"/>
              <w:rPr>
                <w:sz w:val="17"/>
                <w:szCs w:val="17"/>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Other Information</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160" w:type="dxa"/>
            <w:vAlign w:val="bottom"/>
            <w:gridSpan w:val="2"/>
          </w:tcPr>
          <w:p>
            <w:pPr>
              <w:spacing w:after="0"/>
              <w:rPr>
                <w:sz w:val="16"/>
                <w:szCs w:val="16"/>
                <w:color w:val="auto"/>
              </w:rPr>
            </w:pPr>
          </w:p>
        </w:tc>
        <w:tc>
          <w:tcPr>
            <w:tcW w:w="7940" w:type="dxa"/>
            <w:vAlign w:val="bottom"/>
            <w:gridSpan w:val="13"/>
          </w:tcPr>
          <w:p>
            <w:pPr>
              <w:ind w:left="420"/>
              <w:spacing w:after="0"/>
              <w:rPr>
                <w:sz w:val="20"/>
                <w:szCs w:val="20"/>
                <w:color w:val="auto"/>
              </w:rPr>
            </w:pPr>
            <w:r>
              <w:rPr>
                <w:rFonts w:ascii="Times New Roman" w:cs="Times New Roman" w:eastAsia="Times New Roman" w:hAnsi="Times New Roman"/>
                <w:sz w:val="16"/>
                <w:szCs w:val="16"/>
                <w:color w:val="0000FF"/>
              </w:rPr>
              <w:t>Exhibits</w:t>
            </w: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85"/>
              </w:rPr>
              <w:t>Signatures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gridSpan w:val="4"/>
          </w:tcPr>
          <w:p>
            <w:pPr>
              <w:jc w:val="center"/>
              <w:ind w:left="1779"/>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80"/>
          </w:cols>
          <w:pgMar w:left="340" w:top="872"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$77,364 and $74,149, respectively)</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81,003</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$545 and $558, respectively)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160"/>
        </w:trPr>
        <w:tc>
          <w:tcPr>
            <w:tcW w:w="78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6"/>
                <w:szCs w:val="16"/>
                <w:color w:val="auto"/>
                <w:w w:val="99"/>
              </w:rPr>
              <w:t>Non-Agency securities, at fair value, and other mortgage credit investments (including pledged securities of $8 and $13,</w:t>
            </w:r>
          </w:p>
        </w:tc>
        <w:tc>
          <w:tcPr>
            <w:tcW w:w="2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$12,313 and $13,056, respectively)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for investment securities sold (including pledged securities of $0 and $149, respectively)</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16,615</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07"/>
        </w:trPr>
        <w:tc>
          <w:tcPr>
            <w:tcW w:w="7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118,897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85,286</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07"/>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102,684</w:t>
            </w:r>
          </w:p>
        </w:tc>
        <w:tc>
          <w:tcPr>
            <w:tcW w:w="0" w:type="dxa"/>
            <w:vAlign w:val="bottom"/>
          </w:tcPr>
          <w:p>
            <w:pPr>
              <w:spacing w:after="0"/>
              <w:rPr>
                <w:sz w:val="1"/>
                <w:szCs w:val="1"/>
                <w:color w:val="auto"/>
              </w:rPr>
            </w:pPr>
          </w:p>
        </w:tc>
      </w:tr>
      <w:tr>
        <w:trPr>
          <w:trHeight w:val="190"/>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$2,033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158"/>
        </w:trPr>
        <w:tc>
          <w:tcPr>
            <w:tcW w:w="78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Common stock - $0.01 par value; 2,250 shares authorized, 1,147.8 and 1,107.6 shares issued and outstanding,</w:t>
            </w:r>
          </w:p>
        </w:tc>
        <w:tc>
          <w:tcPr>
            <w:tcW w:w="2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19,261</w:t>
            </w:r>
          </w:p>
        </w:tc>
        <w:tc>
          <w:tcPr>
            <w:tcW w:w="0" w:type="dxa"/>
            <w:vAlign w:val="bottom"/>
          </w:tcPr>
          <w:p>
            <w:pPr>
              <w:spacing w:after="0"/>
              <w:rPr>
                <w:sz w:val="1"/>
                <w:szCs w:val="1"/>
                <w:color w:val="auto"/>
              </w:rPr>
            </w:pPr>
          </w:p>
        </w:tc>
      </w:tr>
      <w:tr>
        <w:trPr>
          <w:trHeight w:val="209"/>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2"/>
        </w:trPr>
        <w:tc>
          <w:tcPr>
            <w:tcW w:w="78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0" w:type="dxa"/>
            <w:vAlign w:val="bottom"/>
          </w:tcPr>
          <w:p>
            <w:pPr>
              <w:spacing w:after="0"/>
              <w:rPr>
                <w:sz w:val="1"/>
                <w:szCs w:val="1"/>
                <w:color w:val="auto"/>
              </w:rPr>
            </w:pPr>
          </w:p>
        </w:tc>
      </w:tr>
      <w:tr>
        <w:trPr>
          <w:trHeight w:val="232"/>
        </w:trPr>
        <w:tc>
          <w:tcPr>
            <w:tcW w:w="78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8"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jc w:val="center"/>
        <w:ind w:left="702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5"/>
        </w:trPr>
        <w:tc>
          <w:tcPr>
            <w:tcW w:w="7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4"/>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4"/>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18"/>
        </w:trPr>
        <w:tc>
          <w:tcPr>
            <w:tcW w:w="7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4"/>
        </w:trPr>
        <w:tc>
          <w:tcPr>
            <w:tcW w:w="7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Other gain (loss), net: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4"/>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180"/>
        </w:trPr>
        <w:tc>
          <w:tcPr>
            <w:tcW w:w="7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 income,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4"/>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(loss) on derivative instruments and other investments, net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8"/>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loss, net: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4"/>
        </w:trPr>
        <w:tc>
          <w:tcPr>
            <w:tcW w:w="7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4"/>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7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7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80"/>
        </w:trPr>
        <w:tc>
          <w:tcPr>
            <w:tcW w:w="7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4"/>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7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02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24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0.02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02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0.36</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120"/>
          </w:cols>
          <w:pgMar w:left="1380" w:top="872" w:right="1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9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1"/>
        </w:trPr>
        <w:tc>
          <w:tcPr>
            <w:tcW w:w="3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80" w:top="872"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19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(9,578)</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7,818</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9"/>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r>
      <w:tr>
        <w:trPr>
          <w:trHeight w:val="19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2,360,629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1,523,750</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(2,358,299)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(1,518,410)</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5,482</w:t>
            </w: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32"/>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11"/>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960"/>
          </w:cols>
          <w:pgMar w:left="960" w:top="872"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6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Agency multifamily mortgage-backed securities (“Agency multifamily MBS”) that are similarly guaranteed by the GSEs and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2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31"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8"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2025.</w:t>
      </w:r>
    </w:p>
    <w:p>
      <w:pPr>
        <w:spacing w:after="0" w:line="66"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6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Agency multifamily MBS consist of securities backed by one or more mortgage loans secured by one or more multifamily properties that are similarly guaranteed by a GSE. Our investments in Agency multifamily MBS primarily consist of securities issued under Fannie Mae’s Delegated Underwriting and Servicing (“DUS”) program, which are generally backed by a single mortgage loan secured by a single property and include lender risk-sharing.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 w:name="page8"/>
    <w:bookmarkEnd w:id="7"/>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and Agency multifamily 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principal amount that they are obligated to repay to holders of CRT securities, the GSEs and/or other third parties offset credit losses on the related loans.</w:t>
      </w:r>
    </w:p>
    <w:p>
      <w:pPr>
        <w:spacing w:after="0" w:line="13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5" w:lineRule="exact"/>
        <w:rPr>
          <w:sz w:val="20"/>
          <w:szCs w:val="20"/>
          <w:color w:val="auto"/>
        </w:rPr>
      </w:pPr>
    </w:p>
    <w:p>
      <w:pPr>
        <w:jc w:val="both"/>
        <w:ind w:firstLine="436"/>
        <w:spacing w:after="0" w:line="247"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Equity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1"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March 31, 2026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firstLine="436"/>
        <w:spacing w:after="0" w:line="264" w:lineRule="auto"/>
        <w:rPr>
          <w:sz w:val="20"/>
          <w:szCs w:val="20"/>
          <w:color w:val="auto"/>
        </w:rPr>
      </w:pPr>
      <w:r>
        <w:rPr>
          <w:rFonts w:ascii="Times New Roman" w:cs="Times New Roman" w:eastAsia="Times New Roman" w:hAnsi="Times New Roman"/>
          <w:sz w:val="17"/>
          <w:szCs w:val="17"/>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8" w:name="page9"/>
    <w:bookmarkEnd w:id="8"/>
    <w:p>
      <w:pPr>
        <w:jc w:val="both"/>
        <w:ind w:firstLine="436"/>
        <w:spacing w:after="0" w:line="267" w:lineRule="auto"/>
        <w:rPr>
          <w:sz w:val="20"/>
          <w:szCs w:val="20"/>
          <w:color w:val="auto"/>
        </w:rPr>
      </w:pPr>
      <w:r>
        <w:rPr>
          <w:rFonts w:ascii="Times New Roman" w:cs="Times New Roman" w:eastAsia="Times New Roman" w:hAnsi="Times New Roman"/>
          <w:sz w:val="17"/>
          <w:szCs w:val="17"/>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6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7"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0"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65"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9" w:name="page10"/>
    <w:bookmarkEnd w:id="9"/>
    <w:p>
      <w:pPr>
        <w:jc w:val="both"/>
        <w:spacing w:after="0" w:line="279" w:lineRule="auto"/>
        <w:rPr>
          <w:sz w:val="20"/>
          <w:szCs w:val="20"/>
          <w:color w:val="auto"/>
        </w:rPr>
      </w:pPr>
      <w:r>
        <w:rPr>
          <w:rFonts w:ascii="Times New Roman" w:cs="Times New Roman" w:eastAsia="Times New Roman" w:hAnsi="Times New Roman"/>
          <w:sz w:val="17"/>
          <w:szCs w:val="17"/>
          <w:color w:val="auto"/>
        </w:rPr>
        <w:t>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65"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65" w:lineRule="exact"/>
        <w:rPr>
          <w:sz w:val="20"/>
          <w:szCs w:val="20"/>
          <w:color w:val="auto"/>
        </w:rPr>
      </w:pPr>
    </w:p>
    <w:p>
      <w:pPr>
        <w:jc w:val="both"/>
        <w:ind w:firstLine="436"/>
        <w:spacing w:after="0" w:line="248"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 Treasury securities and US Treasury futures contracts</w:t>
      </w:r>
    </w:p>
    <w:p>
      <w:pPr>
        <w:spacing w:after="0" w:line="165"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63" w:lineRule="exact"/>
        <w:rPr>
          <w:sz w:val="20"/>
          <w:szCs w:val="20"/>
          <w:color w:val="auto"/>
        </w:rPr>
      </w:pPr>
    </w:p>
    <w:p>
      <w:pPr>
        <w:ind w:left="640" w:hanging="317"/>
        <w:spacing w:after="0" w:line="270"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15"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0" w:name="page11"/>
    <w:bookmarkEnd w:id="10"/>
    <w:p>
      <w:pPr>
        <w:ind w:left="640" w:hanging="317"/>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63" w:lineRule="exact"/>
        <w:rPr>
          <w:sz w:val="20"/>
          <w:szCs w:val="20"/>
          <w:color w:val="auto"/>
        </w:rPr>
      </w:pPr>
    </w:p>
    <w:p>
      <w:pPr>
        <w:jc w:val="both"/>
        <w:ind w:firstLine="436"/>
        <w:spacing w:after="0" w:line="247"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4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9"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Investment securities </w:t>
      </w:r>
      <w:r>
        <w:rPr>
          <w:rFonts w:ascii="Times New Roman" w:cs="Times New Roman" w:eastAsia="Times New Roman" w:hAnsi="Times New Roman"/>
          <w:sz w:val="17"/>
          <w:szCs w:val="17"/>
          <w:color w:val="auto"/>
        </w:rPr>
        <w:t>- are valued based on prices obtained from multiple third-party pricing sources. The pricing sources utilize various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63" w:lineRule="exact"/>
        <w:rPr>
          <w:sz w:val="20"/>
          <w:szCs w:val="20"/>
          <w:color w:val="auto"/>
        </w:rPr>
      </w:pPr>
    </w:p>
    <w:p>
      <w:pPr>
        <w:jc w:val="both"/>
        <w:ind w:firstLine="43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12"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of the future interest rate swap that we have the option to enter into as well as the remaining length of time that we have to exercise the option based on observable market inputs, adjusted for non-performance risk, if any.</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7"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65" w:lineRule="exact"/>
        <w:rPr>
          <w:sz w:val="20"/>
          <w:szCs w:val="20"/>
          <w:color w:val="auto"/>
        </w:rPr>
      </w:pPr>
    </w:p>
    <w:p>
      <w:pPr>
        <w:jc w:val="both"/>
        <w:ind w:firstLine="436"/>
        <w:spacing w:after="0" w:line="273" w:lineRule="auto"/>
        <w:rPr>
          <w:sz w:val="20"/>
          <w:szCs w:val="20"/>
          <w:color w:val="auto"/>
        </w:rPr>
      </w:pPr>
      <w:r>
        <w:rPr>
          <w:rFonts w:ascii="Times New Roman" w:cs="Times New Roman" w:eastAsia="Times New Roman" w:hAnsi="Times New Roman"/>
          <w:sz w:val="17"/>
          <w:szCs w:val="17"/>
          <w:color w:val="auto"/>
        </w:rPr>
        <w:t>As of March 31, 2026 and December 31, 2025, our investment portfolio consisted of $85.1 billion and $81.7 billion investment securities, at fair value, respectively, $9.5 billion and $13.0 billion net TBA securities, at fair value, respectively, and other mortgage credit investments of $69 million and $70 million, respectively, which we account for under the equity method of accounting. Our TBA position is reported at its net carrying value totaling $(194) million and $71 million as of March 31, 2026 and December 31, 2025, respectively, in derivative assets / (liabilities) on our accompanying consolidated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1" w:name="page12"/>
    <w:bookmarkEnd w:id="11"/>
    <w:p>
      <w:pPr>
        <w:spacing w:after="0" w:line="270" w:lineRule="auto"/>
        <w:rPr>
          <w:sz w:val="20"/>
          <w:szCs w:val="20"/>
          <w:color w:val="auto"/>
        </w:rPr>
      </w:pPr>
      <w:r>
        <w:rPr>
          <w:rFonts w:ascii="Times New Roman" w:cs="Times New Roman" w:eastAsia="Times New Roman" w:hAnsi="Times New Roman"/>
          <w:sz w:val="18"/>
          <w:szCs w:val="18"/>
          <w:color w:val="auto"/>
        </w:rPr>
        <w:t>balance sheets. The net carrying value of our TBA position represents the difference between the fair value of the underlying security and the cost basis or the forward price to be paid or received for the underlying security.</w:t>
      </w:r>
    </w:p>
    <w:p>
      <w:pPr>
        <w:spacing w:after="0" w:line="115"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As of March 31, 2026 and December 31, 2025, our investment securities had a net unamortized premium balance of $1.2 billion and $1.0 billion, respectively.</w:t>
      </w:r>
    </w:p>
    <w:p>
      <w:pPr>
        <w:spacing w:after="0" w:line="115"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March 31, 2026 and December 31, 2025, excluding TBA securities and other mortgage credit investments (dollars in millions). Details of our TBA securities are included in Note 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6"/>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6"/>
          </w:tcPr>
          <w:p>
            <w:pPr>
              <w:ind w:left="32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80,466</w:t>
            </w:r>
          </w:p>
        </w:tc>
        <w:tc>
          <w:tcPr>
            <w:tcW w:w="2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77,643</w:t>
            </w:r>
          </w:p>
        </w:tc>
        <w:tc>
          <w:tcPr>
            <w:tcW w:w="580" w:type="dxa"/>
            <w:vAlign w:val="bottom"/>
            <w:gridSpan w:val="2"/>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77,483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858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2,539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84,447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81,088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561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606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8"/>
                <w:szCs w:val="18"/>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86,058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85,064</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81,719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37"/>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8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9"/>
                <w:szCs w:val="9"/>
                <w:color w:val="auto"/>
              </w:rPr>
            </w:pPr>
          </w:p>
        </w:tc>
        <w:tc>
          <w:tcPr>
            <w:tcW w:w="74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2"/>
                <w:szCs w:val="12"/>
                <w:b w:val="1"/>
                <w:bCs w:val="1"/>
                <w:color w:val="auto"/>
              </w:rPr>
              <w:t>Agency</w:t>
            </w:r>
          </w:p>
        </w:tc>
        <w:tc>
          <w:tcPr>
            <w:tcW w:w="12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CRT</w:t>
            </w:r>
          </w:p>
        </w:tc>
        <w:tc>
          <w:tcPr>
            <w:tcW w:w="160" w:type="dxa"/>
            <w:vAlign w:val="bottom"/>
          </w:tcPr>
          <w:p>
            <w:pPr>
              <w:spacing w:after="0"/>
              <w:rPr>
                <w:sz w:val="9"/>
                <w:szCs w:val="9"/>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57"/>
              <w:spacing w:after="0" w:line="112" w:lineRule="exact"/>
              <w:rPr>
                <w:sz w:val="20"/>
                <w:szCs w:val="20"/>
                <w:color w:val="auto"/>
              </w:rPr>
            </w:pPr>
            <w:r>
              <w:rPr>
                <w:rFonts w:ascii="Times New Roman" w:cs="Times New Roman" w:eastAsia="Times New Roman" w:hAnsi="Times New Roman"/>
                <w:sz w:val="12"/>
                <w:szCs w:val="12"/>
                <w:b w:val="1"/>
                <w:bCs w:val="1"/>
                <w:color w:val="auto"/>
              </w:rPr>
              <w:t>Agency</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3"/>
              </w:rPr>
              <w:t>RMBS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CMBS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CRT</w:t>
            </w: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RMBS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w:t>
            </w:r>
          </w:p>
        </w:tc>
        <w:tc>
          <w:tcPr>
            <w:tcW w:w="46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Unamortized discount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Unamortized premium</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Amortized cost</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unrealized gains</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Gross unrealized losses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(323)</w:t>
            </w:r>
          </w:p>
        </w:tc>
        <w:tc>
          <w:tcPr>
            <w:tcW w:w="0" w:type="dxa"/>
            <w:vAlign w:val="bottom"/>
          </w:tcPr>
          <w:p>
            <w:pPr>
              <w:spacing w:after="0"/>
              <w:rPr>
                <w:sz w:val="1"/>
                <w:szCs w:val="1"/>
                <w:color w:val="auto"/>
              </w:rPr>
            </w:pPr>
          </w:p>
        </w:tc>
      </w:tr>
      <w:tr>
        <w:trPr>
          <w:trHeight w:val="171"/>
        </w:trPr>
        <w:tc>
          <w:tcPr>
            <w:tcW w:w="26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3,187</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64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1"/>
                <w:szCs w:val="11"/>
                <w:color w:val="auto"/>
              </w:rPr>
              <w:t>Securities remeasured at fair value through</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2"/>
                <w:szCs w:val="12"/>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77,313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Unamortized discount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(534)</w:t>
            </w: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Unamortized premium</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Amortized cost</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81,961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82,540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77,502</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16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78,090</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unrealized gains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Gross unrealized losses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05"/>
        </w:trPr>
        <w:tc>
          <w:tcPr>
            <w:tcW w:w="2640" w:type="dxa"/>
            <w:vAlign w:val="bottom"/>
            <w:tcBorders>
              <w:top w:val="single" w:sz="8" w:color="CCEEFF"/>
            </w:tcBorders>
            <w:gridSpan w:val="3"/>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rPr>
              <w:t>Total securities remeasured at fair value through</w:t>
            </w: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81,877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77,684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78,315</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84,447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85,064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81,088</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15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81,719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$69 million and $70 million as of March 31, 2026 and December 31, 2025, respectively.</w:t>
      </w:r>
    </w:p>
    <w:p>
      <w:pPr>
        <w:spacing w:after="0" w:line="6"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excludes interest-only securities. As of March 31, 2026 and December 31, 2025, Agency RMBS interest-only securities had a par value of $4,793 million and $4,475 million, respectively, and non-Agency interest-only securities had a par value of $16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Company’s Agency RMBS portfolio by issuing GSE or U.S. Government agency at fair value as of March 31, 2026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millions):</w:t>
      </w:r>
    </w:p>
    <w:p>
      <w:pPr>
        <w:spacing w:after="0" w:line="179" w:lineRule="exact"/>
        <w:rPr>
          <w:sz w:val="20"/>
          <w:szCs w:val="20"/>
          <w:color w:val="auto"/>
        </w:rPr>
      </w:pPr>
    </w:p>
    <w:tbl>
      <w:tblPr>
        <w:tblLayout w:type="fixed"/>
        <w:tblInd w:w="3180" w:type="dxa"/>
        <w:tblCellMar>
          <w:top w:w="0" w:type="dxa"/>
          <w:left w:w="0" w:type="dxa"/>
          <w:bottom w:w="0" w:type="dxa"/>
          <w:right w:w="0" w:type="dxa"/>
        </w:tblCellMar>
      </w:tblPr>
      <w:tr>
        <w:trPr>
          <w:trHeight w:val="18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45,175</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43,148</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37,670</w:t>
            </w:r>
          </w:p>
        </w:tc>
      </w:tr>
      <w:tr>
        <w:trPr>
          <w:trHeight w:val="19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Ginnie Mae</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84,447</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81,088</w:t>
            </w:r>
          </w:p>
        </w:tc>
      </w:tr>
      <w:tr>
        <w:trPr>
          <w:trHeight w:val="20"/>
        </w:trPr>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2026 and December 31, 2025, our investments in CRT and non-Agency securities had the following credit ratings (in millions):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CRT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00" w:type="dxa"/>
            <w:vAlign w:val="bottom"/>
          </w:tcPr>
          <w:p>
            <w:pPr>
              <w:spacing w:after="0"/>
              <w:rPr>
                <w:sz w:val="16"/>
                <w:szCs w:val="16"/>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91"/>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52"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40" w:hanging="317"/>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$69 million and $70 million as of March 31, 2026 and December 31, 2025, respectively.</w:t>
      </w:r>
    </w:p>
    <w:p>
      <w:pPr>
        <w:spacing w:after="0" w:line="228" w:lineRule="exact"/>
        <w:rPr>
          <w:sz w:val="20"/>
          <w:szCs w:val="20"/>
          <w:color w:val="auto"/>
        </w:rPr>
      </w:pPr>
    </w:p>
    <w:p>
      <w:pPr>
        <w:jc w:val="both"/>
        <w:ind w:firstLine="436"/>
        <w:spacing w:after="0" w:line="236" w:lineRule="auto"/>
        <w:rPr>
          <w:sz w:val="20"/>
          <w:szCs w:val="20"/>
          <w:color w:val="auto"/>
        </w:rPr>
      </w:pPr>
      <w:r>
        <w:rPr>
          <w:rFonts w:ascii="Times New Roman" w:cs="Times New Roman" w:eastAsia="Times New Roman" w:hAnsi="Times New Roman"/>
          <w:sz w:val="18"/>
          <w:szCs w:val="18"/>
          <w:color w:val="auto"/>
        </w:rPr>
        <w:t>Our CRT securities primarily reference the performance of single-family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spacing w:after="0" w:line="142"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7"/>
          <w:szCs w:val="17"/>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2026 and December 31, 2025, the weighted average expected constant prepayment rate (“CPR”) over the remaining life of our Agency and high credit quality non-Agency RMBS investment portfolio was 10.3% and 9.6%, respectively. Our estimates can differ materially for different securities and thus our individual holdings have a wide range of projected CPRs. The following table summarizes our investments as of March 31, 2026 and December 31, 2025 according to their estimated weighted average life classification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8"/>
        </w:trPr>
        <w:tc>
          <w:tcPr>
            <w:tcW w:w="27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1"/>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10,372</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6.52%</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5.36%</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6.59%</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0" w:type="dxa"/>
            <w:vAlign w:val="bottom"/>
          </w:tcPr>
          <w:p>
            <w:pPr>
              <w:spacing w:after="0"/>
              <w:rPr>
                <w:sz w:val="1"/>
                <w:szCs w:val="1"/>
                <w:color w:val="auto"/>
              </w:rPr>
            </w:pPr>
          </w:p>
        </w:tc>
      </w:tr>
      <w:tr>
        <w:trPr>
          <w:trHeight w:val="19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5.89%</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0" w:type="dxa"/>
            <w:vAlign w:val="bottom"/>
          </w:tcPr>
          <w:p>
            <w:pPr>
              <w:spacing w:after="0"/>
              <w:rPr>
                <w:sz w:val="1"/>
                <w:szCs w:val="1"/>
                <w:color w:val="auto"/>
              </w:rPr>
            </w:pPr>
          </w:p>
        </w:tc>
      </w:tr>
      <w:tr>
        <w:trPr>
          <w:trHeight w:val="20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4.68%</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5.21%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5.11%</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86,058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9" w:lineRule="exact"/>
        <w:rPr>
          <w:sz w:val="20"/>
          <w:szCs w:val="20"/>
          <w:color w:val="auto"/>
        </w:rPr>
      </w:pPr>
    </w:p>
    <w:p>
      <w:pPr>
        <w:ind w:left="640" w:hanging="317"/>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$69 million and $70 million as of March 31, 2026 and December 31, 2025, respectively.</w:t>
      </w:r>
    </w:p>
    <w:p>
      <w:pPr>
        <w:spacing w:after="0" w:line="160"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March 31, 2026 and December 31, 2025 (in millions):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00" w:type="dxa"/>
            <w:vAlign w:val="bottom"/>
            <w:vMerge w:val="restart"/>
          </w:tcPr>
          <w:p>
            <w:pPr>
              <w:spacing w:after="0"/>
              <w:rPr>
                <w:sz w:val="11"/>
                <w:szCs w:val="11"/>
                <w:color w:val="auto"/>
              </w:rPr>
            </w:pPr>
          </w:p>
        </w:tc>
        <w:tc>
          <w:tcPr>
            <w:tcW w:w="820" w:type="dxa"/>
            <w:vAlign w:val="bottom"/>
            <w:tcBorders>
              <w:top w:val="single" w:sz="8" w:color="auto"/>
            </w:tcBorders>
          </w:tcPr>
          <w:p>
            <w:pPr>
              <w:jc w:val="right"/>
              <w:ind w:right="70"/>
              <w:spacing w:after="0" w:line="133"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0"/>
              <w:spacing w:after="0" w:line="13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180"/>
              <w:spacing w:after="0" w:line="133"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70"/>
              <w:spacing w:after="0" w:line="13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35"/>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8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33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67"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months ended March 31, 2026 and 2025 by investment classification of accounting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5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18"/>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Available-for-</w:t>
            </w:r>
          </w:p>
        </w:tc>
        <w:tc>
          <w:tcPr>
            <w:tcW w:w="120" w:type="dxa"/>
            <w:vAlign w:val="bottom"/>
          </w:tcPr>
          <w:p>
            <w:pPr>
              <w:spacing w:after="0"/>
              <w:rPr>
                <w:sz w:val="10"/>
                <w:szCs w:val="10"/>
                <w:color w:val="auto"/>
              </w:rPr>
            </w:pPr>
          </w:p>
        </w:tc>
        <w:tc>
          <w:tcPr>
            <w:tcW w:w="740" w:type="dxa"/>
            <w:vAlign w:val="bottom"/>
          </w:tcPr>
          <w:p>
            <w:pPr>
              <w:jc w:val="center"/>
              <w:ind w:right="52"/>
              <w:spacing w:after="0" w:line="118"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74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Investment Securities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 xml:space="preserve">Securities </w:t>
            </w:r>
            <w:r>
              <w:rPr>
                <w:rFonts w:ascii="Times New Roman" w:cs="Times New Roman" w:eastAsia="Times New Roman" w:hAnsi="Times New Roman"/>
                <w:sz w:val="16"/>
                <w:szCs w:val="16"/>
                <w:b w:val="1"/>
                <w:bCs w:val="1"/>
                <w:color w:val="auto"/>
                <w:w w:val="96"/>
                <w:vertAlign w:val="superscript"/>
              </w:rPr>
              <w:t>2,3</w:t>
            </w:r>
          </w:p>
        </w:tc>
        <w:tc>
          <w:tcPr>
            <w:tcW w:w="120" w:type="dxa"/>
            <w:vAlign w:val="bottom"/>
          </w:tcPr>
          <w:p>
            <w:pPr>
              <w:spacing w:after="0"/>
              <w:rPr>
                <w:sz w:val="16"/>
                <w:szCs w:val="16"/>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 xml:space="preserve">Securities </w:t>
            </w:r>
            <w:r>
              <w:rPr>
                <w:rFonts w:ascii="Times New Roman" w:cs="Times New Roman" w:eastAsia="Times New Roman" w:hAnsi="Times New Roman"/>
                <w:sz w:val="16"/>
                <w:szCs w:val="16"/>
                <w:b w:val="1"/>
                <w:bCs w:val="1"/>
                <w:color w:val="auto"/>
                <w:w w:val="96"/>
                <w:vertAlign w:val="superscript"/>
              </w:rPr>
              <w:t>2,3</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80" w:type="dxa"/>
            <w:vAlign w:val="bottom"/>
          </w:tcPr>
          <w:p>
            <w:pPr>
              <w:spacing w:after="0"/>
              <w:rPr>
                <w:sz w:val="16"/>
                <w:szCs w:val="16"/>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4"/>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1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r>
      <w:tr>
        <w:trPr>
          <w:trHeight w:val="205"/>
        </w:trPr>
        <w:tc>
          <w:tcPr>
            <w:tcW w:w="540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w:t>
            </w: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9" w:lineRule="exact"/>
        <w:rPr>
          <w:sz w:val="20"/>
          <w:szCs w:val="20"/>
          <w:color w:val="auto"/>
        </w:rPr>
      </w:pPr>
    </w:p>
    <w:p>
      <w:pPr>
        <w:ind w:left="640" w:hanging="317"/>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1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three months ended March 31, 2026 and 2025, we received principal repayments on available-for-sale securities of $108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$134 million,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6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2026, we had met all margin call requirements. For additional information regarding our pledged assets, please refer to Note 6.</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we had $87.6 billion and $85.3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March 31, 2026 and December 31, 2025 (dollars in millions):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Days</w:t>
            </w:r>
          </w:p>
        </w:tc>
        <w:tc>
          <w:tcPr>
            <w:tcW w:w="0" w:type="dxa"/>
            <w:vAlign w:val="bottom"/>
          </w:tcPr>
          <w:p>
            <w:pPr>
              <w:spacing w:after="0"/>
              <w:rPr>
                <w:sz w:val="1"/>
                <w:szCs w:val="1"/>
                <w:color w:val="auto"/>
              </w:rPr>
            </w:pPr>
          </w:p>
        </w:tc>
      </w:tr>
      <w:tr>
        <w:trPr>
          <w:trHeight w:val="193"/>
        </w:trPr>
        <w:tc>
          <w:tcPr>
            <w:tcW w:w="2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63,462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1 to ≤ 3 months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6,869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9"/>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3 to ≤ 6 months</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5,509</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75,840</w:t>
            </w: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72,946</w:t>
            </w: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Treasury Repo:</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11,776</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87,616</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85,286</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4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As of March 31, 2026 and December 31, 2025, $28.0 billion and $27.5 billion, respectively, of our investment securities repurchase agreements and $11.2 billion and $10.9 billion, respectively, of our U.S. Treasury repurchase agreements had an overnight maturity of one business day and none of our repurchase agreements were due on demand. As of March 31, 2026, we had $39.5 billion of forward commitments to enter into repurchase agreements with a weighted average forward start date of 2 days and a weighted average interest rate of 3.71%. As of December 31, 2025, we had $24.7 billion of forward commitments to enter into repurchase agreements, with a weighted average forward start date of 2 days and a weighted average interest rate of 3.81%. As of March 31, 2026 and December 31, 2025, 55% and 57%,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44% of our repurchase agreement funding outstanding as of March 31, 2026 and December 31,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6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we had $17.6 billion and $16.6 billion, respectively, of reverse repurchase agreements outstanding used primarily to borrow securities to cover short sales of U.S. Treasury securities, for which we had associated obligations to return borrowed securities at fair value of $17.0 billion and $16.5 billion, respectively. As of March 31, 2026 and December 31, 2025, $5.2 billion, respectively, of our reverse repurchase agreements were with the FICC sourced through BES.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65"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March 31, 2026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32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420" w:type="dxa"/>
            <w:vAlign w:val="bottom"/>
            <w:gridSpan w:val="2"/>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1"/>
        </w:trPr>
        <w:tc>
          <w:tcPr>
            <w:tcW w:w="43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long</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long</w:t>
            </w: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158"/>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gridSpan w:val="2"/>
            <w:vMerge w:val="continue"/>
          </w:tcPr>
          <w:p>
            <w:pPr>
              <w:spacing w:after="0"/>
              <w:rPr>
                <w:sz w:val="18"/>
                <w:szCs w:val="18"/>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8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the net fair value of our interest rate swaps excluding the recognition of variation margin settlements as a direct reduction of carrying value (see Note 2) was a net asset (liability) of $1.7 billion and $1.3 billion, respectively.</w:t>
      </w:r>
    </w:p>
    <w:p>
      <w:pPr>
        <w:spacing w:after="0" w:line="121"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March 31, 2026 and December 31, 2025 (dollars in millions):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8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0" w:type="dxa"/>
            <w:vAlign w:val="bottom"/>
          </w:tcPr>
          <w:p>
            <w:pPr>
              <w:spacing w:after="0"/>
              <w:rPr>
                <w:sz w:val="1"/>
                <w:szCs w:val="1"/>
                <w:color w:val="auto"/>
              </w:rPr>
            </w:pPr>
          </w:p>
        </w:tc>
      </w:tr>
      <w:tr>
        <w:trPr>
          <w:trHeight w:val="198"/>
        </w:trPr>
        <w:tc>
          <w:tcPr>
            <w:tcW w:w="25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4"/>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0.19%</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3.67%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2.70%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3.86%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3.30%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3.43%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3.87%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3.48%</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13,961</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3.43%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r>
        <w:trPr>
          <w:trHeight w:val="20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76,502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2.67%</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3.68%</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64,632</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2.57%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3.86%</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95% and 5% of notional amount receive index references SOFR and OIS, respectively. As of December 31, 2025, 95% and 5% of notional amount receive index references SOFR and OIS, respectively.</w:t>
      </w: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left="586"/>
              <w:spacing w:after="0"/>
              <w:rPr>
                <w:sz w:val="20"/>
                <w:szCs w:val="20"/>
                <w:color w:val="auto"/>
              </w:rPr>
            </w:pPr>
            <w:r>
              <w:rPr>
                <w:rFonts w:ascii="Times New Roman" w:cs="Times New Roman" w:eastAsia="Times New Roman" w:hAnsi="Times New Roman"/>
                <w:sz w:val="14"/>
                <w:szCs w:val="14"/>
                <w:b w:val="1"/>
                <w:bCs w:val="1"/>
                <w:color w:val="auto"/>
              </w:rPr>
              <w:t>Underlying Receiver Swap</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Average Fixed</w:t>
            </w:r>
          </w:p>
        </w:tc>
        <w:tc>
          <w:tcPr>
            <w:tcW w:w="880" w:type="dxa"/>
            <w:vAlign w:val="bottom"/>
            <w:tcBorders>
              <w:top w:val="single" w:sz="8" w:color="auto"/>
            </w:tcBorders>
            <w:vMerge w:val="restart"/>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20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2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Receive</w:t>
            </w:r>
          </w:p>
        </w:tc>
        <w:tc>
          <w:tcPr>
            <w:tcW w:w="880" w:type="dxa"/>
            <w:vAlign w:val="bottom"/>
          </w:tcPr>
          <w:p>
            <w:pPr>
              <w:jc w:val="center"/>
              <w:ind w:right="146"/>
              <w:spacing w:after="0" w:line="143"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jc w:val="center"/>
              <w:ind w:right="340"/>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Rate </w:t>
            </w:r>
            <w:r>
              <w:rPr>
                <w:rFonts w:ascii="Times New Roman" w:cs="Times New Roman" w:eastAsia="Times New Roman" w:hAnsi="Times New Roman"/>
                <w:sz w:val="18"/>
                <w:szCs w:val="18"/>
                <w:b w:val="1"/>
                <w:bCs w:val="1"/>
                <w:color w:val="auto"/>
                <w:w w:val="95"/>
                <w:vertAlign w:val="superscript"/>
              </w:rPr>
              <w:t>1</w:t>
            </w:r>
          </w:p>
        </w:tc>
        <w:tc>
          <w:tcPr>
            <w:tcW w:w="88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04"/>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right="166"/>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66"/>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index references SOFR.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40" w:type="dxa"/>
            <w:vAlign w:val="bottom"/>
          </w:tcPr>
          <w:p>
            <w:pPr>
              <w:spacing w:after="0"/>
              <w:rPr>
                <w:sz w:val="11"/>
                <w:szCs w:val="11"/>
                <w:color w:val="auto"/>
              </w:rPr>
            </w:pPr>
          </w:p>
        </w:tc>
        <w:tc>
          <w:tcPr>
            <w:tcW w:w="118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2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100" w:type="dxa"/>
            <w:vAlign w:val="bottom"/>
          </w:tcPr>
          <w:p>
            <w:pPr>
              <w:jc w:val="right"/>
              <w:ind w:right="143"/>
              <w:spacing w:after="0" w:line="127"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1"/>
                <w:szCs w:val="11"/>
                <w:color w:val="auto"/>
              </w:rPr>
            </w:pPr>
          </w:p>
        </w:tc>
        <w:tc>
          <w:tcPr>
            <w:tcW w:w="98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12,470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0" w:type="dxa"/>
            <w:vAlign w:val="bottom"/>
          </w:tcPr>
          <w:p>
            <w:pPr>
              <w:spacing w:after="0"/>
              <w:rPr>
                <w:sz w:val="1"/>
                <w:szCs w:val="1"/>
                <w:color w:val="auto"/>
              </w:rPr>
            </w:pPr>
          </w:p>
        </w:tc>
      </w:tr>
      <w:tr>
        <w:trPr>
          <w:trHeight w:val="20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year ≤ 7 years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year ≤ 10 years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32"/>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5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short U.S. Treasury securities totaling $(17.0) billion and $(16.5) billion, at fair value, respectively, had a weighted average yield of 4.20% and 4.21%, respectively. As of March 31, 2026 and December 31, 2025, long U.S. Treasury securities totaling $12.6 billion and $13.5 billion, at fair value, respectively, had a weighted average yield of 3.71% and 3.67%, respectively.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300" w:type="dxa"/>
            <w:vAlign w:val="bottom"/>
          </w:tcPr>
          <w:p>
            <w:pPr>
              <w:spacing w:after="0"/>
              <w:rPr>
                <w:sz w:val="9"/>
                <w:szCs w:val="9"/>
                <w:color w:val="auto"/>
              </w:rPr>
            </w:pPr>
          </w:p>
        </w:tc>
        <w:tc>
          <w:tcPr>
            <w:tcW w:w="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12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w w:val="99"/>
              </w:rPr>
              <w:t>Net Carrying</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 to Maturity</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30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 xml:space="preserve">Value </w:t>
            </w:r>
            <w:r>
              <w:rPr>
                <w:rFonts w:ascii="Times New Roman" w:cs="Times New Roman" w:eastAsia="Times New Roman" w:hAnsi="Times New Roman"/>
                <w:sz w:val="16"/>
                <w:szCs w:val="16"/>
                <w:b w:val="1"/>
                <w:bCs w:val="1"/>
                <w:color w:val="auto"/>
                <w:w w:val="93"/>
                <w:vertAlign w:val="superscript"/>
              </w:rPr>
              <w:t>2</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8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91"/>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 years</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U.S. Treasury futures, net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short U.S. Treasury futures totaled $(3.7) billion and $(3.7) billion, at fair value, respectively. As of March 31, 2026 and December 31, 2025, long U.S. Treasury futures totaled $13.5 billion and $5.2 billion, at fair value, respectively.</w:t>
      </w:r>
    </w:p>
    <w:p>
      <w:pPr>
        <w:ind w:left="640" w:hanging="317"/>
        <w:spacing w:after="0" w:line="27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80"/>
              <w:spacing w:after="0" w:line="112"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300" w:type="dxa"/>
            <w:vAlign w:val="bottom"/>
          </w:tcPr>
          <w:p>
            <w:pPr>
              <w:spacing w:after="0"/>
              <w:rPr>
                <w:sz w:val="9"/>
                <w:szCs w:val="9"/>
                <w:color w:val="auto"/>
              </w:rPr>
            </w:pPr>
          </w:p>
        </w:tc>
        <w:tc>
          <w:tcPr>
            <w:tcW w:w="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160" w:type="dxa"/>
            <w:vAlign w:val="bottom"/>
          </w:tcPr>
          <w:p>
            <w:pPr>
              <w:spacing w:after="0"/>
              <w:rPr>
                <w:sz w:val="9"/>
                <w:szCs w:val="9"/>
                <w:color w:val="auto"/>
              </w:rPr>
            </w:pPr>
          </w:p>
        </w:tc>
        <w:tc>
          <w:tcPr>
            <w:tcW w:w="112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8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 w:type="dxa"/>
            <w:vAlign w:val="bottom"/>
          </w:tcPr>
          <w:p>
            <w:pPr>
              <w:spacing w:after="0"/>
              <w:rPr>
                <w:sz w:val="9"/>
                <w:szCs w:val="9"/>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w w:val="99"/>
              </w:rPr>
              <w:t>Net Carrying</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TBA Securities by Coupon</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300" w:type="dxa"/>
            <w:vAlign w:val="bottom"/>
          </w:tcPr>
          <w:p>
            <w:pPr>
              <w:spacing w:after="0"/>
              <w:rPr>
                <w:sz w:val="16"/>
                <w:szCs w:val="16"/>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 xml:space="preserve">Value </w:t>
            </w:r>
            <w:r>
              <w:rPr>
                <w:rFonts w:ascii="Times New Roman" w:cs="Times New Roman" w:eastAsia="Times New Roman" w:hAnsi="Times New Roman"/>
                <w:sz w:val="16"/>
                <w:szCs w:val="16"/>
                <w:b w:val="1"/>
                <w:bCs w:val="1"/>
                <w:color w:val="auto"/>
                <w:w w:val="98"/>
                <w:vertAlign w:val="superscript"/>
              </w:rPr>
              <w:t>1</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Long (Short)</w:t>
            </w:r>
          </w:p>
        </w:tc>
        <w:tc>
          <w:tcPr>
            <w:tcW w:w="18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4.5%</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2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65"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67" w:lineRule="exact"/>
        <w:rPr>
          <w:sz w:val="20"/>
          <w:szCs w:val="20"/>
          <w:color w:val="auto"/>
        </w:rPr>
      </w:pPr>
    </w:p>
    <w:p>
      <w:pPr>
        <w:ind w:right="100"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months ended March 31, 2026 and 2025 (in millions):</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92"/>
        </w:trPr>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restart"/>
          </w:tcPr>
          <w:p>
            <w:pPr>
              <w:jc w:val="center"/>
              <w:ind w:left="65"/>
              <w:spacing w:after="0" w:line="143"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0" w:type="dxa"/>
            <w:vAlign w:val="bottom"/>
          </w:tcPr>
          <w:p>
            <w:pPr>
              <w:spacing w:after="0"/>
              <w:rPr>
                <w:sz w:val="1"/>
                <w:szCs w:val="1"/>
                <w:color w:val="auto"/>
              </w:rPr>
            </w:pPr>
          </w:p>
        </w:tc>
      </w:tr>
      <w:tr>
        <w:trPr>
          <w:trHeight w:val="51"/>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1"/>
                <w:szCs w:val="11"/>
                <w:color w:val="auto"/>
              </w:rPr>
            </w:pPr>
          </w:p>
        </w:tc>
        <w:tc>
          <w:tcPr>
            <w:tcW w:w="9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b w:val="1"/>
                <w:bCs w:val="1"/>
                <w:color w:val="auto"/>
              </w:rPr>
              <w:t>Instruments an</w:t>
            </w:r>
          </w:p>
        </w:tc>
        <w:tc>
          <w:tcPr>
            <w:tcW w:w="0" w:type="dxa"/>
            <w:vAlign w:val="bottom"/>
          </w:tcPr>
          <w:p>
            <w:pPr>
              <w:spacing w:after="0"/>
              <w:rPr>
                <w:sz w:val="1"/>
                <w:szCs w:val="1"/>
                <w:color w:val="auto"/>
              </w:rPr>
            </w:pPr>
          </w:p>
        </w:tc>
      </w:tr>
      <w:tr>
        <w:trPr>
          <w:trHeight w:val="145"/>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53"/>
        </w:trPr>
        <w:tc>
          <w:tcPr>
            <w:tcW w:w="4640" w:type="dxa"/>
            <w:vAlign w:val="bottom"/>
            <w:gridSpan w:val="2"/>
            <w:vMerge w:val="continue"/>
          </w:tcPr>
          <w:p>
            <w:pPr>
              <w:spacing w:after="0"/>
              <w:rPr>
                <w:sz w:val="4"/>
                <w:szCs w:val="4"/>
                <w:color w:val="auto"/>
              </w:rPr>
            </w:pPr>
          </w:p>
        </w:tc>
        <w:tc>
          <w:tcPr>
            <w:tcW w:w="1280" w:type="dxa"/>
            <w:vAlign w:val="bottom"/>
            <w:gridSpan w:val="3"/>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80" w:type="dxa"/>
            <w:vAlign w:val="bottom"/>
            <w:gridSpan w:val="2"/>
            <w:vMerge w:val="continue"/>
          </w:tcPr>
          <w:p>
            <w:pPr>
              <w:spacing w:after="0"/>
              <w:rPr>
                <w:sz w:val="4"/>
                <w:szCs w:val="4"/>
                <w:color w:val="auto"/>
              </w:rPr>
            </w:pPr>
          </w:p>
        </w:tc>
        <w:tc>
          <w:tcPr>
            <w:tcW w:w="1300" w:type="dxa"/>
            <w:vAlign w:val="bottom"/>
            <w:gridSpan w:val="2"/>
          </w:tcPr>
          <w:p>
            <w:pPr>
              <w:jc w:val="center"/>
              <w:ind w:right="120"/>
              <w:spacing w:after="0" w:line="53" w:lineRule="exact"/>
              <w:rPr>
                <w:sz w:val="20"/>
                <w:szCs w:val="20"/>
                <w:color w:val="auto"/>
              </w:rPr>
            </w:pPr>
            <w:r>
              <w:rPr>
                <w:rFonts w:ascii="Times New Roman" w:cs="Times New Roman" w:eastAsia="Times New Roman" w:hAnsi="Times New Roman"/>
                <w:sz w:val="6"/>
                <w:szCs w:val="6"/>
                <w:b w:val="1"/>
                <w:bCs w:val="1"/>
                <w:color w:val="auto"/>
              </w:rPr>
              <w:t>Exercise</w:t>
            </w:r>
          </w:p>
        </w:tc>
        <w:tc>
          <w:tcPr>
            <w:tcW w:w="1380" w:type="dxa"/>
            <w:vAlign w:val="bottom"/>
            <w:gridSpan w:val="4"/>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Notional Amount</w:t>
            </w:r>
          </w:p>
        </w:tc>
        <w:tc>
          <w:tcPr>
            <w:tcW w:w="120" w:type="dxa"/>
            <w:vAlign w:val="bottom"/>
          </w:tcPr>
          <w:p>
            <w:pPr>
              <w:spacing w:after="0"/>
              <w:rPr>
                <w:sz w:val="4"/>
                <w:szCs w:val="4"/>
                <w:color w:val="auto"/>
              </w:rPr>
            </w:pPr>
          </w:p>
        </w:tc>
        <w:tc>
          <w:tcPr>
            <w:tcW w:w="940" w:type="dxa"/>
            <w:vAlign w:val="bottom"/>
            <w:vMerge w:val="restart"/>
          </w:tcPr>
          <w:p>
            <w:pPr>
              <w:jc w:val="center"/>
              <w:ind w:left="65"/>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69"/>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4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13,180</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53,417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(55,688)</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50,620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13,458</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25,050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(25,822)</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long position</w:t>
            </w:r>
          </w:p>
        </w:tc>
        <w:tc>
          <w:tcPr>
            <w:tcW w:w="18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27,919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12,455</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6,955</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27,967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(27,111)</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39,646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5,388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long position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right="100" w:hanging="317"/>
        <w:spacing w:after="0" w:line="265"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14" w:lineRule="exact"/>
        <w:rPr>
          <w:sz w:val="20"/>
          <w:szCs w:val="20"/>
          <w:color w:val="auto"/>
        </w:rPr>
      </w:pPr>
    </w:p>
    <w:p>
      <w:pPr>
        <w:jc w:val="both"/>
        <w:ind w:right="100" w:firstLine="396"/>
        <w:spacing w:after="0" w:line="257" w:lineRule="auto"/>
        <w:rPr>
          <w:sz w:val="20"/>
          <w:szCs w:val="20"/>
          <w:color w:val="auto"/>
        </w:rPr>
      </w:pPr>
      <w:r>
        <w:rPr>
          <w:rFonts w:ascii="Times New Roman" w:cs="Times New Roman" w:eastAsia="Times New Roman" w:hAnsi="Times New Roman"/>
          <w:sz w:val="18"/>
          <w:szCs w:val="18"/>
          <w:color w:val="auto"/>
        </w:rPr>
        <w:t>Additionally, as of March 31, 2025, we held SOFR futures contracts with a long notional position of $1.2 billion, measured on a two-year swap equivalent basis. For the three months ended March 31, 2025, we recognized a gain (loss) of $10 million on our SOFR futures contracts in gain (loss) on derivative instruments and other securities, net in our consolidated statements of comprehensive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65" w:lineRule="exact"/>
        <w:rPr>
          <w:sz w:val="20"/>
          <w:szCs w:val="20"/>
          <w:color w:val="auto"/>
        </w:rPr>
      </w:pPr>
    </w:p>
    <w:p>
      <w:pPr>
        <w:jc w:val="both"/>
        <w:ind w:right="100" w:firstLine="436"/>
        <w:spacing w:after="0" w:line="270"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spacing w:after="0" w:line="115" w:lineRule="exact"/>
        <w:rPr>
          <w:sz w:val="20"/>
          <w:szCs w:val="20"/>
          <w:color w:val="auto"/>
        </w:rPr>
      </w:pPr>
    </w:p>
    <w:p>
      <w:pPr>
        <w:jc w:val="both"/>
        <w:ind w:right="100" w:firstLine="436"/>
        <w:spacing w:after="0" w:line="257" w:lineRule="auto"/>
        <w:rPr>
          <w:sz w:val="20"/>
          <w:szCs w:val="20"/>
          <w:color w:val="auto"/>
        </w:rPr>
      </w:pPr>
      <w:r>
        <w:rPr>
          <w:rFonts w:ascii="Times New Roman" w:cs="Times New Roman" w:eastAsia="Times New Roman" w:hAnsi="Times New Roman"/>
          <w:sz w:val="18"/>
          <w:szCs w:val="18"/>
          <w:color w:val="auto"/>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spacing w:after="0" w:line="127" w:lineRule="exact"/>
        <w:rPr>
          <w:sz w:val="20"/>
          <w:szCs w:val="20"/>
          <w:color w:val="auto"/>
        </w:rPr>
      </w:pPr>
    </w:p>
    <w:p>
      <w:pPr>
        <w:jc w:val="both"/>
        <w:ind w:right="100" w:firstLine="436"/>
        <w:spacing w:after="0" w:line="250" w:lineRule="auto"/>
        <w:rPr>
          <w:sz w:val="20"/>
          <w:szCs w:val="20"/>
          <w:color w:val="auto"/>
        </w:rPr>
      </w:pPr>
      <w:r>
        <w:rPr>
          <w:rFonts w:ascii="Times New Roman" w:cs="Times New Roman" w:eastAsia="Times New Roman" w:hAnsi="Times New Roman"/>
          <w:sz w:val="18"/>
          <w:szCs w:val="18"/>
          <w:color w:val="auto"/>
        </w:rPr>
        <w:t>Margin requirements for centrally cleared repurchase agreements executed through the Fixed Income Clearing Corporation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28" w:right="239" w:bottom="1440" w:gutter="0" w:footer="0" w:header="0"/>
        </w:sectPr>
      </w:pPr>
    </w:p>
    <w:bookmarkStart w:id="18" w:name="page19"/>
    <w:bookmarkEnd w:id="18"/>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spacing w:after="0" w:line="131"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funding and derivative agreements expose us to credit risk in the event a counterparty fails to perform its obligations. We seek to mitigate this risk by actively monitoring our collateral positions and limiting our counterparties to registered clearinghouses and regulated financial institutions, including banks and broker-dealers (both bank affiliated and independent) with acceptable credit ratings.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spacing w:after="0" w:line="13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March 31, 2026, our maximum amount at risk with any counterparty related to our repurchase agreements (i.e., the excess/shortfall of the value of collateral pledged/received over our repurchase agreement liabilities/reverse repurchase agreement receivables), excluding the FICC, was less than 2% of our tangible stockholders’ equity. As of March 31, 2026, less than 11% of our tangible stockholders’ equity was at risk with the FICC.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67" w:lineRule="exact"/>
        <w:rPr>
          <w:sz w:val="20"/>
          <w:szCs w:val="20"/>
          <w:color w:val="auto"/>
        </w:rPr>
      </w:pPr>
    </w:p>
    <w:p>
      <w:pPr>
        <w:jc w:val="both"/>
        <w:ind w:firstLine="436"/>
        <w:spacing w:after="0" w:line="264"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2026 and December 31, 2025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310"/>
              <w:spacing w:after="0" w:line="127" w:lineRule="exact"/>
              <w:rPr>
                <w:sz w:val="20"/>
                <w:szCs w:val="20"/>
                <w:color w:val="auto"/>
              </w:rPr>
            </w:pPr>
            <w:r>
              <w:rPr>
                <w:rFonts w:ascii="Times New Roman" w:cs="Times New Roman" w:eastAsia="Times New Roman" w:hAnsi="Times New Roman"/>
                <w:sz w:val="14"/>
                <w:szCs w:val="14"/>
                <w:b w:val="1"/>
                <w:bCs w:val="1"/>
                <w:color w:val="auto"/>
              </w:rPr>
              <w:t>Debt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180" w:type="dxa"/>
            <w:vAlign w:val="bottom"/>
          </w:tcPr>
          <w:p>
            <w:pPr>
              <w:jc w:val="center"/>
              <w:ind w:left="33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77,190</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77,364</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12,666</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310"/>
              <w:spacing w:after="0" w:line="127" w:lineRule="exact"/>
              <w:rPr>
                <w:sz w:val="20"/>
                <w:szCs w:val="20"/>
                <w:color w:val="auto"/>
              </w:rPr>
            </w:pPr>
            <w:r>
              <w:rPr>
                <w:rFonts w:ascii="Times New Roman" w:cs="Times New Roman" w:eastAsia="Times New Roman" w:hAnsi="Times New Roman"/>
                <w:sz w:val="14"/>
                <w:szCs w:val="14"/>
                <w:b w:val="1"/>
                <w:bCs w:val="1"/>
                <w:color w:val="auto"/>
              </w:rPr>
              <w:t>Debt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Repurchase Agreements </w:t>
            </w:r>
            <w:r>
              <w:rPr>
                <w:rFonts w:ascii="Times New Roman" w:cs="Times New Roman" w:eastAsia="Times New Roman" w:hAnsi="Times New Roman"/>
                <w:sz w:val="18"/>
                <w:szCs w:val="18"/>
                <w:b w:val="1"/>
                <w:bCs w:val="1"/>
                <w:color w:val="auto"/>
                <w:vertAlign w:val="superscript"/>
              </w:rPr>
              <w:t>2</w:t>
            </w:r>
          </w:p>
        </w:tc>
        <w:tc>
          <w:tcPr>
            <w:tcW w:w="1180" w:type="dxa"/>
            <w:vAlign w:val="bottom"/>
          </w:tcPr>
          <w:p>
            <w:pPr>
              <w:jc w:val="center"/>
              <w:ind w:left="33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74,213</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74,413</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13,076</w:t>
            </w: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9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 million of retained interests in our consolidated VIEs pledged as collateral under repurchase agreements as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9" w:name="page20"/>
    <w:bookmarkEnd w:id="19"/>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2026 and December 31, 2025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5"/>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Accrued</w:t>
            </w:r>
          </w:p>
        </w:tc>
      </w:tr>
      <w:tr>
        <w:trPr>
          <w:trHeight w:val="134"/>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900" w:type="dxa"/>
            <w:vAlign w:val="bottom"/>
          </w:tcPr>
          <w:p>
            <w:pPr>
              <w:jc w:val="center"/>
              <w:ind w:right="50"/>
              <w:spacing w:after="0" w:line="134" w:lineRule="exact"/>
              <w:rPr>
                <w:sz w:val="20"/>
                <w:szCs w:val="20"/>
                <w:color w:val="auto"/>
              </w:rPr>
            </w:pPr>
            <w:r>
              <w:rPr>
                <w:rFonts w:ascii="Times New Roman" w:cs="Times New Roman" w:eastAsia="Times New Roman" w:hAnsi="Times New Roman"/>
                <w:sz w:val="14"/>
                <w:szCs w:val="14"/>
                <w:b w:val="1"/>
                <w:bCs w:val="1"/>
                <w:color w:val="auto"/>
              </w:rPr>
              <w:t>Interest on</w:t>
            </w:r>
          </w:p>
        </w:tc>
      </w:tr>
      <w:tr>
        <w:trPr>
          <w:trHeight w:val="157"/>
        </w:trPr>
        <w:tc>
          <w:tcPr>
            <w:tcW w:w="39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3"/>
                <w:szCs w:val="13"/>
                <w:color w:val="auto"/>
              </w:rPr>
            </w:pPr>
          </w:p>
        </w:tc>
        <w:tc>
          <w:tcPr>
            <w:tcW w:w="108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900" w:type="dxa"/>
            <w:vAlign w:val="bottom"/>
          </w:tcPr>
          <w:p>
            <w:pPr>
              <w:jc w:val="center"/>
              <w:ind w:right="70"/>
              <w:spacing w:after="0" w:line="157" w:lineRule="exact"/>
              <w:rPr>
                <w:sz w:val="20"/>
                <w:szCs w:val="20"/>
                <w:color w:val="auto"/>
              </w:rPr>
            </w:pPr>
            <w:r>
              <w:rPr>
                <w:rFonts w:ascii="Times New Roman" w:cs="Times New Roman" w:eastAsia="Times New Roman" w:hAnsi="Times New Roman"/>
                <w:sz w:val="14"/>
                <w:szCs w:val="14"/>
                <w:b w:val="1"/>
                <w:bCs w:val="1"/>
                <w:color w:val="auto"/>
              </w:rPr>
              <w:t>Pledged</w:t>
            </w:r>
          </w:p>
        </w:tc>
      </w:tr>
      <w:tr>
        <w:trPr>
          <w:trHeight w:val="19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Pledged Securities </w:t>
            </w:r>
            <w:r>
              <w:rPr>
                <w:rFonts w:ascii="Times New Roman" w:cs="Times New Roman" w:eastAsia="Times New Roman" w:hAnsi="Times New Roman"/>
                <w:sz w:val="9"/>
                <w:szCs w:val="9"/>
                <w:b w:val="1"/>
                <w:bCs w:val="1"/>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98"/>
        </w:trPr>
        <w:tc>
          <w:tcPr>
            <w:tcW w:w="3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76,835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91"/>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90,840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87,420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 million of retained interests in our consolidated VIEs pledged as collateral under repurchase agreements as of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67"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8"/>
          <w:szCs w:val="18"/>
          <w:color w:val="auto"/>
        </w:rPr>
        <w:t>As of March 31, 2026 and December 31, 2025, we had assets pledged to us from counterparties as collateral under our reverse repurchase and derivative agreements summarized in the tables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6"/>
              </w:rPr>
              <w:t>Reverse</w:t>
            </w:r>
          </w:p>
        </w:tc>
        <w:tc>
          <w:tcPr>
            <w:tcW w:w="12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1"/>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16,439</w:t>
            </w:r>
          </w:p>
        </w:tc>
        <w:tc>
          <w:tcPr>
            <w:tcW w:w="0" w:type="dxa"/>
            <w:vAlign w:val="bottom"/>
          </w:tcPr>
          <w:p>
            <w:pPr>
              <w:spacing w:after="0"/>
              <w:rPr>
                <w:sz w:val="1"/>
                <w:szCs w:val="1"/>
                <w:color w:val="auto"/>
              </w:rPr>
            </w:pPr>
          </w:p>
        </w:tc>
      </w:tr>
      <w:tr>
        <w:trPr>
          <w:trHeight w:val="19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8"/>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2026 and December 31, 2025 (in millions):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10"/>
              <w:spacing w:after="0" w:line="143"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3"/>
                <w:szCs w:val="13"/>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3"/>
            <w:vMerge w:val="restart"/>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80" w:type="dxa"/>
            <w:vAlign w:val="bottom"/>
          </w:tcPr>
          <w:p>
            <w:pPr>
              <w:spacing w:after="0"/>
              <w:rPr>
                <w:sz w:val="17"/>
                <w:szCs w:val="17"/>
                <w:color w:val="auto"/>
              </w:rPr>
            </w:pPr>
          </w:p>
        </w:tc>
        <w:tc>
          <w:tcPr>
            <w:tcW w:w="10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30480</wp:posOffset>
            </wp:positionV>
            <wp:extent cx="453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35805"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w:t>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593"/>
              <w:spacing w:after="0" w:line="143" w:lineRule="exact"/>
              <w:rPr>
                <w:sz w:val="20"/>
                <w:szCs w:val="20"/>
                <w:color w:val="auto"/>
              </w:rPr>
            </w:pPr>
            <w:r>
              <w:rPr>
                <w:rFonts w:ascii="Times New Roman" w:cs="Times New Roman" w:eastAsia="Times New Roman" w:hAnsi="Times New Roman"/>
                <w:sz w:val="14"/>
                <w:szCs w:val="14"/>
                <w:b w:val="1"/>
                <w:bCs w:val="1"/>
                <w:color w:val="auto"/>
              </w:rPr>
              <w:t>in the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20" w:type="dxa"/>
            <w:vAlign w:val="bottom"/>
          </w:tcPr>
          <w:p>
            <w:pPr>
              <w:spacing w:after="0"/>
              <w:rPr>
                <w:sz w:val="13"/>
                <w:szCs w:val="13"/>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4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Recognized</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120" w:type="dxa"/>
            <w:vAlign w:val="bottom"/>
          </w:tcPr>
          <w:p>
            <w:pPr>
              <w:spacing w:after="0"/>
              <w:rPr>
                <w:sz w:val="16"/>
                <w:szCs w:val="16"/>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53"/>
        </w:trPr>
        <w:tc>
          <w:tcPr>
            <w:tcW w:w="140" w:type="dxa"/>
            <w:vAlign w:val="bottom"/>
          </w:tcPr>
          <w:p>
            <w:pPr>
              <w:spacing w:after="0"/>
              <w:rPr>
                <w:sz w:val="4"/>
                <w:szCs w:val="4"/>
                <w:color w:val="auto"/>
              </w:rPr>
            </w:pPr>
          </w:p>
        </w:tc>
        <w:tc>
          <w:tcPr>
            <w:tcW w:w="960" w:type="dxa"/>
            <w:vAlign w:val="bottom"/>
            <w:gridSpan w:val="2"/>
          </w:tcPr>
          <w:p>
            <w:pPr>
              <w:jc w:val="center"/>
              <w:ind w:right="240"/>
              <w:spacing w:after="0" w:line="53" w:lineRule="exact"/>
              <w:rPr>
                <w:sz w:val="20"/>
                <w:szCs w:val="20"/>
                <w:color w:val="auto"/>
              </w:rPr>
            </w:pPr>
            <w:r>
              <w:rPr>
                <w:rFonts w:ascii="Times New Roman" w:cs="Times New Roman" w:eastAsia="Times New Roman" w:hAnsi="Times New Roman"/>
                <w:sz w:val="6"/>
                <w:szCs w:val="6"/>
                <w:b w:val="1"/>
                <w:bCs w:val="1"/>
                <w:color w:val="auto"/>
              </w:rPr>
              <w:t>Liabilities</w:t>
            </w:r>
          </w:p>
        </w:tc>
        <w:tc>
          <w:tcPr>
            <w:tcW w:w="120" w:type="dxa"/>
            <w:vAlign w:val="bottom"/>
          </w:tcPr>
          <w:p>
            <w:pPr>
              <w:spacing w:after="0"/>
              <w:rPr>
                <w:sz w:val="4"/>
                <w:szCs w:val="4"/>
                <w:color w:val="auto"/>
              </w:rPr>
            </w:pPr>
          </w:p>
        </w:tc>
        <w:tc>
          <w:tcPr>
            <w:tcW w:w="120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80" w:type="dxa"/>
            <w:vAlign w:val="bottom"/>
          </w:tcPr>
          <w:p>
            <w:pPr>
              <w:spacing w:after="0"/>
              <w:rPr>
                <w:sz w:val="4"/>
                <w:szCs w:val="4"/>
                <w:color w:val="auto"/>
              </w:rPr>
            </w:pPr>
          </w:p>
        </w:tc>
        <w:tc>
          <w:tcPr>
            <w:tcW w:w="116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Balance Sheets</w:t>
            </w:r>
          </w:p>
        </w:tc>
        <w:tc>
          <w:tcPr>
            <w:tcW w:w="120" w:type="dxa"/>
            <w:vAlign w:val="bottom"/>
          </w:tcPr>
          <w:p>
            <w:pPr>
              <w:spacing w:after="0"/>
              <w:rPr>
                <w:sz w:val="4"/>
                <w:szCs w:val="4"/>
                <w:color w:val="auto"/>
              </w:rPr>
            </w:pPr>
          </w:p>
        </w:tc>
        <w:tc>
          <w:tcPr>
            <w:tcW w:w="1060" w:type="dxa"/>
            <w:vAlign w:val="bottom"/>
            <w:gridSpan w:val="2"/>
          </w:tcPr>
          <w:p>
            <w:pPr>
              <w:jc w:val="center"/>
              <w:ind w:right="240"/>
              <w:spacing w:after="0" w:line="53" w:lineRule="exact"/>
              <w:rPr>
                <w:sz w:val="20"/>
                <w:szCs w:val="20"/>
                <w:color w:val="auto"/>
              </w:rPr>
            </w:pPr>
            <w:r>
              <w:rPr>
                <w:rFonts w:ascii="Times New Roman" w:cs="Times New Roman" w:eastAsia="Times New Roman" w:hAnsi="Times New Roman"/>
                <w:sz w:val="6"/>
                <w:szCs w:val="6"/>
                <w:b w:val="1"/>
                <w:bCs w:val="1"/>
                <w:color w:val="auto"/>
              </w:rPr>
              <w:t>Instruments</w:t>
            </w:r>
          </w:p>
        </w:tc>
        <w:tc>
          <w:tcPr>
            <w:tcW w:w="340" w:type="dxa"/>
            <w:vAlign w:val="bottom"/>
          </w:tcPr>
          <w:p>
            <w:pPr>
              <w:spacing w:after="0"/>
              <w:rPr>
                <w:sz w:val="4"/>
                <w:szCs w:val="4"/>
                <w:color w:val="auto"/>
              </w:rPr>
            </w:pPr>
          </w:p>
        </w:tc>
        <w:tc>
          <w:tcPr>
            <w:tcW w:w="800" w:type="dxa"/>
            <w:vAlign w:val="bottom"/>
            <w:vMerge w:val="restart"/>
          </w:tcPr>
          <w:p>
            <w:pPr>
              <w:jc w:val="right"/>
              <w:ind w:right="493"/>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87,616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87,863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0"/>
        </w:trPr>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85,286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-955040</wp:posOffset>
            </wp:positionV>
            <wp:extent cx="7076440" cy="12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6440" cy="12573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-678815</wp:posOffset>
            </wp:positionV>
            <wp:extent cx="7076440" cy="133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6440" cy="13398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-418465</wp:posOffset>
            </wp:positionV>
            <wp:extent cx="7076440" cy="125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6440" cy="12573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-167005</wp:posOffset>
            </wp:positionV>
            <wp:extent cx="7076440"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6440" cy="15113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-1215390</wp:posOffset>
            </wp:positionV>
            <wp:extent cx="7076440" cy="13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6440" cy="13398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340" w:space="720"/>
            <w:col w:w="7180"/>
          </w:cols>
          <w:pgMar w:left="320" w:top="1066" w:right="339" w:bottom="1440" w:gutter="0" w:footer="0" w:header="0"/>
          <w:type w:val="continuous"/>
        </w:sectPr>
      </w:pPr>
    </w:p>
    <w:p>
      <w:pPr>
        <w:ind w:left="640" w:right="60" w:hanging="317"/>
        <w:spacing w:after="0" w:line="243"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40" w:right="20" w:hanging="317"/>
        <w:spacing w:after="0" w:line="27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65"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March 31, 2026 and December 31, 2025,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84,447</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line="206"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12,689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13,488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81,877</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6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17,032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60" w:type="dxa"/>
            <w:vAlign w:val="bottom"/>
          </w:tcPr>
          <w:p>
            <w:pPr>
              <w:ind w:left="180"/>
              <w:spacing w:after="0" w:line="198"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8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86"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the net fair value of our interest rate swaps excluding the recognition of variation margin settlements as a direct reduction of carrying value was a net asset (liability) of $1.7 billion and $1.3 billion, respectively, based on “Level 2” inputs.</w:t>
      </w:r>
    </w:p>
    <w:p>
      <w:pPr>
        <w:spacing w:after="0" w:line="20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Excluded from the table above are financial instruments reported at cost and other mortgage credit investments reported under the equity method of accounting in our consolidated financial statements. As of March 31, 2026 and December 31, 2025,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March 31, 2026 and December 31, 2025, the carrying value of other mortgage credit investments reported under the equity method of accounting was $69 million and $70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16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8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2"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6"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73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916.1</w:t>
            </w:r>
          </w:p>
        </w:tc>
      </w:tr>
      <w:tr>
        <w:trPr>
          <w:trHeight w:val="191"/>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918.3</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23"/>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For the three months ended March 31, 2026, 4.7 million of potentially dilutive unvested time and performance based RSUs outstanding were excluded from the computation of diluted net income (loss) per common share because inclusion of such RSUs would have otherwise been anti-dilutive for the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March 31, 2026 and December 31, 2025, 13,800, 10,350, 16,100, 23,000, 6,900 and 13,800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7.75% Series G Fixed-Rate Reset Cumulative Redeemable Preferred Stock and 8.75% Series H Fixed-Rate Cumulative Redeemable Preferred stock, respectively, (referred to as “Series C, D, E, F, G and H Preferred Stock”, respectively). As of March 31, 2026 and December 31, 2025, 13,000, 9,400, 16,100, 23,000, 6,000 and 13,800 shares of Series C, D, E, F, G and H Preferred Stock, respectively, were issued and outstanding. Each share of preferred stock is represented by 1,000 depositary shares. Each share of preferred stock has a liquidation preference of $25,000 per share ($25 per depositary share).</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March 31, 2026 (dollars and shares in millions):</w:t>
      </w:r>
    </w:p>
    <w:p>
      <w:pPr>
        <w:spacing w:after="0" w:line="142"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Depositary</w:t>
      </w:r>
    </w:p>
    <w:p>
      <w:pPr>
        <w:jc w:val="center"/>
        <w:ind w:right="1640"/>
        <w:spacing w:after="0" w:line="216" w:lineRule="auto"/>
        <w:rPr>
          <w:sz w:val="20"/>
          <w:szCs w:val="20"/>
          <w:color w:val="auto"/>
        </w:rPr>
      </w:pPr>
      <w:r>
        <w:rPr>
          <w:rFonts w:ascii="Times New Roman" w:cs="Times New Roman" w:eastAsia="Times New Roman" w:hAnsi="Times New Roman"/>
          <w:sz w:val="14"/>
          <w:szCs w:val="14"/>
          <w:b w:val="1"/>
          <w:bCs w:val="1"/>
          <w:color w:val="auto"/>
        </w:rPr>
        <w:t>Shares</w:t>
      </w:r>
    </w:p>
    <w:tbl>
      <w:tblPr>
        <w:tblLayout w:type="fixed"/>
        <w:tblInd w:w="820" w:type="dxa"/>
        <w:tblCellMar>
          <w:top w:w="0" w:type="dxa"/>
          <w:left w:w="0" w:type="dxa"/>
          <w:bottom w:w="0" w:type="dxa"/>
          <w:right w:w="0" w:type="dxa"/>
        </w:tblCellMar>
      </w:tblPr>
      <w:tr>
        <w:trPr>
          <w:trHeight w:val="122"/>
        </w:trPr>
        <w:tc>
          <w:tcPr>
            <w:tcW w:w="1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Cumulative Redeemable</w:t>
            </w: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0"/>
                <w:szCs w:val="10"/>
                <w:color w:val="auto"/>
              </w:rPr>
            </w:pPr>
          </w:p>
        </w:tc>
        <w:tc>
          <w:tcPr>
            <w:tcW w:w="9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3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7"/>
              </w:rPr>
              <w:t>Per Annum</w:t>
            </w:r>
          </w:p>
        </w:tc>
        <w:tc>
          <w:tcPr>
            <w:tcW w:w="15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First Optional</w:t>
            </w:r>
          </w:p>
        </w:tc>
        <w:tc>
          <w:tcPr>
            <w:tcW w:w="0" w:type="dxa"/>
            <w:vAlign w:val="bottom"/>
          </w:tcPr>
          <w:p>
            <w:pPr>
              <w:spacing w:after="0"/>
              <w:rPr>
                <w:sz w:val="1"/>
                <w:szCs w:val="1"/>
                <w:color w:val="auto"/>
              </w:rPr>
            </w:pPr>
          </w:p>
        </w:tc>
      </w:tr>
      <w:tr>
        <w:trPr>
          <w:trHeight w:val="132"/>
        </w:trPr>
        <w:tc>
          <w:tcPr>
            <w:tcW w:w="190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2"/>
              <w:spacing w:after="0" w:line="132"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13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5"/>
              </w:rPr>
              <w:t>Dividend</w:t>
            </w:r>
          </w:p>
        </w:tc>
        <w:tc>
          <w:tcPr>
            <w:tcW w:w="15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6"/>
              </w:rPr>
              <w:t>Redemption Date /</w:t>
            </w:r>
          </w:p>
        </w:tc>
        <w:tc>
          <w:tcPr>
            <w:tcW w:w="0" w:type="dxa"/>
            <w:vAlign w:val="bottom"/>
          </w:tcPr>
          <w:p>
            <w:pPr>
              <w:spacing w:after="0"/>
              <w:rPr>
                <w:sz w:val="1"/>
                <w:szCs w:val="1"/>
                <w:color w:val="auto"/>
              </w:rPr>
            </w:pPr>
          </w:p>
        </w:tc>
      </w:tr>
      <w:tr>
        <w:trPr>
          <w:trHeight w:val="198"/>
        </w:trPr>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Issue Date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4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Preference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 xml:space="preserve">Rate </w:t>
            </w:r>
            <w:r>
              <w:rPr>
                <w:rFonts w:ascii="Times New Roman" w:cs="Times New Roman" w:eastAsia="Times New Roman" w:hAnsi="Times New Roman"/>
                <w:sz w:val="17"/>
                <w:szCs w:val="17"/>
                <w:b w:val="1"/>
                <w:bCs w:val="1"/>
                <w:color w:val="auto"/>
                <w:w w:val="87"/>
                <w:vertAlign w:val="superscript"/>
              </w:rPr>
              <w:t>1,2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xml:space="preserve">Conversion Date </w:t>
            </w:r>
            <w:r>
              <w:rPr>
                <w:rFonts w:ascii="Times New Roman" w:cs="Times New Roman" w:eastAsia="Times New Roman" w:hAnsi="Times New Roman"/>
                <w:sz w:val="17"/>
                <w:szCs w:val="17"/>
                <w:b w:val="1"/>
                <w:bCs w:val="1"/>
                <w:color w:val="auto"/>
                <w:w w:val="95"/>
                <w:vertAlign w:val="superscript"/>
              </w:rPr>
              <w:t>2,3</w:t>
            </w:r>
          </w:p>
        </w:tc>
        <w:tc>
          <w:tcPr>
            <w:tcW w:w="0" w:type="dxa"/>
            <w:vAlign w:val="bottom"/>
          </w:tcPr>
          <w:p>
            <w:pPr>
              <w:spacing w:after="0"/>
              <w:rPr>
                <w:sz w:val="1"/>
                <w:szCs w:val="1"/>
                <w:color w:val="auto"/>
              </w:rPr>
            </w:pPr>
          </w:p>
        </w:tc>
      </w:tr>
      <w:tr>
        <w:trPr>
          <w:trHeight w:val="178"/>
        </w:trPr>
        <w:tc>
          <w:tcPr>
            <w:tcW w:w="1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Fixed-to-Floating Rate:</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Series 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August 22, 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7"/>
              </w:rPr>
              <w:t>9.04374%</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2022</w:t>
            </w:r>
          </w:p>
        </w:tc>
        <w:tc>
          <w:tcPr>
            <w:tcW w:w="0" w:type="dxa"/>
            <w:vAlign w:val="bottom"/>
          </w:tcPr>
          <w:p>
            <w:pPr>
              <w:spacing w:after="0"/>
              <w:rPr>
                <w:sz w:val="1"/>
                <w:szCs w:val="1"/>
                <w:color w:val="auto"/>
              </w:rPr>
            </w:pPr>
          </w:p>
        </w:tc>
      </w:tr>
      <w:tr>
        <w:trPr>
          <w:trHeight w:val="190"/>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D</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March 6,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8.26474%</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2024</w:t>
            </w:r>
          </w:p>
        </w:tc>
        <w:tc>
          <w:tcPr>
            <w:tcW w:w="0" w:type="dxa"/>
            <w:vAlign w:val="bottom"/>
          </w:tcPr>
          <w:p>
            <w:pPr>
              <w:spacing w:after="0"/>
              <w:rPr>
                <w:sz w:val="1"/>
                <w:szCs w:val="1"/>
                <w:color w:val="auto"/>
              </w:rPr>
            </w:pPr>
          </w:p>
        </w:tc>
      </w:tr>
      <w:tr>
        <w:trPr>
          <w:trHeight w:val="180"/>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Series 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October 3, 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7"/>
              </w:rPr>
              <w:t>8.92574%</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15, 2024</w:t>
            </w:r>
          </w:p>
        </w:tc>
        <w:tc>
          <w:tcPr>
            <w:tcW w:w="0" w:type="dxa"/>
            <w:vAlign w:val="bottom"/>
          </w:tcPr>
          <w:p>
            <w:pPr>
              <w:spacing w:after="0"/>
              <w:rPr>
                <w:sz w:val="1"/>
                <w:szCs w:val="1"/>
                <w:color w:val="auto"/>
              </w:rPr>
            </w:pPr>
          </w:p>
        </w:tc>
      </w:tr>
      <w:tr>
        <w:trPr>
          <w:trHeight w:val="190"/>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F</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February 11, 2020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8.62974%</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April 15, 2025</w:t>
            </w:r>
          </w:p>
        </w:tc>
        <w:tc>
          <w:tcPr>
            <w:tcW w:w="0" w:type="dxa"/>
            <w:vAlign w:val="bottom"/>
          </w:tcPr>
          <w:p>
            <w:pPr>
              <w:spacing w:after="0"/>
              <w:rPr>
                <w:sz w:val="1"/>
                <w:szCs w:val="1"/>
                <w:color w:val="auto"/>
              </w:rPr>
            </w:pPr>
          </w:p>
        </w:tc>
      </w:tr>
      <w:tr>
        <w:trPr>
          <w:trHeight w:val="180"/>
        </w:trPr>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Fixed-Rate Reset:</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G</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14,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7.75000%</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October 15, 2027</w:t>
            </w:r>
          </w:p>
        </w:tc>
        <w:tc>
          <w:tcPr>
            <w:tcW w:w="0" w:type="dxa"/>
            <w:vAlign w:val="bottom"/>
          </w:tcPr>
          <w:p>
            <w:pPr>
              <w:spacing w:after="0"/>
              <w:rPr>
                <w:sz w:val="1"/>
                <w:szCs w:val="1"/>
                <w:color w:val="auto"/>
              </w:rPr>
            </w:pPr>
          </w:p>
        </w:tc>
      </w:tr>
      <w:tr>
        <w:trPr>
          <w:trHeight w:val="180"/>
        </w:trPr>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Fixed-Rate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Series H</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September 10,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8.75000%</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October 15, 2030</w:t>
            </w:r>
          </w:p>
        </w:tc>
        <w:tc>
          <w:tcPr>
            <w:tcW w:w="0" w:type="dxa"/>
            <w:vAlign w:val="bottom"/>
          </w:tcPr>
          <w:p>
            <w:pPr>
              <w:spacing w:after="0"/>
              <w:rPr>
                <w:sz w:val="1"/>
                <w:szCs w:val="1"/>
                <w:color w:val="auto"/>
              </w:rPr>
            </w:pPr>
          </w:p>
        </w:tc>
      </w:tr>
      <w:tr>
        <w:trPr>
          <w:trHeight w:val="173"/>
        </w:trPr>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jc w:val="both"/>
        <w:ind w:left="640" w:hanging="317"/>
        <w:spacing w:after="0" w:line="250"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on the $25.00 liquidation preference per depositary share from the issuance date until they are redeemed in accordance with their terms. The per annum dividend rates for the depositary shares underlying the Series C, D, E and F Preferred Stock represent the rates in effect as of March 31, 2026, and are reset quarterly. The depositary shares underlying the Series G Preferred Stock accrue dividends at an initial annual fixed rate until the fixed-rate-reset conversion date, after which dividends on these depositary shares accrue on a fixed-rate-reset basis equal to the conversion rate plus a fixed spread. The depositary shares underlying the Series H Preferred Stock accrue dividends at a fixed rate.</w:t>
      </w:r>
    </w:p>
    <w:p>
      <w:pPr>
        <w:spacing w:after="0" w:line="2" w:lineRule="exact"/>
        <w:rPr>
          <w:rFonts w:ascii="Times New Roman" w:cs="Times New Roman" w:eastAsia="Times New Roman" w:hAnsi="Times New Roman"/>
          <w:sz w:val="14"/>
          <w:szCs w:val="14"/>
          <w:color w:val="auto"/>
        </w:rPr>
      </w:pPr>
    </w:p>
    <w:p>
      <w:pPr>
        <w:jc w:val="both"/>
        <w:ind w:left="640" w:hanging="317"/>
        <w:spacing w:after="0" w:line="252"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 E and F dividends accrue at a rate equal to the 3-Month CME Term SOFR plus 0.26161%, plus spreads of 5.111%, 4.332%, 4.993% and 4.697%, respectively, per annum, resetting quarterly in accordance with the certificate of designations for such series and the Adjustable 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6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issued under the sales agreements during the three months March 31, 2026 and 2025 (in millions, except for per share data). As of March 31, 2026, shares of our common stock with an aggregate offering price of $0.3 billion remained authorized for issuance under this program through December 31, 2026.</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ATM Offerings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Received</w:t>
            </w: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1"/>
        </w:trPr>
        <w:tc>
          <w:tcPr>
            <w:tcW w:w="282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 Share, Net</w:t>
            </w:r>
          </w:p>
        </w:tc>
        <w:tc>
          <w:tcPr>
            <w:tcW w:w="16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March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4"/>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months ended March 31, 2026 and 2025 (in millions):</w:t>
      </w:r>
    </w:p>
    <w:p>
      <w:pPr>
        <w:spacing w:after="0" w:line="10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00" w:type="dxa"/>
            <w:vAlign w:val="bottom"/>
          </w:tcPr>
          <w:p>
            <w:pPr>
              <w:spacing w:after="0"/>
              <w:rPr>
                <w:sz w:val="16"/>
                <w:szCs w:val="16"/>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7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04"/>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36"/>
        </w:trPr>
        <w:tc>
          <w:tcPr>
            <w:tcW w:w="722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rPr>
              <w:t>Net (gain) loss amounts for available-for-sale securities reclassified from accumulated OCI to realized gain (loss) on sale</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of investment securities, net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Reporting</w:t>
      </w:r>
    </w:p>
    <w:p>
      <w:pPr>
        <w:spacing w:after="0" w:line="165"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spacing w:after="0" w:line="11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 w:cs="Times New Roman" w:eastAsia="Times New Roman" w:hAnsi="Times New Roman"/>
          <w:sz w:val="18"/>
          <w:szCs w:val="18"/>
          <w:i w:val="1"/>
          <w:iCs w:val="1"/>
          <w:color w:val="auto"/>
        </w:rPr>
        <w:t>Derivative and Other Hedging Instruments</w:t>
      </w:r>
      <w:r>
        <w:rPr>
          <w:rFonts w:ascii="Times New Roman" w:cs="Times New Roman" w:eastAsia="Times New Roman" w:hAnsi="Times New Roman"/>
          <w:sz w:val="18"/>
          <w:szCs w:val="18"/>
          <w:color w:val="auto"/>
        </w:rPr>
        <w:t>; our ability to hedge certain risks; and our intention to qualify as a REIT. Consequently, the Company operates as a single reportable segment, as reflected in the accompanying consolidated financial statements and notes.</w:t>
      </w:r>
    </w:p>
    <w:p>
      <w:pPr>
        <w:spacing w:after="0" w:line="13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ending tangible stockholders’ equity attributable to common stockholders, each computed on a per common share basis.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6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2026. Our MD&amp;A is presented in the following sections:</w:t>
      </w:r>
    </w:p>
    <w:p>
      <w:pPr>
        <w:spacing w:after="0" w:line="65" w:lineRule="exact"/>
        <w:rPr>
          <w:sz w:val="20"/>
          <w:szCs w:val="20"/>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5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and Social Media Disclosure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Agency multifamily MBS that are similarly guaranteed by a GSE and in other assets related to the housing, mortgage or real estate markets that are not guaranteed by a GSE or U.S. Government agency.</w:t>
      </w:r>
    </w:p>
    <w:p>
      <w:pPr>
        <w:spacing w:after="0" w:line="13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67"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Agency RMBS performance in the first quarter of 2026 was driven by two divergent macroeconomic themes. In January and February, the Administration’s focus on reducing interest rate volatility, maintaining mortgage spread stability, and improving housing affordability drove strong performance across the broader fixed income complex and Agency RMBS specifically. This favorable investment environment was, however, quickly eclipsed in March by the war in Iran and the potential for more widespread conflict in the Middle East. The associated increase in volatility and negative shift in investor sentiment caused Agency RMBS spreads to benchmark rates to widen, and, as a result, AGNC’s economic return on tangible net book value per common share in the first quarter was -1.6%.</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Despite the quarter-over-quarter spread widening, Agency RMBS generated a positive excess return relative to both U.S. Treasuries and investment grade corporate bonds in the first quarter, demonstrating the diversification benefit of this high credit quality, fixed income asset class.</w:t>
      </w:r>
    </w:p>
    <w:p>
      <w:pPr>
        <w:spacing w:after="0" w:line="14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continue to believe that many of the positive catalysts for Agency RMBS performance observed at the beginning of the year remain intact, with several improving further during the first quarter. First, mortgage spreads to benchmark rates widened significantly in March, and these wider spread levels provide investors with compelling value on both an absolute and relative basis. Second, supply-demand technicals have improved as a result of higher mortgage rates, increased bond fund inflows, and proposed regulatory capital changes. Third, the higher rate environment also increases the likelihood of actions by the Administration to stabilize or reduce mortgage spreads as a means to mitigate housing affordability issues. Finally, although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5" w:name="page26"/>
    <w:bookmarkEnd w:id="25"/>
    <w:p>
      <w:pPr>
        <w:jc w:val="both"/>
        <w:spacing w:after="0" w:line="279" w:lineRule="auto"/>
        <w:rPr>
          <w:sz w:val="20"/>
          <w:szCs w:val="20"/>
          <w:color w:val="auto"/>
        </w:rPr>
      </w:pPr>
      <w:r>
        <w:rPr>
          <w:rFonts w:ascii="Times New Roman" w:cs="Times New Roman" w:eastAsia="Times New Roman" w:hAnsi="Times New Roman"/>
          <w:sz w:val="17"/>
          <w:szCs w:val="17"/>
          <w:color w:val="auto"/>
        </w:rPr>
        <w:t>interest rate volatility has increased and future Federal Reserve monetary policy actions have become somewhat more uncertain, we believe that, with some form of resolution or easing of tensions in the Middle East, these factors could quickly revert to positive catalysts for Agency RMBS. As a result, our longer-term outlook for Agency RMBS remains constructive, despite near-term challenges associated with heightened geopolitical and macroeconomic risks.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RMBS Performance Drivers</w:t>
      </w:r>
    </w:p>
    <w:p>
      <w:pPr>
        <w:spacing w:after="0" w:line="15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first quarter, Agency RMBS performance varied meaningfully by coupon and hedge type. Lower coupon Agency RMBS significantly outperformed higher coupon Agency RMBS due to strong index demand from money managers as a result of outsized bond fund inflows. Specifically, spreads of lower coupon Agency RMBS to U.S. Treasuries tightened about 10 basis points during the quarter, while spreads of higher coupon Agency RMBS to U.S. Treasuries widened about 5 basis points on average.</w:t>
      </w:r>
    </w:p>
    <w:p>
      <w:pPr>
        <w:spacing w:after="0" w:line="1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Agency RMBS performance was also materially impacted by hedge type as U.S. Treasury hedges outperformed swap hedges during the quarter. Ten-year swap spreads to U.S. Treasuries, for example, tightened by almost 10 basis points. As a result, an Agency RMBS position hedged with a 10-year pay-fixed swap experienced spread widening of about 10 basis points when compared to the same position hedged with a 10-year Treasury. This tightening in swap spreads was largely driven by increased demand for swap hedges amid heightened Middle East uncertainty.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Summary Financial Highlights</w:t>
      </w:r>
    </w:p>
    <w:p>
      <w:pPr>
        <w:spacing w:after="0" w:line="16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the first quarter, AGNC generated a total comprehensive loss of $(0.18) per diluted common share and an economic return of -1.6% on tangible common equity, comprised of $0.36 in dividends per common share declared during the first quarter and a $(0.50) decrease in tangible net book value per common share. This compares to total comprehensive income of $0.89 per diluted common share and an economic return of 11.6% for the fourth quarter of 2025, comprised of $0.36 in dividends and a $0.60 increase in tangible net book value per common share.</w:t>
      </w:r>
    </w:p>
    <w:p>
      <w:pPr>
        <w:spacing w:after="0" w:line="13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Net spread and dollar roll income (a non-GAAP measure) was $0.42 per diluted common share for the first quarter, compared to $0.35 per diluted common share for the fourth quarter. The increase was largely due to a 25-basis point increase in our net interest spread, which was driven by the combination of a greater allocation to interest rate swaps in our hedge portfolio, lower repo funding costs, more favorable TBA implied financing levels, and a modest increase in the yield on our asset portfolio. Quarter-over-quarter results also benefited from reduced compensation expense, as our fourth quarter results included year-end incentive compensation accrual adjustments.</w:t>
      </w:r>
    </w:p>
    <w:p>
      <w:pPr>
        <w:spacing w:after="0" w:line="132" w:lineRule="exact"/>
        <w:rPr>
          <w:sz w:val="20"/>
          <w:szCs w:val="20"/>
          <w:color w:val="auto"/>
        </w:rPr>
      </w:pPr>
    </w:p>
    <w:p>
      <w:pPr>
        <w:jc w:val="both"/>
        <w:ind w:firstLine="396"/>
        <w:spacing w:after="0" w:line="260" w:lineRule="auto"/>
        <w:rPr>
          <w:sz w:val="20"/>
          <w:szCs w:val="20"/>
          <w:color w:val="auto"/>
        </w:rPr>
      </w:pPr>
      <w:r>
        <w:rPr>
          <w:rFonts w:ascii="Times New Roman" w:cs="Times New Roman" w:eastAsia="Times New Roman" w:hAnsi="Times New Roman"/>
          <w:sz w:val="18"/>
          <w:szCs w:val="18"/>
          <w:color w:val="auto"/>
        </w:rPr>
        <w:t>Our investment portfolio totaled $94.7 billion as of March 31, 2026, compared to $94.8 billion as of December 31, 2025. During the first quarter we rotated a portion of our portfolio down in coupon and purchased $1.7 billion of predominately low coupon specified pools. Consistent with these portfolio changes, the weighted average coupon on our portfolio, inclusive of TBAs, declined to 4.95% from 5.12% as of December 31, 2025 and the portion of our fixed-rate portfolio with favorable prepayment attributes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increased slightly to 77% as of March 31, 2026, compared to 76% as of December 31, 2025.</w:t>
      </w:r>
    </w:p>
    <w:p>
      <w:pPr>
        <w:spacing w:after="0" w:line="5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average projected life Constant Prepayment Rate ("CPR") for our portfolio increased to 10.3% as of March 31, 2026, from 9.6% as of December 31, 2025, largely due to prepayment model updates implemented in the first quarter and portfolio composition changes, partly offset by higher mortgage rates. Actual CPRs averaged 13.2% for the first quarter, compared to 9.7% for the fourth quarter.</w:t>
      </w:r>
    </w:p>
    <w:p>
      <w:pPr>
        <w:spacing w:after="0" w:line="12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March 31, 2026, our "at risk" leverage was 7.4x tangible equity, compared to 7.2x as of December 31, 2025, while average leverage for the quarter was unchanged at 7.4x. We ended the quarter with $7.0 billion of unencumbered cash and Agency RMBS, representing 60% of tangible equity, compared to $7.6 billion and 64%, respectively, as of December 31, 2025.</w:t>
      </w:r>
    </w:p>
    <w:p>
      <w:pPr>
        <w:spacing w:after="0" w:line="12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of March 31, 2026, our hedge ratio was 83%, reflecting the level of interest rate swap and U.S. Treasury hedges (excluding option-based hedges) relative to total funding liabilities, compared to 77% as of December 31, 2025. The notional balance of our interest rate swaps increased to $76.5 billion, representing 89% of our funding liabilities as of March 31, 2026, compared to $64.6 billion and 75%, respectively, as of December 31, 2025. Our duration gap, which measures the estimated difference between the interest rate sensitivity of our assets and liabilities, including hedges, extended to 0.7 years as of quarter-end, compared to 0.4 years as of December 31, 2025, which we believe provides additional prepayment protection in a declining rate scenario.</w:t>
      </w:r>
    </w:p>
    <w:p>
      <w:pPr>
        <w:spacing w:after="0" w:line="132"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3"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represents the sum of the change in tangible net book value per common share and dividends declared per share of common stock during the period over beginning tangible net book value per common share.</w:t>
      </w:r>
    </w:p>
    <w:p>
      <w:pPr>
        <w:jc w:val="both"/>
        <w:ind w:left="640" w:hanging="317"/>
        <w:spacing w:after="0" w:line="254"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Agency RMBS with favorable prepayment attributes include: (i) specified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and (ii) other pools backed by loans with credit, loan balances, geographies, occupancy types, and other characteristics that exhibit favorable prepayment behavior.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benchmark interest rates and prices of generic fixed rate Agency RMBS as of each date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 31, 2026</w:t>
            </w:r>
          </w:p>
        </w:tc>
        <w:tc>
          <w:tcPr>
            <w:tcW w:w="0" w:type="dxa"/>
            <w:vAlign w:val="bottom"/>
          </w:tcPr>
          <w:p>
            <w:pPr>
              <w:spacing w:after="0"/>
              <w:rPr>
                <w:sz w:val="1"/>
                <w:szCs w:val="1"/>
                <w:color w:val="auto"/>
              </w:rPr>
            </w:pPr>
          </w:p>
        </w:tc>
      </w:tr>
      <w:tr>
        <w:trPr>
          <w:trHeight w:val="143"/>
        </w:trPr>
        <w:tc>
          <w:tcPr>
            <w:tcW w:w="540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5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540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0" w:type="dxa"/>
            <w:vAlign w:val="bottom"/>
          </w:tcPr>
          <w:p>
            <w:pPr>
              <w:spacing w:after="0"/>
              <w:rPr>
                <w:sz w:val="1"/>
                <w:szCs w:val="1"/>
                <w:color w:val="auto"/>
              </w:rPr>
            </w:pPr>
          </w:p>
        </w:tc>
      </w:tr>
      <w:tr>
        <w:trPr>
          <w:trHeight w:val="191"/>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3.68%</w:t>
            </w:r>
          </w:p>
        </w:tc>
        <w:tc>
          <w:tcPr>
            <w:tcW w:w="160" w:type="dxa"/>
            <w:vAlign w:val="bottom"/>
          </w:tcPr>
          <w:p>
            <w:pPr>
              <w:spacing w:after="0"/>
              <w:rPr>
                <w:sz w:val="16"/>
                <w:szCs w:val="16"/>
                <w:color w:val="auto"/>
              </w:rPr>
            </w:pP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-19 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3.87%</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4.13%</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-4</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4.32%</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$83.05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$84.63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$84.16</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$86.58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$86.55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$87.85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$87.97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$90.11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$91.40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$91.67</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-$0.86</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$93.02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$94.27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$94.95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$94.28</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$95.67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$96.48</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$97.89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$98.03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$99.19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$99.83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$98.59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$99.79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$100.44</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$101.49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$101.63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$103.22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$103.44</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$87.69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$89.48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$89.84</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$91.38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$91.97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$92.52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$91.86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$92.44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$93.38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$94.38</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$94.55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$95.34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$95.83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$96.23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$95.42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191"/>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$96.16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$96.22</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$97.37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$97.81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$98.36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$98.67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$97.57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67"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color w:val="auto"/>
        </w:rPr>
        <w:t>The following table summarizes mortgage and credit spreads as of each date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 31, 2026</w:t>
            </w:r>
          </w:p>
        </w:tc>
        <w:tc>
          <w:tcPr>
            <w:tcW w:w="0" w:type="dxa"/>
            <w:vAlign w:val="bottom"/>
          </w:tcPr>
          <w:p>
            <w:pPr>
              <w:spacing w:after="0"/>
              <w:rPr>
                <w:sz w:val="1"/>
                <w:szCs w:val="1"/>
                <w:color w:val="auto"/>
              </w:rPr>
            </w:pPr>
          </w:p>
        </w:tc>
      </w:tr>
      <w:tr>
        <w:trPr>
          <w:trHeight w:val="143"/>
        </w:trPr>
        <w:tc>
          <w:tcPr>
            <w:tcW w:w="54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45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3"/>
        </w:trPr>
        <w:tc>
          <w:tcPr>
            <w:tcW w:w="540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0" w:type="dxa"/>
            <w:vAlign w:val="bottom"/>
          </w:tcPr>
          <w:p>
            <w:pPr>
              <w:spacing w:after="0"/>
              <w:rPr>
                <w:sz w:val="1"/>
                <w:szCs w:val="1"/>
                <w:color w:val="auto"/>
              </w:rPr>
            </w:pPr>
          </w:p>
        </w:tc>
      </w:tr>
      <w:tr>
        <w:trPr>
          <w:trHeight w:val="197"/>
        </w:trPr>
        <w:tc>
          <w:tcPr>
            <w:tcW w:w="5240" w:type="dxa"/>
            <w:vAlign w:val="bottom"/>
            <w:tcBorders>
              <w:top w:val="single" w:sz="8" w:color="auto"/>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5-Year U.S. Treasury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10-Year U.S. Treasury Spread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U.S. Treasury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5/10-Year Swap Spread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181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192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3/5/10-Year U.S. Treasury Spread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 to 3/5/10-Year Swap Spread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197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6.35%</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8"/>
        </w:trPr>
        <w:tc>
          <w:tcPr>
            <w:tcW w:w="5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3"/>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HY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373</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316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318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3" w:lineRule="exact"/>
        <w:rPr>
          <w:sz w:val="20"/>
          <w:szCs w:val="20"/>
          <w:color w:val="auto"/>
        </w:rPr>
      </w:pPr>
    </w:p>
    <w:p>
      <w:pPr>
        <w:ind w:left="640" w:hanging="317"/>
        <w:spacing w:after="0" w:line="254"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the yield on new production Agency RMBS. 30-Year Current Coupon Yields are sourced from Bloomberg and 30-Year Mortgage Rates are sourced from Clear Blue.</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65"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As of March 31, 2026 and December 31, 2025, our investment portfolio totaled $94.7 billion and $94.8 billion, respectively, consisting of: $84.4 billion and $81.1 billion Agency RMBS, at fair value, respectively; $9.5 billion and $13.0 billion net TBA securities, at fair value, respectively; $0.6 billion and $0.6 billion CRT, non-Agency RMBS and CMBS, at fair value, respectively; and other mortgage credit investments of $69 million and $70 million, respectively, which we account for under the equity method of accounting. The following table is a summary of our investment securities (including TBA securities) as of March 31, 2026 and December 31, 2025 (dollars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ind w:left="240"/>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8"/>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260"/>
              <w:spacing w:after="0" w:line="206" w:lineRule="exact"/>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84"/>
        </w:trPr>
        <w:tc>
          <w:tcPr>
            <w:tcW w:w="3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90,161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88,959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89,845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98"/>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8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tcBorders>
              <w:bottom w:val="single" w:sz="8" w:color="CCEEFF"/>
            </w:tcBorders>
            <w:gridSpan w:val="2"/>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Total CMO Agency RMBS </w:t>
            </w:r>
            <w:r>
              <w:rPr>
                <w:rFonts w:ascii="Times New Roman" w:cs="Times New Roman" w:eastAsia="Times New Roman" w:hAnsi="Times New Roman"/>
                <w:sz w:val="18"/>
                <w:szCs w:val="18"/>
                <w:color w:val="auto"/>
                <w:vertAlign w:val="superscript"/>
              </w:rPr>
              <w:t>3</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Total Agency RMBS and TBA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95,221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93,995</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94,076</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3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8"/>
        </w:trPr>
        <w:tc>
          <w:tcPr>
            <w:tcW w:w="35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CMBS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9.81 %</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Total investment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94,707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$69 million and $70 million as of March 31, 2026 and December 31, 2025, respectively.</w:t>
      </w: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excludes interest-only and principal-only securities.</w:t>
      </w:r>
    </w:p>
    <w:p>
      <w:pPr>
        <w:spacing w:after="0" w:line="16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TBA securities are recorded as derivative instruments in our accompanying consolidated financial statements, and our TBA dollar roll transactions represent a form of off-balance sheet financing. As of March 31, 2026 and December 31, 2025, our TBA securities had a net carrying value of $(194) million and $71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March 31, 2026 and December 31, 2025, the weighted average yield on our investment securities (excluding TBA and forward settling securities) was 4.93% and 4.93%,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7"/>
          <w:szCs w:val="17"/>
          <w:color w:val="auto"/>
        </w:rPr>
        <w:t>The following tables summarize certain characteristics of our fixed rate Agency RMBS portfolio, inclusive of TBA securities, as of March 31, 2026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1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3"/>
            <w:vMerge w:val="continue"/>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8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9"/>
              </w:rPr>
              <w:t>99.6%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100.7%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100.9%</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101.2%</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103.2%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101.4%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103.4%</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104.4%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103.0%</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113</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5"/>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9"/>
              </w:rPr>
              <w:t>97.1%</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103.5%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105.5%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9"/>
              </w:rPr>
              <w:t>99.5%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22,428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102.0%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103.7%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90,158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90,161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88,959</w:t>
            </w: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91,239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jc w:val="both"/>
        <w:ind w:left="640" w:hanging="317"/>
        <w:spacing w:after="0" w:line="249"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2026, lower balance specified pools had a weighted average original loan balance of $181,000 and $143,000 for 15-year and 30-year securities, respectively, and HARP pools had a weighted average original LTV of 128% and 146% for 15-year and 30-year securities, respectively.</w:t>
      </w:r>
    </w:p>
    <w:p>
      <w:pPr>
        <w:spacing w:after="0" w:line="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8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60" w:type="dxa"/>
            <w:vAlign w:val="bottom"/>
            <w:gridSpan w:val="3"/>
            <w:vMerge w:val="restart"/>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99"/>
        </w:trPr>
        <w:tc>
          <w:tcPr>
            <w:tcW w:w="2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80" w:type="dxa"/>
            <w:vAlign w:val="bottom"/>
            <w:gridSpan w:val="3"/>
            <w:vMerge w:val="continue"/>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2.5%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99.6%</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170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1"/>
        </w:trPr>
        <w:tc>
          <w:tcPr>
            <w:tcW w:w="2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5.20%</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104.0%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3.76%</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5"/>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98.2%</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99.1%</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6.5%</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89,845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5.12%</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the preceding table for specified pool composition. As of December 31, 2025, lower balance specified pools had a weighted average original loan balance of $181,000 and $142,000 for 15-year and 30-year securities, respectively, and HARP pools had a weighted average original LTV of 128% and 142% for 15-year and 30-year securities, respectively.</w:t>
      </w:r>
    </w:p>
    <w:p>
      <w:pPr>
        <w:ind w:left="640" w:hanging="317"/>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2025.</w:t>
      </w:r>
    </w:p>
    <w:p>
      <w:pPr>
        <w:spacing w:after="0" w:line="162"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March 31, 2026 and December 31, 2025, please refer to Note 3 of our Consolidated Financial Statements in this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6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spacing w:after="0" w:line="127"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1" w:name="page32"/>
    <w:bookmarkEnd w:id="31"/>
    <w:p>
      <w:pPr>
        <w:jc w:val="both"/>
        <w:spacing w:after="0" w:line="270" w:lineRule="auto"/>
        <w:rPr>
          <w:sz w:val="20"/>
          <w:szCs w:val="20"/>
          <w:color w:val="auto"/>
        </w:rPr>
      </w:pPr>
      <w:r>
        <w:rPr>
          <w:rFonts w:ascii="Times New Roman" w:cs="Times New Roman" w:eastAsia="Times New Roman" w:hAnsi="Times New Roman"/>
          <w:sz w:val="18"/>
          <w:szCs w:val="18"/>
          <w:color w:val="auto"/>
        </w:rPr>
        <w:t>“Net 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1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Specifically, with respect to “net spread and dollar roll income available to common stockholders” and its components, “economic interest income” and “economic interest expense,” we believe the inclusion of TBA dollar roll income is meaningful because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because interest rate swaps are the primary instruments we use to economically hedge against fluctuations in our borrowing costs, and their inclusion is more indicative of our total cost of funds than interest expense alone. Additionally, we believe the exclusion of “catch-up” premium amortization adjustments is meaningful because it excludes the cumulative effect from prior reporting periods due to current changes in future prepayment expectations and, therefore, is more indicative of the current earnings potential of our investment portfolio.</w:t>
      </w:r>
    </w:p>
    <w:p>
      <w:pPr>
        <w:spacing w:after="0" w:line="13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33" w:lineRule="exact"/>
        <w:rPr>
          <w:sz w:val="20"/>
          <w:szCs w:val="20"/>
          <w:color w:val="auto"/>
        </w:rPr>
      </w:pPr>
    </w:p>
    <w:p>
      <w:pPr>
        <w:jc w:val="both"/>
        <w:ind w:firstLine="436"/>
        <w:spacing w:after="0" w:line="242" w:lineRule="auto"/>
        <w:rPr>
          <w:sz w:val="20"/>
          <w:szCs w:val="20"/>
          <w:color w:val="auto"/>
        </w:rPr>
      </w:pPr>
      <w:r>
        <w:rPr>
          <w:rFonts w:ascii="Times New Roman" w:cs="Times New Roman" w:eastAsia="Times New Roman" w:hAnsi="Times New Roman"/>
          <w:sz w:val="18"/>
          <w:szCs w:val="18"/>
          <w:color w:val="auto"/>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and in this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millions, except per share amounts):</w:t>
      </w:r>
    </w:p>
    <w:p>
      <w:pPr>
        <w:spacing w:after="0" w:line="15"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200" w:type="dxa"/>
            <w:vAlign w:val="bottom"/>
          </w:tcPr>
          <w:p>
            <w:pPr>
              <w:spacing w:after="0"/>
              <w:rPr>
                <w:sz w:val="17"/>
                <w:szCs w:val="17"/>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6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0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Investment securities, at fair value of $85,064 and $81,719, respectively, and other mortgage credit</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85,133</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81,789</w:t>
            </w:r>
          </w:p>
        </w:tc>
        <w:tc>
          <w:tcPr>
            <w:tcW w:w="0" w:type="dxa"/>
            <w:vAlign w:val="bottom"/>
          </w:tcPr>
          <w:p>
            <w:pPr>
              <w:spacing w:after="0"/>
              <w:rPr>
                <w:sz w:val="1"/>
                <w:szCs w:val="1"/>
                <w:color w:val="auto"/>
              </w:rPr>
            </w:pPr>
          </w:p>
        </w:tc>
      </w:tr>
      <w:tr>
        <w:trPr>
          <w:trHeight w:val="211"/>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118,897</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115,077</w:t>
            </w:r>
          </w:p>
        </w:tc>
        <w:tc>
          <w:tcPr>
            <w:tcW w:w="0" w:type="dxa"/>
            <w:vAlign w:val="bottom"/>
          </w:tcPr>
          <w:p>
            <w:pPr>
              <w:spacing w:after="0"/>
              <w:rPr>
                <w:sz w:val="1"/>
                <w:szCs w:val="1"/>
                <w:color w:val="auto"/>
              </w:rPr>
            </w:pPr>
          </w:p>
        </w:tc>
      </w:tr>
      <w:tr>
        <w:trPr>
          <w:trHeight w:val="21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87,616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85,342</w:t>
            </w:r>
          </w:p>
        </w:tc>
        <w:tc>
          <w:tcPr>
            <w:tcW w:w="0" w:type="dxa"/>
            <w:vAlign w:val="bottom"/>
          </w:tcPr>
          <w:p>
            <w:pPr>
              <w:spacing w:after="0"/>
              <w:rPr>
                <w:sz w:val="1"/>
                <w:szCs w:val="1"/>
                <w:color w:val="auto"/>
              </w:rPr>
            </w:pPr>
          </w:p>
        </w:tc>
      </w:tr>
      <w:tr>
        <w:trPr>
          <w:trHeight w:val="209"/>
        </w:trPr>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106,716</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102,684</w:t>
            </w:r>
          </w:p>
        </w:tc>
        <w:tc>
          <w:tcPr>
            <w:tcW w:w="0" w:type="dxa"/>
            <w:vAlign w:val="bottom"/>
          </w:tcPr>
          <w:p>
            <w:pPr>
              <w:spacing w:after="0"/>
              <w:rPr>
                <w:sz w:val="1"/>
                <w:szCs w:val="1"/>
                <w:color w:val="auto"/>
              </w:rPr>
            </w:pPr>
          </w:p>
        </w:tc>
      </w:tr>
      <w:tr>
        <w:trPr>
          <w:trHeight w:val="21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0" w:type="dxa"/>
            <w:vAlign w:val="bottom"/>
          </w:tcPr>
          <w:p>
            <w:pPr>
              <w:spacing w:after="0"/>
              <w:rPr>
                <w:sz w:val="1"/>
                <w:szCs w:val="1"/>
                <w:color w:val="auto"/>
              </w:rPr>
            </w:pPr>
          </w:p>
        </w:tc>
      </w:tr>
      <w:tr>
        <w:trPr>
          <w:trHeight w:val="211"/>
        </w:trPr>
        <w:tc>
          <w:tcPr>
            <w:tcW w:w="7000" w:type="dxa"/>
            <w:vAlign w:val="bottom"/>
            <w:gridSpan w:val="2"/>
          </w:tcPr>
          <w:p>
            <w:pPr>
              <w:spacing w:after="0" w:line="211"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1"/>
        </w:trPr>
        <w:tc>
          <w:tcPr>
            <w:tcW w:w="700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0"/>
                <w:szCs w:val="20"/>
                <w:color w:val="auto"/>
                <w:vertAlign w:val="superscript"/>
              </w:rPr>
              <w:t>2</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2" w:name="page33"/>
    <w:bookmarkEnd w:id="32"/>
    <w:tbl>
      <w:tblPr>
        <w:tblLayout w:type="fixed"/>
        <w:tblInd w:w="7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2"/>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09"/>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04"/>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loss,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0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1,122.6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1,122.6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2"/>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83,659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69,704</w:t>
            </w:r>
          </w:p>
        </w:tc>
      </w:tr>
      <w:tr>
        <w:trPr>
          <w:trHeight w:val="20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84,814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70,725</w:t>
            </w:r>
          </w:p>
        </w:tc>
      </w:tr>
      <w:tr>
        <w:trPr>
          <w:trHeight w:val="21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10,343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7,428</w:t>
            </w:r>
          </w:p>
        </w:tc>
      </w:tr>
      <w:tr>
        <w:trPr>
          <w:trHeight w:val="20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118,469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92,683</w:t>
            </w:r>
          </w:p>
        </w:tc>
      </w:tr>
      <w:tr>
        <w:trPr>
          <w:trHeight w:val="21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77,120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61,707</w:t>
            </w:r>
          </w:p>
        </w:tc>
      </w:tr>
      <w:tr>
        <w:trPr>
          <w:trHeight w:val="211"/>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12,405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9,935</w:t>
            </w:r>
          </w:p>
        </w:tc>
      </w:tr>
    </w:tbl>
    <w:p>
      <w:pPr>
        <w:spacing w:after="0" w:line="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2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7.4:1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266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7.4:1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1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7</w:t>
            </w:r>
          </w:p>
        </w:tc>
        <w:tc>
          <w:tcPr>
            <w:tcW w:w="2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9"/>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266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0.11 %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1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2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0.11 %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07"/>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266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1.10 %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0" w:lineRule="exact"/>
        <w:rPr>
          <w:rFonts w:ascii="Times New Roman" w:cs="Times New Roman" w:eastAsia="Times New Roman" w:hAnsi="Times New Roman"/>
          <w:sz w:val="14"/>
          <w:szCs w:val="14"/>
          <w:color w:val="auto"/>
        </w:rPr>
      </w:pPr>
    </w:p>
    <w:p>
      <w:pPr>
        <w:ind w:left="640" w:hanging="317"/>
        <w:spacing w:after="0" w:line="255"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 w:lineRule="exact"/>
        <w:rPr>
          <w:rFonts w:ascii="Times New Roman" w:cs="Times New Roman" w:eastAsia="Times New Roman" w:hAnsi="Times New Roman"/>
          <w:sz w:val="14"/>
          <w:szCs w:val="14"/>
          <w:color w:val="auto"/>
        </w:rPr>
      </w:pPr>
    </w:p>
    <w:p>
      <w:pPr>
        <w:jc w:val="both"/>
        <w:ind w:left="640" w:hanging="317"/>
        <w:spacing w:after="0" w:line="25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left="640" w:hanging="317"/>
        <w:spacing w:after="0" w:line="289"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months ended March 31, 2026 and 2025,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85"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118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0" w:type="dxa"/>
            <w:vAlign w:val="bottom"/>
          </w:tcPr>
          <w:p>
            <w:pPr>
              <w:spacing w:after="0"/>
              <w:rPr>
                <w:sz w:val="1"/>
                <w:szCs w:val="1"/>
                <w:color w:val="auto"/>
              </w:rPr>
            </w:pPr>
          </w:p>
        </w:tc>
      </w:tr>
      <w:tr>
        <w:trPr>
          <w:trHeight w:val="191"/>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60" w:type="dxa"/>
            <w:vAlign w:val="bottom"/>
          </w:tcPr>
          <w:p>
            <w:pPr>
              <w:spacing w:after="0"/>
              <w:rPr>
                <w:sz w:val="16"/>
                <w:szCs w:val="16"/>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9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0" w:type="dxa"/>
            <w:vAlign w:val="bottom"/>
          </w:tcPr>
          <w:p>
            <w:pPr>
              <w:spacing w:after="0"/>
              <w:rPr>
                <w:sz w:val="1"/>
                <w:szCs w:val="1"/>
                <w:color w:val="auto"/>
              </w:rPr>
            </w:pPr>
          </w:p>
        </w:tc>
      </w:tr>
      <w:tr>
        <w:trPr>
          <w:trHeight w:val="136"/>
        </w:trPr>
        <w:tc>
          <w:tcPr>
            <w:tcW w:w="48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 change in CPR</w:t>
            </w:r>
          </w:p>
        </w:tc>
        <w:tc>
          <w:tcPr>
            <w:tcW w:w="160" w:type="dxa"/>
            <w:vAlign w:val="bottom"/>
          </w:tcPr>
          <w:p>
            <w:pPr>
              <w:spacing w:after="0"/>
              <w:rPr>
                <w:sz w:val="11"/>
                <w:szCs w:val="11"/>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189"/>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forecast</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0" w:type="dxa"/>
            <w:vAlign w:val="bottom"/>
          </w:tcPr>
          <w:p>
            <w:pPr>
              <w:spacing w:after="0"/>
              <w:rPr>
                <w:sz w:val="1"/>
                <w:szCs w:val="1"/>
                <w:color w:val="auto"/>
              </w:rPr>
            </w:pPr>
          </w:p>
        </w:tc>
      </w:tr>
      <w:tr>
        <w:trPr>
          <w:trHeight w:val="191"/>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6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9"/>
                <w:szCs w:val="9"/>
                <w:color w:val="auto"/>
              </w:rPr>
              <w:t>3</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870" w:right="339" w:bottom="1440" w:gutter="0" w:footer="0" w:header="0"/>
        </w:sectPr>
      </w:pPr>
    </w:p>
    <w:p>
      <w:pPr>
        <w:ind w:left="1200" w:right="120"/>
        <w:spacing w:after="0" w:line="246"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-203200</wp:posOffset>
            </wp:positionV>
            <wp:extent cx="5651500" cy="209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1500" cy="209550"/>
                    </a:xfrm>
                    <a:prstGeom prst="rect">
                      <a:avLst/>
                    </a:prstGeom>
                    <a:noFill/>
                  </pic:spPr>
                </pic:pic>
              </a:graphicData>
            </a:graphic>
          </wp:anchor>
        </w:drawing>
      </w:r>
    </w:p>
    <w:p>
      <w:pPr>
        <w:ind w:left="1200" w:right="160"/>
        <w:spacing w:after="0" w:line="246"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ind w:left="120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-95885</wp:posOffset>
            </wp:positionV>
            <wp:extent cx="5651500" cy="125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1500" cy="125730"/>
                    </a:xfrm>
                    <a:prstGeom prst="rect">
                      <a:avLst/>
                    </a:prstGeom>
                    <a:noFill/>
                  </pic:spPr>
                </pic:pic>
              </a:graphicData>
            </a:graphic>
          </wp:anchor>
        </w:drawing>
      </w:r>
    </w:p>
    <w:p>
      <w:pPr>
        <w:spacing w:after="0" w:line="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9"/>
          <w:szCs w:val="9"/>
          <w:color w:val="auto"/>
        </w:rPr>
        <w:t>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24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95"/>
              </w:rPr>
              <w:t>13.2 %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330"/>
        </w:trPr>
        <w:tc>
          <w:tcPr>
            <w:tcW w:w="124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95"/>
              </w:rPr>
              <w:t>10.3 %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98"/>
        </w:trPr>
        <w:tc>
          <w:tcPr>
            <w:tcW w:w="124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95"/>
              </w:rPr>
              <w:t>6.35 %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6.60 %</w:t>
            </w:r>
          </w:p>
        </w:tc>
      </w:tr>
      <w:tr>
        <w:trPr>
          <w:trHeight w:val="198"/>
        </w:trPr>
        <w:tc>
          <w:tcPr>
            <w:tcW w:w="124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95"/>
              </w:rPr>
              <w:t>4.32 %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4.21 %</w:t>
            </w:r>
          </w:p>
        </w:tc>
      </w:tr>
    </w:tbl>
    <w:p>
      <w:pPr>
        <w:spacing w:after="0" w:line="254" w:lineRule="exact"/>
        <w:rPr>
          <w:sz w:val="20"/>
          <w:szCs w:val="20"/>
          <w:color w:val="auto"/>
        </w:rPr>
      </w:pPr>
    </w:p>
    <w:p>
      <w:pPr>
        <w:sectPr>
          <w:pgSz w:w="11900" w:h="16838" w:orient="portrait"/>
          <w:cols w:equalWidth="0" w:num="2">
            <w:col w:w="5820" w:space="720"/>
            <w:col w:w="4700"/>
          </w:cols>
          <w:pgMar w:left="320" w:top="870" w:right="339" w:bottom="1440" w:gutter="0" w:footer="0" w:header="0"/>
          <w:type w:val="continuous"/>
        </w:sect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7" w:lineRule="exact"/>
        <w:rPr>
          <w:rFonts w:ascii="Times New Roman" w:cs="Times New Roman" w:eastAsia="Times New Roman" w:hAnsi="Times New Roman"/>
          <w:sz w:val="14"/>
          <w:szCs w:val="14"/>
          <w:color w:val="auto"/>
        </w:rPr>
      </w:pPr>
    </w:p>
    <w:p>
      <w:pPr>
        <w:jc w:val="both"/>
        <w:ind w:left="640" w:hanging="317"/>
        <w:spacing w:after="0" w:line="250"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includes dollar roll income (loss) on long and short TBA securities. Amount excludes TBA mark-to-market adjustments.</w:t>
      </w:r>
    </w:p>
    <w:p>
      <w:pPr>
        <w:spacing w:after="0" w:line="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net TBA balance outstanding during the period and their respective yields.</w:t>
      </w:r>
    </w:p>
    <w:p>
      <w:pPr>
        <w:spacing w:after="0" w:line="1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48"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months ended March 31, 2026 compared to the prior year period (in millions):</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10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0095" cy="8255"/>
                    </a:xfrm>
                    <a:prstGeom prst="rect">
                      <a:avLst/>
                    </a:prstGeom>
                    <a:noFill/>
                  </pic:spPr>
                </pic:pic>
              </a:graphicData>
            </a:graphic>
          </wp:anchor>
        </w:drawing>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2026 vs. 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34"/>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00" w:type="dxa"/>
            <w:vAlign w:val="bottom"/>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Asset</w:t>
            </w:r>
          </w:p>
        </w:tc>
      </w:tr>
      <w:tr>
        <w:trPr>
          <w:trHeight w:val="191"/>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97"/>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(7)</w:t>
            </w:r>
          </w:p>
        </w:tc>
      </w:tr>
      <w:tr>
        <w:trPr>
          <w:trHeight w:val="198"/>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28</w:t>
            </w:r>
          </w:p>
        </w:tc>
      </w:tr>
      <w:tr>
        <w:trPr>
          <w:trHeight w:val="191"/>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w w:val="97"/>
              </w:rPr>
              <w:t>(5)</w:t>
            </w:r>
          </w:p>
        </w:tc>
      </w:tr>
      <w:tr>
        <w:trPr>
          <w:trHeight w:val="22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Our average investment portfolio (at cost), inclusive of TBAs, increased 22% for the three months ended March 31, 2026, compared to the prior year period, primarily due to an increase in our capital base. The average yield on our investment portfolio, including TBA implied asset yields and excluding “catch-up” premium amortization, increased 11 basis points for the three months ended March 31, 2026, largely due to an increase in the average coupon of our portfolio.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67"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2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in this Form 10-Q for further discussion of TBA securities and dollar roll transactions). Repurchase agreements used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 Securities Repurchase Agreements and</w:t>
            </w:r>
          </w:p>
        </w:tc>
        <w:tc>
          <w:tcPr>
            <w:tcW w:w="160" w:type="dxa"/>
            <w:vAlign w:val="bottom"/>
          </w:tcPr>
          <w:p>
            <w:pPr>
              <w:spacing w:after="0"/>
              <w:rPr>
                <w:sz w:val="12"/>
                <w:szCs w:val="12"/>
                <w:color w:val="auto"/>
              </w:rPr>
            </w:pPr>
          </w:p>
        </w:tc>
        <w:tc>
          <w:tcPr>
            <w:tcW w:w="1700" w:type="dxa"/>
            <w:vAlign w:val="bottom"/>
            <w:gridSpan w:val="4"/>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Tangible Net Book</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Other Debt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tcPr>
          <w:p>
            <w:pPr>
              <w:jc w:val="right"/>
              <w:ind w:right="493"/>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Long/(Short) </w:t>
            </w:r>
            <w:r>
              <w:rPr>
                <w:rFonts w:ascii="Times New Roman" w:cs="Times New Roman" w:eastAsia="Times New Roman" w:hAnsi="Times New Roman"/>
                <w:sz w:val="13"/>
                <w:szCs w:val="13"/>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Average Tangible Net</w:t>
            </w:r>
          </w:p>
        </w:tc>
        <w:tc>
          <w:tcPr>
            <w:tcW w:w="130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Value “At Risk”</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100" w:type="dxa"/>
            <w:vAlign w:val="bottom"/>
          </w:tcPr>
          <w:p>
            <w:pPr>
              <w:spacing w:after="0"/>
              <w:rPr>
                <w:sz w:val="10"/>
                <w:szCs w:val="10"/>
                <w:color w:val="auto"/>
              </w:rPr>
            </w:pPr>
          </w:p>
        </w:tc>
        <w:tc>
          <w:tcPr>
            <w:tcW w:w="14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rPr>
              <w:t>Book Value</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Leverage</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rPr>
              <w:t>“At Risk” Leverage</w:t>
            </w: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85"/>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Quarter Ended</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Daily Amount</w:t>
            </w: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 xml:space="preserve">during the Period </w:t>
            </w:r>
            <w:r>
              <w:rPr>
                <w:rFonts w:ascii="Times New Roman" w:cs="Times New Roman" w:eastAsia="Times New Roman" w:hAnsi="Times New Roman"/>
                <w:sz w:val="16"/>
                <w:szCs w:val="16"/>
                <w:b w:val="1"/>
                <w:bCs w:val="1"/>
                <w:color w:val="auto"/>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Period End </w:t>
            </w:r>
            <w:r>
              <w:rPr>
                <w:rFonts w:ascii="Times New Roman" w:cs="Times New Roman" w:eastAsia="Times New Roman" w:hAnsi="Times New Roman"/>
                <w:sz w:val="16"/>
                <w:szCs w:val="16"/>
                <w:b w:val="1"/>
                <w:bCs w:val="1"/>
                <w:color w:val="auto"/>
                <w:vertAlign w:val="superscript"/>
              </w:rPr>
              <w:t>4</w:t>
            </w:r>
          </w:p>
        </w:tc>
        <w:tc>
          <w:tcPr>
            <w:tcW w:w="0" w:type="dxa"/>
            <w:vAlign w:val="bottom"/>
          </w:tcPr>
          <w:p>
            <w:pPr>
              <w:spacing w:after="0"/>
              <w:rPr>
                <w:sz w:val="1"/>
                <w:szCs w:val="1"/>
                <w:color w:val="auto"/>
              </w:rPr>
            </w:pPr>
          </w:p>
        </w:tc>
      </w:tr>
      <w:tr>
        <w:trPr>
          <w:trHeight w:val="191"/>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79,681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9,742</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0" w:type="dxa"/>
            <w:vAlign w:val="bottom"/>
          </w:tcPr>
          <w:p>
            <w:pPr>
              <w:spacing w:after="0"/>
              <w:rPr>
                <w:sz w:val="1"/>
                <w:szCs w:val="1"/>
                <w:color w:val="auto"/>
              </w:rPr>
            </w:pPr>
          </w:p>
        </w:tc>
      </w:tr>
      <w:tr>
        <w:trPr>
          <w:trHeight w:val="19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73,002</w:t>
            </w:r>
          </w:p>
        </w:tc>
        <w:tc>
          <w:tcPr>
            <w:tcW w:w="100" w:type="dxa"/>
            <w:vAlign w:val="bottom"/>
          </w:tcPr>
          <w:p>
            <w:pPr>
              <w:spacing w:after="0"/>
              <w:rPr>
                <w:sz w:val="16"/>
                <w:szCs w:val="16"/>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12,917</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7,429</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10" w:lineRule="exact"/>
        <w:rPr>
          <w:rFonts w:ascii="Times New Roman" w:cs="Times New Roman" w:eastAsia="Times New Roman" w:hAnsi="Times New Roman"/>
          <w:sz w:val="14"/>
          <w:szCs w:val="14"/>
          <w:color w:val="auto"/>
        </w:rPr>
      </w:pPr>
    </w:p>
    <w:p>
      <w:pPr>
        <w:ind w:left="640" w:hanging="317"/>
        <w:spacing w:after="0" w:line="24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40" w:hanging="317"/>
        <w:spacing w:after="0" w:line="260"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6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months ended March 31, 2026 and 2025 (dollars in millions), which includes the combination of interest expense on repurchase agreements and other debt used to fund acquisitions of investment securities (GAAP measure), implied financing cost of our TBA securities and interest rate swap periodic income:</w:t>
      </w:r>
    </w:p>
    <w:p>
      <w:pPr>
        <w:jc w:val="center"/>
        <w:ind w:left="5280"/>
        <w:spacing w:after="0" w:line="227"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0"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Funds</w:t>
            </w:r>
          </w:p>
        </w:tc>
        <w:tc>
          <w:tcPr>
            <w:tcW w:w="0" w:type="dxa"/>
            <w:vAlign w:val="bottom"/>
          </w:tcPr>
          <w:p>
            <w:pPr>
              <w:spacing w:after="0"/>
              <w:rPr>
                <w:sz w:val="1"/>
                <w:szCs w:val="1"/>
                <w:color w:val="auto"/>
              </w:rPr>
            </w:pPr>
          </w:p>
        </w:tc>
      </w:tr>
      <w:tr>
        <w:trPr>
          <w:trHeight w:val="125"/>
        </w:trPr>
        <w:tc>
          <w:tcPr>
            <w:tcW w:w="518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0" w:type="dxa"/>
            <w:vAlign w:val="bottom"/>
          </w:tcPr>
          <w:p>
            <w:pPr>
              <w:spacing w:after="0"/>
              <w:rPr>
                <w:sz w:val="1"/>
                <w:szCs w:val="1"/>
                <w:color w:val="auto"/>
              </w:rPr>
            </w:pPr>
          </w:p>
        </w:tc>
      </w:tr>
      <w:tr>
        <w:trPr>
          <w:trHeight w:val="198"/>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measure)</w:t>
            </w: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Borders>
              <w:bottom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18"/>
                <w:szCs w:val="18"/>
                <w:color w:val="auto"/>
                <w:vertAlign w:val="superscript"/>
              </w:rPr>
              <w:t>2,3</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0" w:type="dxa"/>
            <w:vAlign w:val="bottom"/>
          </w:tcPr>
          <w:p>
            <w:pPr>
              <w:spacing w:after="0"/>
              <w:rPr>
                <w:sz w:val="1"/>
                <w:szCs w:val="1"/>
                <w:color w:val="auto"/>
              </w:rPr>
            </w:pPr>
          </w:p>
        </w:tc>
      </w:tr>
      <w:tr>
        <w:trPr>
          <w:trHeight w:val="191"/>
        </w:trPr>
        <w:tc>
          <w:tcPr>
            <w:tcW w:w="5280" w:type="dxa"/>
            <w:vAlign w:val="bottom"/>
            <w:gridSpan w:val="2"/>
            <w:shd w:val="clear" w:color="auto" w:fill="CCEEFF"/>
          </w:tcPr>
          <w:p>
            <w:pPr>
              <w:ind w:left="160"/>
              <w:spacing w:after="0" w:line="191" w:lineRule="exact"/>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198"/>
        </w:trPr>
        <w:tc>
          <w:tcPr>
            <w:tcW w:w="5280" w:type="dxa"/>
            <w:vAlign w:val="bottom"/>
            <w:tcBorders>
              <w:bottom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2,5</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52"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0" w:lineRule="exact"/>
        <w:rPr>
          <w:rFonts w:ascii="Times New Roman" w:cs="Times New Roman" w:eastAsia="Times New Roman" w:hAnsi="Times New Roman"/>
          <w:sz w:val="14"/>
          <w:szCs w:val="14"/>
          <w:color w:val="auto"/>
        </w:rPr>
      </w:pPr>
    </w:p>
    <w:p>
      <w:pPr>
        <w:jc w:val="both"/>
        <w:ind w:left="640" w:hanging="317"/>
        <w:spacing w:after="0" w:line="250"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TBA transactions represents our long TBA position, weighted based on our daily average long position outstanding for the period.</w:t>
      </w:r>
    </w:p>
    <w:p>
      <w:pPr>
        <w:spacing w:after="0" w:line="2" w:lineRule="exact"/>
        <w:rPr>
          <w:rFonts w:ascii="Times New Roman" w:cs="Times New Roman" w:eastAsia="Times New Roman" w:hAnsi="Times New Roman"/>
          <w:sz w:val="14"/>
          <w:szCs w:val="14"/>
          <w:color w:val="auto"/>
        </w:rPr>
      </w:pPr>
    </w:p>
    <w:p>
      <w:pPr>
        <w:ind w:left="640" w:hanging="317"/>
        <w:spacing w:after="0" w:line="255"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spacing w:after="0" w:line="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5" w:name="page36"/>
    <w:bookmarkEnd w:id="35"/>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months ended March 31, 2026 compared to the prior year period (in millions):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30480</wp:posOffset>
            </wp:positionV>
            <wp:extent cx="7034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 2026 vs. March 31, 2025</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6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34"/>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8"/>
              </w:rPr>
              <w:t>Total Increase /</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Borrowing / Swap</w:t>
            </w:r>
          </w:p>
        </w:tc>
        <w:tc>
          <w:tcPr>
            <w:tcW w:w="120" w:type="dxa"/>
            <w:vAlign w:val="bottom"/>
          </w:tcPr>
          <w:p>
            <w:pPr>
              <w:spacing w:after="0"/>
              <w:rPr>
                <w:sz w:val="11"/>
                <w:szCs w:val="11"/>
                <w:color w:val="auto"/>
              </w:rPr>
            </w:pPr>
          </w:p>
        </w:tc>
        <w:tc>
          <w:tcPr>
            <w:tcW w:w="1260" w:type="dxa"/>
            <w:vAlign w:val="bottom"/>
          </w:tcPr>
          <w:p>
            <w:pPr>
              <w:jc w:val="right"/>
              <w:ind w:right="70"/>
              <w:spacing w:after="0" w:line="134"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1"/>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197"/>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1"/>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9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expense</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Our average mortgage borrowings, inclusive of TBAs, increased 27% for the three months ended March 31, 2026, consistent with the increase to our average investment portfolio. The average interest rate on our mortgage borrowings, excluding the impact of interest rate swap periodic income, decreased 69 basis points for the three months ended March 31, 2026, due to a decline in short-term interest rates.</w:t>
      </w:r>
    </w:p>
    <w:p>
      <w:pPr>
        <w:spacing w:after="0" w:line="14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Interest rate swap periodic income declined for the three months ended March 31, 2026, primarily due to higher pay rates on our pay-fixed swaps, driven by the maturity of lower-cost legacy swaps and an increase in our interest rate swap position at higher prevailing rates, as well as lower receive rates. The ratio of interest rate swaps outstanding to mortgage borrowings increased due to a greater allocation to interest rate swaps in our hedge portfolio. The following table summarizes our interest rate swaps outstanding during the three months ended March 31, 2026 and 2025 (dollars in millions). Amounts exclude forward starting swaps not yet in effect.</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1"/>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2"/>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 Outstanding</w:t>
            </w:r>
          </w:p>
        </w:tc>
        <w:tc>
          <w:tcPr>
            <w:tcW w:w="300" w:type="dxa"/>
            <w:vAlign w:val="bottom"/>
          </w:tcPr>
          <w:p>
            <w:pPr>
              <w:spacing w:after="0"/>
              <w:rPr>
                <w:sz w:val="16"/>
                <w:szCs w:val="16"/>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77,120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61,707</w:t>
            </w:r>
          </w:p>
        </w:tc>
      </w:tr>
      <w:tr>
        <w:trPr>
          <w:trHeight w:val="19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7,428</w:t>
            </w:r>
          </w:p>
        </w:tc>
      </w:tr>
      <w:tr>
        <w:trPr>
          <w:trHeight w:val="19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87,463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69,135</w:t>
            </w:r>
          </w:p>
        </w:tc>
      </w:tr>
      <w:tr>
        <w:trPr>
          <w:trHeight w:val="19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71,607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44,179</w:t>
            </w:r>
          </w:p>
        </w:tc>
      </w:tr>
      <w:tr>
        <w:trPr>
          <w:trHeight w:val="223"/>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4" w:right="339" w:bottom="1440" w:gutter="0" w:footer="0" w:header="0"/>
        </w:sectPr>
      </w:pP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-95885</wp:posOffset>
            </wp:positionV>
            <wp:extent cx="6254750" cy="12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54750" cy="125730"/>
                    </a:xfrm>
                    <a:prstGeom prst="rect">
                      <a:avLst/>
                    </a:prstGeom>
                    <a:noFill/>
                  </pic:spPr>
                </pic:pic>
              </a:graphicData>
            </a:graphic>
          </wp:anchor>
        </w:drawing>
      </w:r>
    </w:p>
    <w:p>
      <w:pPr>
        <w:spacing w:after="0" w:line="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29210</wp:posOffset>
            </wp:positionV>
            <wp:extent cx="6254750" cy="15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54750" cy="15113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color w:val="auto"/>
        </w:rPr>
        <w:t>2.65 %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54610</wp:posOffset>
            </wp:positionV>
            <wp:extent cx="829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9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4"/>
          <w:szCs w:val="14"/>
          <w:color w:val="auto"/>
        </w:rPr>
        <w:t>1.73 %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54610</wp:posOffset>
            </wp:positionV>
            <wp:extent cx="829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994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8140" w:space="720"/>
            <w:col w:w="700" w:space="720"/>
            <w:col w:w="960"/>
          </w:cols>
          <w:pgMar w:left="320" w:top="874" w:right="339" w:bottom="1440" w:gutter="0" w:footer="0" w:header="0"/>
          <w:type w:val="continuous"/>
        </w:sectPr>
      </w:pPr>
    </w:p>
    <w:p>
      <w:pPr>
        <w:spacing w:after="0" w:line="119"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2026 and 2025, we had an average forward starting net pay-fixed rate swap balance of $2.1 billion and $286 million, respectively. Forward starting interest rate swaps do not impact our economic interest expense and aggregate cost of funds until they commence accruing net interest settlements on their forward start dates.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67"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the three months ended March 31, 2026 and 2025:</w:t>
      </w:r>
    </w:p>
    <w:tbl>
      <w:tblPr>
        <w:tblLayout w:type="fixed"/>
        <w:tblInd w:w="820" w:type="dxa"/>
        <w:tblCellMar>
          <w:top w:w="0" w:type="dxa"/>
          <w:left w:w="0" w:type="dxa"/>
          <w:bottom w:w="0" w:type="dxa"/>
          <w:right w:w="0" w:type="dxa"/>
        </w:tblCellMar>
      </w:tblPr>
      <w:tr>
        <w:trPr>
          <w:trHeight w:val="144"/>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1"/>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2"/>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4.87 %</w:t>
            </w:r>
          </w:p>
        </w:tc>
      </w:tr>
      <w:tr>
        <w:trPr>
          <w:trHeight w:val="191"/>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2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6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the three months ended March 31, 2026 and 2025 (dollars in millions):</w:t>
      </w:r>
    </w:p>
    <w:p>
      <w:pPr>
        <w:spacing w:after="0" w:line="84"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0"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73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 loss on sale of investment securities,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245</w:t>
            </w:r>
          </w:p>
        </w:tc>
      </w:tr>
      <w:tr>
        <w:trPr>
          <w:trHeight w:val="191"/>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205"/>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derivative instruments and other securities,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1,019</w:t>
            </w:r>
          </w:p>
        </w:tc>
      </w:t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732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4"/>
                <w:szCs w:val="14"/>
                <w:color w:val="auto"/>
              </w:rPr>
              <w:t xml:space="preserve">Estimated “catch-up” premium amortization cost (benefit) due to change in CPR forecast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r>
      <w:tr>
        <w:trPr>
          <w:trHeight w:val="198"/>
        </w:trPr>
        <w:tc>
          <w:tcPr>
            <w:tcW w:w="7320" w:type="dxa"/>
            <w:vAlign w:val="bottom"/>
          </w:tcPr>
          <w:p>
            <w:pPr>
              <w:ind w:left="120"/>
              <w:spacing w:after="0" w:line="198"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r>
      <w:tr>
        <w:trPr>
          <w:trHeight w:val="198"/>
        </w:trPr>
        <w:tc>
          <w:tcPr>
            <w:tcW w:w="7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293</w:t>
            </w:r>
          </w:p>
        </w:tc>
      </w:tr>
      <w:tr>
        <w:trPr>
          <w:trHeight w:val="198"/>
        </w:trPr>
        <w:tc>
          <w:tcPr>
            <w:tcW w:w="7320" w:type="dxa"/>
            <w:vAlign w:val="bottom"/>
            <w:tcBorders>
              <w:bottom w:val="single" w:sz="8" w:color="CCEEFF"/>
            </w:tcBorders>
          </w:tcPr>
          <w:p>
            <w:pPr>
              <w:ind w:left="120"/>
              <w:spacing w:after="0" w:line="198"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spread and dollar roll income available to common stockholders (non-GAAP measure)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918.3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921.9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0.44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0.44</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6"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0" w:lineRule="exact"/>
        <w:rPr>
          <w:rFonts w:ascii="Times New Roman" w:cs="Times New Roman" w:eastAsia="Times New Roman" w:hAnsi="Times New Roman"/>
          <w:sz w:val="14"/>
          <w:szCs w:val="14"/>
          <w:color w:val="auto"/>
        </w:rPr>
      </w:pPr>
    </w:p>
    <w:p>
      <w:pPr>
        <w:ind w:left="640" w:hanging="317"/>
        <w:spacing w:after="0" w:line="27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months ended March 31, 2026 and 2025 (in millions):</w:t>
      </w:r>
    </w:p>
    <w:p>
      <w:pPr>
        <w:spacing w:after="0" w:line="75"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of investment securities, net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9"/>
                <w:szCs w:val="9"/>
                <w:color w:val="auto"/>
              </w:rPr>
              <w:t>2</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1,183</w:t>
            </w:r>
          </w:p>
        </w:tc>
      </w:tr>
      <w:tr>
        <w:trPr>
          <w:trHeight w:val="19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w:t>
            </w:r>
          </w:p>
        </w:tc>
      </w:tr>
      <w:tr>
        <w:trPr>
          <w:trHeight w:val="198"/>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(loss) gain on investment securities, net</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1,031</w:t>
            </w: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5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is reported in gain (loss) on derivative instruments and other securities, net in our Consolidated Statements of Comprehensive Income.</w:t>
      </w: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is a summary of our gain (loss) on derivative instruments and other securities, net for the three months ended March 31, 2026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millions):</w:t>
      </w:r>
    </w:p>
    <w:p>
      <w:pPr>
        <w:spacing w:after="0" w:line="12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740" w:type="dxa"/>
        <w:tblCellMar>
          <w:top w:w="0" w:type="dxa"/>
          <w:left w:w="0" w:type="dxa"/>
          <w:bottom w:w="0" w:type="dxa"/>
          <w:right w:w="0" w:type="dxa"/>
        </w:tblCellMar>
      </w:tblPr>
      <w:tr>
        <w:trPr>
          <w:trHeight w:val="196"/>
        </w:trPr>
        <w:tc>
          <w:tcPr>
            <w:tcW w:w="72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TBA securities, mark-to-market gain (loss)</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 periodic income</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0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Payer swaptions</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Receiver swaptions</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U.S. Treasury futures contracts</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 income (expense)</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gain (loss)</w:t>
            </w:r>
          </w:p>
        </w:tc>
        <w:tc>
          <w:tcPr>
            <w:tcW w:w="8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8"/>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20"/>
        </w:trPr>
        <w:tc>
          <w:tcPr>
            <w:tcW w:w="7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5" w:lineRule="exact"/>
        <w:rPr>
          <w:sz w:val="20"/>
          <w:szCs w:val="20"/>
          <w:color w:val="auto"/>
        </w:rPr>
      </w:pPr>
    </w:p>
    <w:p>
      <w:pPr>
        <w:jc w:val="both"/>
        <w:ind w:firstLine="436"/>
        <w:spacing w:after="0" w:line="248"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 3. </w:t>
      </w:r>
      <w:r>
        <w:rPr>
          <w:rFonts w:ascii="Times New Roman" w:cs="Times New Roman" w:eastAsia="Times New Roman" w:hAnsi="Times New Roman"/>
          <w:sz w:val="18"/>
          <w:szCs w:val="18"/>
          <w:i w:val="1"/>
          <w:iCs w:val="1"/>
          <w:color w:val="auto"/>
        </w:rPr>
        <w:t xml:space="preserve">Quantitative and Qualitative Disclosures of Market Risks </w:t>
      </w:r>
      <w:r>
        <w:rPr>
          <w:rFonts w:ascii="Times New Roman" w:cs="Times New Roman" w:eastAsia="Times New Roman" w:hAnsi="Times New Roman"/>
          <w:sz w:val="18"/>
          <w:szCs w:val="18"/>
          <w:color w:val="auto"/>
        </w:rPr>
        <w:t>in this Form 10-Q. In assessing our liquidity, we consider a number of factors, including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6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ten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7.4x and 7.2x as of March 31, 2026 and December 31, 2025, respectively. The following table includes a summary of our mortgage borrowings outstanding as of March 31, 2026 and December 31, 2025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8"/>
        </w:trPr>
        <w:tc>
          <w:tcPr>
            <w:tcW w:w="57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72,946</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91"/>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8"/>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73,002</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91"/>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85,582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1" w:lineRule="exact"/>
        <w:rPr>
          <w:sz w:val="20"/>
          <w:szCs w:val="20"/>
          <w:color w:val="auto"/>
        </w:rPr>
      </w:pPr>
    </w:p>
    <w:p>
      <w:pPr>
        <w:ind w:left="640" w:hanging="317"/>
        <w:spacing w:after="0" w:line="253" w:lineRule="auto"/>
        <w:tabs>
          <w:tab w:leader="none" w:pos="638"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$11.8 billion and $12.3 billion as of March 31, 2026 and December 31, 2025, respectively.</w:t>
      </w:r>
    </w:p>
    <w:p>
      <w:pPr>
        <w:ind w:left="640" w:hanging="317"/>
        <w:spacing w:after="0" w:line="27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43% and 44%, respectively, of our total repurchase agreements, including 49% and 51% or our investment securities repurchase agreements, respectively, were funded through the Fixed Income Clearing Corporation’s GCF Repo service.</w:t>
      </w:r>
    </w:p>
    <w:p>
      <w:pPr>
        <w:spacing w:after="0" w:line="11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 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TBA dollar roll transactions enhance our funding diversification, expand our available pool of assets, and improve our liquidity position by typically requiring less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Borrowing capacity under our repurchase agreements is influenced by counterparty margin requirements, collateral values, interest rates, risk limits, and counterparties’ willingness and ability to lend. These factors may change over time in response to interest rate movements, overall market liquidity, shifts in credit quality and changes in bank regulatory requirements. Centrally cleared repo capacity also depends on Bethesda Securities continued compliance with regulatory and FICC membership requirements and maintaining its risk exposure within limits established by the FICC.</w:t>
      </w:r>
    </w:p>
    <w:p>
      <w:pPr>
        <w:spacing w:after="0" w:line="13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Haircuts for bilateral repurchase agreements are determined on a transaction-specific basis. A haircut is a discount applied to the market value of pledged collateral to protect the counterparty against potential declines in its value and potential costs of selling collateral after a default. When collateral values decline, counterparties typically issue a margin call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w:t>
      </w:r>
    </w:p>
    <w:p>
      <w:pPr>
        <w:spacing w:after="0" w:line="132"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For centrally cleared GCF repo transactions, margin requirements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and is intended to cover the current exposure associated with the repo transaction.</w:t>
      </w:r>
    </w:p>
    <w:p>
      <w:pPr>
        <w:spacing w:after="0" w:line="132" w:lineRule="exact"/>
        <w:rPr>
          <w:sz w:val="20"/>
          <w:szCs w:val="20"/>
          <w:color w:val="auto"/>
        </w:rPr>
      </w:pPr>
    </w:p>
    <w:p>
      <w:pPr>
        <w:jc w:val="both"/>
        <w:ind w:firstLine="436"/>
        <w:spacing w:after="0" w:line="239" w:lineRule="auto"/>
        <w:rPr>
          <w:sz w:val="20"/>
          <w:szCs w:val="20"/>
          <w:color w:val="auto"/>
        </w:rPr>
      </w:pPr>
      <w:r>
        <w:rPr>
          <w:rFonts w:ascii="Times New Roman" w:cs="Times New Roman" w:eastAsia="Times New Roman" w:hAnsi="Times New Roman"/>
          <w:sz w:val="18"/>
          <w:szCs w:val="18"/>
          <w:color w:val="auto"/>
        </w:rPr>
        <w:t>Margin thresholds may increase during periods of elevated market volatility, which could adversely affect our liquidity position. In addition, repo counterparties typically reduce the collateral values assigned to Agency RMBS each month to reflect principal repayments. Bilateral repo counterparties make this adjustment upon the publication of the pay-down factor by Fannie Mae, Freddie Mac or Ginnie Mae on the fifth business day following month-end, even though principal payments are generally not received until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calendar day following month-end. The FICC assesses margin on the last business day of each month—prior to the factor release—using internally projected pay-down rates and subsequently adjusts collateral requirements to reflect the actual factor data when released.</w:t>
      </w:r>
    </w:p>
    <w:p>
      <w:pPr>
        <w:spacing w:after="0" w:line="144"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March 31, 2026, approximately 10% of our investment portfolio consisted of TBA securities, which are not subject to monthly principal pay-downs. The remainder of our portfolio, primarily consisting of Agency RMBS, had an average one-year CPR forecast of 13%.</w:t>
      </w:r>
    </w:p>
    <w:p>
      <w:pPr>
        <w:spacing w:after="0" w:line="131"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those required by the clearing exchange. Collateral requirements for non-centrally cleared derivatives are set by the counterparty financial institution.</w:t>
      </w:r>
    </w:p>
    <w:p>
      <w:pPr>
        <w:spacing w:after="0" w:line="132"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Haircut levels and initial or additional minimum margin requirements reduce the amount of our unencumbered assets and limit our borrowing capacity. Margin calls for repo and TBA transactions are typically due on the same business day, while margin calls for interest rate swaps and other derivative transactions are typically due on the next business day, subject to notice provisions. During the three months ended March 31, 2026, haircuts and initial margin requirements on our repo funding arrangements remained stable. As of March 31, 2026, the weighted average haircut and initial margin on our repurchase agreements were approximately 3.3% of the value of our collateral, compared to 3.1% as of December 31, 2025. We were in compliance with all margin requirements as of March 31, 2026.</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To mitigate the risk of margin calls, we seek to maintain excess liquidity by holding unencumbered liquid assets that can be used to satisfy collateral requirements, collateralize additional borrowings or be sold for cash. As of March 31, 2026, our unencumbered assets totaled approximately $7.1 billion, or 61% of tangible equity, consisting of $7.0 billion of cash and unencumbered Agency RMBS and $0.1 billion of unencumbered credit assets. This compares to $7.7 billion of unencumbered assets, or 65% of tangible equity, as of December 31, 2025, consisting of $7.6 billion of cash and unencumbered Agency RMBS and $0.1 billion of unencumbered credit assets.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0" w:name="page41"/>
    <w:bookmarkEnd w:id="40"/>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For additional details regarding assets pledged under our repo and derivative agreements refer to Note 6 to our Consolidated Financial Statements in this Form 10-Q.</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pledged assets may not be returned to us as and when required. We attempt to manage this risk by actively monitoring our collateral positions and limiting our counterparties to registered clearinghouses and regulated financial institutions, including banks and broker-dealers (both bank affiliated and independent) with acceptable credit ratings. We also diversify our funding sources across multiple counterparties and geographic region.</w:t>
      </w:r>
    </w:p>
    <w:p>
      <w:pPr>
        <w:spacing w:after="0" w:line="13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As of March 31, 2026,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March 31, 2026, less than 11% of our tangible stockholders’ equity was at risk with the FICC. Excluding central clearing exchanges, as of March 31, 2026, our amount at risk with any counterparty to our derivative agreements was less than 1% of our stockholders’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67"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8"/>
          <w:szCs w:val="18"/>
          <w:i w:val="1"/>
          <w:iCs w:val="1"/>
          <w:color w:val="auto"/>
        </w:rPr>
        <w:t>Trends and Recent Market Impacts</w:t>
      </w:r>
      <w:r>
        <w:rPr>
          <w:rFonts w:ascii="Times New Roman" w:cs="Times New Roman" w:eastAsia="Times New Roman" w:hAnsi="Times New Roman"/>
          <w:sz w:val="18"/>
          <w:szCs w:val="18"/>
          <w:color w:val="auto"/>
        </w:rPr>
        <w:t xml:space="preserve"> of this Management Discussion and Analysis for further information regarding Agency RMBS and TBA market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67" w:lineRule="exact"/>
        <w:rPr>
          <w:sz w:val="20"/>
          <w:szCs w:val="20"/>
          <w:color w:val="auto"/>
        </w:rPr>
      </w:pPr>
    </w:p>
    <w:p>
      <w:pPr>
        <w:jc w:val="both"/>
        <w:ind w:firstLine="436"/>
        <w:spacing w:after="0" w:line="248" w:lineRule="auto"/>
        <w:rPr>
          <w:sz w:val="20"/>
          <w:szCs w:val="20"/>
          <w:color w:val="auto"/>
        </w:rPr>
      </w:pPr>
      <w:r>
        <w:rPr>
          <w:rFonts w:ascii="Times New Roman" w:cs="Times New Roman" w:eastAsia="Times New Roman" w:hAnsi="Times New Roman"/>
          <w:sz w:val="18"/>
          <w:szCs w:val="18"/>
          <w:color w:val="auto"/>
        </w:rPr>
        <w:t>Equity capital markets serve as a source of capital to grow our business and to meet potential liquidity needs.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As of March 31, 2026, $1.0 billion remained authorized to repurchase shares of our common stock through December 31, 2026. Please refer to Note 9 of our Consolidated Financial Statements in this Form 10-Q for further details regarding our recent equity capital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5"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March 31, 2026,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2026,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1" w:name="page42"/>
    <w:bookmarkEnd w:id="41"/>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degree and extent of volatility in interest rates or the yield on our assets relative to interest rate benchmarks;</w:t>
      </w:r>
    </w:p>
    <w:p>
      <w:pPr>
        <w:spacing w:after="0" w:line="5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5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our financing and hedge positions;</w:t>
      </w:r>
    </w:p>
    <w:p>
      <w:pPr>
        <w:spacing w:after="0" w:line="43"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market liquidity or depth, and changes in our “at risk” leverage or hedge positions;</w:t>
      </w:r>
    </w:p>
    <w:p>
      <w:pPr>
        <w:spacing w:after="0" w:line="10"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43"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43" w:lineRule="exact"/>
        <w:rPr>
          <w:rFonts w:ascii="Times New Roman" w:cs="Times New Roman" w:eastAsia="Times New Roman" w:hAnsi="Times New Roman"/>
          <w:sz w:val="18"/>
          <w:szCs w:val="18"/>
          <w:color w:val="auto"/>
        </w:rPr>
      </w:pPr>
    </w:p>
    <w:p>
      <w:pPr>
        <w:ind w:left="640" w:hanging="238"/>
        <w:spacing w:after="0" w:line="252"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 including changes in the available supply of such securities or investor appetite therefor;</w:t>
      </w:r>
    </w:p>
    <w:p>
      <w:pPr>
        <w:spacing w:after="0" w:line="1" w:lineRule="exact"/>
        <w:rPr>
          <w:rFonts w:ascii="Times New Roman" w:cs="Times New Roman" w:eastAsia="Times New Roman" w:hAnsi="Times New Roman"/>
          <w:sz w:val="18"/>
          <w:szCs w:val="18"/>
          <w:color w:val="auto"/>
        </w:rPr>
      </w:pPr>
    </w:p>
    <w:p>
      <w:pPr>
        <w:ind w:left="640" w:right="20" w:hanging="238"/>
        <w:spacing w:after="0" w:line="25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Federal Reserve to adjust the size or composition of its U.S. Treasury and Agency RMBS bond portfolio or to influence funding markets;</w:t>
      </w:r>
    </w:p>
    <w:p>
      <w:pPr>
        <w:spacing w:after="0" w:line="10"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entity purchases or dispositions of Agency RMBS or other actions that directly or indirectly increase demand or supply of Agency RMBS or affect prepayment speeds;</w:t>
      </w:r>
    </w:p>
    <w:p>
      <w:pPr>
        <w:spacing w:after="0" w:line="10" w:lineRule="exact"/>
        <w:rPr>
          <w:rFonts w:ascii="Times New Roman" w:cs="Times New Roman" w:eastAsia="Times New Roman" w:hAnsi="Times New Roman"/>
          <w:sz w:val="18"/>
          <w:szCs w:val="18"/>
          <w:color w:val="auto"/>
        </w:rPr>
      </w:pPr>
    </w:p>
    <w:p>
      <w:pPr>
        <w:ind w:left="640" w:hanging="238"/>
        <w:spacing w:after="0" w:line="25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actions by the federal, state, or local governments that affect the economy, the housing sector or financial markets, including actions relating to fiscal policy;</w:t>
      </w:r>
    </w:p>
    <w:p>
      <w:pPr>
        <w:spacing w:after="0" w:line="10" w:lineRule="exact"/>
        <w:rPr>
          <w:rFonts w:ascii="Times New Roman" w:cs="Times New Roman" w:eastAsia="Times New Roman" w:hAnsi="Times New Roman"/>
          <w:sz w:val="18"/>
          <w:szCs w:val="18"/>
          <w:color w:val="auto"/>
        </w:rPr>
      </w:pPr>
    </w:p>
    <w:p>
      <w:pPr>
        <w:jc w:val="both"/>
        <w:ind w:left="640" w:hanging="238"/>
        <w:spacing w:after="0" w:line="242"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20"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personnel, operational resources, information technology and other systems to conduct our operations;</w:t>
      </w:r>
    </w:p>
    <w:p>
      <w:pPr>
        <w:spacing w:after="0" w:line="43" w:lineRule="exact"/>
        <w:rPr>
          <w:rFonts w:ascii="Times New Roman" w:cs="Times New Roman" w:eastAsia="Times New Roman" w:hAnsi="Times New Roman"/>
          <w:sz w:val="18"/>
          <w:szCs w:val="18"/>
          <w:color w:val="auto"/>
        </w:rPr>
      </w:pPr>
    </w:p>
    <w:p>
      <w:pPr>
        <w:jc w:val="both"/>
        <w:ind w:left="640" w:hanging="238"/>
        <w:spacing w:after="0" w:line="242"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spacing w:after="0" w:line="7"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that affect our status as a REIT or our exemption from the Investment Company Act of 1940.</w:t>
      </w:r>
    </w:p>
    <w:p>
      <w:pPr>
        <w:spacing w:after="0" w:line="16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in Part I of our most recent Annual Report on Form 10-K and Part II of this Form 10-Q. We caution readers not to place undue reliance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6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7"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7" w:lineRule="exact"/>
        <w:rPr>
          <w:sz w:val="20"/>
          <w:szCs w:val="20"/>
          <w:color w:val="auto"/>
        </w:rPr>
      </w:pPr>
    </w:p>
    <w:p>
      <w:pPr>
        <w:jc w:val="both"/>
        <w:ind w:firstLine="436"/>
        <w:spacing w:after="0" w:line="269"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2" w:name="page43"/>
    <w:bookmarkEnd w:id="42"/>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4"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judgment we may make adjustments to the third-party estimates. Our estimated duration gap, which is a measure of the difference between the interest rate sensitivity of our assets and our liabilities, inclusive of interest rate hedges, was 0.7 years as of March 31, 2026, compared to 0.4 years as of December 31, 2025.</w:t>
      </w:r>
    </w:p>
    <w:p>
      <w:pPr>
        <w:spacing w:after="0" w:line="13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2026 and December 31, 2025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2026 and December 31, 2025.</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2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780" w:type="dxa"/>
            <w:vAlign w:val="bottom"/>
            <w:tcBorders>
              <w:top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5"/>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0" w:type="dxa"/>
            <w:vAlign w:val="bottom"/>
          </w:tcPr>
          <w:p>
            <w:pPr>
              <w:spacing w:after="0"/>
              <w:rPr>
                <w:sz w:val="1"/>
                <w:szCs w:val="1"/>
                <w:color w:val="auto"/>
              </w:rPr>
            </w:pPr>
          </w:p>
        </w:tc>
      </w:tr>
      <w:tr>
        <w:trPr>
          <w:trHeight w:val="134"/>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4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8"/>
              </w:rPr>
              <w:t>Value Per Common</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4"/>
        </w:trPr>
        <w:tc>
          <w:tcPr>
            <w:tcW w:w="2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5"/>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5"/>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ind w:left="640" w:hanging="317"/>
        <w:spacing w:after="0" w:line="252"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40" w:hanging="317"/>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 and Extension Risk</w:t>
      </w:r>
    </w:p>
    <w:p>
      <w:pPr>
        <w:spacing w:after="0" w:line="167"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8"/>
          <w:szCs w:val="18"/>
          <w:color w:val="auto"/>
        </w:rPr>
        <w:t>value ratios, and GSE buyouts of delinquent loans underlying our securities. Generally, declining mortgage rates increase the rate of prepayments, while rising rates have the opposite effect.</w:t>
      </w:r>
    </w:p>
    <w:p>
      <w:pPr>
        <w:spacing w:after="0" w:line="115"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 current period adjustment to interest income for the impact of the cumulative difference in the effective yield.</w:t>
      </w:r>
    </w:p>
    <w:p>
      <w:pPr>
        <w:spacing w:after="0" w:line="13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1"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our investment securities (excluding TBAs) had a weighted average projected CPR of 10.3% and 9.6%, respectively, and a weighted average yield of 4.93% and 4.93%,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5"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70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38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98"/>
        </w:trPr>
        <w:tc>
          <w:tcPr>
            <w:tcW w:w="3180" w:type="dxa"/>
            <w:vAlign w:val="bottom"/>
            <w:gridSpan w:val="2"/>
            <w:vMerge w:val="continue"/>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91"/>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18.0%</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16.6%</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4.79%</w:t>
            </w: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14.8%</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4.84%</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0" w:type="dxa"/>
            <w:vAlign w:val="bottom"/>
          </w:tcPr>
          <w:p>
            <w:pPr>
              <w:spacing w:after="0"/>
              <w:rPr>
                <w:sz w:val="1"/>
                <w:szCs w:val="1"/>
                <w:color w:val="auto"/>
              </w:rPr>
            </w:pPr>
          </w:p>
        </w:tc>
      </w:tr>
      <w:tr>
        <w:trPr>
          <w:trHeight w:val="191"/>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10.3%</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5.01%</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40" w:hanging="317"/>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67"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3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2026 and December 31, 2025 should spreads widen or tighten by 10, 25 and 50 basis points. The estimated impact of changes in spreads is in addition to our interest rate shock sensitivity included in the interest rate shock table above. The table below assumes a spread duration of 5.0 and 5.0 as of March 31, 2026 and December 31, 2025,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72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30"/>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Estimated Change</w:t>
            </w:r>
          </w:p>
        </w:tc>
        <w:tc>
          <w:tcPr>
            <w:tcW w:w="132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4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1380" w:type="dxa"/>
            <w:vAlign w:val="bottom"/>
            <w:gridSpan w:val="2"/>
            <w:vMerge w:val="continue"/>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Tangible Net Book</w:t>
            </w:r>
          </w:p>
        </w:tc>
        <w:tc>
          <w:tcPr>
            <w:tcW w:w="0" w:type="dxa"/>
            <w:vAlign w:val="bottom"/>
          </w:tcPr>
          <w:p>
            <w:pPr>
              <w:spacing w:after="0"/>
              <w:rPr>
                <w:sz w:val="1"/>
                <w:szCs w:val="1"/>
                <w:color w:val="auto"/>
              </w:rPr>
            </w:pPr>
          </w:p>
        </w:tc>
      </w:tr>
      <w:tr>
        <w:trPr>
          <w:trHeight w:val="145"/>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 Portfolio Market</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 Portfolio Market</w:t>
            </w: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Value Per Common</w:t>
            </w:r>
          </w:p>
        </w:tc>
        <w:tc>
          <w:tcPr>
            <w:tcW w:w="0" w:type="dxa"/>
            <w:vAlign w:val="bottom"/>
          </w:tcPr>
          <w:p>
            <w:pPr>
              <w:spacing w:after="0"/>
              <w:rPr>
                <w:sz w:val="1"/>
                <w:szCs w:val="1"/>
                <w:color w:val="auto"/>
              </w:rPr>
            </w:pPr>
          </w:p>
        </w:tc>
      </w:tr>
      <w:tr>
        <w:trPr>
          <w:trHeight w:val="192"/>
        </w:trPr>
        <w:tc>
          <w:tcPr>
            <w:tcW w:w="318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98"/>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+24.4%</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+2.5%</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+24.0%</w:t>
            </w: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-12.2%</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-24.4%</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ind w:left="640" w:hanging="317"/>
        <w:spacing w:after="0" w:line="243"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40" w:hanging="317"/>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67"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remaining compliant with regulatory and FICC membership requirements and maintaining its risk exposure within limits established by the FICC.</w:t>
      </w:r>
    </w:p>
    <w:p>
      <w:pPr>
        <w:spacing w:after="0" w:line="13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color w:val="auto"/>
        </w:rPr>
        <w:t xml:space="preserve">As of March 31, 2026, we believe that we have sufficient liquidity and capital resources available to execute our business strategy (see </w:t>
      </w:r>
      <w:r>
        <w:rPr>
          <w:rFonts w:ascii="Times New Roman" w:cs="Times New Roman" w:eastAsia="Times New Roman" w:hAnsi="Times New Roman"/>
          <w:sz w:val="17"/>
          <w:szCs w:val="17"/>
          <w:i w:val="1"/>
          <w:iCs w:val="1"/>
          <w:color w:val="auto"/>
        </w:rPr>
        <w:t>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Capital Resources </w:t>
      </w:r>
      <w:r>
        <w:rPr>
          <w:rFonts w:ascii="Times New Roman" w:cs="Times New Roman" w:eastAsia="Times New Roman" w:hAnsi="Times New Roman"/>
          <w:sz w:val="17"/>
          <w:szCs w:val="17"/>
          <w:color w:val="auto"/>
        </w:rPr>
        <w:t>in this Form 10-Q for additional details). However, should the value of our collateral or the value of our derivative instruments suddenly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funding liabilities. Significantly higher haircuts or initial margin requirements can reduce our ability to leverage our portfolio or may even force us to sell assets, especially if correlated with asset price declines or faster prepayment rates on our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7"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1" w:lineRule="exact"/>
        <w:rPr>
          <w:sz w:val="20"/>
          <w:szCs w:val="20"/>
          <w:color w:val="auto"/>
        </w:rPr>
      </w:pPr>
    </w:p>
    <w:p>
      <w:pPr>
        <w:jc w:val="both"/>
        <w:ind w:firstLine="436"/>
        <w:spacing w:after="0" w:line="247"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March 31, 2026, our maximum amount at risk with any counterparty related to our repurchase agreements and derivative agreements was less than 2% and less than 1%, respectively, of tangible stockholders’ equity.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4"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March 31, 2026. Based on the foregoing, our Chief Executive Officer and Chief Financial Officer concluded that our disclosure controls and procedures were effective.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previously disclosed in our Annual Report on Form 10-K for the year ended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5"/>
          <w:szCs w:val="15"/>
          <w:b w:val="1"/>
          <w:bCs w:val="1"/>
          <w:i w:val="1"/>
          <w:iCs w:val="1"/>
          <w:color w:val="auto"/>
        </w:rPr>
        <w:t>Unregistered Sales of Equity Securities and Use of Proceeds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5"/>
          <w:szCs w:val="15"/>
          <w:b w:val="1"/>
          <w:bCs w:val="1"/>
          <w:i w:val="1"/>
          <w:iCs w:val="1"/>
          <w:color w:val="auto"/>
        </w:rPr>
        <w:t>Defaults upon Senior Securities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14"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(as defined in Rule 16a-1(f) under the Exchange Act) informed us of the adoption or termination of a “Rule 10b5-1 trading arrangement” or “non-Rule 10b5-1 trading arrangement” (as each term is defined in Regulation S-K, Item 408).</w:t>
      </w:r>
    </w:p>
    <w:p>
      <w:pPr>
        <w:spacing w:after="0" w:line="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75" w:lineRule="exact"/>
        <w:rPr>
          <w:sz w:val="20"/>
          <w:szCs w:val="20"/>
          <w:color w:val="auto"/>
        </w:rPr>
      </w:pPr>
    </w:p>
    <w:p>
      <w:pPr>
        <w:jc w:val="both"/>
        <w:ind w:left="480" w:hanging="1267"/>
        <w:spacing w:after="0" w:line="270" w:lineRule="auto"/>
        <w:tabs>
          <w:tab w:leader="none" w:pos="460" w:val="left"/>
        </w:tabs>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72">
        <w:r>
          <w:rPr>
            <w:rFonts w:ascii="Times New Roman" w:cs="Times New Roman" w:eastAsia="Times New Roman" w:hAnsi="Times New Roman"/>
            <w:sz w:val="18"/>
            <w:szCs w:val="18"/>
            <w:color w:val="auto"/>
          </w:rPr>
          <w:t>AGNC Investment Corp. Amended and Restated Certificate of Incorporation, as amended, incorporated herein by reference to Exhibit 3.1 of Form 10-Q</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auto"/>
          </w:rPr>
          <w:t>for the quarter ended March 31, 2025 (File No. 001-34057), filed May 2, 2025.</w:t>
        </w:r>
      </w:hyperlink>
    </w:p>
    <w:p>
      <w:pPr>
        <w:spacing w:after="0" w:line="115" w:lineRule="exact"/>
        <w:rPr>
          <w:rFonts w:ascii="Times New Roman" w:cs="Times New Roman" w:eastAsia="Times New Roman" w:hAnsi="Times New Roman"/>
          <w:sz w:val="18"/>
          <w:szCs w:val="18"/>
          <w:color w:val="auto"/>
        </w:rPr>
      </w:pPr>
    </w:p>
    <w:p>
      <w:pPr>
        <w:spacing w:after="0"/>
        <w:tabs>
          <w:tab w:leader="none" w:pos="540" w:val="left"/>
        </w:tabs>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74">
        <w:r>
          <w:rPr>
            <w:rFonts w:ascii="Times New Roman" w:cs="Times New Roman" w:eastAsia="Times New Roman" w:hAnsi="Times New Roman"/>
            <w:sz w:val="18"/>
            <w:szCs w:val="18"/>
            <w:color w:val="auto"/>
          </w:rPr>
          <w:t>AGNC Investment Corp. Amended and Restated Bylaws, as amended, incorporated herein by reference to Exhibit 3.1 of Form 8-K (File No. 001-</w:t>
        </w:r>
      </w:hyperlink>
    </w:p>
    <w:p>
      <w:pPr>
        <w:spacing w:after="0" w:line="22" w:lineRule="exact"/>
        <w:rPr>
          <w:sz w:val="20"/>
          <w:szCs w:val="20"/>
          <w:color w:val="auto"/>
        </w:rPr>
      </w:pPr>
    </w:p>
    <w:p>
      <w:pPr>
        <w:ind w:left="128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34057), filed July 21, 2023.</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6" w:name="page47"/>
    <w:bookmarkEnd w:id="46"/>
    <w:p>
      <w:pPr>
        <w:jc w:val="both"/>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Exhibit 3.5 of Form 8-A (File No. 001-34057), filed August 18, 2017.</w:t>
        </w:r>
      </w:hyperlink>
    </w:p>
    <w:p>
      <w:pPr>
        <w:spacing w:after="0" w:line="115" w:lineRule="exact"/>
        <w:rPr>
          <w:rFonts w:ascii="Times New Roman" w:cs="Times New Roman" w:eastAsia="Times New Roman" w:hAnsi="Times New Roman"/>
          <w:sz w:val="18"/>
          <w:szCs w:val="18"/>
          <w:color w:val="auto"/>
        </w:rPr>
      </w:pPr>
    </w:p>
    <w:p>
      <w:pPr>
        <w:jc w:val="both"/>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77">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(File No 001-34057), filed October 26, 2017.</w:t>
        </w:r>
      </w:hyperlink>
    </w:p>
    <w:p>
      <w:pPr>
        <w:spacing w:after="0" w:line="115" w:lineRule="exact"/>
        <w:rPr>
          <w:rFonts w:ascii="Times New Roman" w:cs="Times New Roman" w:eastAsia="Times New Roman" w:hAnsi="Times New Roman"/>
          <w:sz w:val="18"/>
          <w:szCs w:val="18"/>
          <w:color w:val="auto"/>
        </w:rPr>
      </w:pPr>
    </w:p>
    <w:p>
      <w:pPr>
        <w:jc w:val="both"/>
        <w:ind w:left="540" w:hanging="1267"/>
        <w:spacing w:after="0" w:line="270" w:lineRule="auto"/>
        <w:tabs>
          <w:tab w:leader="none" w:pos="520" w:val="left"/>
        </w:tabs>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Exhibit 3.5 of Form 8-A (File No 001-34057), filed March 6, 2019.</w:t>
        </w:r>
      </w:hyperlink>
    </w:p>
    <w:p>
      <w:pPr>
        <w:spacing w:after="0" w:line="115" w:lineRule="exact"/>
        <w:rPr>
          <w:rFonts w:ascii="Times New Roman" w:cs="Times New Roman" w:eastAsia="Times New Roman" w:hAnsi="Times New Roman"/>
          <w:sz w:val="18"/>
          <w:szCs w:val="18"/>
          <w:color w:val="auto"/>
        </w:rPr>
      </w:pPr>
    </w:p>
    <w:p>
      <w:pPr>
        <w:jc w:val="both"/>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Exhibit 3.6 of Form 8-A (File No 001-34057), filed October 3, 2019.</w:t>
        </w:r>
      </w:hyperlink>
    </w:p>
    <w:p>
      <w:pPr>
        <w:spacing w:after="0" w:line="115" w:lineRule="exact"/>
        <w:rPr>
          <w:rFonts w:ascii="Times New Roman" w:cs="Times New Roman" w:eastAsia="Times New Roman" w:hAnsi="Times New Roman"/>
          <w:sz w:val="18"/>
          <w:szCs w:val="18"/>
          <w:color w:val="auto"/>
        </w:rPr>
      </w:pPr>
    </w:p>
    <w:p>
      <w:pPr>
        <w:jc w:val="both"/>
        <w:ind w:left="520" w:right="20" w:hanging="1267"/>
        <w:spacing w:after="0" w:line="270" w:lineRule="auto"/>
        <w:tabs>
          <w:tab w:leader="none" w:pos="500" w:val="left"/>
        </w:tabs>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(File No 001-34057), filed December 13, 2019.</w:t>
        </w:r>
      </w:hyperlink>
    </w:p>
    <w:p>
      <w:pPr>
        <w:spacing w:after="0" w:line="115" w:lineRule="exact"/>
        <w:rPr>
          <w:rFonts w:ascii="Times New Roman" w:cs="Times New Roman" w:eastAsia="Times New Roman" w:hAnsi="Times New Roman"/>
          <w:sz w:val="18"/>
          <w:szCs w:val="18"/>
          <w:color w:val="auto"/>
        </w:rPr>
      </w:pPr>
    </w:p>
    <w:p>
      <w:pPr>
        <w:jc w:val="both"/>
        <w:ind w:left="540" w:hanging="1267"/>
        <w:spacing w:after="0" w:line="270" w:lineRule="auto"/>
        <w:tabs>
          <w:tab w:leader="none" w:pos="520" w:val="left"/>
        </w:tabs>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81">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Exhibit 3.6 of Form 8-A (File No 001-34057), filed February 11, 2020.</w:t>
        </w:r>
      </w:hyperlink>
    </w:p>
    <w:p>
      <w:pPr>
        <w:spacing w:after="0" w:line="115"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7"/>
          <w:szCs w:val="17"/>
          <w:color w:val="auto"/>
        </w:rPr>
      </w:pPr>
      <w:hyperlink r:id="rId82">
        <w:r>
          <w:rPr>
            <w:rFonts w:ascii="Times New Roman" w:cs="Times New Roman" w:eastAsia="Times New Roman" w:hAnsi="Times New Roman"/>
            <w:sz w:val="18"/>
            <w:szCs w:val="18"/>
            <w:color w:val="auto"/>
          </w:rPr>
          <w:t>*3.9</w:t>
        </w:r>
      </w:hyperlink>
      <w:r>
        <w:rPr>
          <w:rFonts w:ascii="Times New Roman" w:cs="Times New Roman" w:eastAsia="Times New Roman" w:hAnsi="Times New Roman"/>
          <w:sz w:val="18"/>
          <w:szCs w:val="18"/>
          <w:color w:val="auto"/>
        </w:rPr>
        <w:tab/>
      </w:r>
      <w:hyperlink r:id="rId82">
        <w:r>
          <w:rPr>
            <w:rFonts w:ascii="Times New Roman" w:cs="Times New Roman" w:eastAsia="Times New Roman" w:hAnsi="Times New Roman"/>
            <w:sz w:val="17"/>
            <w:szCs w:val="17"/>
            <w:color w:val="auto"/>
          </w:rPr>
          <w:t>Certificate of Designations of 7.75% Series G Fixed-Rate Reset Cumulative Redeemable Preferred Stock, incorporated herein by reference to Exhibit</w:t>
        </w:r>
      </w:hyperlink>
    </w:p>
    <w:p>
      <w:pPr>
        <w:spacing w:after="0" w:line="22" w:lineRule="exact"/>
        <w:rPr>
          <w:sz w:val="20"/>
          <w:szCs w:val="20"/>
          <w:color w:val="auto"/>
        </w:rPr>
      </w:pPr>
    </w:p>
    <w:p>
      <w:pPr>
        <w:ind w:left="128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3.7 of Form 8-A (File No 001-34057), filed September 14, 2022.</w:t>
        </w:r>
      </w:hyperlink>
    </w:p>
    <w:p>
      <w:pPr>
        <w:spacing w:after="0" w:line="145" w:lineRule="exact"/>
        <w:rPr>
          <w:sz w:val="20"/>
          <w:szCs w:val="20"/>
          <w:color w:val="auto"/>
        </w:rPr>
      </w:pPr>
    </w:p>
    <w:p>
      <w:pPr>
        <w:jc w:val="both"/>
        <w:ind w:left="600" w:hanging="1267"/>
        <w:spacing w:after="0" w:line="270" w:lineRule="auto"/>
        <w:tabs>
          <w:tab w:leader="none" w:pos="58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*3.10</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Certificate of Designations of 8.75% Series H Fixed-Rate Cumulative Redeemable Preferred Stock, incorporated herein by reference to Exhibit 3.8 of</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Form 8-A (File No 001-34057), filed September 10, 2025.</w:t>
        </w:r>
      </w:hyperlink>
    </w:p>
    <w:p>
      <w:pPr>
        <w:spacing w:after="0" w:line="115" w:lineRule="exact"/>
        <w:rPr>
          <w:rFonts w:ascii="Times New Roman" w:cs="Times New Roman" w:eastAsia="Times New Roman" w:hAnsi="Times New Roman"/>
          <w:sz w:val="18"/>
          <w:szCs w:val="18"/>
          <w:color w:val="auto"/>
        </w:rPr>
      </w:pPr>
    </w:p>
    <w:p>
      <w:pPr>
        <w:jc w:val="both"/>
        <w:ind w:left="600" w:hanging="1267"/>
        <w:spacing w:after="0" w:line="270" w:lineRule="auto"/>
        <w:tabs>
          <w:tab w:leader="none" w:pos="580" w:val="left"/>
        </w:tabs>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72">
        <w:r>
          <w:rPr>
            <w:rFonts w:ascii="Times New Roman" w:cs="Times New Roman" w:eastAsia="Times New Roman" w:hAnsi="Times New Roman"/>
            <w:sz w:val="18"/>
            <w:szCs w:val="18"/>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auto"/>
          </w:rPr>
          <w:t>incorporated herein by reference to Exhibit 3.1 of Form 10-Q for the quarter ended March 31, 2025 (File No. 001-34057), filed May 2, 2025.</w:t>
        </w:r>
      </w:hyperlink>
    </w:p>
    <w:p>
      <w:pPr>
        <w:spacing w:after="0" w:line="115" w:lineRule="exact"/>
        <w:rPr>
          <w:rFonts w:ascii="Times New Roman" w:cs="Times New Roman" w:eastAsia="Times New Roman" w:hAnsi="Times New Roman"/>
          <w:sz w:val="18"/>
          <w:szCs w:val="18"/>
          <w:color w:val="auto"/>
        </w:rPr>
      </w:pPr>
    </w:p>
    <w:p>
      <w:pPr>
        <w:jc w:val="both"/>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74">
        <w:r>
          <w:rPr>
            <w:rFonts w:ascii="Times New Roman" w:cs="Times New Roman" w:eastAsia="Times New Roman" w:hAnsi="Times New Roman"/>
            <w:sz w:val="18"/>
            <w:szCs w:val="18"/>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auto"/>
          </w:rPr>
          <w:t>reference to Exhibit 3.1 of Form 8-K, filed July 21, 2023.</w:t>
        </w:r>
      </w:hyperlink>
    </w:p>
    <w:p>
      <w:pPr>
        <w:spacing w:after="0" w:line="115" w:lineRule="exact"/>
        <w:rPr>
          <w:rFonts w:ascii="Times New Roman" w:cs="Times New Roman" w:eastAsia="Times New Roman" w:hAnsi="Times New Roman"/>
          <w:sz w:val="18"/>
          <w:szCs w:val="18"/>
          <w:color w:val="auto"/>
        </w:rPr>
      </w:pPr>
    </w:p>
    <w:p>
      <w:pPr>
        <w:jc w:val="both"/>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84">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2022 (File</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No. 001-34057), filed November 7, 2022.</w:t>
        </w:r>
      </w:hyperlink>
    </w:p>
    <w:p>
      <w:pPr>
        <w:spacing w:after="0" w:line="115" w:lineRule="exact"/>
        <w:rPr>
          <w:rFonts w:ascii="Times New Roman" w:cs="Times New Roman" w:eastAsia="Times New Roman" w:hAnsi="Times New Roman"/>
          <w:sz w:val="18"/>
          <w:szCs w:val="18"/>
          <w:color w:val="auto"/>
        </w:rPr>
      </w:pPr>
    </w:p>
    <w:p>
      <w:pPr>
        <w:jc w:val="both"/>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85">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of Form 8-A (File No. 001-34057), filed August 18, 2017.</w:t>
        </w:r>
      </w:hyperlink>
    </w:p>
    <w:p>
      <w:pPr>
        <w:spacing w:after="0" w:line="115" w:lineRule="exact"/>
        <w:rPr>
          <w:rFonts w:ascii="Times New Roman" w:cs="Times New Roman" w:eastAsia="Times New Roman" w:hAnsi="Times New Roman"/>
          <w:sz w:val="18"/>
          <w:szCs w:val="18"/>
          <w:color w:val="auto"/>
        </w:rPr>
      </w:pPr>
    </w:p>
    <w:p>
      <w:pPr>
        <w:jc w:val="both"/>
        <w:ind w:left="500" w:hanging="1267"/>
        <w:spacing w:after="0" w:line="270" w:lineRule="auto"/>
        <w:tabs>
          <w:tab w:leader="none" w:pos="480" w:val="left"/>
        </w:tabs>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86">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of Form 8-A (File No. 001-34057), filed March 6, 2019.</w:t>
        </w:r>
      </w:hyperlink>
    </w:p>
    <w:p>
      <w:pPr>
        <w:spacing w:after="0" w:line="115" w:lineRule="exact"/>
        <w:rPr>
          <w:rFonts w:ascii="Times New Roman" w:cs="Times New Roman" w:eastAsia="Times New Roman" w:hAnsi="Times New Roman"/>
          <w:sz w:val="18"/>
          <w:szCs w:val="18"/>
          <w:color w:val="auto"/>
        </w:rPr>
      </w:pPr>
    </w:p>
    <w:p>
      <w:pPr>
        <w:jc w:val="both"/>
        <w:ind w:left="520" w:hanging="1267"/>
        <w:spacing w:after="0" w:line="270" w:lineRule="auto"/>
        <w:tabs>
          <w:tab w:leader="none" w:pos="500" w:val="left"/>
        </w:tabs>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87">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auto"/>
          </w:rPr>
          <w:t>of Form 8-A (File No. 001-34057), filed October 3, 2019.</w:t>
        </w:r>
      </w:hyperlink>
    </w:p>
    <w:p>
      <w:pPr>
        <w:spacing w:after="0" w:line="115" w:lineRule="exact"/>
        <w:rPr>
          <w:rFonts w:ascii="Times New Roman" w:cs="Times New Roman" w:eastAsia="Times New Roman" w:hAnsi="Times New Roman"/>
          <w:sz w:val="18"/>
          <w:szCs w:val="18"/>
          <w:color w:val="auto"/>
        </w:rPr>
      </w:pPr>
    </w:p>
    <w:p>
      <w:pPr>
        <w:jc w:val="both"/>
        <w:ind w:left="500" w:hanging="1267"/>
        <w:spacing w:after="0" w:line="270" w:lineRule="auto"/>
        <w:tabs>
          <w:tab w:leader="none" w:pos="480" w:val="left"/>
        </w:tabs>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88">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 4.1</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auto"/>
          </w:rPr>
          <w:t>of Form 8-A (File No 001-34057), filed February 11, 2020.</w:t>
        </w:r>
      </w:hyperlink>
    </w:p>
    <w:p>
      <w:pPr>
        <w:spacing w:after="0" w:line="115" w:lineRule="exact"/>
        <w:rPr>
          <w:rFonts w:ascii="Times New Roman" w:cs="Times New Roman" w:eastAsia="Times New Roman" w:hAnsi="Times New Roman"/>
          <w:sz w:val="18"/>
          <w:szCs w:val="18"/>
          <w:color w:val="auto"/>
        </w:rPr>
      </w:pPr>
    </w:p>
    <w:p>
      <w:pPr>
        <w:jc w:val="both"/>
        <w:ind w:left="560" w:hanging="1267"/>
        <w:spacing w:after="0" w:line="270" w:lineRule="auto"/>
        <w:tabs>
          <w:tab w:leader="none" w:pos="540" w:val="left"/>
        </w:tabs>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89">
        <w:r>
          <w:rPr>
            <w:rFonts w:ascii="Times New Roman" w:cs="Times New Roman" w:eastAsia="Times New Roman" w:hAnsi="Times New Roman"/>
            <w:sz w:val="18"/>
            <w:szCs w:val="18"/>
            <w:color w:val="auto"/>
          </w:rPr>
          <w:t>Specimen 7.75% Series G Fixed-Rate Reset Cumulative Redeemable Preferred Stock Certificate, incorporated herein by reference to Exhibit 4.1 of</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Form 8-A (File No 001-34057), filed September 14, 2022.</w:t>
        </w:r>
      </w:hyperlink>
    </w:p>
    <w:p>
      <w:pPr>
        <w:spacing w:after="0" w:line="115" w:lineRule="exact"/>
        <w:rPr>
          <w:rFonts w:ascii="Times New Roman" w:cs="Times New Roman" w:eastAsia="Times New Roman" w:hAnsi="Times New Roman"/>
          <w:sz w:val="18"/>
          <w:szCs w:val="18"/>
          <w:color w:val="auto"/>
        </w:rPr>
      </w:pPr>
    </w:p>
    <w:p>
      <w:pPr>
        <w:jc w:val="both"/>
        <w:ind w:left="480" w:hanging="1267"/>
        <w:spacing w:after="0" w:line="270" w:lineRule="auto"/>
        <w:tabs>
          <w:tab w:leader="none" w:pos="46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90">
        <w:r>
          <w:rPr>
            <w:rFonts w:ascii="Times New Roman" w:cs="Times New Roman" w:eastAsia="Times New Roman" w:hAnsi="Times New Roman"/>
            <w:sz w:val="18"/>
            <w:szCs w:val="18"/>
            <w:color w:val="auto"/>
          </w:rPr>
          <w:t>Specimen 8.75% Series H Fixed-Rate Cumulative Redeemable Preferred Stock Certificate. incorporated herein by reference to Exhibit 4.1 of Form 8-A</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(File No 001-34057), filed September 10, 2025.</w:t>
        </w:r>
      </w:hyperlink>
    </w:p>
    <w:p>
      <w:pPr>
        <w:spacing w:after="0" w:line="115" w:lineRule="exact"/>
        <w:rPr>
          <w:rFonts w:ascii="Times New Roman" w:cs="Times New Roman" w:eastAsia="Times New Roman" w:hAnsi="Times New Roman"/>
          <w:sz w:val="18"/>
          <w:szCs w:val="18"/>
          <w:color w:val="auto"/>
        </w:rPr>
      </w:pPr>
    </w:p>
    <w:p>
      <w:pPr>
        <w:jc w:val="both"/>
        <w:ind w:left="580" w:hanging="1267"/>
        <w:spacing w:after="0" w:line="257" w:lineRule="auto"/>
        <w:tabs>
          <w:tab w:leader="none" w:pos="56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10</w:t>
        <w:tab/>
      </w:r>
      <w:hyperlink r:id="rId91">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 AGNC</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Exhibit 4.2 of Form 8-K (File No. 001-34057) filed August 22, 2017.</w:t>
        </w:r>
      </w:hyperlink>
    </w:p>
    <w:p>
      <w:pPr>
        <w:spacing w:after="0" w:line="127" w:lineRule="exact"/>
        <w:rPr>
          <w:rFonts w:ascii="Times New Roman" w:cs="Times New Roman" w:eastAsia="Times New Roman" w:hAnsi="Times New Roman"/>
          <w:sz w:val="18"/>
          <w:szCs w:val="18"/>
          <w:color w:val="auto"/>
        </w:rPr>
      </w:pPr>
    </w:p>
    <w:p>
      <w:pPr>
        <w:jc w:val="both"/>
        <w:ind w:left="660" w:hanging="1267"/>
        <w:spacing w:after="0" w:line="257" w:lineRule="auto"/>
        <w:tabs>
          <w:tab w:leader="none" w:pos="64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11</w:t>
        <w:tab/>
      </w:r>
      <w:hyperlink r:id="rId91">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(included as part of Exhibit 4.10),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August 22, 2017.</w:t>
        </w:r>
      </w:hyperlink>
    </w:p>
    <w:p>
      <w:pPr>
        <w:spacing w:after="0" w:line="200" w:lineRule="exact"/>
        <w:rPr>
          <w:rFonts w:ascii="Times New Roman" w:cs="Times New Roman" w:eastAsia="Times New Roman" w:hAnsi="Times New Roman"/>
          <w:sz w:val="18"/>
          <w:szCs w:val="18"/>
          <w:color w:val="auto"/>
        </w:rPr>
      </w:pPr>
    </w:p>
    <w:p>
      <w:pPr>
        <w:spacing w:after="0" w:line="31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7" w:name="page48"/>
    <w:bookmarkEnd w:id="47"/>
    <w:p>
      <w:pPr>
        <w:jc w:val="both"/>
        <w:ind w:left="580" w:hanging="1267"/>
        <w:spacing w:after="0" w:line="257" w:lineRule="auto"/>
        <w:tabs>
          <w:tab w:leader="none" w:pos="56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12</w:t>
        <w:tab/>
      </w:r>
      <w:hyperlink r:id="rId93">
        <w:r>
          <w:rPr>
            <w:rFonts w:ascii="Times New Roman" w:cs="Times New Roman" w:eastAsia="Times New Roman" w:hAnsi="Times New Roman"/>
            <w:sz w:val="18"/>
            <w:szCs w:val="18"/>
            <w:color w:val="auto"/>
          </w:rPr>
          <w:t>Deposit Agreement relating to 6.875% Series D Fixed-to-Floating Rate Cumulative Redeemable Preferred Stock, dated March 6, 2019, among AGNC</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Exhibit 4.2 of Form 8-K (File No. 001-34057) filed March 6, 2019.</w:t>
        </w:r>
      </w:hyperlink>
    </w:p>
    <w:p>
      <w:pPr>
        <w:spacing w:after="0" w:line="127" w:lineRule="exact"/>
        <w:rPr>
          <w:rFonts w:ascii="Times New Roman" w:cs="Times New Roman" w:eastAsia="Times New Roman" w:hAnsi="Times New Roman"/>
          <w:sz w:val="18"/>
          <w:szCs w:val="18"/>
          <w:color w:val="auto"/>
        </w:rPr>
      </w:pPr>
    </w:p>
    <w:p>
      <w:pPr>
        <w:jc w:val="both"/>
        <w:ind w:left="640" w:hanging="1267"/>
        <w:spacing w:after="0" w:line="257" w:lineRule="auto"/>
        <w:tabs>
          <w:tab w:leader="none" w:pos="62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13</w:t>
        <w:tab/>
      </w:r>
      <w:hyperlink r:id="rId93">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(included as part of Exhibit 4.12),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March 6, 2019.</w:t>
        </w:r>
      </w:hyperlink>
    </w:p>
    <w:p>
      <w:pPr>
        <w:spacing w:after="0" w:line="127" w:lineRule="exact"/>
        <w:rPr>
          <w:rFonts w:ascii="Times New Roman" w:cs="Times New Roman" w:eastAsia="Times New Roman" w:hAnsi="Times New Roman"/>
          <w:sz w:val="18"/>
          <w:szCs w:val="18"/>
          <w:color w:val="auto"/>
        </w:rPr>
      </w:pPr>
    </w:p>
    <w:p>
      <w:pPr>
        <w:ind w:left="580" w:right="60" w:hanging="1267"/>
        <w:spacing w:after="0" w:line="257" w:lineRule="auto"/>
        <w:tabs>
          <w:tab w:leader="none" w:pos="56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14</w:t>
        <w:tab/>
      </w:r>
      <w:hyperlink r:id="rId94">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 AGNC</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Exhibit 4.2 of Form 8-K (File No. 001-34057) filed October 3, 2019.</w:t>
        </w:r>
      </w:hyperlink>
    </w:p>
    <w:p>
      <w:pPr>
        <w:spacing w:after="0" w:line="127" w:lineRule="exact"/>
        <w:rPr>
          <w:rFonts w:ascii="Times New Roman" w:cs="Times New Roman" w:eastAsia="Times New Roman" w:hAnsi="Times New Roman"/>
          <w:sz w:val="18"/>
          <w:szCs w:val="18"/>
          <w:color w:val="auto"/>
        </w:rPr>
      </w:pPr>
    </w:p>
    <w:p>
      <w:pPr>
        <w:jc w:val="both"/>
        <w:ind w:left="580" w:right="440" w:hanging="1267"/>
        <w:spacing w:after="0" w:line="257" w:lineRule="auto"/>
        <w:tabs>
          <w:tab w:leader="none" w:pos="56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15</w:t>
        <w:tab/>
      </w:r>
      <w:hyperlink r:id="rId94">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(included as part of Exhibit 4.14),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October 3, 2019.</w:t>
        </w:r>
      </w:hyperlink>
    </w:p>
    <w:p>
      <w:pPr>
        <w:spacing w:after="0" w:line="127" w:lineRule="exact"/>
        <w:rPr>
          <w:rFonts w:ascii="Times New Roman" w:cs="Times New Roman" w:eastAsia="Times New Roman" w:hAnsi="Times New Roman"/>
          <w:sz w:val="18"/>
          <w:szCs w:val="18"/>
          <w:color w:val="auto"/>
        </w:rPr>
      </w:pPr>
    </w:p>
    <w:p>
      <w:pPr>
        <w:ind w:left="580" w:right="380" w:hanging="1267"/>
        <w:spacing w:after="0" w:line="257" w:lineRule="auto"/>
        <w:tabs>
          <w:tab w:leader="none" w:pos="56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16</w:t>
        <w:tab/>
      </w:r>
      <w:hyperlink r:id="rId95">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reference to Exhibit 4.1 of Form 8-K (File No. 001-34057) filed February 11, 2020.</w:t>
        </w:r>
      </w:hyperlink>
    </w:p>
    <w:p>
      <w:pPr>
        <w:spacing w:after="0" w:line="127" w:lineRule="exact"/>
        <w:rPr>
          <w:rFonts w:ascii="Times New Roman" w:cs="Times New Roman" w:eastAsia="Times New Roman" w:hAnsi="Times New Roman"/>
          <w:sz w:val="18"/>
          <w:szCs w:val="18"/>
          <w:color w:val="auto"/>
        </w:rPr>
      </w:pPr>
    </w:p>
    <w:p>
      <w:pPr>
        <w:ind w:left="580" w:right="360" w:hanging="1267"/>
        <w:spacing w:after="0" w:line="257" w:lineRule="auto"/>
        <w:tabs>
          <w:tab w:leader="none" w:pos="56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17</w:t>
        <w:tab/>
      </w:r>
      <w:hyperlink r:id="rId95">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(included as part of Exhibit 4.16),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February 11, 2020.</w:t>
        </w:r>
      </w:hyperlink>
    </w:p>
    <w:p>
      <w:pPr>
        <w:spacing w:after="0" w:line="127" w:lineRule="exact"/>
        <w:rPr>
          <w:rFonts w:ascii="Times New Roman" w:cs="Times New Roman" w:eastAsia="Times New Roman" w:hAnsi="Times New Roman"/>
          <w:sz w:val="18"/>
          <w:szCs w:val="18"/>
          <w:color w:val="auto"/>
        </w:rPr>
      </w:pPr>
    </w:p>
    <w:p>
      <w:pPr>
        <w:jc w:val="both"/>
        <w:ind w:left="580" w:right="160" w:hanging="1267"/>
        <w:spacing w:after="0" w:line="257" w:lineRule="auto"/>
        <w:tabs>
          <w:tab w:leader="none" w:pos="560" w:val="left"/>
        </w:tabs>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18</w:t>
        <w:tab/>
      </w:r>
      <w:hyperlink r:id="rId96">
        <w:r>
          <w:rPr>
            <w:rFonts w:ascii="Times New Roman" w:cs="Times New Roman" w:eastAsia="Times New Roman" w:hAnsi="Times New Roman"/>
            <w:sz w:val="18"/>
            <w:szCs w:val="18"/>
            <w:color w:val="auto"/>
          </w:rPr>
          <w:t>Deposit Agreement relating to 7.75% Series G Fixed-Rate Reset Cumulative Redeemable Preferred Stock, dated September 14, 2022, among AGNC</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Exhibit 4.2 of Form 8-K (File No. 001-34057) filed September 14, 2022.</w:t>
        </w:r>
      </w:hyperlink>
    </w:p>
    <w:p>
      <w:pPr>
        <w:spacing w:after="0" w:line="127" w:lineRule="exact"/>
        <w:rPr>
          <w:rFonts w:ascii="Times New Roman" w:cs="Times New Roman" w:eastAsia="Times New Roman" w:hAnsi="Times New Roman"/>
          <w:sz w:val="18"/>
          <w:szCs w:val="18"/>
          <w:color w:val="auto"/>
        </w:rPr>
      </w:pPr>
    </w:p>
    <w:p>
      <w:pPr>
        <w:jc w:val="both"/>
        <w:ind w:left="580" w:right="120" w:hanging="1267"/>
        <w:spacing w:after="0" w:line="257" w:lineRule="auto"/>
        <w:tabs>
          <w:tab w:leader="none" w:pos="560" w:val="left"/>
        </w:tabs>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w:t>
        </w:r>
      </w:hyperlink>
      <w:r>
        <w:rPr>
          <w:rFonts w:ascii="Times New Roman" w:cs="Times New Roman" w:eastAsia="Times New Roman" w:hAnsi="Times New Roman"/>
          <w:sz w:val="18"/>
          <w:szCs w:val="18"/>
          <w:color w:val="auto"/>
        </w:rPr>
        <w:t>19</w:t>
        <w:tab/>
      </w:r>
      <w:hyperlink r:id="rId96">
        <w:r>
          <w:rPr>
            <w:rFonts w:ascii="Times New Roman" w:cs="Times New Roman" w:eastAsia="Times New Roman" w:hAnsi="Times New Roman"/>
            <w:sz w:val="18"/>
            <w:szCs w:val="18"/>
            <w:color w:val="auto"/>
          </w:rPr>
          <w:t>Form of Depositary Receipt representing 1/1,000th of a share of 7.75% Series G Fixed-Rate Reset Cumulative Redeemable Preferred Stock (included</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as part of Exhibit 4.18), incorporated herein by reference to Exhibit A of Exhibit 4.2 of Form 8-K (File No. 001-34057) filed September 14,</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2022.</w:t>
        </w:r>
      </w:hyperlink>
    </w:p>
    <w:p>
      <w:pPr>
        <w:spacing w:after="0" w:line="127" w:lineRule="exact"/>
        <w:rPr>
          <w:rFonts w:ascii="Times New Roman" w:cs="Times New Roman" w:eastAsia="Times New Roman" w:hAnsi="Times New Roman"/>
          <w:sz w:val="18"/>
          <w:szCs w:val="18"/>
          <w:color w:val="auto"/>
        </w:rPr>
      </w:pPr>
    </w:p>
    <w:p>
      <w:pPr>
        <w:ind w:left="580" w:right="240" w:hanging="1267"/>
        <w:spacing w:after="0" w:line="257" w:lineRule="auto"/>
        <w:tabs>
          <w:tab w:leader="none" w:pos="560" w:val="left"/>
        </w:tabs>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*4.20</w:t>
        </w:r>
      </w:hyperlink>
      <w:r>
        <w:rPr>
          <w:rFonts w:ascii="Times New Roman" w:cs="Times New Roman" w:eastAsia="Times New Roman" w:hAnsi="Times New Roman"/>
          <w:sz w:val="18"/>
          <w:szCs w:val="18"/>
          <w:color w:val="auto"/>
        </w:rPr>
        <w:tab/>
      </w:r>
      <w:hyperlink r:id="rId97">
        <w:r>
          <w:rPr>
            <w:rFonts w:ascii="Times New Roman" w:cs="Times New Roman" w:eastAsia="Times New Roman" w:hAnsi="Times New Roman"/>
            <w:sz w:val="18"/>
            <w:szCs w:val="18"/>
            <w:color w:val="auto"/>
          </w:rPr>
          <w:t>Deposit Agreement relating to 8.75% Series H Fixed-Rate Cumulative Redeemable Preferred Stock, dated September 10, 2025, among AGNC</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auto"/>
          </w:rPr>
          <w:t>Investment Corp., Computershare Inc. and Computershare Trust Company, N.A., jointly as depositary, incorporated herein by reference to</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auto"/>
          </w:rPr>
          <w:t>Exhibit 4.2 of Form 8-K (File No. 001-34057) filed September 10, 2025.</w:t>
        </w:r>
      </w:hyperlink>
    </w:p>
    <w:p>
      <w:pPr>
        <w:spacing w:after="0" w:line="127" w:lineRule="exact"/>
        <w:rPr>
          <w:rFonts w:ascii="Times New Roman" w:cs="Times New Roman" w:eastAsia="Times New Roman" w:hAnsi="Times New Roman"/>
          <w:sz w:val="18"/>
          <w:szCs w:val="18"/>
          <w:color w:val="auto"/>
        </w:rPr>
      </w:pPr>
    </w:p>
    <w:p>
      <w:pPr>
        <w:ind w:left="580" w:right="40" w:hanging="1267"/>
        <w:spacing w:after="0" w:line="270" w:lineRule="auto"/>
        <w:tabs>
          <w:tab w:leader="none" w:pos="560" w:val="left"/>
        </w:tabs>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*4.21</w:t>
        </w:r>
      </w:hyperlink>
      <w:r>
        <w:rPr>
          <w:rFonts w:ascii="Times New Roman" w:cs="Times New Roman" w:eastAsia="Times New Roman" w:hAnsi="Times New Roman"/>
          <w:sz w:val="18"/>
          <w:szCs w:val="18"/>
          <w:color w:val="auto"/>
        </w:rPr>
        <w:tab/>
      </w:r>
      <w:hyperlink r:id="rId97">
        <w:r>
          <w:rPr>
            <w:rFonts w:ascii="Times New Roman" w:cs="Times New Roman" w:eastAsia="Times New Roman" w:hAnsi="Times New Roman"/>
            <w:sz w:val="18"/>
            <w:szCs w:val="18"/>
            <w:color w:val="auto"/>
          </w:rPr>
          <w:t>Form of Depositary Receipt representing 1/1,000th of a share of 8.75% Series H Fixed-Rate Cumulative Redeemable Preferred Stock (included as part</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auto"/>
          </w:rPr>
          <w:t>of Exhibit 4.20), incorporated herein by reference to Exhibit A of Exhibit 4.2 of Form 8-K (File No. 001-34057) filed September 10, 2025.</w:t>
        </w:r>
      </w:hyperlink>
    </w:p>
    <w:p>
      <w:pPr>
        <w:spacing w:after="0" w:line="115" w:lineRule="exact"/>
        <w:rPr>
          <w:rFonts w:ascii="Times New Roman" w:cs="Times New Roman" w:eastAsia="Times New Roman" w:hAnsi="Times New Roman"/>
          <w:sz w:val="18"/>
          <w:szCs w:val="18"/>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CEO Pursuant to Section 302(a) of the Sarbanes-Oxley Act of 2002.</w:t>
      </w:r>
    </w:p>
    <w:p>
      <w:pPr>
        <w:spacing w:after="0" w:line="163" w:lineRule="exact"/>
        <w:rPr>
          <w:rFonts w:ascii="Times New Roman" w:cs="Times New Roman" w:eastAsia="Times New Roman" w:hAnsi="Times New Roman"/>
          <w:sz w:val="18"/>
          <w:szCs w:val="18"/>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CFO Pursuant to Section 302(a) of the Sarbanes-Oxley Act of 2002.</w:t>
      </w:r>
    </w:p>
    <w:p>
      <w:pPr>
        <w:spacing w:after="0" w:line="163" w:lineRule="exact"/>
        <w:rPr>
          <w:rFonts w:ascii="Times New Roman" w:cs="Times New Roman" w:eastAsia="Times New Roman" w:hAnsi="Times New Roman"/>
          <w:sz w:val="18"/>
          <w:szCs w:val="18"/>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Section 906 of the Sarbanes-Oxley Act of 2002.</w:t>
      </w:r>
    </w:p>
    <w:p>
      <w:pPr>
        <w:spacing w:after="0" w:line="16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753"/>
        </w:trPr>
        <w:tc>
          <w:tcPr>
            <w:tcW w:w="900" w:type="dxa"/>
            <w:vAlign w:val="bottom"/>
          </w:tcPr>
          <w:p>
            <w:pPr>
              <w:spacing w:after="0"/>
              <w:rPr>
                <w:sz w:val="24"/>
                <w:szCs w:val="24"/>
                <w:color w:val="auto"/>
              </w:rPr>
            </w:pPr>
          </w:p>
        </w:tc>
        <w:tc>
          <w:tcPr>
            <w:tcW w:w="103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47</w:t>
            </w:r>
          </w:p>
        </w:tc>
      </w:tr>
      <w:tr>
        <w:trPr>
          <w:trHeight w:val="113"/>
        </w:trPr>
        <w:tc>
          <w:tcPr>
            <w:tcW w:w="900" w:type="dxa"/>
            <w:vAlign w:val="bottom"/>
            <w:tcBorders>
              <w:bottom w:val="single" w:sz="8" w:color="9A9A9A"/>
            </w:tcBorders>
          </w:tcPr>
          <w:p>
            <w:pPr>
              <w:spacing w:after="0"/>
              <w:rPr>
                <w:sz w:val="9"/>
                <w:szCs w:val="9"/>
                <w:color w:val="auto"/>
              </w:rPr>
            </w:pPr>
          </w:p>
        </w:tc>
        <w:tc>
          <w:tcPr>
            <w:tcW w:w="10340" w:type="dxa"/>
            <w:vAlign w:val="bottom"/>
            <w:tcBorders>
              <w:bottom w:val="single" w:sz="8" w:color="9A9A9A"/>
            </w:tcBorders>
          </w:tcPr>
          <w:p>
            <w:pPr>
              <w:spacing w:after="0"/>
              <w:rPr>
                <w:sz w:val="9"/>
                <w:szCs w:val="9"/>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1" w:lineRule="exact"/>
        <w:rPr>
          <w:sz w:val="20"/>
          <w:szCs w:val="20"/>
          <w:color w:val="auto"/>
        </w:rPr>
      </w:pPr>
    </w:p>
    <w:p>
      <w:pPr>
        <w:ind w:left="360" w:hanging="633"/>
        <w:spacing w:after="0" w:line="244" w:lineRule="auto"/>
        <w:tabs>
          <w:tab w:leader="none" w:pos="340" w:val="left"/>
        </w:tabs>
        <w:rPr>
          <w:sz w:val="20"/>
          <w:szCs w:val="20"/>
          <w:color w:val="auto"/>
        </w:rPr>
      </w:pPr>
      <w:r>
        <w:rPr>
          <w:rFonts w:ascii="Times New Roman" w:cs="Times New Roman" w:eastAsia="Times New Roman" w:hAnsi="Times New Roman"/>
          <w:sz w:val="18"/>
          <w:szCs w:val="18"/>
          <w:color w:val="auto"/>
        </w:rPr>
        <w:t>**</w:t>
        <w:tab/>
        <w:t>This exhibit is being furnished rather than filed, and shall not be deemed incorporated by reference into any filing, in accordance with Item 601 of Regulation S-K</w:t>
      </w:r>
    </w:p>
    <w:p>
      <w:pPr>
        <w:spacing w:after="0" w:line="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92" w:lineRule="exact"/>
        <w:rPr>
          <w:sz w:val="20"/>
          <w:szCs w:val="20"/>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the exhibits filed herewith.</w:t>
      </w:r>
    </w:p>
    <w:p>
      <w:pPr>
        <w:spacing w:after="0" w:line="92" w:lineRule="exact"/>
        <w:rPr>
          <w:sz w:val="20"/>
          <w:szCs w:val="20"/>
          <w:color w:val="auto"/>
        </w:rPr>
      </w:pPr>
    </w:p>
    <w:p>
      <w:pPr>
        <w:ind w:left="660" w:right="6980" w:hanging="219"/>
        <w:spacing w:after="0" w:line="270" w:lineRule="auto"/>
        <w:tabs>
          <w:tab w:leader="none" w:pos="8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40"/>
          </w:cols>
          <w:pgMar w:left="320" w:top="878" w:right="939" w:bottom="1440" w:gutter="0" w:footer="0" w:header="0"/>
        </w:sectPr>
      </w:pPr>
    </w:p>
    <w:bookmarkStart w:id="49" w:name="page50"/>
    <w:bookmarkEnd w:id="4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5560"/>
        <w:spacing w:after="0"/>
        <w:tabs>
          <w:tab w:leader="none" w:pos="7780" w:val="left"/>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6"/>
          <w:szCs w:val="16"/>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22860</wp:posOffset>
            </wp:positionV>
            <wp:extent cx="3261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8"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40"/>
        <w:spacing w:after="0" w:line="219" w:lineRule="auto"/>
        <w:rPr>
          <w:sz w:val="20"/>
          <w:szCs w:val="20"/>
          <w:color w:val="auto"/>
        </w:rPr>
      </w:pPr>
      <w:r>
        <w:rPr>
          <w:rFonts w:ascii="Times New Roman" w:cs="Times New Roman" w:eastAsia="Times New Roman" w:hAnsi="Times New Roman"/>
          <w:sz w:val="14"/>
          <w:szCs w:val="14"/>
          <w:b w:val="1"/>
          <w:bCs w:val="1"/>
          <w:color w:val="auto"/>
        </w:rPr>
        <w:t>President, Chief Executive Officer and</w:t>
      </w:r>
    </w:p>
    <w:p>
      <w:pPr>
        <w:spacing w:after="0" w:line="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Chief Investment Officer, (Principal Executive Officer)</w:t>
      </w:r>
    </w:p>
    <w:p>
      <w:pPr>
        <w:spacing w:after="0" w:line="12"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82" w:lineRule="exact"/>
        <w:rPr>
          <w:sz w:val="20"/>
          <w:szCs w:val="20"/>
          <w:color w:val="auto"/>
        </w:rPr>
      </w:pPr>
    </w:p>
    <w:p>
      <w:pPr>
        <w:ind w:left="5560"/>
        <w:spacing w:after="0"/>
        <w:tabs>
          <w:tab w:leader="none" w:pos="7840" w:val="left"/>
          <w:tab w:leader="none" w:pos="8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22860</wp:posOffset>
            </wp:positionV>
            <wp:extent cx="3261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60"/>
        <w:spacing w:after="0" w:line="21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320"/>
        <w:spacing w:after="0" w:line="197"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2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872"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0" w:lineRule="exact"/>
        <w:rPr>
          <w:sz w:val="20"/>
          <w:szCs w:val="20"/>
          <w:color w:val="auto"/>
        </w:rPr>
      </w:pPr>
    </w:p>
    <w:p>
      <w:pPr>
        <w:ind w:left="740" w:hanging="299"/>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49"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840" w:hanging="399"/>
        <w:spacing w:after="0" w:line="270" w:lineRule="auto"/>
        <w:tabs>
          <w:tab w:leader="none" w:pos="7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8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3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400" w:hanging="404"/>
        <w:spacing w:after="0" w:line="270" w:lineRule="auto"/>
        <w:tabs>
          <w:tab w:leader="none" w:pos="144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4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840" w:hanging="399"/>
        <w:spacing w:after="0" w:line="270" w:lineRule="auto"/>
        <w:tabs>
          <w:tab w:leader="none" w:pos="7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16"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6"/>
          <w:szCs w:val="16"/>
          <w:color w:val="auto"/>
        </w:rPr>
        <w:t xml:space="preserve"> J. F</w:t>
      </w:r>
      <w:r>
        <w:rPr>
          <w:rFonts w:ascii="Times New Roman" w:cs="Times New Roman" w:eastAsia="Times New Roman" w:hAnsi="Times New Roman"/>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22860</wp:posOffset>
            </wp:positionV>
            <wp:extent cx="2347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Chief Executive Officer and Chief</w:t>
      </w:r>
    </w:p>
    <w:p>
      <w:pPr>
        <w:ind w:left="620"/>
        <w:spacing w:after="0"/>
        <w:rPr>
          <w:sz w:val="20"/>
          <w:szCs w:val="20"/>
          <w:color w:val="auto"/>
        </w:rPr>
      </w:pPr>
      <w:r>
        <w:rPr>
          <w:rFonts w:ascii="Times New Roman" w:cs="Times New Roman" w:eastAsia="Times New Roman" w:hAnsi="Times New Roman"/>
          <w:sz w:val="18"/>
          <w:szCs w:val="18"/>
          <w:color w:val="auto"/>
        </w:rPr>
        <w:t>Investment Officer (Principal Executive Officer)</w:t>
      </w:r>
    </w:p>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0" w:lineRule="exact"/>
        <w:rPr>
          <w:sz w:val="20"/>
          <w:szCs w:val="20"/>
          <w:color w:val="auto"/>
        </w:rPr>
      </w:pPr>
    </w:p>
    <w:p>
      <w:pPr>
        <w:ind w:left="740" w:hanging="299"/>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49"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7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840" w:hanging="399"/>
        <w:spacing w:after="0" w:line="270" w:lineRule="auto"/>
        <w:tabs>
          <w:tab w:leader="none" w:pos="7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jc w:val="both"/>
        <w:ind w:left="840" w:hanging="399"/>
        <w:spacing w:after="0" w:line="257" w:lineRule="auto"/>
        <w:tabs>
          <w:tab w:leader="none" w:pos="8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38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400" w:hanging="404"/>
        <w:spacing w:after="0" w:line="270" w:lineRule="auto"/>
        <w:tabs>
          <w:tab w:leader="none" w:pos="14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8"/>
          <w:szCs w:val="18"/>
          <w:color w:val="auto"/>
        </w:rPr>
      </w:pPr>
    </w:p>
    <w:p>
      <w:pPr>
        <w:jc w:val="both"/>
        <w:ind w:left="1400" w:hanging="404"/>
        <w:spacing w:after="0" w:line="257" w:lineRule="auto"/>
        <w:tabs>
          <w:tab w:leader="none" w:pos="14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840" w:hanging="399"/>
        <w:spacing w:after="0" w:line="270" w:lineRule="auto"/>
        <w:tabs>
          <w:tab w:leader="none" w:pos="7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50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400" w:hanging="404"/>
        <w:spacing w:after="0" w:line="270" w:lineRule="auto"/>
        <w:tabs>
          <w:tab w:leader="none" w:pos="14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16"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w:t>
      </w:r>
      <w:r>
        <w:rPr>
          <w:rFonts w:ascii="Times New Roman" w:cs="Times New Roman" w:eastAsia="Times New Roman" w:hAnsi="Times New Roman"/>
          <w:sz w:val="13"/>
          <w:szCs w:val="13"/>
          <w:color w:val="auto"/>
        </w:rPr>
        <w:t>ERNICE</w:t>
      </w:r>
      <w:r>
        <w:rPr>
          <w:rFonts w:ascii="Times New Roman" w:cs="Times New Roman" w:eastAsia="Times New Roman" w:hAnsi="Times New Roman"/>
          <w:sz w:val="16"/>
          <w:szCs w:val="16"/>
          <w:color w:val="auto"/>
        </w:rPr>
        <w:t xml:space="preserve"> E. B</w:t>
      </w:r>
      <w:r>
        <w:rPr>
          <w:rFonts w:ascii="Times New Roman" w:cs="Times New Roman" w:eastAsia="Times New Roman" w:hAnsi="Times New Roman"/>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22860</wp:posOffset>
            </wp:positionV>
            <wp:extent cx="23475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7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5" w:lineRule="exact"/>
        <w:rPr>
          <w:sz w:val="20"/>
          <w:szCs w:val="20"/>
          <w:color w:val="auto"/>
        </w:rPr>
      </w:pPr>
    </w:p>
    <w:p>
      <w:pPr>
        <w:ind w:right="40" w:firstLine="317"/>
        <w:spacing w:after="0" w:line="300" w:lineRule="auto"/>
        <w:rPr>
          <w:sz w:val="20"/>
          <w:szCs w:val="20"/>
          <w:color w:val="auto"/>
        </w:rPr>
      </w:pPr>
      <w:r>
        <w:rPr>
          <w:rFonts w:ascii="Times New Roman" w:cs="Times New Roman" w:eastAsia="Times New Roman" w:hAnsi="Times New Roman"/>
          <w:sz w:val="17"/>
          <w:szCs w:val="17"/>
          <w:color w:val="auto"/>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spacing w:after="0" w:line="92" w:lineRule="exact"/>
        <w:rPr>
          <w:sz w:val="20"/>
          <w:szCs w:val="20"/>
          <w:color w:val="auto"/>
        </w:rPr>
      </w:pPr>
    </w:p>
    <w:p>
      <w:pPr>
        <w:ind w:left="640" w:right="300" w:hanging="317"/>
        <w:spacing w:after="0" w:line="270"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of the Securities Exchange Act of 1934 (15 U.S.C. 78m); and</w:t>
      </w:r>
    </w:p>
    <w:p>
      <w:pPr>
        <w:spacing w:after="0" w:line="1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1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85"/>
        </w:trPr>
        <w:tc>
          <w:tcPr>
            <w:tcW w:w="7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24"/>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Investment Officer (Principal Executive Officer)</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4, 2026</w:t>
            </w:r>
          </w:p>
        </w:tc>
      </w:tr>
      <w:tr>
        <w:trPr>
          <w:trHeight w:val="48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1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85"/>
        </w:trPr>
        <w:tc>
          <w:tcPr>
            <w:tcW w:w="7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24"/>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4, 2026</w:t>
            </w:r>
          </w:p>
        </w:tc>
      </w:tr>
    </w:tbl>
    <w:p>
      <w:pPr>
        <w:spacing w:after="0" w:line="8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92"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72" Type="http://schemas.openxmlformats.org/officeDocument/2006/relationships/hyperlink" Target="https://www.sec.gov/Archives/edgar/data/1423689/000142368925000056/agncexhibit313312510-q.htm" TargetMode="External"/><Relationship Id="rId73" Type="http://schemas.openxmlformats.org/officeDocument/2006/relationships/hyperlink" Target="https://www.sec.gov/Archives/edgar/data/1423689/000142368921000017/arbylaws-march2021vrevised.htm" TargetMode="External"/><Relationship Id="rId74" Type="http://schemas.openxmlformats.org/officeDocument/2006/relationships/hyperlink" Target="https://www.sec.gov/Archives/edgar/data/1423689/000142368923000046/bylaws72023-ex.htm" TargetMode="External"/><Relationship Id="rId76" Type="http://schemas.openxmlformats.org/officeDocument/2006/relationships/hyperlink" Target="https://www.sec.gov/Archives/edgar/data/1423689/000142368917000044/ex35certificateofdesignati.htm" TargetMode="External"/><Relationship Id="rId77" Type="http://schemas.openxmlformats.org/officeDocument/2006/relationships/hyperlink" Target="https://www.sec.gov/Archives/edgar/data/1423689/000142368917000065/certificateofelimination.htm" TargetMode="External"/><Relationship Id="rId78" Type="http://schemas.openxmlformats.org/officeDocument/2006/relationships/hyperlink" Target="https://www.sec.gov/Archives/edgar/data/1423689/000142368919000019/certificateofdesignations.htm" TargetMode="External"/><Relationship Id="rId79" Type="http://schemas.openxmlformats.org/officeDocument/2006/relationships/hyperlink" Target="https://www.sec.gov/Archives/edgar/data/1423689/000142368919000064/certofdesignations.htm" TargetMode="External"/><Relationship Id="rId80" Type="http://schemas.openxmlformats.org/officeDocument/2006/relationships/hyperlink" Target="https://www.sec.gov/Archives/edgar/data/1423689/000142368919000078/certificateofeliminati.htm" TargetMode="External"/><Relationship Id="rId81" Type="http://schemas.openxmlformats.org/officeDocument/2006/relationships/hyperlink" Target="https://www.sec.gov/Archives/edgar/data/1423689/000142368920000012/certificateofdesignations-.htm" TargetMode="External"/><Relationship Id="rId82" Type="http://schemas.openxmlformats.org/officeDocument/2006/relationships/hyperlink" Target="https://www.sec.gov/Archives/edgar/data/1423689/000142368922000061/seriesgcertificateofdesign.htm" TargetMode="External"/><Relationship Id="rId83" Type="http://schemas.openxmlformats.org/officeDocument/2006/relationships/hyperlink" Target="https://www.sec.gov/Archives/edgar/data/1423689/000142368925000093/certificateofdesignations-.htm" TargetMode="External"/><Relationship Id="rId84" Type="http://schemas.openxmlformats.org/officeDocument/2006/relationships/hyperlink" Target="https://www.sec.gov/Archives/edgar/data/1423689/000142368922000076/exhibit43.htm" TargetMode="External"/><Relationship Id="rId85" Type="http://schemas.openxmlformats.org/officeDocument/2006/relationships/hyperlink" Target="https://www.sec.gov/Archives/edgar/data/1423689/000142368917000044/exhibit41.htm" TargetMode="External"/><Relationship Id="rId86" Type="http://schemas.openxmlformats.org/officeDocument/2006/relationships/hyperlink" Target="https://www.sec.gov/Archives/edgar/data/1423689/000142368919000019/stockcertificateb98.htm" TargetMode="External"/><Relationship Id="rId87" Type="http://schemas.openxmlformats.org/officeDocument/2006/relationships/hyperlink" Target="https://www.sec.gov/Archives/edgar/data/1423689/000142368919000064/stockcertificate.htm" TargetMode="External"/><Relationship Id="rId88" Type="http://schemas.openxmlformats.org/officeDocument/2006/relationships/hyperlink" Target="https://www.sec.gov/Archives/edgar/data/1423689/000142368920000012/stockcertificate.htm" TargetMode="External"/><Relationship Id="rId89" Type="http://schemas.openxmlformats.org/officeDocument/2006/relationships/hyperlink" Target="https://www.sec.gov/Archives/edgar/data/1423689/000142368922000061/stockcertificate1.htm" TargetMode="External"/><Relationship Id="rId90" Type="http://schemas.openxmlformats.org/officeDocument/2006/relationships/hyperlink" Target="https://www.sec.gov/Archives/edgar/data/1423689/000142368925000093/stockcertificate1.htm" TargetMode="External"/><Relationship Id="rId91" Type="http://schemas.openxmlformats.org/officeDocument/2006/relationships/hyperlink" Target="https://www.sec.gov/Archives/edgar/data/1423689/000142368917000049/depositagreement.htm" TargetMode="External"/><Relationship Id="rId93" Type="http://schemas.openxmlformats.org/officeDocument/2006/relationships/hyperlink" Target="https://www.sec.gov/Archives/edgar/data/1423689/000142368919000021/prefddepositagmt.htm" TargetMode="External"/><Relationship Id="rId94" Type="http://schemas.openxmlformats.org/officeDocument/2006/relationships/hyperlink" Target="https://www.sec.gov/Archives/edgar/data/1423689/000142368919000068/depositagmt-prefe.htm" TargetMode="External"/><Relationship Id="rId95" Type="http://schemas.openxmlformats.org/officeDocument/2006/relationships/hyperlink" Target="https://www.sec.gov/Archives/edgar/data/1423689/000142368920000014/depositaryagmt-seriesf.htm" TargetMode="External"/><Relationship Id="rId96" Type="http://schemas.openxmlformats.org/officeDocument/2006/relationships/hyperlink" Target="https://www.sec.gov/Archives/edgar/data/1423689/000142368922000069/depositaryagmt.htm" TargetMode="External"/><Relationship Id="rId97" Type="http://schemas.openxmlformats.org/officeDocument/2006/relationships/hyperlink" Target="https://www.sec.gov/Archives/edgar/data/1423689/000142368925000097/seriesh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2026-05-04T08:15:53Z</dcterms:created>
  <dcterms:modified xsi:type="dcterms:W3CDTF">2026-05-04T08:15:53Z</dcterms:modified>
</cp:coreProperties>
</file>