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30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Pollack Kenneth L.</w:t>
              </w:r>
            </w:hyperlink>
          </w:p>
        </w:tc>
        <w:tc>
          <w:tcPr>
            <w:tcW w:w="1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 xml:space="preserve">AGNC Investment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AGNC</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300" w:type="dxa"/>
            <w:vAlign w:val="bottom"/>
            <w:gridSpan w:val="3"/>
            <w:vMerge w:val="continue"/>
          </w:tcPr>
          <w:p>
            <w:pPr>
              <w:spacing w:after="0"/>
              <w:rPr>
                <w:sz w:val="5"/>
                <w:szCs w:val="5"/>
                <w:color w:val="auto"/>
              </w:rPr>
            </w:pPr>
          </w:p>
        </w:tc>
        <w:tc>
          <w:tcPr>
            <w:tcW w:w="13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20" w:type="dxa"/>
            <w:vAlign w:val="bottom"/>
            <w:tcBorders>
              <w:top w:val="single" w:sz="8" w:color="0000EE"/>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780" w:type="dxa"/>
            <w:vAlign w:val="bottom"/>
            <w:tcBorders>
              <w:top w:val="single" w:sz="8" w:color="0000EE"/>
              <w:bottom w:val="single" w:sz="8" w:color="9A9A9A"/>
            </w:tcBorders>
          </w:tcPr>
          <w:p>
            <w:pPr>
              <w:spacing w:after="0"/>
              <w:rPr>
                <w:sz w:val="16"/>
                <w:szCs w:val="16"/>
                <w:color w:val="auto"/>
              </w:rPr>
            </w:pPr>
          </w:p>
        </w:tc>
        <w:tc>
          <w:tcPr>
            <w:tcW w:w="880" w:type="dxa"/>
            <w:vAlign w:val="bottom"/>
            <w:tcBorders>
              <w:top w:val="single" w:sz="8" w:color="0000EE"/>
              <w:bottom w:val="single" w:sz="8" w:color="9A9A9A"/>
            </w:tcBorders>
          </w:tcPr>
          <w:p>
            <w:pPr>
              <w:spacing w:after="0"/>
              <w:rPr>
                <w:sz w:val="16"/>
                <w:szCs w:val="16"/>
                <w:color w:val="auto"/>
              </w:rPr>
            </w:pPr>
          </w:p>
        </w:tc>
        <w:tc>
          <w:tcPr>
            <w:tcW w:w="640" w:type="dxa"/>
            <w:vAlign w:val="bottom"/>
            <w:tcBorders>
              <w:bottom w:val="single" w:sz="8" w:color="9A9A9A"/>
            </w:tcBorders>
          </w:tcPr>
          <w:p>
            <w:pPr>
              <w:spacing w:after="0"/>
              <w:rPr>
                <w:sz w:val="16"/>
                <w:szCs w:val="16"/>
                <w:color w:val="auto"/>
              </w:rPr>
            </w:pPr>
          </w:p>
        </w:tc>
        <w:tc>
          <w:tcPr>
            <w:tcW w:w="134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12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
        </w:trPr>
        <w:tc>
          <w:tcPr>
            <w:tcW w:w="40" w:type="dxa"/>
            <w:vAlign w:val="bottom"/>
          </w:tcPr>
          <w:p>
            <w:pPr>
              <w:spacing w:after="0"/>
              <w:rPr>
                <w:sz w:val="2"/>
                <w:szCs w:val="2"/>
                <w:color w:val="auto"/>
              </w:rPr>
            </w:pPr>
          </w:p>
        </w:tc>
        <w:tc>
          <w:tcPr>
            <w:tcW w:w="780" w:type="dxa"/>
            <w:vAlign w:val="bottom"/>
            <w:tcBorders>
              <w:top w:val="single" w:sz="8" w:color="EEEEEE"/>
            </w:tcBorders>
          </w:tcPr>
          <w:p>
            <w:pPr>
              <w:spacing w:after="0"/>
              <w:rPr>
                <w:sz w:val="2"/>
                <w:szCs w:val="2"/>
                <w:color w:val="auto"/>
              </w:rPr>
            </w:pPr>
          </w:p>
        </w:tc>
        <w:tc>
          <w:tcPr>
            <w:tcW w:w="880" w:type="dxa"/>
            <w:vAlign w:val="bottom"/>
            <w:tcBorders>
              <w:top w:val="single" w:sz="8" w:color="EEEEEE"/>
            </w:tcBorders>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120" w:type="dxa"/>
            <w:vAlign w:val="bottom"/>
            <w:tcBorders>
              <w:bottom w:val="single" w:sz="8" w:color="2C2C2C"/>
            </w:tcBorders>
          </w:tcPr>
          <w:p>
            <w:pPr>
              <w:spacing w:after="0"/>
              <w:rPr>
                <w:sz w:val="2"/>
                <w:szCs w:val="2"/>
                <w:color w:val="auto"/>
              </w:rPr>
            </w:pPr>
          </w:p>
        </w:tc>
        <w:tc>
          <w:tcPr>
            <w:tcW w:w="162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40" w:type="dxa"/>
            <w:vAlign w:val="bottom"/>
          </w:tcPr>
          <w:p>
            <w:pPr>
              <w:spacing w:after="0"/>
              <w:rPr>
                <w:sz w:val="17"/>
                <w:szCs w:val="17"/>
                <w:color w:val="auto"/>
              </w:rPr>
            </w:pPr>
          </w:p>
        </w:tc>
        <w:tc>
          <w:tcPr>
            <w:tcW w:w="780" w:type="dxa"/>
            <w:vAlign w:val="bottom"/>
          </w:tcPr>
          <w:p>
            <w:pPr>
              <w:spacing w:after="0"/>
              <w:rPr>
                <w:sz w:val="20"/>
                <w:szCs w:val="20"/>
                <w:color w:val="auto"/>
              </w:rPr>
            </w:pPr>
            <w:r>
              <w:rPr>
                <w:rFonts w:ascii="Arial" w:cs="Arial" w:eastAsia="Arial" w:hAnsi="Arial"/>
                <w:sz w:val="13"/>
                <w:szCs w:val="13"/>
                <w:color w:val="auto"/>
              </w:rPr>
              <w:t>(Last)</w:t>
            </w:r>
          </w:p>
        </w:tc>
        <w:tc>
          <w:tcPr>
            <w:tcW w:w="1520" w:type="dxa"/>
            <w:vAlign w:val="bottom"/>
            <w:gridSpan w:val="2"/>
          </w:tcPr>
          <w:p>
            <w:pPr>
              <w:ind w:left="4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AGNC INVESTMENT CORP.</w:t>
            </w:r>
          </w:p>
        </w:tc>
        <w:tc>
          <w:tcPr>
            <w:tcW w:w="1340" w:type="dxa"/>
            <w:vAlign w:val="bottom"/>
          </w:tcPr>
          <w:p>
            <w:pPr>
              <w:spacing w:after="0"/>
              <w:rPr>
                <w:sz w:val="19"/>
                <w:szCs w:val="19"/>
                <w:color w:val="auto"/>
              </w:rPr>
            </w:pPr>
          </w:p>
        </w:tc>
        <w:tc>
          <w:tcPr>
            <w:tcW w:w="2280" w:type="dxa"/>
            <w:vAlign w:val="bottom"/>
            <w:gridSpan w:val="3"/>
          </w:tcPr>
          <w:p>
            <w:pPr>
              <w:ind w:left="160"/>
              <w:spacing w:after="0"/>
              <w:rPr>
                <w:sz w:val="20"/>
                <w:szCs w:val="20"/>
                <w:color w:val="auto"/>
              </w:rPr>
            </w:pPr>
            <w:r>
              <w:rPr>
                <w:rFonts w:ascii="Arial" w:cs="Arial" w:eastAsia="Arial" w:hAnsi="Arial"/>
                <w:sz w:val="17"/>
                <w:szCs w:val="17"/>
                <w:color w:val="0000FF"/>
              </w:rPr>
              <w:t>01/20/2022</w:t>
            </w: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40" w:type="dxa"/>
            <w:vAlign w:val="bottom"/>
          </w:tcPr>
          <w:p>
            <w:pPr>
              <w:spacing w:after="0"/>
              <w:rPr>
                <w:sz w:val="8"/>
                <w:szCs w:val="8"/>
                <w:color w:val="auto"/>
              </w:rPr>
            </w:pPr>
          </w:p>
        </w:tc>
        <w:tc>
          <w:tcPr>
            <w:tcW w:w="2300" w:type="dxa"/>
            <w:vAlign w:val="bottom"/>
            <w:gridSpan w:val="3"/>
            <w:vMerge w:val="continue"/>
          </w:tcPr>
          <w:p>
            <w:pPr>
              <w:spacing w:after="0"/>
              <w:rPr>
                <w:sz w:val="8"/>
                <w:szCs w:val="8"/>
                <w:color w:val="auto"/>
              </w:rPr>
            </w:pPr>
          </w:p>
        </w:tc>
        <w:tc>
          <w:tcPr>
            <w:tcW w:w="13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20" w:type="dxa"/>
            <w:vAlign w:val="bottom"/>
          </w:tcPr>
          <w:p>
            <w:pPr>
              <w:spacing w:after="0"/>
              <w:rPr>
                <w:sz w:val="8"/>
                <w:szCs w:val="8"/>
                <w:color w:val="auto"/>
              </w:rPr>
            </w:pPr>
          </w:p>
        </w:tc>
        <w:tc>
          <w:tcPr>
            <w:tcW w:w="1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6"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2 BETHESDA METRO CENTER, 12TH FLOOR</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0"/>
          <w:szCs w:val="20"/>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665"/>
        <w:spacing w:after="0"/>
        <w:rPr>
          <w:sz w:val="20"/>
          <w:szCs w:val="20"/>
          <w:color w:val="auto"/>
        </w:rPr>
      </w:pPr>
      <w:r>
        <w:rPr>
          <w:rFonts w:ascii="Arial" w:cs="Arial" w:eastAsia="Arial" w:hAnsi="Arial"/>
          <w:sz w:val="17"/>
          <w:szCs w:val="17"/>
          <w:color w:val="0000FF"/>
        </w:rPr>
        <w:t>EVP and General Counsel</w:t>
      </w:r>
    </w:p>
    <w:p>
      <w:pPr>
        <w:spacing w:after="0" w:line="402"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6"/>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9"/>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BETHESDA</w:t>
            </w:r>
          </w:p>
        </w:tc>
        <w:tc>
          <w:tcPr>
            <w:tcW w:w="1120" w:type="dxa"/>
            <w:vAlign w:val="bottom"/>
            <w:gridSpan w:val="2"/>
            <w:vMerge w:val="restart"/>
          </w:tcPr>
          <w:p>
            <w:pPr>
              <w:ind w:left="40"/>
              <w:spacing w:after="0"/>
              <w:rPr>
                <w:sz w:val="20"/>
                <w:szCs w:val="20"/>
                <w:color w:val="auto"/>
              </w:rPr>
            </w:pPr>
            <w:r>
              <w:rPr>
                <w:rFonts w:ascii="Arial" w:cs="Arial" w:eastAsia="Arial" w:hAnsi="Arial"/>
                <w:sz w:val="17"/>
                <w:szCs w:val="17"/>
                <w:color w:val="0000FF"/>
              </w:rPr>
              <w:t>MD</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20814</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6"/>
                <w:szCs w:val="6"/>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2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900"/>
              <w:spacing w:after="0"/>
              <w:rPr>
                <w:sz w:val="20"/>
                <w:szCs w:val="20"/>
                <w:color w:val="auto"/>
              </w:rPr>
            </w:pPr>
            <w:r>
              <w:rPr>
                <w:rFonts w:ascii="Arial" w:cs="Arial" w:eastAsia="Arial" w:hAnsi="Arial"/>
                <w:sz w:val="17"/>
                <w:szCs w:val="17"/>
                <w:color w:val="0000FF"/>
              </w:rPr>
              <w:t>01/20/2022</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w w:val="96"/>
              </w:rPr>
              <w:t>40,605</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2"/>
          </w:tcPr>
          <w:p>
            <w:pPr>
              <w:ind w:left="180"/>
              <w:spacing w:after="0"/>
              <w:rPr>
                <w:sz w:val="20"/>
                <w:szCs w:val="20"/>
                <w:color w:val="auto"/>
              </w:rPr>
            </w:pPr>
            <w:r>
              <w:rPr>
                <w:rFonts w:ascii="Arial" w:cs="Arial" w:eastAsia="Arial" w:hAnsi="Arial"/>
                <w:sz w:val="11"/>
                <w:szCs w:val="11"/>
                <w:color w:val="008000"/>
              </w:rPr>
              <w:t>(1)</w:t>
            </w:r>
          </w:p>
        </w:tc>
        <w:tc>
          <w:tcPr>
            <w:tcW w:w="1380" w:type="dxa"/>
            <w:vAlign w:val="bottom"/>
            <w:tcBorders>
              <w:bottom w:val="single" w:sz="8" w:color="2C2C2C"/>
            </w:tcBorders>
            <w:gridSpan w:val="3"/>
          </w:tcPr>
          <w:p>
            <w:pPr>
              <w:ind w:left="400"/>
              <w:spacing w:after="0"/>
              <w:rPr>
                <w:sz w:val="20"/>
                <w:szCs w:val="20"/>
                <w:color w:val="auto"/>
              </w:rPr>
            </w:pPr>
            <w:r>
              <w:rPr>
                <w:rFonts w:ascii="Arial" w:cs="Arial" w:eastAsia="Arial" w:hAnsi="Arial"/>
                <w:sz w:val="17"/>
                <w:szCs w:val="17"/>
                <w:color w:val="0000FF"/>
              </w:rPr>
              <w:t>178,031</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received for no consideration upon the satisfaction of performance criteria underlying performance based grants made under the Amended and Restated AGNC Investment Corp. 2016 Equity and Incentive Compensation Plan on March 1, 2019.</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9,121 dividend equivalent restricted stock units received on previously granted RSU awards since the Reporting Person's last Form 4 filing.</w:t>
      </w:r>
    </w:p>
    <w:p>
      <w:pPr>
        <w:spacing w:after="0" w:line="6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3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4"/>
              </w:rPr>
              <w:t>Kenneth L. Pollack</w:t>
            </w: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01/21/2022</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77686"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2022-01-21T11:09:49Z</dcterms:created>
  <dcterms:modified xsi:type="dcterms:W3CDTF">2022-01-21T11:09:49Z</dcterms:modified>
</cp:coreProperties>
</file>