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4"/>
          <w:szCs w:val="24"/>
          <w:b w:val="1"/>
          <w:bCs w:val="1"/>
          <w:color w:val="auto"/>
        </w:rPr>
        <w:t>SECURITIES AND EXCHANGE COMMISSION</w:t>
      </w:r>
    </w:p>
    <w:p>
      <w:pPr>
        <w:spacing w:after="0" w:line="3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114"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SCHEDULE 14A</w:t>
      </w:r>
    </w:p>
    <w:p>
      <w:pPr>
        <w:spacing w:after="0" w:line="34" w:lineRule="exact"/>
        <w:rPr>
          <w:sz w:val="24"/>
          <w:szCs w:val="24"/>
          <w:color w:val="auto"/>
        </w:rPr>
      </w:pPr>
    </w:p>
    <w:p>
      <w:pPr>
        <w:ind w:left="5040"/>
        <w:spacing w:after="0"/>
        <w:rPr>
          <w:sz w:val="20"/>
          <w:szCs w:val="20"/>
          <w:color w:val="auto"/>
        </w:rPr>
      </w:pPr>
      <w:r>
        <w:rPr>
          <w:rFonts w:ascii="Arial" w:cs="Arial" w:eastAsia="Arial" w:hAnsi="Arial"/>
          <w:sz w:val="22"/>
          <w:szCs w:val="22"/>
          <w:b w:val="1"/>
          <w:bCs w:val="1"/>
          <w:color w:val="auto"/>
        </w:rPr>
        <w:t>(Rule 14a-101)</w:t>
      </w:r>
    </w:p>
    <w:p>
      <w:pPr>
        <w:spacing w:after="0" w:line="128" w:lineRule="exact"/>
        <w:rPr>
          <w:sz w:val="24"/>
          <w:szCs w:val="24"/>
          <w:color w:val="auto"/>
        </w:rPr>
      </w:pPr>
    </w:p>
    <w:p>
      <w:pPr>
        <w:ind w:left="3060"/>
        <w:spacing w:after="0"/>
        <w:rPr>
          <w:sz w:val="20"/>
          <w:szCs w:val="20"/>
          <w:color w:val="auto"/>
        </w:rPr>
      </w:pPr>
      <w:r>
        <w:rPr>
          <w:rFonts w:ascii="Arial" w:cs="Arial" w:eastAsia="Arial" w:hAnsi="Arial"/>
          <w:sz w:val="22"/>
          <w:szCs w:val="22"/>
          <w:b w:val="1"/>
          <w:bCs w:val="1"/>
          <w:color w:val="auto"/>
        </w:rPr>
        <w:t>INFORMATION REQUIRED IN PROXY STATEMENT</w:t>
      </w:r>
    </w:p>
    <w:p>
      <w:pPr>
        <w:spacing w:after="0" w:line="14" w:lineRule="exact"/>
        <w:rPr>
          <w:sz w:val="24"/>
          <w:szCs w:val="24"/>
          <w:color w:val="auto"/>
        </w:rPr>
      </w:pPr>
    </w:p>
    <w:p>
      <w:pPr>
        <w:ind w:left="4080"/>
        <w:spacing w:after="0"/>
        <w:rPr>
          <w:sz w:val="20"/>
          <w:szCs w:val="20"/>
          <w:color w:val="auto"/>
        </w:rPr>
      </w:pPr>
      <w:r>
        <w:rPr>
          <w:rFonts w:ascii="Arial" w:cs="Arial" w:eastAsia="Arial" w:hAnsi="Arial"/>
          <w:sz w:val="22"/>
          <w:szCs w:val="22"/>
          <w:b w:val="1"/>
          <w:bCs w:val="1"/>
          <w:color w:val="auto"/>
        </w:rPr>
        <w:t>SCHEDULE 14A INFORMATION</w:t>
      </w:r>
    </w:p>
    <w:p>
      <w:pPr>
        <w:spacing w:after="0" w:line="74" w:lineRule="exact"/>
        <w:rPr>
          <w:sz w:val="24"/>
          <w:szCs w:val="24"/>
          <w:color w:val="auto"/>
        </w:rPr>
      </w:pPr>
    </w:p>
    <w:p>
      <w:pPr>
        <w:ind w:left="3460"/>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14" w:lineRule="exact"/>
        <w:rPr>
          <w:sz w:val="24"/>
          <w:szCs w:val="24"/>
          <w:color w:val="auto"/>
        </w:rPr>
      </w:pPr>
    </w:p>
    <w:p>
      <w:pPr>
        <w:ind w:left="4240"/>
        <w:spacing w:after="0"/>
        <w:rPr>
          <w:sz w:val="20"/>
          <w:szCs w:val="20"/>
          <w:color w:val="auto"/>
        </w:rPr>
      </w:pPr>
      <w:r>
        <w:rPr>
          <w:rFonts w:ascii="Arial" w:cs="Arial" w:eastAsia="Arial" w:hAnsi="Arial"/>
          <w:sz w:val="22"/>
          <w:szCs w:val="22"/>
          <w:b w:val="1"/>
          <w:bCs w:val="1"/>
          <w:color w:val="auto"/>
        </w:rPr>
        <w:t>Securities Exchange Act of 1934</w:t>
      </w:r>
    </w:p>
    <w:p>
      <w:pPr>
        <w:spacing w:after="0" w:line="115" w:lineRule="exact"/>
        <w:rPr>
          <w:sz w:val="24"/>
          <w:szCs w:val="24"/>
          <w:color w:val="auto"/>
        </w:rPr>
      </w:pPr>
    </w:p>
    <w:p>
      <w:pPr>
        <w:spacing w:after="0" w:line="207" w:lineRule="exact"/>
        <w:tabs>
          <w:tab w:leader="none" w:pos="3020" w:val="left"/>
        </w:tabs>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r>
        <w:rPr>
          <w:sz w:val="20"/>
          <w:szCs w:val="20"/>
          <w:color w:val="auto"/>
        </w:rPr>
        <w:tab/>
      </w:r>
      <w:r>
        <w:rPr>
          <w:rFonts w:ascii="Arial" w:cs="Arial" w:eastAsia="Arial" w:hAnsi="Arial"/>
          <w:sz w:val="15"/>
          <w:szCs w:val="15"/>
          <w:color w:val="auto"/>
        </w:rPr>
        <w:t xml:space="preserve">Filed by a Party other than the Registrant </w:t>
      </w:r>
      <w:r>
        <w:rPr>
          <w:rFonts w:ascii="MS PGothic" w:cs="MS PGothic" w:eastAsia="MS PGothic" w:hAnsi="MS PGothic"/>
          <w:sz w:val="15"/>
          <w:szCs w:val="15"/>
          <w:color w:val="auto"/>
        </w:rPr>
        <w:t>☐</w:t>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1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Preliminary Proxy Statement</w:t>
      </w:r>
    </w:p>
    <w:p>
      <w:pPr>
        <w:spacing w:after="0" w:line="84"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Confidential, for Use of the Commission Only (as permitted by Rule 14a-6(e)(2))</w:t>
      </w:r>
    </w:p>
    <w:p>
      <w:pPr>
        <w:spacing w:after="0" w:line="96"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Proxy Statement</w:t>
      </w:r>
    </w:p>
    <w:p>
      <w:pPr>
        <w:spacing w:after="0" w:line="9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Definitive Additional Materials</w:t>
      </w:r>
    </w:p>
    <w:p>
      <w:pPr>
        <w:spacing w:after="0" w:line="90" w:lineRule="exact"/>
        <w:rPr>
          <w:sz w:val="24"/>
          <w:szCs w:val="24"/>
          <w:color w:val="auto"/>
        </w:rPr>
      </w:pPr>
    </w:p>
    <w:p>
      <w:pPr>
        <w:ind w:left="460" w:hanging="452"/>
        <w:spacing w:after="0"/>
        <w:tabs>
          <w:tab w:leader="none" w:pos="46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§240.14a-12</w:t>
      </w:r>
    </w:p>
    <w:p>
      <w:pPr>
        <w:spacing w:after="0" w:line="1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American Capital Agency Corp.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53975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93" w:lineRule="exact"/>
        <w:rPr>
          <w:sz w:val="24"/>
          <w:szCs w:val="24"/>
          <w:color w:val="auto"/>
        </w:rPr>
      </w:pPr>
    </w:p>
    <w:p>
      <w:pPr>
        <w:jc w:val="center"/>
        <w:ind w:right="-119"/>
        <w:spacing w:after="0"/>
        <w:rPr>
          <w:sz w:val="20"/>
          <w:szCs w:val="20"/>
          <w:color w:val="auto"/>
        </w:rPr>
      </w:pPr>
      <w:r>
        <w:rPr>
          <w:rFonts w:ascii="Arial" w:cs="Arial" w:eastAsia="Arial" w:hAnsi="Arial"/>
          <w:sz w:val="14"/>
          <w:szCs w:val="14"/>
          <w:b w:val="1"/>
          <w:bCs w:val="1"/>
          <w:color w:val="auto"/>
        </w:rPr>
        <w:t>(Name of Registrant as Specified in its Charter)</w:t>
      </w:r>
    </w:p>
    <w:p>
      <w:pPr>
        <w:spacing w:after="0" w:line="154"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12" w:lineRule="exact"/>
        <w:rPr>
          <w:sz w:val="24"/>
          <w:szCs w:val="24"/>
          <w:color w:val="auto"/>
        </w:rPr>
      </w:pPr>
    </w:p>
    <w:p>
      <w:pPr>
        <w:ind w:left="460" w:hanging="452"/>
        <w:spacing w:after="0"/>
        <w:tabs>
          <w:tab w:leader="none" w:pos="46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12" w:lineRule="exact"/>
        <w:rPr>
          <w:sz w:val="24"/>
          <w:szCs w:val="24"/>
          <w:color w:val="auto"/>
        </w:rPr>
      </w:pPr>
    </w:p>
    <w:p>
      <w:pPr>
        <w:ind w:left="460" w:hanging="452"/>
        <w:spacing w:after="0"/>
        <w:tabs>
          <w:tab w:leader="none" w:pos="46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computed on table below per Exchange Act Rules 14a-6(i)(4) and 0-11.</w:t>
      </w:r>
    </w:p>
    <w:p>
      <w:pPr>
        <w:spacing w:after="0" w:line="211" w:lineRule="exact"/>
        <w:rPr>
          <w:rFonts w:ascii="MS PGothic" w:cs="MS PGothic" w:eastAsia="MS PGothic" w:hAnsi="MS PGothic"/>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79"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92" w:lineRule="exact"/>
        <w:rPr>
          <w:rFonts w:ascii="Arial" w:cs="Arial" w:eastAsia="Arial" w:hAnsi="Arial"/>
          <w:sz w:val="18"/>
          <w:szCs w:val="18"/>
          <w:color w:val="auto"/>
        </w:rPr>
      </w:pPr>
    </w:p>
    <w:p>
      <w:pPr>
        <w:ind w:left="900" w:hanging="446"/>
        <w:spacing w:after="0" w:line="268" w:lineRule="auto"/>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53"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79"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295" w:lineRule="exact"/>
        <w:rPr>
          <w:rFonts w:ascii="Arial" w:cs="Arial" w:eastAsia="Arial" w:hAnsi="Arial"/>
          <w:sz w:val="18"/>
          <w:szCs w:val="18"/>
          <w:color w:val="auto"/>
        </w:rPr>
      </w:pPr>
    </w:p>
    <w:p>
      <w:pPr>
        <w:ind w:left="460" w:hanging="452"/>
        <w:spacing w:after="0"/>
        <w:tabs>
          <w:tab w:leader="none" w:pos="460" w:val="left"/>
        </w:tabs>
        <w:numPr>
          <w:ilvl w:val="0"/>
          <w:numId w:val="4"/>
        </w:numPr>
        <w:rPr>
          <w:rFonts w:ascii="MS PGothic" w:cs="MS PGothic" w:eastAsia="MS PGothic" w:hAnsi="MS PGothic"/>
          <w:sz w:val="18"/>
          <w:szCs w:val="18"/>
          <w:color w:val="auto"/>
        </w:rPr>
      </w:pPr>
      <w:r>
        <w:rPr>
          <w:rFonts w:ascii="Arial" w:cs="Arial" w:eastAsia="Arial" w:hAnsi="Arial"/>
          <w:sz w:val="18"/>
          <w:szCs w:val="18"/>
          <w:color w:val="auto"/>
        </w:rPr>
        <w:t>Fee paid previously with preliminary materials</w:t>
      </w:r>
    </w:p>
    <w:p>
      <w:pPr>
        <w:spacing w:after="0" w:line="211" w:lineRule="exact"/>
        <w:rPr>
          <w:rFonts w:ascii="MS PGothic" w:cs="MS PGothic" w:eastAsia="MS PGothic" w:hAnsi="MS PGothic"/>
          <w:sz w:val="18"/>
          <w:szCs w:val="18"/>
          <w:color w:val="auto"/>
        </w:rPr>
      </w:pPr>
    </w:p>
    <w:p>
      <w:pPr>
        <w:ind w:left="460" w:right="600" w:hanging="452"/>
        <w:spacing w:after="0" w:line="332" w:lineRule="auto"/>
        <w:tabs>
          <w:tab w:leader="none" w:pos="460"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25" w:lineRule="exact"/>
        <w:rPr>
          <w:rFonts w:ascii="MS PGothic" w:cs="MS PGothic" w:eastAsia="MS PGothic" w:hAnsi="MS PGothic"/>
          <w:sz w:val="16"/>
          <w:szCs w:val="16"/>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92"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79"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92" w:lineRule="exact"/>
        <w:rPr>
          <w:rFonts w:ascii="Arial" w:cs="Arial" w:eastAsia="Arial" w:hAnsi="Arial"/>
          <w:sz w:val="18"/>
          <w:szCs w:val="18"/>
          <w:color w:val="auto"/>
        </w:rPr>
      </w:pPr>
    </w:p>
    <w:p>
      <w:pPr>
        <w:ind w:left="900" w:hanging="446"/>
        <w:spacing w:after="0"/>
        <w:tabs>
          <w:tab w:leader="none" w:pos="900" w:val="left"/>
        </w:tabs>
        <w:numPr>
          <w:ilvl w:val="1"/>
          <w:numId w:val="4"/>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296545</wp:posOffset>
            </wp:positionH>
            <wp:positionV relativeFrom="paragraph">
              <wp:posOffset>-3289935</wp:posOffset>
            </wp:positionV>
            <wp:extent cx="69551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-2972435</wp:posOffset>
            </wp:positionV>
            <wp:extent cx="69551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-2518410</wp:posOffset>
            </wp:positionV>
            <wp:extent cx="695515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-2209165</wp:posOffset>
            </wp:positionV>
            <wp:extent cx="695515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-1892300</wp:posOffset>
            </wp:positionV>
            <wp:extent cx="69551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-777240</wp:posOffset>
            </wp:positionV>
            <wp:extent cx="69551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-468630</wp:posOffset>
            </wp:positionV>
            <wp:extent cx="69551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-151130</wp:posOffset>
            </wp:positionV>
            <wp:extent cx="695515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55155" cy="8890"/>
                    </a:xfrm>
                    <a:prstGeom prst="rect">
                      <a:avLst/>
                    </a:prstGeom>
                    <a:noFill/>
                  </pic:spPr>
                </pic:pic>
              </a:graphicData>
            </a:graphic>
          </wp:anchor>
        </w:drawing>
        <w:drawing>
          <wp:anchor simplePos="0" relativeHeight="251657728" behindDoc="1" locked="0" layoutInCell="0" allowOverlap="1">
            <wp:simplePos x="0" y="0"/>
            <wp:positionH relativeFrom="column">
              <wp:posOffset>296545</wp:posOffset>
            </wp:positionH>
            <wp:positionV relativeFrom="paragraph">
              <wp:posOffset>165735</wp:posOffset>
            </wp:positionV>
            <wp:extent cx="695515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955155" cy="8890"/>
                    </a:xfrm>
                    <a:prstGeom prst="rect">
                      <a:avLst/>
                    </a:prstGeom>
                    <a:noFill/>
                  </pic:spPr>
                </pic:pic>
              </a:graphicData>
            </a:graphic>
          </wp:anchor>
        </w:drawing>
      </w:r>
    </w:p>
    <w:p>
      <w:pPr>
        <w:sectPr>
          <w:pgSz w:w="11900" w:h="16838" w:orient="portrait"/>
          <w:cols w:equalWidth="0" w:num="1">
            <w:col w:w="11320"/>
          </w:cols>
          <w:pgMar w:left="240" w:top="219" w:right="339" w:bottom="1440" w:gutter="0" w:footer="0" w:header="0"/>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9436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943610"/>
                    </a:xfrm>
                    <a:prstGeom prst="rect">
                      <a:avLst/>
                    </a:prstGeom>
                    <a:noFill/>
                  </pic:spPr>
                </pic:pic>
              </a:graphicData>
            </a:graphic>
          </wp:anchor>
        </w:drawing>
      </w:r>
    </w:p>
    <w:p>
      <w:pPr>
        <w:spacing w:after="0" w:line="214"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AMERICAN CAPITAL AGENCY CORP.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118110</wp:posOffset>
            </wp:positionV>
            <wp:extent cx="151765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4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NOTICE TO STOCKHOLDERS</w:t>
      </w:r>
    </w:p>
    <w:p>
      <w:pPr>
        <w:spacing w:after="0" w:line="21"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REGARDING OUR 2011 ANNUAL MEETING OF STOCKHOLDERS</w:t>
      </w:r>
    </w:p>
    <w:p>
      <w:pPr>
        <w:spacing w:after="0" w:line="32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Some of our stockholders may have received a notice regarding our 2011 Annual Meeting of Stockholders (“Annual Meeting”) that stated the Annual Meeting was to be held on April 25, 2011 for stockholders of record as of March 4, 2011. This notice is to advise you that we are setting a new meeting date and record date and you should ignore the prior communication.</w:t>
      </w:r>
    </w:p>
    <w:p>
      <w:pPr>
        <w:spacing w:after="0" w:line="140"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In connection with our Annual Meeting, we will be filing a preliminary proxy statement (the “Preliminary Proxy Statement”) with the Securities and Exchange Commission (the “SEC”). We will also be filing a definitive proxy statement (the “Definitive Proxy Statement” and collectively with the Preliminary Proxy Statement, the “Proxy Statement”) that will include the new meeting date and record date. STOCKHOLDERS ARE URGED TO READ THE PROXY STATEMENT CAREFULLY WHEN AVAILABLE BECAUSE IT WILL CONTAIN IMPORTANT INFORMATION. OUR DIRECTORS AND EXECUTIVE OFFICERS ARE PARTICIPANTS IN THE SOLICITATION OF PROXIES IN CONNECTION WITH OUR ANNUAL MEETING AND INFORMATION CONCERNING SUCH PARTICIPANTS AND ANY INTERESTS THEY MAY HAVE IN US WILL BE SET FORTH IN THE PROXY STATEMENT.</w:t>
      </w:r>
    </w:p>
    <w:p>
      <w:pPr>
        <w:spacing w:after="0" w:line="120"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Proxy Statement will be available at no charge on the SEC’s website at http://www.sec.gov. In addition, we will provide copies of the Proxy Statement without charge upon request. Requests for copies should be directed to: American Capital Agency Corp., 2 Bethesda Metro Center, 14</w:t>
      </w:r>
      <w:r>
        <w:rPr>
          <w:rFonts w:ascii="Arial" w:cs="Arial" w:eastAsia="Arial" w:hAnsi="Arial"/>
          <w:sz w:val="11"/>
          <w:szCs w:val="11"/>
          <w:color w:val="auto"/>
        </w:rPr>
        <w:t>th</w:t>
      </w:r>
      <w:r>
        <w:rPr>
          <w:rFonts w:ascii="Arial" w:cs="Arial" w:eastAsia="Arial" w:hAnsi="Arial"/>
          <w:sz w:val="18"/>
          <w:szCs w:val="18"/>
          <w:color w:val="auto"/>
        </w:rPr>
        <w:t xml:space="preserve"> Floor, Bethesda, MD 20814, telephone number (301) 968-9300.</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Samuel A. Flax</w:t>
      </w:r>
    </w:p>
    <w:p>
      <w:pPr>
        <w:spacing w:after="0" w:line="1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Executive Vice President and Secretary</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March 16, 2011</w:t>
      </w:r>
    </w:p>
    <w:sectPr>
      <w:pgSz w:w="11900" w:h="16838" w:orient="portrait"/>
      <w:cols w:equalWidth="0" w:num="1">
        <w:col w:w="11360"/>
      </w:cols>
      <w:pgMar w:left="240" w:top="1440" w:right="2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2019-12-11T04:56:26Z</dcterms:created>
  <dcterms:modified xsi:type="dcterms:W3CDTF">2019-12-11T04:56:26Z</dcterms:modified>
</cp:coreProperties>
</file>