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165"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165" cy="9829165"/>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7"/>
          <w:szCs w:val="17"/>
          <w:color w:val="FFFFFF"/>
        </w:rPr>
        <w:t>YEARS</w:t>
      </w:r>
      <w:r>
        <w:rPr>
          <w:sz w:val="1"/>
          <w:szCs w:val="1"/>
          <w:color w:val="auto"/>
        </w:rPr>
        <w:drawing>
          <wp:inline distT="0" distB="0" distL="0" distR="0">
            <wp:extent cx="76200" cy="95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0" cy="95250"/>
                    </a:xfrm>
                    <a:prstGeom prst="rect">
                      <a:avLst/>
                    </a:prstGeom>
                    <a:noFill/>
                    <a:ln>
                      <a:noFill/>
                    </a:ln>
                  </pic:spPr>
                </pic:pic>
              </a:graphicData>
            </a:graphic>
          </wp:inline>
        </w:drawing>
        <w:drawing>
          <wp:inline distT="0" distB="0" distL="0" distR="0">
            <wp:extent cx="76200"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0" cy="142875"/>
                    </a:xfrm>
                    <a:prstGeom prst="rect">
                      <a:avLst/>
                    </a:prstGeom>
                    <a:noFill/>
                    <a:ln>
                      <a:noFill/>
                    </a:ln>
                  </pic:spPr>
                </pic:pic>
              </a:graphicData>
            </a:graphic>
          </wp:inline>
        </w:drawing>
        <w:drawing>
          <wp:inline distT="0" distB="0" distL="0" distR="0">
            <wp:extent cx="60960" cy="1473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960" cy="147320"/>
                    </a:xfrm>
                    <a:prstGeom prst="rect">
                      <a:avLst/>
                    </a:prstGeom>
                    <a:noFill/>
                    <a:ln>
                      <a:noFill/>
                    </a:ln>
                  </pic:spPr>
                </pic:pic>
              </a:graphicData>
            </a:graphic>
          </wp:inline>
        </w:drawing>
        <w:drawing>
          <wp:inline distT="0" distB="0" distL="0" distR="0">
            <wp:extent cx="60325" cy="1708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25" cy="170815"/>
                    </a:xfrm>
                    <a:prstGeom prst="rect">
                      <a:avLst/>
                    </a:prstGeom>
                    <a:noFill/>
                    <a:ln>
                      <a:noFill/>
                    </a:ln>
                  </pic:spPr>
                </pic:pic>
              </a:graphicData>
            </a:graphic>
          </wp:inline>
        </w:drawing>
        <w:drawing>
          <wp:inline distT="0" distB="0" distL="0" distR="0">
            <wp:extent cx="64135" cy="1422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35" cy="142240"/>
                    </a:xfrm>
                    <a:prstGeom prst="rect">
                      <a:avLst/>
                    </a:prstGeom>
                    <a:noFill/>
                    <a:ln>
                      <a:noFill/>
                    </a:ln>
                  </pic:spPr>
                </pic:pic>
              </a:graphicData>
            </a:graphic>
          </wp:inline>
        </w:drawing>
        <w:drawing>
          <wp:inline distT="0" distB="0" distL="0" distR="0">
            <wp:extent cx="56515" cy="819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15" cy="81915"/>
                    </a:xfrm>
                    <a:prstGeom prst="rect">
                      <a:avLst/>
                    </a:prstGeom>
                    <a:noFill/>
                    <a:ln>
                      <a:noFill/>
                    </a:ln>
                  </pic:spPr>
                </pic:pic>
              </a:graphicData>
            </a:graphic>
          </wp:inline>
        </w:drawing>
        <w:drawing>
          <wp:inline distT="0" distB="0" distL="0" distR="0">
            <wp:extent cx="33020" cy="330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33020"/>
                    </a:xfrm>
                    <a:prstGeom prst="rect">
                      <a:avLst/>
                    </a:prstGeom>
                    <a:noFill/>
                    <a:ln>
                      <a:noFill/>
                    </a:ln>
                  </pic:spPr>
                </pic:pic>
              </a:graphicData>
            </a:graphic>
          </wp:inline>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Arial" w:cs="Arial" w:eastAsia="Arial" w:hAnsi="Arial"/>
          <w:sz w:val="48"/>
          <w:szCs w:val="48"/>
          <w:color w:val="FFFFFF"/>
        </w:rPr>
        <w:t>THE PREMIER AGENCY</w:t>
      </w:r>
    </w:p>
    <w:p>
      <w:pPr>
        <w:ind w:left="2200"/>
        <w:spacing w:after="0"/>
        <w:rPr>
          <w:sz w:val="20"/>
          <w:szCs w:val="20"/>
          <w:color w:val="auto"/>
        </w:rPr>
      </w:pPr>
      <w:r>
        <w:rPr>
          <w:rFonts w:ascii="Arial" w:cs="Arial" w:eastAsia="Arial" w:hAnsi="Arial"/>
          <w:sz w:val="48"/>
          <w:szCs w:val="48"/>
          <w:color w:val="FFFFFF"/>
        </w:rPr>
        <w:t>RESIDENTIAL MORTGAGE REIT</w:t>
      </w:r>
    </w:p>
    <w:p>
      <w:pPr>
        <w:sectPr>
          <w:pgSz w:w="11880" w:h="15479" w:orient="portrait"/>
          <w:cols w:equalWidth="0" w:num="1">
            <w:col w:w="10460"/>
          </w:cols>
          <w:pgMar w:left="740" w:top="1440" w:right="679" w:bottom="925"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165" cy="35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43165"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034"/>
        </w:trPr>
        <w:tc>
          <w:tcPr>
            <w:tcW w:w="372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60"/>
                <w:szCs w:val="60"/>
                <w:color w:val="FFFFFF"/>
              </w:rPr>
              <w:t>$6.8B</w:t>
            </w:r>
          </w:p>
        </w:tc>
        <w:tc>
          <w:tcPr>
            <w:tcW w:w="430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60"/>
                <w:szCs w:val="60"/>
                <w:color w:val="FFFFFF"/>
              </w:rPr>
              <w:t>May 2008</w:t>
            </w:r>
          </w:p>
        </w:tc>
        <w:tc>
          <w:tcPr>
            <w:tcW w:w="386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60"/>
                <w:szCs w:val="60"/>
                <w:color w:val="FFFFFF"/>
              </w:rPr>
              <w:t>$60.2B</w:t>
            </w:r>
          </w:p>
        </w:tc>
      </w:tr>
      <w:tr>
        <w:trPr>
          <w:trHeight w:val="261"/>
        </w:trPr>
        <w:tc>
          <w:tcPr>
            <w:tcW w:w="372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MARKET</w:t>
            </w:r>
          </w:p>
        </w:tc>
        <w:tc>
          <w:tcPr>
            <w:tcW w:w="430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INITIAL PUBLIC</w:t>
            </w:r>
          </w:p>
        </w:tc>
        <w:tc>
          <w:tcPr>
            <w:tcW w:w="386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INVESTMENT</w:t>
            </w:r>
          </w:p>
        </w:tc>
      </w:tr>
      <w:tr>
        <w:trPr>
          <w:trHeight w:val="427"/>
        </w:trPr>
        <w:tc>
          <w:tcPr>
            <w:tcW w:w="372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CAPITALIZATION</w:t>
            </w:r>
            <w:r>
              <w:rPr>
                <w:rFonts w:ascii="Arial" w:cs="Arial" w:eastAsia="Arial" w:hAnsi="Arial"/>
                <w:sz w:val="11"/>
                <w:szCs w:val="11"/>
                <w:color w:val="FFFFFF"/>
              </w:rPr>
              <w:t>1</w:t>
            </w:r>
          </w:p>
        </w:tc>
        <w:tc>
          <w:tcPr>
            <w:tcW w:w="430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OFFERING</w:t>
            </w:r>
          </w:p>
        </w:tc>
        <w:tc>
          <w:tcPr>
            <w:tcW w:w="386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PORTFOLIO</w:t>
            </w:r>
            <w:r>
              <w:rPr>
                <w:rFonts w:ascii="Arial" w:cs="Arial" w:eastAsia="Arial" w:hAnsi="Arial"/>
                <w:sz w:val="11"/>
                <w:szCs w:val="11"/>
                <w:color w:val="FFFFFF"/>
              </w:rPr>
              <w:t>1</w:t>
            </w:r>
          </w:p>
        </w:tc>
      </w:tr>
      <w:tr>
        <w:trPr>
          <w:trHeight w:val="1001"/>
        </w:trPr>
        <w:tc>
          <w:tcPr>
            <w:tcW w:w="372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60"/>
                <w:szCs w:val="60"/>
                <w:color w:val="FFFFFF"/>
              </w:rPr>
              <w:t>349%</w:t>
            </w:r>
          </w:p>
        </w:tc>
        <w:tc>
          <w:tcPr>
            <w:tcW w:w="4300" w:type="dxa"/>
            <w:vAlign w:val="bottom"/>
            <w:shd w:val="clear" w:color="auto" w:fill="000000"/>
          </w:tcPr>
          <w:p>
            <w:pPr>
              <w:jc w:val="right"/>
              <w:ind w:right="1565"/>
              <w:spacing w:after="0"/>
              <w:rPr>
                <w:sz w:val="20"/>
                <w:szCs w:val="20"/>
                <w:color w:val="auto"/>
              </w:rPr>
            </w:pPr>
            <w:r>
              <w:rPr>
                <w:rFonts w:ascii="Times New Roman" w:cs="Times New Roman" w:eastAsia="Times New Roman" w:hAnsi="Times New Roman"/>
                <w:sz w:val="60"/>
                <w:szCs w:val="60"/>
                <w:color w:val="FFFFFF"/>
              </w:rPr>
              <w:t>53</w:t>
            </w:r>
          </w:p>
        </w:tc>
        <w:tc>
          <w:tcPr>
            <w:tcW w:w="386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60"/>
                <w:szCs w:val="60"/>
                <w:color w:val="FFFFFF"/>
              </w:rPr>
              <w:t>97%</w:t>
            </w:r>
          </w:p>
        </w:tc>
      </w:tr>
      <w:tr>
        <w:trPr>
          <w:trHeight w:val="261"/>
        </w:trPr>
        <w:tc>
          <w:tcPr>
            <w:tcW w:w="372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TOTAL STOCK</w:t>
            </w:r>
          </w:p>
        </w:tc>
        <w:tc>
          <w:tcPr>
            <w:tcW w:w="430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EMPLOYEES</w:t>
            </w:r>
            <w:r>
              <w:rPr>
                <w:rFonts w:ascii="Arial" w:cs="Arial" w:eastAsia="Arial" w:hAnsi="Arial"/>
                <w:sz w:val="11"/>
                <w:szCs w:val="11"/>
                <w:color w:val="FFFFFF"/>
              </w:rPr>
              <w:t>1</w:t>
            </w:r>
          </w:p>
        </w:tc>
        <w:tc>
          <w:tcPr>
            <w:tcW w:w="386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FIXED RATE</w:t>
            </w:r>
          </w:p>
        </w:tc>
      </w:tr>
      <w:tr>
        <w:trPr>
          <w:trHeight w:val="427"/>
        </w:trPr>
        <w:tc>
          <w:tcPr>
            <w:tcW w:w="372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RETURN SINCE IPO</w:t>
            </w:r>
            <w:r>
              <w:rPr>
                <w:rFonts w:ascii="Arial" w:cs="Arial" w:eastAsia="Arial" w:hAnsi="Arial"/>
                <w:sz w:val="11"/>
                <w:szCs w:val="11"/>
                <w:color w:val="FFFFFF"/>
              </w:rPr>
              <w:t>2</w:t>
            </w:r>
          </w:p>
        </w:tc>
        <w:tc>
          <w:tcPr>
            <w:tcW w:w="4300" w:type="dxa"/>
            <w:vAlign w:val="bottom"/>
            <w:shd w:val="clear" w:color="auto" w:fill="000000"/>
          </w:tcPr>
          <w:p>
            <w:pPr>
              <w:spacing w:after="0"/>
              <w:rPr>
                <w:sz w:val="24"/>
                <w:szCs w:val="24"/>
                <w:color w:val="auto"/>
              </w:rPr>
            </w:pPr>
          </w:p>
        </w:tc>
        <w:tc>
          <w:tcPr>
            <w:tcW w:w="386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AGENCY MBS</w:t>
            </w:r>
            <w:r>
              <w:rPr>
                <w:rFonts w:ascii="Arial" w:cs="Arial" w:eastAsia="Arial" w:hAnsi="Arial"/>
                <w:sz w:val="11"/>
                <w:szCs w:val="11"/>
                <w:color w:val="FFFFFF"/>
              </w:rPr>
              <w:t>1</w:t>
            </w:r>
          </w:p>
        </w:tc>
      </w:tr>
      <w:tr>
        <w:trPr>
          <w:trHeight w:val="1001"/>
        </w:trPr>
        <w:tc>
          <w:tcPr>
            <w:tcW w:w="372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60"/>
                <w:szCs w:val="60"/>
                <w:color w:val="FFFFFF"/>
                <w:w w:val="95"/>
              </w:rPr>
              <w:t>14.7%</w:t>
            </w:r>
          </w:p>
        </w:tc>
        <w:tc>
          <w:tcPr>
            <w:tcW w:w="4300" w:type="dxa"/>
            <w:vAlign w:val="bottom"/>
            <w:shd w:val="clear" w:color="auto" w:fill="000000"/>
          </w:tcPr>
          <w:p>
            <w:pPr>
              <w:jc w:val="right"/>
              <w:ind w:right="1185"/>
              <w:spacing w:after="0"/>
              <w:rPr>
                <w:sz w:val="20"/>
                <w:szCs w:val="20"/>
                <w:color w:val="auto"/>
              </w:rPr>
            </w:pPr>
            <w:r>
              <w:rPr>
                <w:rFonts w:ascii="Times New Roman" w:cs="Times New Roman" w:eastAsia="Times New Roman" w:hAnsi="Times New Roman"/>
                <w:sz w:val="60"/>
                <w:szCs w:val="60"/>
                <w:color w:val="FFFFFF"/>
              </w:rPr>
              <w:t>1.23%</w:t>
            </w:r>
          </w:p>
        </w:tc>
        <w:tc>
          <w:tcPr>
            <w:tcW w:w="386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60"/>
                <w:szCs w:val="60"/>
                <w:color w:val="FFFFFF"/>
              </w:rPr>
              <w:t>310,000+</w:t>
            </w:r>
          </w:p>
        </w:tc>
      </w:tr>
      <w:tr>
        <w:trPr>
          <w:trHeight w:val="261"/>
        </w:trPr>
        <w:tc>
          <w:tcPr>
            <w:tcW w:w="372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DIVIDEND</w:t>
            </w:r>
          </w:p>
        </w:tc>
        <w:tc>
          <w:tcPr>
            <w:tcW w:w="430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OPERATING</w:t>
            </w:r>
          </w:p>
        </w:tc>
        <w:tc>
          <w:tcPr>
            <w:tcW w:w="386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HOMES</w:t>
            </w:r>
          </w:p>
        </w:tc>
      </w:tr>
      <w:tr>
        <w:trPr>
          <w:trHeight w:val="427"/>
        </w:trPr>
        <w:tc>
          <w:tcPr>
            <w:tcW w:w="372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YIELD</w:t>
            </w:r>
            <w:r>
              <w:rPr>
                <w:rFonts w:ascii="Arial" w:cs="Arial" w:eastAsia="Arial" w:hAnsi="Arial"/>
                <w:sz w:val="11"/>
                <w:szCs w:val="11"/>
                <w:color w:val="FFFFFF"/>
              </w:rPr>
              <w:t>1</w:t>
            </w:r>
          </w:p>
        </w:tc>
        <w:tc>
          <w:tcPr>
            <w:tcW w:w="430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COST STRUCTURE</w:t>
            </w:r>
            <w:r>
              <w:rPr>
                <w:rFonts w:ascii="Arial" w:cs="Arial" w:eastAsia="Arial" w:hAnsi="Arial"/>
                <w:sz w:val="11"/>
                <w:szCs w:val="11"/>
                <w:color w:val="FFFFFF"/>
              </w:rPr>
              <w:t>3</w:t>
            </w:r>
          </w:p>
        </w:tc>
        <w:tc>
          <w:tcPr>
            <w:tcW w:w="3860" w:type="dxa"/>
            <w:vAlign w:val="bottom"/>
            <w:shd w:val="clear" w:color="auto" w:fill="000000"/>
          </w:tcPr>
          <w:p>
            <w:pPr>
              <w:jc w:val="center"/>
              <w:spacing w:after="0"/>
              <w:rPr>
                <w:sz w:val="20"/>
                <w:szCs w:val="20"/>
                <w:color w:val="auto"/>
              </w:rPr>
            </w:pPr>
            <w:r>
              <w:rPr>
                <w:rFonts w:ascii="Arial" w:cs="Arial" w:eastAsia="Arial" w:hAnsi="Arial"/>
                <w:sz w:val="20"/>
                <w:szCs w:val="20"/>
                <w:color w:val="FFFFFF"/>
              </w:rPr>
              <w:t>FINANCED</w:t>
            </w:r>
            <w:r>
              <w:rPr>
                <w:rFonts w:ascii="Arial" w:cs="Arial" w:eastAsia="Arial" w:hAnsi="Arial"/>
                <w:sz w:val="11"/>
                <w:szCs w:val="11"/>
                <w:color w:val="FFFFFF"/>
              </w:rPr>
              <w:t>4</w:t>
            </w:r>
          </w:p>
        </w:tc>
      </w:tr>
      <w:tr>
        <w:trPr>
          <w:trHeight w:val="8358"/>
        </w:trPr>
        <w:tc>
          <w:tcPr>
            <w:tcW w:w="3720" w:type="dxa"/>
            <w:vAlign w:val="bottom"/>
            <w:shd w:val="clear" w:color="auto" w:fill="000000"/>
          </w:tcPr>
          <w:p>
            <w:pPr>
              <w:spacing w:after="0"/>
              <w:rPr>
                <w:sz w:val="24"/>
                <w:szCs w:val="24"/>
                <w:color w:val="auto"/>
              </w:rPr>
            </w:pPr>
          </w:p>
        </w:tc>
        <w:tc>
          <w:tcPr>
            <w:tcW w:w="4300" w:type="dxa"/>
            <w:vAlign w:val="bottom"/>
            <w:shd w:val="clear" w:color="auto" w:fill="000000"/>
          </w:tcPr>
          <w:p>
            <w:pPr>
              <w:spacing w:after="0"/>
              <w:rPr>
                <w:sz w:val="24"/>
                <w:szCs w:val="24"/>
                <w:color w:val="auto"/>
              </w:rPr>
            </w:pPr>
          </w:p>
        </w:tc>
        <w:tc>
          <w:tcPr>
            <w:tcW w:w="386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-4342765</wp:posOffset>
            </wp:positionV>
            <wp:extent cx="7543165" cy="4343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543165" cy="4343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-9805035</wp:posOffset>
            </wp:positionV>
            <wp:extent cx="7543165" cy="964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43165" cy="9645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-9805035</wp:posOffset>
            </wp:positionV>
            <wp:extent cx="7543165" cy="964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43165" cy="9645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2317115</wp:posOffset>
                </wp:positionH>
                <wp:positionV relativeFrom="paragraph">
                  <wp:posOffset>-8306435</wp:posOffset>
                </wp:positionV>
                <wp:extent cx="0" cy="298069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80690"/>
                        </a:xfrm>
                        <a:prstGeom prst="line">
                          <a:avLst/>
                        </a:prstGeom>
                        <a:solidFill>
                          <a:srgbClr val="FFFFFF"/>
                        </a:solidFill>
                        <a:ln w="3175">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45pt,-654.0499pt" to="182.45pt,-419.3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5199380</wp:posOffset>
                </wp:positionH>
                <wp:positionV relativeFrom="paragraph">
                  <wp:posOffset>-8388985</wp:posOffset>
                </wp:positionV>
                <wp:extent cx="0" cy="298069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80690"/>
                        </a:xfrm>
                        <a:prstGeom prst="line">
                          <a:avLst/>
                        </a:prstGeom>
                        <a:solidFill>
                          <a:srgbClr val="FFFFFF"/>
                        </a:solidFill>
                        <a:ln w="3175">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4pt,-660.5499pt" to="409.4pt,-425.8499pt" o:allowincell="f" strokecolor="#FFFFFF" strokeweight="0.25pt"/>
            </w:pict>
          </mc:Fallback>
        </mc:AlternateContent>
      </w:r>
    </w:p>
    <w:p>
      <w:pPr>
        <w:sectPr>
          <w:pgSz w:w="11880" w:h="15679" w:orient="portrait"/>
          <w:cols w:equalWidth="0" w:num="1">
            <w:col w:w="11879"/>
          </w:cols>
          <w:pgMar w:left="0" w:top="20" w:right="0" w:bottom="0" w:gutter="0" w:footer="0" w:header="0"/>
        </w:sectPr>
      </w:pPr>
    </w:p>
    <w:bookmarkStart w:id="2" w:name="page3"/>
    <w:bookmarkEnd w:id="2"/>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165" cy="622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7543165" cy="622300"/>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3C60AC"/>
        </w:rPr>
        <w:t>DEAR FELLOW STOCKHOLDERS:</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color w:val="595959"/>
        </w:rPr>
        <w:t>In 2023, we recognized another major milestone in AGNC Investment Corp.’s (“AGNC,” “we,” or “our”) history –</w:t>
      </w:r>
    </w:p>
    <w:p>
      <w:pPr>
        <w:spacing w:after="0" w:line="50" w:lineRule="exact"/>
        <w:rPr>
          <w:sz w:val="20"/>
          <w:szCs w:val="20"/>
          <w:color w:val="auto"/>
        </w:rPr>
      </w:pPr>
    </w:p>
    <w:p>
      <w:pPr>
        <w:jc w:val="both"/>
        <w:ind w:right="40"/>
        <w:spacing w:after="0" w:line="498" w:lineRule="auto"/>
        <w:rPr>
          <w:sz w:val="20"/>
          <w:szCs w:val="20"/>
          <w:color w:val="auto"/>
        </w:rPr>
      </w:pPr>
      <w:r>
        <w:rPr>
          <w:rFonts w:ascii="Arial" w:cs="Arial" w:eastAsia="Arial" w:hAnsi="Arial"/>
          <w:sz w:val="20"/>
          <w:szCs w:val="20"/>
          <w:color w:val="595959"/>
        </w:rPr>
        <w:t>our 15-year anniversary, which we celebrated by ringing the Nasdaq opening bell on May 15th. This occasion provided the perfect opportunity to reflect upon our successful long-term track record and the benefits of our focused strategy.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101600</wp:posOffset>
                </wp:positionH>
                <wp:positionV relativeFrom="paragraph">
                  <wp:posOffset>-48260</wp:posOffset>
                </wp:positionV>
                <wp:extent cx="659701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701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3.7999pt" to="527.45pt,-3.7999pt" o:allowincell="f" strokecolor="#000000" strokeweight="0.25pt"/>
            </w:pict>
          </mc:Fallback>
        </mc:AlternateContent>
      </w:r>
    </w:p>
    <w:p>
      <w:pPr>
        <w:spacing w:after="0" w:line="53" w:lineRule="exact"/>
        <w:rPr>
          <w:sz w:val="20"/>
          <w:szCs w:val="20"/>
          <w:color w:val="auto"/>
        </w:rPr>
      </w:pPr>
    </w:p>
    <w:p>
      <w:pPr>
        <w:jc w:val="center"/>
        <w:ind w:right="20"/>
        <w:spacing w:after="0" w:line="306" w:lineRule="auto"/>
        <w:rPr>
          <w:sz w:val="20"/>
          <w:szCs w:val="20"/>
          <w:color w:val="auto"/>
        </w:rPr>
      </w:pPr>
      <w:r>
        <w:rPr>
          <w:rFonts w:ascii="Times New Roman" w:cs="Times New Roman" w:eastAsia="Times New Roman" w:hAnsi="Times New Roman"/>
          <w:sz w:val="24"/>
          <w:szCs w:val="24"/>
          <w:color w:val="3C60AC"/>
        </w:rPr>
        <w:t>AGNC is an internally managed mortgage REIT built with the objective of generating favorable long-term stockholder returns with a substantial yield component through levered investments in Agency residential mortgage-backed securities.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101600</wp:posOffset>
                </wp:positionH>
                <wp:positionV relativeFrom="paragraph">
                  <wp:posOffset>43815</wp:posOffset>
                </wp:positionV>
                <wp:extent cx="659574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5745"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3.45pt" to="527.35pt,3.45pt" o:allowincell="f" strokecolor="#000000" strokeweight="0.25pt"/>
            </w:pict>
          </mc:Fallback>
        </mc:AlternateContent>
      </w: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THE FIRST 15 YEARS</w:t>
      </w:r>
    </w:p>
    <w:p>
      <w:pPr>
        <w:spacing w:after="0" w:line="146" w:lineRule="exact"/>
        <w:rPr>
          <w:sz w:val="20"/>
          <w:szCs w:val="20"/>
          <w:color w:val="auto"/>
        </w:rPr>
      </w:pPr>
    </w:p>
    <w:p>
      <w:pPr>
        <w:spacing w:after="0" w:line="294" w:lineRule="auto"/>
        <w:rPr>
          <w:sz w:val="20"/>
          <w:szCs w:val="20"/>
          <w:color w:val="auto"/>
        </w:rPr>
      </w:pPr>
      <w:r>
        <w:rPr>
          <w:rFonts w:ascii="Arial" w:cs="Arial" w:eastAsia="Arial" w:hAnsi="Arial"/>
          <w:sz w:val="20"/>
          <w:szCs w:val="20"/>
          <w:color w:val="595959"/>
        </w:rPr>
        <w:t xml:space="preserve">AGNC was formed in May 2008 – in the midst of the Great Financial Crisis – when our founders saw an opportunity to create a best-in-class investor in Agency mortgage-backed securities (“Agency MBS”) with a differentiated approach. Since our inception, AGNC has generated a </w:t>
      </w:r>
      <w:r>
        <w:rPr>
          <w:rFonts w:ascii="Arial" w:cs="Arial" w:eastAsia="Arial" w:hAnsi="Arial"/>
          <w:sz w:val="20"/>
          <w:szCs w:val="20"/>
          <w:b w:val="1"/>
          <w:bCs w:val="1"/>
          <w:color w:val="595959"/>
        </w:rPr>
        <w:t>total stock return of 349%, or 10.1% on an annualized basis,</w:t>
      </w:r>
      <w:r>
        <w:rPr>
          <w:rFonts w:ascii="Arial" w:cs="Arial" w:eastAsia="Arial" w:hAnsi="Arial"/>
          <w:sz w:val="20"/>
          <w:szCs w:val="20"/>
          <w:color w:val="595959"/>
        </w:rPr>
        <w:t xml:space="preserve"> significantly outperforming the broader Financials and Real Estate sectors, as well as the Mortgage REIT sub-sector.2 Over this time, AGNC has paid </w:t>
      </w:r>
      <w:r>
        <w:rPr>
          <w:rFonts w:ascii="Arial" w:cs="Arial" w:eastAsia="Arial" w:hAnsi="Arial"/>
          <w:sz w:val="20"/>
          <w:szCs w:val="20"/>
          <w:b w:val="1"/>
          <w:bCs w:val="1"/>
          <w:color w:val="595959"/>
        </w:rPr>
        <w:t>over $12 billion in common stock dividends,</w:t>
      </w:r>
      <w:r>
        <w:rPr>
          <w:rFonts w:ascii="Arial" w:cs="Arial" w:eastAsia="Arial" w:hAnsi="Arial"/>
          <w:sz w:val="20"/>
          <w:szCs w:val="20"/>
          <w:color w:val="595959"/>
        </w:rPr>
        <w:t xml:space="preserve"> providing substantial current income for stockholders. Notably, we have achieved these industry-leading results over a period that has included several challenging market cycles – particularly across fixed income – and numerous exogenous events, highlighting the durability of our business model. AGNC’s track record of success is a testament to our team’s asset selection expertise, risk management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595959"/>
        </w:rPr>
        <w:t>discipline, and unwavering commitment to responsible stewardship of our stockholders’ capital.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6843395</wp:posOffset>
                </wp:positionH>
                <wp:positionV relativeFrom="paragraph">
                  <wp:posOffset>533400</wp:posOffset>
                </wp:positionV>
                <wp:extent cx="0" cy="274320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0"/>
                        </a:xfrm>
                        <a:prstGeom prst="line">
                          <a:avLst/>
                        </a:prstGeom>
                        <a:solidFill>
                          <a:srgbClr val="FFFFFF"/>
                        </a:solidFill>
                        <a:ln w="3175">
                          <a:solidFill>
                            <a:srgbClr val="3C60AC"/>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8.85pt,42pt" to="538.85pt,258pt" o:allowincell="f" strokecolor="#3C60AC" strokeweight="0.2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534670</wp:posOffset>
                </wp:positionV>
                <wp:extent cx="684466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4665" cy="4763"/>
                        </a:xfrm>
                        <a:prstGeom prst="line">
                          <a:avLst/>
                        </a:prstGeom>
                        <a:solidFill>
                          <a:srgbClr val="FFFFFF"/>
                        </a:solidFill>
                        <a:ln w="3175">
                          <a:solidFill>
                            <a:srgbClr val="3C60AC"/>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1pt" to="538.95pt,42.1pt" o:allowincell="f" strokecolor="#3C60AC" strokeweight="0.25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533400</wp:posOffset>
                </wp:positionV>
                <wp:extent cx="0" cy="274320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43200"/>
                        </a:xfrm>
                        <a:prstGeom prst="line">
                          <a:avLst/>
                        </a:prstGeom>
                        <a:solidFill>
                          <a:srgbClr val="FFFFFF"/>
                        </a:solidFill>
                        <a:ln w="3175">
                          <a:solidFill>
                            <a:srgbClr val="3C60AC"/>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42pt" to="0.1pt,258pt" o:allowincell="f" strokecolor="#3C60AC" strokeweight="0.2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3274695</wp:posOffset>
                </wp:positionV>
                <wp:extent cx="684466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4665" cy="4763"/>
                        </a:xfrm>
                        <a:prstGeom prst="line">
                          <a:avLst/>
                        </a:prstGeom>
                        <a:solidFill>
                          <a:srgbClr val="FFFFFF"/>
                        </a:solidFill>
                        <a:ln w="3175">
                          <a:solidFill>
                            <a:srgbClr val="3C60AC"/>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7.85pt" to="538.95pt,257.85pt" o:allowincell="f" strokecolor="#3C60AC" strokeweight="0.25pt"/>
            </w:pict>
          </mc:Fallback>
        </mc:AlternateContent>
      </w:r>
    </w:p>
    <w:p>
      <w:pPr>
        <w:sectPr>
          <w:pgSz w:w="11880" w:h="15479" w:orient="portrait"/>
          <w:cols w:equalWidth="0" w:num="1">
            <w:col w:w="10780"/>
          </w:cols>
          <w:pgMar w:left="560" w:top="1440" w:right="539" w:bottom="2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3C60AC"/>
        </w:rPr>
        <w:t>At AGNC, Opportunity is an Asset</w:t>
      </w:r>
    </w:p>
    <w:p>
      <w:pPr>
        <w:spacing w:after="0" w:line="186" w:lineRule="exact"/>
        <w:rPr>
          <w:sz w:val="20"/>
          <w:szCs w:val="20"/>
          <w:color w:val="auto"/>
        </w:rPr>
      </w:pPr>
    </w:p>
    <w:p>
      <w:pPr>
        <w:ind w:left="500" w:right="380"/>
        <w:spacing w:after="0" w:line="329" w:lineRule="auto"/>
        <w:rPr>
          <w:sz w:val="20"/>
          <w:szCs w:val="20"/>
          <w:color w:val="auto"/>
        </w:rPr>
      </w:pPr>
      <w:r>
        <w:rPr>
          <w:rFonts w:ascii="Arial" w:cs="Arial" w:eastAsia="Arial" w:hAnsi="Arial"/>
          <w:sz w:val="20"/>
          <w:szCs w:val="20"/>
          <w:color w:val="595959"/>
        </w:rPr>
        <w:t>Our business and investment expertise facilitate wealth creation from two perspectives - for our stockholders that benefit from substantial monthly dividend income, and for the homeowners that our investments support.</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609"/>
        </w:trPr>
        <w:tc>
          <w:tcPr>
            <w:tcW w:w="1840" w:type="dxa"/>
            <w:vAlign w:val="bottom"/>
          </w:tcPr>
          <w:p>
            <w:pPr>
              <w:jc w:val="center"/>
              <w:ind w:right="167"/>
              <w:spacing w:after="0"/>
              <w:rPr>
                <w:sz w:val="20"/>
                <w:szCs w:val="20"/>
                <w:color w:val="auto"/>
              </w:rPr>
            </w:pPr>
            <w:r>
              <w:rPr>
                <w:rFonts w:ascii="Times New Roman" w:cs="Times New Roman" w:eastAsia="Times New Roman" w:hAnsi="Times New Roman"/>
                <w:sz w:val="48"/>
                <w:szCs w:val="48"/>
                <w:color w:val="3C60AC"/>
              </w:rPr>
              <w:t>$8.3B</w:t>
            </w:r>
          </w:p>
        </w:tc>
        <w:tc>
          <w:tcPr>
            <w:tcW w:w="1940" w:type="dxa"/>
            <w:vAlign w:val="bottom"/>
          </w:tcPr>
          <w:p>
            <w:pPr>
              <w:jc w:val="center"/>
              <w:ind w:left="147"/>
              <w:spacing w:after="0"/>
              <w:rPr>
                <w:sz w:val="20"/>
                <w:szCs w:val="20"/>
                <w:color w:val="auto"/>
              </w:rPr>
            </w:pPr>
            <w:r>
              <w:rPr>
                <w:rFonts w:ascii="Times New Roman" w:cs="Times New Roman" w:eastAsia="Times New Roman" w:hAnsi="Times New Roman"/>
                <w:sz w:val="48"/>
                <w:szCs w:val="48"/>
                <w:color w:val="3C60AC"/>
                <w:w w:val="99"/>
              </w:rPr>
              <w:t>$12B+</w:t>
            </w:r>
          </w:p>
        </w:tc>
      </w:tr>
      <w:tr>
        <w:trPr>
          <w:trHeight w:val="209"/>
        </w:trPr>
        <w:tc>
          <w:tcPr>
            <w:tcW w:w="1840" w:type="dxa"/>
            <w:vAlign w:val="bottom"/>
          </w:tcPr>
          <w:p>
            <w:pPr>
              <w:jc w:val="center"/>
              <w:ind w:right="127"/>
              <w:spacing w:after="0"/>
              <w:rPr>
                <w:sz w:val="20"/>
                <w:szCs w:val="20"/>
                <w:color w:val="auto"/>
              </w:rPr>
            </w:pPr>
            <w:r>
              <w:rPr>
                <w:rFonts w:ascii="Arial" w:cs="Arial" w:eastAsia="Arial" w:hAnsi="Arial"/>
                <w:sz w:val="16"/>
                <w:szCs w:val="16"/>
                <w:color w:val="auto"/>
              </w:rPr>
              <w:t>STOCKHOLDERS’</w:t>
            </w:r>
          </w:p>
        </w:tc>
        <w:tc>
          <w:tcPr>
            <w:tcW w:w="1940" w:type="dxa"/>
            <w:vAlign w:val="bottom"/>
          </w:tcPr>
          <w:p>
            <w:pPr>
              <w:jc w:val="center"/>
              <w:ind w:left="127"/>
              <w:spacing w:after="0"/>
              <w:rPr>
                <w:sz w:val="20"/>
                <w:szCs w:val="20"/>
                <w:color w:val="auto"/>
              </w:rPr>
            </w:pPr>
            <w:r>
              <w:rPr>
                <w:rFonts w:ascii="Arial" w:cs="Arial" w:eastAsia="Arial" w:hAnsi="Arial"/>
                <w:sz w:val="16"/>
                <w:szCs w:val="16"/>
                <w:color w:val="auto"/>
              </w:rPr>
              <w:t>DIVIDENDS PAID</w:t>
            </w:r>
          </w:p>
        </w:tc>
      </w:tr>
      <w:tr>
        <w:trPr>
          <w:trHeight w:val="341"/>
        </w:trPr>
        <w:tc>
          <w:tcPr>
            <w:tcW w:w="1840" w:type="dxa"/>
            <w:vAlign w:val="bottom"/>
          </w:tcPr>
          <w:p>
            <w:pPr>
              <w:jc w:val="center"/>
              <w:ind w:right="127"/>
              <w:spacing w:after="0"/>
              <w:rPr>
                <w:sz w:val="20"/>
                <w:szCs w:val="20"/>
                <w:color w:val="auto"/>
              </w:rPr>
            </w:pPr>
            <w:r>
              <w:rPr>
                <w:rFonts w:ascii="Arial" w:cs="Arial" w:eastAsia="Arial" w:hAnsi="Arial"/>
                <w:sz w:val="16"/>
                <w:szCs w:val="16"/>
                <w:color w:val="auto"/>
              </w:rPr>
              <w:t>EQUITY</w:t>
            </w:r>
            <w:r>
              <w:rPr>
                <w:rFonts w:ascii="Arial" w:cs="Arial" w:eastAsia="Arial" w:hAnsi="Arial"/>
                <w:sz w:val="9"/>
                <w:szCs w:val="9"/>
                <w:color w:val="auto"/>
              </w:rPr>
              <w:t>1</w:t>
            </w:r>
          </w:p>
        </w:tc>
        <w:tc>
          <w:tcPr>
            <w:tcW w:w="1940" w:type="dxa"/>
            <w:vAlign w:val="bottom"/>
          </w:tcPr>
          <w:p>
            <w:pPr>
              <w:jc w:val="center"/>
              <w:ind w:left="127"/>
              <w:spacing w:after="0"/>
              <w:rPr>
                <w:sz w:val="20"/>
                <w:szCs w:val="20"/>
                <w:color w:val="auto"/>
              </w:rPr>
            </w:pPr>
            <w:r>
              <w:rPr>
                <w:rFonts w:ascii="Arial" w:cs="Arial" w:eastAsia="Arial" w:hAnsi="Arial"/>
                <w:sz w:val="16"/>
                <w:szCs w:val="16"/>
                <w:color w:val="auto"/>
              </w:rPr>
              <w:t>SINCE INCEPTION</w:t>
            </w:r>
            <w:r>
              <w:rPr>
                <w:rFonts w:ascii="Arial" w:cs="Arial" w:eastAsia="Arial" w:hAnsi="Arial"/>
                <w:sz w:val="9"/>
                <w:szCs w:val="9"/>
                <w:color w:val="auto"/>
              </w:rPr>
              <w:t>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Stock Return Since IPO</w:t>
      </w:r>
      <w:r>
        <w:rPr>
          <w:rFonts w:ascii="Arial" w:cs="Arial" w:eastAsia="Arial" w:hAnsi="Arial"/>
          <w:sz w:val="11"/>
          <w:szCs w:val="11"/>
          <w:b w:val="1"/>
          <w:bCs w:val="1"/>
          <w:color w:val="auto"/>
        </w:rPr>
        <w:t>2</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08"/>
        </w:trPr>
        <w:tc>
          <w:tcPr>
            <w:tcW w:w="74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161920"/>
              </w:rPr>
              <w:t>600%</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40" w:type="dxa"/>
            <w:vAlign w:val="bottom"/>
            <w:gridSpan w:val="3"/>
            <w:vMerge w:val="continue"/>
          </w:tcPr>
          <w:p>
            <w:pPr>
              <w:spacing w:after="0"/>
              <w:rPr>
                <w:sz w:val="10"/>
                <w:szCs w:val="10"/>
                <w:color w:val="auto"/>
              </w:rPr>
            </w:pPr>
          </w:p>
        </w:tc>
        <w:tc>
          <w:tcPr>
            <w:tcW w:w="300" w:type="dxa"/>
            <w:vAlign w:val="bottom"/>
            <w:tcBorders>
              <w:left w:val="single" w:sz="8" w:color="6F6769"/>
            </w:tcBorders>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7"/>
        </w:trPr>
        <w:tc>
          <w:tcPr>
            <w:tcW w:w="740" w:type="dxa"/>
            <w:vAlign w:val="bottom"/>
            <w:gridSpan w:val="3"/>
          </w:tcPr>
          <w:p>
            <w:pPr>
              <w:jc w:val="right"/>
              <w:ind w:right="110"/>
              <w:spacing w:after="0"/>
              <w:rPr>
                <w:sz w:val="20"/>
                <w:szCs w:val="20"/>
                <w:color w:val="auto"/>
              </w:rPr>
            </w:pPr>
            <w:r>
              <w:rPr>
                <w:rFonts w:ascii="Arial" w:cs="Arial" w:eastAsia="Arial" w:hAnsi="Arial"/>
                <w:sz w:val="18"/>
                <w:szCs w:val="18"/>
                <w:color w:val="161920"/>
              </w:rPr>
              <w:t>500%</w:t>
            </w:r>
          </w:p>
        </w:tc>
        <w:tc>
          <w:tcPr>
            <w:tcW w:w="300" w:type="dxa"/>
            <w:vAlign w:val="bottom"/>
            <w:tcBorders>
              <w:left w:val="single" w:sz="8" w:color="6F6769"/>
            </w:tcBorders>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3C60AC"/>
              </w:rPr>
              <w:t>349%</w:t>
            </w:r>
          </w:p>
        </w:tc>
        <w:tc>
          <w:tcPr>
            <w:tcW w:w="0" w:type="dxa"/>
            <w:vAlign w:val="bottom"/>
          </w:tcPr>
          <w:p>
            <w:pPr>
              <w:spacing w:after="0"/>
              <w:rPr>
                <w:sz w:val="1"/>
                <w:szCs w:val="1"/>
                <w:color w:val="auto"/>
              </w:rPr>
            </w:pPr>
          </w:p>
        </w:tc>
      </w:tr>
      <w:tr>
        <w:trPr>
          <w:trHeight w:val="288"/>
        </w:trPr>
        <w:tc>
          <w:tcPr>
            <w:tcW w:w="740" w:type="dxa"/>
            <w:vAlign w:val="bottom"/>
            <w:gridSpan w:val="3"/>
          </w:tcPr>
          <w:p>
            <w:pPr>
              <w:jc w:val="right"/>
              <w:ind w:right="110"/>
              <w:spacing w:after="0"/>
              <w:rPr>
                <w:sz w:val="20"/>
                <w:szCs w:val="20"/>
                <w:color w:val="auto"/>
              </w:rPr>
            </w:pPr>
            <w:r>
              <w:rPr>
                <w:rFonts w:ascii="Arial" w:cs="Arial" w:eastAsia="Arial" w:hAnsi="Arial"/>
                <w:sz w:val="18"/>
                <w:szCs w:val="18"/>
                <w:color w:val="161920"/>
              </w:rPr>
              <w:t>400%</w:t>
            </w:r>
          </w:p>
        </w:tc>
        <w:tc>
          <w:tcPr>
            <w:tcW w:w="300" w:type="dxa"/>
            <w:vAlign w:val="bottom"/>
            <w:tcBorders>
              <w:left w:val="single" w:sz="8" w:color="6F6769"/>
            </w:tcBorders>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40" w:type="dxa"/>
            <w:vAlign w:val="bottom"/>
            <w:gridSpan w:val="3"/>
          </w:tcPr>
          <w:p>
            <w:pPr>
              <w:jc w:val="right"/>
              <w:ind w:right="110"/>
              <w:spacing w:after="0"/>
              <w:rPr>
                <w:sz w:val="20"/>
                <w:szCs w:val="20"/>
                <w:color w:val="auto"/>
              </w:rPr>
            </w:pPr>
            <w:r>
              <w:rPr>
                <w:rFonts w:ascii="Arial" w:cs="Arial" w:eastAsia="Arial" w:hAnsi="Arial"/>
                <w:sz w:val="18"/>
                <w:szCs w:val="18"/>
                <w:color w:val="161920"/>
              </w:rPr>
              <w:t>300%</w:t>
            </w:r>
          </w:p>
        </w:tc>
        <w:tc>
          <w:tcPr>
            <w:tcW w:w="300" w:type="dxa"/>
            <w:vAlign w:val="bottom"/>
            <w:tcBorders>
              <w:left w:val="single" w:sz="8" w:color="6F6769"/>
            </w:tcBorders>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40" w:type="dxa"/>
            <w:vAlign w:val="bottom"/>
            <w:gridSpan w:val="3"/>
          </w:tcPr>
          <w:p>
            <w:pPr>
              <w:jc w:val="right"/>
              <w:ind w:right="110"/>
              <w:spacing w:after="0"/>
              <w:rPr>
                <w:sz w:val="20"/>
                <w:szCs w:val="20"/>
                <w:color w:val="auto"/>
              </w:rPr>
            </w:pPr>
            <w:r>
              <w:rPr>
                <w:rFonts w:ascii="Arial" w:cs="Arial" w:eastAsia="Arial" w:hAnsi="Arial"/>
                <w:sz w:val="18"/>
                <w:szCs w:val="18"/>
                <w:color w:val="161920"/>
              </w:rPr>
              <w:t>200%</w:t>
            </w:r>
          </w:p>
        </w:tc>
        <w:tc>
          <w:tcPr>
            <w:tcW w:w="300" w:type="dxa"/>
            <w:vAlign w:val="bottom"/>
            <w:tcBorders>
              <w:left w:val="single" w:sz="8" w:color="6F6769"/>
            </w:tcBorders>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40" w:type="dxa"/>
            <w:vAlign w:val="bottom"/>
            <w:gridSpan w:val="3"/>
          </w:tcPr>
          <w:p>
            <w:pPr>
              <w:jc w:val="right"/>
              <w:ind w:right="110"/>
              <w:spacing w:after="0"/>
              <w:rPr>
                <w:sz w:val="20"/>
                <w:szCs w:val="20"/>
                <w:color w:val="auto"/>
              </w:rPr>
            </w:pPr>
            <w:r>
              <w:rPr>
                <w:rFonts w:ascii="Arial" w:cs="Arial" w:eastAsia="Arial" w:hAnsi="Arial"/>
                <w:sz w:val="18"/>
                <w:szCs w:val="18"/>
                <w:color w:val="161920"/>
              </w:rPr>
              <w:t>100%</w:t>
            </w:r>
          </w:p>
        </w:tc>
        <w:tc>
          <w:tcPr>
            <w:tcW w:w="300" w:type="dxa"/>
            <w:vAlign w:val="bottom"/>
            <w:tcBorders>
              <w:left w:val="single" w:sz="8" w:color="6F6769"/>
            </w:tcBorders>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161920"/>
              </w:rPr>
              <w:t>0%</w:t>
            </w:r>
          </w:p>
        </w:tc>
        <w:tc>
          <w:tcPr>
            <w:tcW w:w="300" w:type="dxa"/>
            <w:vAlign w:val="bottom"/>
            <w:tcBorders>
              <w:left w:val="single" w:sz="8" w:color="6F6769"/>
              <w:bottom w:val="single" w:sz="8" w:color="6F6769"/>
            </w:tcBorders>
          </w:tcPr>
          <w:p>
            <w:pPr>
              <w:spacing w:after="0"/>
              <w:rPr>
                <w:sz w:val="15"/>
                <w:szCs w:val="15"/>
                <w:color w:val="auto"/>
              </w:rPr>
            </w:pPr>
          </w:p>
        </w:tc>
        <w:tc>
          <w:tcPr>
            <w:tcW w:w="380" w:type="dxa"/>
            <w:vAlign w:val="bottom"/>
            <w:tcBorders>
              <w:bottom w:val="single" w:sz="8" w:color="6F6769"/>
            </w:tcBorders>
          </w:tcPr>
          <w:p>
            <w:pPr>
              <w:spacing w:after="0"/>
              <w:rPr>
                <w:sz w:val="15"/>
                <w:szCs w:val="15"/>
                <w:color w:val="auto"/>
              </w:rPr>
            </w:pPr>
          </w:p>
        </w:tc>
        <w:tc>
          <w:tcPr>
            <w:tcW w:w="800" w:type="dxa"/>
            <w:vAlign w:val="bottom"/>
            <w:tcBorders>
              <w:bottom w:val="single" w:sz="8" w:color="6F6769"/>
            </w:tcBorders>
          </w:tcPr>
          <w:p>
            <w:pPr>
              <w:spacing w:after="0"/>
              <w:rPr>
                <w:sz w:val="15"/>
                <w:szCs w:val="15"/>
                <w:color w:val="auto"/>
              </w:rPr>
            </w:pPr>
          </w:p>
        </w:tc>
        <w:tc>
          <w:tcPr>
            <w:tcW w:w="380" w:type="dxa"/>
            <w:vAlign w:val="bottom"/>
            <w:tcBorders>
              <w:bottom w:val="single" w:sz="8" w:color="6F6769"/>
            </w:tcBorders>
          </w:tcPr>
          <w:p>
            <w:pPr>
              <w:spacing w:after="0"/>
              <w:rPr>
                <w:sz w:val="15"/>
                <w:szCs w:val="15"/>
                <w:color w:val="auto"/>
              </w:rPr>
            </w:pPr>
          </w:p>
        </w:tc>
        <w:tc>
          <w:tcPr>
            <w:tcW w:w="900" w:type="dxa"/>
            <w:vAlign w:val="bottom"/>
            <w:tcBorders>
              <w:bottom w:val="single" w:sz="8" w:color="6F6769"/>
            </w:tcBorders>
          </w:tcPr>
          <w:p>
            <w:pPr>
              <w:spacing w:after="0"/>
              <w:rPr>
                <w:sz w:val="15"/>
                <w:szCs w:val="15"/>
                <w:color w:val="auto"/>
              </w:rPr>
            </w:pPr>
          </w:p>
        </w:tc>
        <w:tc>
          <w:tcPr>
            <w:tcW w:w="380" w:type="dxa"/>
            <w:vAlign w:val="bottom"/>
            <w:tcBorders>
              <w:bottom w:val="single" w:sz="8" w:color="6F6769"/>
            </w:tcBorders>
          </w:tcPr>
          <w:p>
            <w:pPr>
              <w:spacing w:after="0"/>
              <w:rPr>
                <w:sz w:val="15"/>
                <w:szCs w:val="15"/>
                <w:color w:val="auto"/>
              </w:rPr>
            </w:pPr>
          </w:p>
        </w:tc>
        <w:tc>
          <w:tcPr>
            <w:tcW w:w="840" w:type="dxa"/>
            <w:vAlign w:val="bottom"/>
            <w:tcBorders>
              <w:bottom w:val="single" w:sz="8" w:color="6F6769"/>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740" w:type="dxa"/>
            <w:vAlign w:val="bottom"/>
            <w:gridSpan w:val="3"/>
            <w:vMerge w:val="continue"/>
          </w:tcPr>
          <w:p>
            <w:pPr>
              <w:spacing w:after="0"/>
              <w:rPr>
                <w:sz w:val="9"/>
                <w:szCs w:val="9"/>
                <w:color w:val="auto"/>
              </w:rPr>
            </w:pPr>
          </w:p>
        </w:tc>
        <w:tc>
          <w:tcPr>
            <w:tcW w:w="300" w:type="dxa"/>
            <w:vAlign w:val="bottom"/>
            <w:tcBorders>
              <w:left w:val="single" w:sz="8" w:color="6F6769"/>
            </w:tcBorders>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740" w:type="dxa"/>
            <w:vAlign w:val="bottom"/>
            <w:gridSpan w:val="3"/>
            <w:vMerge w:val="restart"/>
          </w:tcPr>
          <w:p>
            <w:pPr>
              <w:jc w:val="right"/>
              <w:ind w:right="90"/>
              <w:spacing w:after="0"/>
              <w:rPr>
                <w:sz w:val="20"/>
                <w:szCs w:val="20"/>
                <w:color w:val="auto"/>
              </w:rPr>
            </w:pPr>
            <w:r>
              <w:rPr>
                <w:rFonts w:ascii="Arial" w:cs="Arial" w:eastAsia="Arial" w:hAnsi="Arial"/>
                <w:sz w:val="18"/>
                <w:szCs w:val="18"/>
                <w:color w:val="161920"/>
                <w:w w:val="96"/>
              </w:rPr>
              <w:t>(100%)</w:t>
            </w:r>
          </w:p>
        </w:tc>
        <w:tc>
          <w:tcPr>
            <w:tcW w:w="300" w:type="dxa"/>
            <w:vAlign w:val="bottom"/>
            <w:tcBorders>
              <w:left w:val="single" w:sz="8" w:color="6F6769"/>
            </w:tcBorders>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4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4"/>
        </w:trPr>
        <w:tc>
          <w:tcPr>
            <w:tcW w:w="100" w:type="dxa"/>
            <w:vAlign w:val="bottom"/>
          </w:tcPr>
          <w:p>
            <w:pPr>
              <w:spacing w:after="0"/>
              <w:rPr>
                <w:sz w:val="24"/>
                <w:szCs w:val="24"/>
                <w:color w:val="auto"/>
              </w:rPr>
            </w:pPr>
          </w:p>
        </w:tc>
        <w:tc>
          <w:tcPr>
            <w:tcW w:w="380" w:type="dxa"/>
            <w:vAlign w:val="bottom"/>
            <w:tcBorders>
              <w:bottom w:val="single" w:sz="8" w:color="274CA2"/>
            </w:tcBorders>
          </w:tcPr>
          <w:p>
            <w:pPr>
              <w:spacing w:after="0"/>
              <w:rPr>
                <w:sz w:val="24"/>
                <w:szCs w:val="24"/>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color w:val="161920"/>
              </w:rPr>
              <w:t>AGNC</w:t>
            </w:r>
          </w:p>
        </w:tc>
        <w:tc>
          <w:tcPr>
            <w:tcW w:w="380" w:type="dxa"/>
            <w:vAlign w:val="bottom"/>
            <w:tcBorders>
              <w:bottom w:val="single" w:sz="8" w:color="6F6769"/>
            </w:tcBorders>
          </w:tcPr>
          <w:p>
            <w:pPr>
              <w:spacing w:after="0"/>
              <w:rPr>
                <w:sz w:val="24"/>
                <w:szCs w:val="24"/>
                <w:color w:val="auto"/>
              </w:rPr>
            </w:pPr>
          </w:p>
        </w:tc>
        <w:tc>
          <w:tcPr>
            <w:tcW w:w="800" w:type="dxa"/>
            <w:vAlign w:val="bottom"/>
            <w:vMerge w:val="restart"/>
          </w:tcPr>
          <w:p>
            <w:pPr>
              <w:ind w:left="40"/>
              <w:spacing w:after="0"/>
              <w:rPr>
                <w:sz w:val="20"/>
                <w:szCs w:val="20"/>
                <w:color w:val="auto"/>
              </w:rPr>
            </w:pPr>
            <w:r>
              <w:rPr>
                <w:rFonts w:ascii="Arial" w:cs="Arial" w:eastAsia="Arial" w:hAnsi="Arial"/>
                <w:sz w:val="14"/>
                <w:szCs w:val="14"/>
                <w:color w:val="161920"/>
              </w:rPr>
              <w:t>Financials</w:t>
            </w:r>
          </w:p>
        </w:tc>
        <w:tc>
          <w:tcPr>
            <w:tcW w:w="380" w:type="dxa"/>
            <w:vAlign w:val="bottom"/>
            <w:tcBorders>
              <w:bottom w:val="single" w:sz="8" w:color="3D8AA1"/>
            </w:tcBorders>
          </w:tcPr>
          <w:p>
            <w:pPr>
              <w:spacing w:after="0"/>
              <w:rPr>
                <w:sz w:val="24"/>
                <w:szCs w:val="24"/>
                <w:color w:val="auto"/>
              </w:rPr>
            </w:pPr>
          </w:p>
        </w:tc>
        <w:tc>
          <w:tcPr>
            <w:tcW w:w="900" w:type="dxa"/>
            <w:vAlign w:val="bottom"/>
            <w:vMerge w:val="restart"/>
          </w:tcPr>
          <w:p>
            <w:pPr>
              <w:ind w:left="60"/>
              <w:spacing w:after="0"/>
              <w:rPr>
                <w:sz w:val="20"/>
                <w:szCs w:val="20"/>
                <w:color w:val="auto"/>
              </w:rPr>
            </w:pPr>
            <w:r>
              <w:rPr>
                <w:rFonts w:ascii="Arial" w:cs="Arial" w:eastAsia="Arial" w:hAnsi="Arial"/>
                <w:sz w:val="14"/>
                <w:szCs w:val="14"/>
                <w:color w:val="161920"/>
              </w:rPr>
              <w:t>Real Estate</w:t>
            </w:r>
          </w:p>
        </w:tc>
        <w:tc>
          <w:tcPr>
            <w:tcW w:w="380" w:type="dxa"/>
            <w:vAlign w:val="bottom"/>
            <w:tcBorders>
              <w:bottom w:val="single" w:sz="8" w:color="BBC2E0"/>
            </w:tcBorders>
          </w:tcPr>
          <w:p>
            <w:pPr>
              <w:spacing w:after="0"/>
              <w:rPr>
                <w:sz w:val="24"/>
                <w:szCs w:val="24"/>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161920"/>
              </w:rPr>
              <w:t>Mortgage REITs</w:t>
            </w: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-448945</wp:posOffset>
            </wp:positionV>
            <wp:extent cx="2554605" cy="177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extLst>
                    </a:blip>
                    <a:srcRect/>
                    <a:stretch>
                      <a:fillRect/>
                    </a:stretch>
                  </pic:blipFill>
                  <pic:spPr bwMode="auto">
                    <a:xfrm>
                      <a:off x="0" y="0"/>
                      <a:ext cx="2554605" cy="17780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-1616075</wp:posOffset>
            </wp:positionV>
            <wp:extent cx="236855" cy="2368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236855" cy="236855"/>
                    </a:xfrm>
                    <a:prstGeom prst="rect">
                      <a:avLst/>
                    </a:prstGeom>
                    <a:noFill/>
                  </pic:spPr>
                </pic:pic>
              </a:graphicData>
            </a:graphic>
          </wp:anchor>
        </w:drawing>
      </w:r>
    </w:p>
    <w:p>
      <w:pPr>
        <w:spacing w:after="0" w:line="211" w:lineRule="exact"/>
        <w:rPr>
          <w:sz w:val="20"/>
          <w:szCs w:val="20"/>
          <w:color w:val="auto"/>
        </w:rPr>
      </w:pPr>
    </w:p>
    <w:p>
      <w:pPr>
        <w:sectPr>
          <w:pgSz w:w="11880" w:h="15479" w:orient="portrait"/>
          <w:cols w:equalWidth="0" w:num="2">
            <w:col w:w="4640" w:space="720"/>
            <w:col w:w="5420"/>
          </w:cols>
          <w:pgMar w:left="560" w:top="1440" w:right="539" w:bottom="25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200"/>
        <w:spacing w:after="0"/>
        <w:rPr>
          <w:sz w:val="20"/>
          <w:szCs w:val="20"/>
          <w:color w:val="auto"/>
        </w:rPr>
      </w:pPr>
      <w:r>
        <w:rPr>
          <w:rFonts w:ascii="Arial" w:cs="Arial" w:eastAsia="Arial" w:hAnsi="Arial"/>
          <w:sz w:val="16"/>
          <w:szCs w:val="16"/>
          <w:b w:val="1"/>
          <w:bCs w:val="1"/>
          <w:color w:val="auto"/>
        </w:rPr>
        <w:t>AGNC Investment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6838315</wp:posOffset>
                </wp:positionH>
                <wp:positionV relativeFrom="paragraph">
                  <wp:posOffset>-56515</wp:posOffset>
                </wp:positionV>
                <wp:extent cx="0" cy="23812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8125"/>
                        </a:xfrm>
                        <a:prstGeom prst="line">
                          <a:avLst/>
                        </a:prstGeom>
                        <a:solidFill>
                          <a:srgbClr val="FFFFFF"/>
                        </a:solidFill>
                        <a:ln w="12700">
                          <a:solidFill>
                            <a:srgbClr val="3C60AC"/>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8.45pt,-4.4499pt" to="538.45pt,14.3pt" o:allowincell="f" strokecolor="#3C60AC" strokeweight="1pt"/>
            </w:pict>
          </mc:Fallback>
        </mc:AlternateContent>
      </w:r>
    </w:p>
    <w:p>
      <w:pPr>
        <w:jc w:val="right"/>
        <w:ind w:right="200"/>
        <w:spacing w:after="0"/>
        <w:rPr>
          <w:sz w:val="20"/>
          <w:szCs w:val="20"/>
          <w:color w:val="auto"/>
        </w:rPr>
      </w:pPr>
      <w:r>
        <w:rPr>
          <w:rFonts w:ascii="Arial" w:cs="Arial" w:eastAsia="Arial" w:hAnsi="Arial"/>
          <w:sz w:val="16"/>
          <w:szCs w:val="16"/>
          <w:b w:val="1"/>
          <w:bCs w:val="1"/>
          <w:color w:val="auto"/>
        </w:rPr>
        <w:t xml:space="preserve">2023 Annual Report </w:t>
      </w:r>
      <w:r>
        <w:rPr>
          <w:rFonts w:ascii="Arial" w:cs="Arial" w:eastAsia="Arial" w:hAnsi="Arial"/>
          <w:sz w:val="16"/>
          <w:szCs w:val="16"/>
          <w:b w:val="1"/>
          <w:bCs w:val="1"/>
          <w:color w:val="3C60AC"/>
        </w:rPr>
        <w:t>•</w:t>
      </w:r>
      <w:r>
        <w:rPr>
          <w:rFonts w:ascii="Arial" w:cs="Arial" w:eastAsia="Arial" w:hAnsi="Arial"/>
          <w:sz w:val="16"/>
          <w:szCs w:val="16"/>
          <w:b w:val="1"/>
          <w:bCs w:val="1"/>
          <w:color w:val="auto"/>
        </w:rPr>
        <w:t xml:space="preserve"> 1</w:t>
      </w:r>
    </w:p>
    <w:p>
      <w:pPr>
        <w:sectPr>
          <w:pgSz w:w="11880" w:h="15479" w:orient="portrait"/>
          <w:cols w:equalWidth="0" w:num="1">
            <w:col w:w="10780"/>
          </w:cols>
          <w:pgMar w:left="560" w:top="1440" w:right="539" w:bottom="255" w:gutter="0" w:footer="0" w:header="0"/>
          <w:type w:val="continuous"/>
        </w:sectPr>
      </w:pPr>
    </w:p>
    <w:bookmarkStart w:id="3" w:name="page4"/>
    <w:bookmarkEnd w:id="3"/>
    <w:p>
      <w:pPr>
        <w:ind w:left="8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165" cy="622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7543165" cy="622300"/>
                    </a:xfrm>
                    <a:prstGeom prst="rect">
                      <a:avLst/>
                    </a:prstGeom>
                    <a:noFill/>
                  </pic:spPr>
                </pic:pic>
              </a:graphicData>
            </a:graphic>
          </wp:anchor>
        </w:drawing>
        <w:t>2023 IN REVIEW</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A Turbulent Macroeconomic Climate</w:t>
      </w:r>
    </w:p>
    <w:p>
      <w:pPr>
        <w:spacing w:after="0" w:line="170" w:lineRule="exact"/>
        <w:rPr>
          <w:sz w:val="20"/>
          <w:szCs w:val="20"/>
          <w:color w:val="auto"/>
        </w:rPr>
      </w:pPr>
    </w:p>
    <w:p>
      <w:pPr>
        <w:ind w:left="80"/>
        <w:spacing w:after="0" w:line="304" w:lineRule="auto"/>
        <w:rPr>
          <w:sz w:val="20"/>
          <w:szCs w:val="20"/>
          <w:color w:val="auto"/>
        </w:rPr>
      </w:pPr>
      <w:r>
        <w:rPr>
          <w:rFonts w:ascii="Arial" w:cs="Arial" w:eastAsia="Arial" w:hAnsi="Arial"/>
          <w:sz w:val="20"/>
          <w:szCs w:val="20"/>
          <w:color w:val="595959"/>
        </w:rPr>
        <w:t>The last two years have been extremely challenging for investors across the fixed income spectrum. Beginning in early 2022, the Federal Reserve (the “Fed”) embarked on an unprecedented dual-track approach to monetary policy tightening, raising the Federal Funds rate by 5.25% while simultaneously reducing its balance sheet by $1.3 trillion. This aggressive monetary policy campaign, along with a host of other macroeconomic factors – including persistent inflation, regional bank failures and fears of broader contagion, continued U.S. political uncertainty regarding the debt ceiling and Treasury supply, and significant global geopolitical events – led to sharply higher interest rates and interest rate volatility. In the past two years alone, there have been seven distinct episodes in which the 10-year U.S. Treasury yield increased or decreased by more than 75 basis points over a rolling 60-day period. Further, throughout most of this timeframe, the MOVE Index, a broad measure of interest rate volatility, has traded materially above its 10-year historical average.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5060" w:type="dxa"/>
            <w:vAlign w:val="bottom"/>
            <w:gridSpan w:val="3"/>
          </w:tcPr>
          <w:p>
            <w:pPr>
              <w:spacing w:after="0"/>
              <w:rPr>
                <w:sz w:val="20"/>
                <w:szCs w:val="20"/>
                <w:color w:val="auto"/>
              </w:rPr>
            </w:pPr>
            <w:r>
              <w:rPr>
                <w:rFonts w:ascii="Arial" w:cs="Arial" w:eastAsia="Arial" w:hAnsi="Arial"/>
                <w:sz w:val="20"/>
                <w:szCs w:val="20"/>
                <w:b w:val="1"/>
                <w:bCs w:val="1"/>
                <w:color w:val="auto"/>
              </w:rPr>
              <w:t>10 Year U.S. Treasury Yields</w:t>
            </w:r>
            <w:r>
              <w:rPr>
                <w:rFonts w:ascii="Arial" w:cs="Arial" w:eastAsia="Arial" w:hAnsi="Arial"/>
                <w:sz w:val="11"/>
                <w:szCs w:val="11"/>
                <w:b w:val="1"/>
                <w:bCs w:val="1"/>
                <w:color w:val="auto"/>
              </w:rPr>
              <w:t>5</w:t>
            </w:r>
          </w:p>
        </w:tc>
        <w:tc>
          <w:tcPr>
            <w:tcW w:w="1580" w:type="dxa"/>
            <w:vAlign w:val="bottom"/>
          </w:tcPr>
          <w:p>
            <w:pPr>
              <w:ind w:left="360"/>
              <w:spacing w:after="0"/>
              <w:rPr>
                <w:sz w:val="20"/>
                <w:szCs w:val="20"/>
                <w:color w:val="auto"/>
              </w:rPr>
            </w:pPr>
            <w:r>
              <w:rPr>
                <w:rFonts w:ascii="Arial" w:cs="Arial" w:eastAsia="Arial" w:hAnsi="Arial"/>
                <w:sz w:val="20"/>
                <w:szCs w:val="20"/>
                <w:b w:val="1"/>
                <w:bCs w:val="1"/>
                <w:color w:val="auto"/>
                <w:w w:val="97"/>
              </w:rPr>
              <w:t>MOVE Index</w:t>
            </w:r>
            <w:r>
              <w:rPr>
                <w:rFonts w:ascii="Arial" w:cs="Arial" w:eastAsia="Arial" w:hAnsi="Arial"/>
                <w:sz w:val="11"/>
                <w:szCs w:val="11"/>
                <w:b w:val="1"/>
                <w:bCs w:val="1"/>
                <w:color w:val="auto"/>
                <w:w w:val="97"/>
              </w:rPr>
              <w:t>6</w:t>
            </w:r>
          </w:p>
        </w:tc>
        <w:tc>
          <w:tcPr>
            <w:tcW w:w="0" w:type="dxa"/>
            <w:vAlign w:val="bottom"/>
          </w:tcPr>
          <w:p>
            <w:pPr>
              <w:spacing w:after="0"/>
              <w:rPr>
                <w:sz w:val="1"/>
                <w:szCs w:val="1"/>
                <w:color w:val="auto"/>
              </w:rPr>
            </w:pPr>
          </w:p>
        </w:tc>
      </w:tr>
      <w:tr>
        <w:trPr>
          <w:trHeight w:val="126"/>
        </w:trPr>
        <w:tc>
          <w:tcPr>
            <w:tcW w:w="1960" w:type="dxa"/>
            <w:vAlign w:val="bottom"/>
            <w:vMerge w:val="restart"/>
          </w:tcPr>
          <w:p>
            <w:pPr>
              <w:ind w:left="700"/>
              <w:spacing w:after="0"/>
              <w:rPr>
                <w:sz w:val="20"/>
                <w:szCs w:val="20"/>
                <w:color w:val="auto"/>
              </w:rPr>
            </w:pPr>
            <w:r>
              <w:rPr>
                <w:rFonts w:ascii="Arial" w:cs="Arial" w:eastAsia="Arial" w:hAnsi="Arial"/>
                <w:sz w:val="12"/>
                <w:szCs w:val="12"/>
                <w:color w:val="auto"/>
              </w:rPr>
              <w:t>10 Year U.S. Treasury</w:t>
            </w:r>
          </w:p>
        </w:tc>
        <w:tc>
          <w:tcPr>
            <w:tcW w:w="320" w:type="dxa"/>
            <w:vAlign w:val="bottom"/>
            <w:tcBorders>
              <w:bottom w:val="single" w:sz="8" w:color="DAD8D2"/>
            </w:tcBorders>
          </w:tcPr>
          <w:p>
            <w:pPr>
              <w:spacing w:after="0"/>
              <w:rPr>
                <w:sz w:val="10"/>
                <w:szCs w:val="10"/>
                <w:color w:val="auto"/>
              </w:rPr>
            </w:pPr>
          </w:p>
        </w:tc>
        <w:tc>
          <w:tcPr>
            <w:tcW w:w="2780" w:type="dxa"/>
            <w:vAlign w:val="bottom"/>
            <w:vMerge w:val="restart"/>
          </w:tcPr>
          <w:p>
            <w:pPr>
              <w:ind w:left="20"/>
              <w:spacing w:after="0"/>
              <w:rPr>
                <w:sz w:val="20"/>
                <w:szCs w:val="20"/>
                <w:color w:val="auto"/>
              </w:rPr>
            </w:pPr>
            <w:r>
              <w:rPr>
                <w:rFonts w:ascii="Arial" w:cs="Arial" w:eastAsia="Arial" w:hAnsi="Arial"/>
                <w:sz w:val="12"/>
                <w:szCs w:val="12"/>
                <w:color w:val="auto"/>
              </w:rPr>
              <w:t>Change &gt; 75 bps Over Rolling 60-Day Period</w:t>
            </w: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9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780" w:type="dxa"/>
            <w:vAlign w:val="bottom"/>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-61595</wp:posOffset>
            </wp:positionV>
            <wp:extent cx="180340"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180340" cy="35560"/>
                    </a:xfrm>
                    <a:prstGeom prst="rect">
                      <a:avLst/>
                    </a:prstGeom>
                    <a:noFill/>
                  </pic:spPr>
                </pic:pic>
              </a:graphicData>
            </a:graphic>
          </wp:anchor>
        </w:drawing>
      </w:r>
    </w:p>
    <w:p>
      <w:pPr>
        <w:sectPr>
          <w:pgSz w:w="11880" w:h="15479" w:orient="portrait"/>
          <w:cols w:equalWidth="0" w:num="1">
            <w:col w:w="10740"/>
          </w:cols>
          <w:pgMar w:left="480" w:top="1157" w:right="659" w:bottom="264" w:gutter="0" w:footer="0" w:header="0"/>
        </w:sectPr>
      </w:pPr>
    </w:p>
    <w:tbl>
      <w:tblPr>
        <w:tblLayout w:type="fixed"/>
        <w:tblInd w:w="60" w:type="dxa"/>
        <w:tblCellMar>
          <w:top w:w="0" w:type="dxa"/>
          <w:left w:w="0" w:type="dxa"/>
          <w:bottom w:w="0" w:type="dxa"/>
          <w:right w:w="0" w:type="dxa"/>
        </w:tblCellMar>
      </w:tblPr>
      <w:tr>
        <w:trPr>
          <w:trHeight w:val="145"/>
        </w:trPr>
        <w:tc>
          <w:tcPr>
            <w:tcW w:w="580" w:type="dxa"/>
            <w:vAlign w:val="bottom"/>
            <w:vMerge w:val="restart"/>
          </w:tcPr>
          <w:p>
            <w:pPr>
              <w:jc w:val="right"/>
              <w:ind w:right="70"/>
              <w:spacing w:after="0"/>
              <w:rPr>
                <w:sz w:val="20"/>
                <w:szCs w:val="20"/>
                <w:color w:val="auto"/>
              </w:rPr>
            </w:pPr>
            <w:r>
              <w:rPr>
                <w:rFonts w:ascii="Arial" w:cs="Arial" w:eastAsia="Arial" w:hAnsi="Arial"/>
                <w:sz w:val="18"/>
                <w:szCs w:val="18"/>
                <w:color w:val="161920"/>
                <w:w w:val="97"/>
              </w:rPr>
              <w:t>6.0%</w:t>
            </w:r>
          </w:p>
        </w:tc>
        <w:tc>
          <w:tcPr>
            <w:tcW w:w="20" w:type="dxa"/>
            <w:vAlign w:val="bottom"/>
          </w:tcPr>
          <w:p>
            <w:pPr>
              <w:spacing w:after="0"/>
              <w:rPr>
                <w:sz w:val="12"/>
                <w:szCs w:val="12"/>
                <w:color w:val="auto"/>
              </w:rPr>
            </w:pPr>
          </w:p>
        </w:tc>
        <w:tc>
          <w:tcPr>
            <w:tcW w:w="5080" w:type="dxa"/>
            <w:vAlign w:val="bottom"/>
            <w:gridSpan w:val="2"/>
            <w:vMerge w:val="restart"/>
          </w:tcPr>
          <w:p>
            <w:pPr>
              <w:jc w:val="right"/>
              <w:spacing w:after="0"/>
              <w:rPr>
                <w:sz w:val="20"/>
                <w:szCs w:val="20"/>
                <w:color w:val="auto"/>
              </w:rPr>
            </w:pPr>
            <w:r>
              <w:rPr>
                <w:rFonts w:ascii="Arial" w:cs="Arial" w:eastAsia="Arial" w:hAnsi="Arial"/>
                <w:sz w:val="18"/>
                <w:szCs w:val="18"/>
                <w:color w:val="161920"/>
              </w:rPr>
              <w:t>250</w:t>
            </w:r>
          </w:p>
        </w:tc>
        <w:tc>
          <w:tcPr>
            <w:tcW w:w="0" w:type="dxa"/>
            <w:vAlign w:val="bottom"/>
          </w:tcPr>
          <w:p>
            <w:pPr>
              <w:spacing w:after="0"/>
              <w:rPr>
                <w:sz w:val="1"/>
                <w:szCs w:val="1"/>
                <w:color w:val="auto"/>
              </w:rPr>
            </w:pPr>
          </w:p>
        </w:tc>
      </w:tr>
      <w:tr>
        <w:trPr>
          <w:trHeight w:val="201"/>
        </w:trPr>
        <w:tc>
          <w:tcPr>
            <w:tcW w:w="580" w:type="dxa"/>
            <w:vAlign w:val="bottom"/>
            <w:vMerge w:val="continue"/>
          </w:tcPr>
          <w:p>
            <w:pPr>
              <w:spacing w:after="0"/>
              <w:rPr>
                <w:sz w:val="17"/>
                <w:szCs w:val="17"/>
                <w:color w:val="auto"/>
              </w:rPr>
            </w:pPr>
          </w:p>
        </w:tc>
        <w:tc>
          <w:tcPr>
            <w:tcW w:w="20" w:type="dxa"/>
            <w:vAlign w:val="bottom"/>
            <w:shd w:val="clear" w:color="auto" w:fill="DBD8D3"/>
          </w:tcPr>
          <w:p>
            <w:pPr>
              <w:spacing w:after="0"/>
              <w:rPr>
                <w:sz w:val="17"/>
                <w:szCs w:val="17"/>
                <w:color w:val="auto"/>
              </w:rPr>
            </w:pPr>
          </w:p>
        </w:tc>
        <w:tc>
          <w:tcPr>
            <w:tcW w:w="5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80" w:type="dxa"/>
            <w:vAlign w:val="bottom"/>
          </w:tcPr>
          <w:p>
            <w:pPr>
              <w:jc w:val="right"/>
              <w:ind w:right="70"/>
              <w:spacing w:after="0"/>
              <w:rPr>
                <w:sz w:val="20"/>
                <w:szCs w:val="20"/>
                <w:color w:val="auto"/>
              </w:rPr>
            </w:pPr>
            <w:r>
              <w:rPr>
                <w:rFonts w:ascii="Arial" w:cs="Arial" w:eastAsia="Arial" w:hAnsi="Arial"/>
                <w:sz w:val="18"/>
                <w:szCs w:val="18"/>
                <w:color w:val="161920"/>
                <w:w w:val="97"/>
              </w:rPr>
              <w:t>5.0%</w:t>
            </w:r>
          </w:p>
        </w:tc>
        <w:tc>
          <w:tcPr>
            <w:tcW w:w="20" w:type="dxa"/>
            <w:vAlign w:val="bottom"/>
            <w:shd w:val="clear" w:color="auto" w:fill="DBD8D3"/>
          </w:tcPr>
          <w:p>
            <w:pPr>
              <w:spacing w:after="0"/>
              <w:rPr>
                <w:sz w:val="24"/>
                <w:szCs w:val="24"/>
                <w:color w:val="auto"/>
              </w:rPr>
            </w:pPr>
          </w:p>
        </w:tc>
        <w:tc>
          <w:tcPr>
            <w:tcW w:w="5080" w:type="dxa"/>
            <w:vAlign w:val="bottom"/>
            <w:gridSpan w:val="2"/>
          </w:tcPr>
          <w:p>
            <w:pPr>
              <w:jc w:val="right"/>
              <w:spacing w:after="0"/>
              <w:rPr>
                <w:sz w:val="20"/>
                <w:szCs w:val="20"/>
                <w:color w:val="auto"/>
              </w:rPr>
            </w:pPr>
            <w:r>
              <w:rPr>
                <w:rFonts w:ascii="Arial" w:cs="Arial" w:eastAsia="Arial" w:hAnsi="Arial"/>
                <w:sz w:val="18"/>
                <w:szCs w:val="18"/>
                <w:color w:val="161920"/>
              </w:rPr>
              <w:t>200</w:t>
            </w:r>
          </w:p>
        </w:tc>
        <w:tc>
          <w:tcPr>
            <w:tcW w:w="0" w:type="dxa"/>
            <w:vAlign w:val="bottom"/>
          </w:tcPr>
          <w:p>
            <w:pPr>
              <w:spacing w:after="0"/>
              <w:rPr>
                <w:sz w:val="1"/>
                <w:szCs w:val="1"/>
                <w:color w:val="auto"/>
              </w:rPr>
            </w:pPr>
          </w:p>
        </w:tc>
      </w:tr>
      <w:tr>
        <w:trPr>
          <w:trHeight w:val="379"/>
        </w:trPr>
        <w:tc>
          <w:tcPr>
            <w:tcW w:w="580" w:type="dxa"/>
            <w:vAlign w:val="bottom"/>
          </w:tcPr>
          <w:p>
            <w:pPr>
              <w:jc w:val="right"/>
              <w:ind w:right="70"/>
              <w:spacing w:after="0"/>
              <w:rPr>
                <w:sz w:val="20"/>
                <w:szCs w:val="20"/>
                <w:color w:val="auto"/>
              </w:rPr>
            </w:pPr>
            <w:r>
              <w:rPr>
                <w:rFonts w:ascii="Arial" w:cs="Arial" w:eastAsia="Arial" w:hAnsi="Arial"/>
                <w:sz w:val="18"/>
                <w:szCs w:val="18"/>
                <w:color w:val="161920"/>
                <w:w w:val="97"/>
              </w:rPr>
              <w:t>4.0%</w:t>
            </w:r>
          </w:p>
        </w:tc>
        <w:tc>
          <w:tcPr>
            <w:tcW w:w="20" w:type="dxa"/>
            <w:vAlign w:val="bottom"/>
            <w:shd w:val="clear" w:color="auto" w:fill="DBD8D3"/>
          </w:tcPr>
          <w:p>
            <w:pPr>
              <w:spacing w:after="0"/>
              <w:rPr>
                <w:sz w:val="24"/>
                <w:szCs w:val="24"/>
                <w:color w:val="auto"/>
              </w:rPr>
            </w:pPr>
          </w:p>
        </w:tc>
        <w:tc>
          <w:tcPr>
            <w:tcW w:w="5080" w:type="dxa"/>
            <w:vAlign w:val="bottom"/>
            <w:gridSpan w:val="2"/>
            <w:vMerge w:val="restart"/>
          </w:tcPr>
          <w:p>
            <w:pPr>
              <w:jc w:val="right"/>
              <w:spacing w:after="0"/>
              <w:rPr>
                <w:sz w:val="20"/>
                <w:szCs w:val="20"/>
                <w:color w:val="auto"/>
              </w:rPr>
            </w:pPr>
            <w:r>
              <w:rPr>
                <w:rFonts w:ascii="Arial" w:cs="Arial" w:eastAsia="Arial" w:hAnsi="Arial"/>
                <w:sz w:val="18"/>
                <w:szCs w:val="18"/>
                <w:color w:val="161920"/>
              </w:rPr>
              <w:t>150</w:t>
            </w:r>
          </w:p>
        </w:tc>
        <w:tc>
          <w:tcPr>
            <w:tcW w:w="0" w:type="dxa"/>
            <w:vAlign w:val="bottom"/>
          </w:tcPr>
          <w:p>
            <w:pPr>
              <w:spacing w:after="0"/>
              <w:rPr>
                <w:sz w:val="1"/>
                <w:szCs w:val="1"/>
                <w:color w:val="auto"/>
              </w:rPr>
            </w:pPr>
          </w:p>
        </w:tc>
      </w:tr>
      <w:tr>
        <w:trPr>
          <w:trHeight w:val="148"/>
        </w:trPr>
        <w:tc>
          <w:tcPr>
            <w:tcW w:w="580" w:type="dxa"/>
            <w:vAlign w:val="bottom"/>
            <w:vMerge w:val="restart"/>
          </w:tcPr>
          <w:p>
            <w:pPr>
              <w:jc w:val="right"/>
              <w:ind w:right="70"/>
              <w:spacing w:after="0"/>
              <w:rPr>
                <w:sz w:val="20"/>
                <w:szCs w:val="20"/>
                <w:color w:val="auto"/>
              </w:rPr>
            </w:pPr>
            <w:r>
              <w:rPr>
                <w:rFonts w:ascii="Arial" w:cs="Arial" w:eastAsia="Arial" w:hAnsi="Arial"/>
                <w:sz w:val="18"/>
                <w:szCs w:val="18"/>
                <w:color w:val="161920"/>
                <w:w w:val="97"/>
              </w:rPr>
              <w:t>3.0%</w:t>
            </w:r>
          </w:p>
        </w:tc>
        <w:tc>
          <w:tcPr>
            <w:tcW w:w="20" w:type="dxa"/>
            <w:vAlign w:val="bottom"/>
            <w:shd w:val="clear" w:color="auto" w:fill="DBD8D3"/>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580" w:type="dxa"/>
            <w:vAlign w:val="bottom"/>
            <w:vMerge w:val="continue"/>
          </w:tcPr>
          <w:p>
            <w:pPr>
              <w:spacing w:after="0"/>
              <w:rPr>
                <w:sz w:val="20"/>
                <w:szCs w:val="20"/>
                <w:color w:val="auto"/>
              </w:rPr>
            </w:pPr>
          </w:p>
        </w:tc>
        <w:tc>
          <w:tcPr>
            <w:tcW w:w="20" w:type="dxa"/>
            <w:vAlign w:val="bottom"/>
            <w:shd w:val="clear" w:color="auto" w:fill="DBD8D3"/>
          </w:tcPr>
          <w:p>
            <w:pPr>
              <w:spacing w:after="0"/>
              <w:rPr>
                <w:sz w:val="20"/>
                <w:szCs w:val="20"/>
                <w:color w:val="auto"/>
              </w:rPr>
            </w:pPr>
          </w:p>
        </w:tc>
        <w:tc>
          <w:tcPr>
            <w:tcW w:w="5080" w:type="dxa"/>
            <w:vAlign w:val="bottom"/>
            <w:gridSpan w:val="2"/>
            <w:vMerge w:val="restart"/>
          </w:tcPr>
          <w:p>
            <w:pPr>
              <w:jc w:val="right"/>
              <w:spacing w:after="0"/>
              <w:rPr>
                <w:sz w:val="20"/>
                <w:szCs w:val="20"/>
                <w:color w:val="auto"/>
              </w:rPr>
            </w:pPr>
            <w:r>
              <w:rPr>
                <w:rFonts w:ascii="Arial" w:cs="Arial" w:eastAsia="Arial" w:hAnsi="Arial"/>
                <w:sz w:val="18"/>
                <w:szCs w:val="18"/>
                <w:color w:val="161920"/>
              </w:rPr>
              <w:t>100</w:t>
            </w:r>
          </w:p>
        </w:tc>
        <w:tc>
          <w:tcPr>
            <w:tcW w:w="0" w:type="dxa"/>
            <w:vAlign w:val="bottom"/>
          </w:tcPr>
          <w:p>
            <w:pPr>
              <w:spacing w:after="0"/>
              <w:rPr>
                <w:sz w:val="1"/>
                <w:szCs w:val="1"/>
                <w:color w:val="auto"/>
              </w:rPr>
            </w:pPr>
          </w:p>
        </w:tc>
      </w:tr>
      <w:tr>
        <w:trPr>
          <w:trHeight w:val="223"/>
        </w:trPr>
        <w:tc>
          <w:tcPr>
            <w:tcW w:w="580" w:type="dxa"/>
            <w:vAlign w:val="bottom"/>
            <w:vMerge w:val="restart"/>
          </w:tcPr>
          <w:p>
            <w:pPr>
              <w:jc w:val="right"/>
              <w:ind w:right="70"/>
              <w:spacing w:after="0"/>
              <w:rPr>
                <w:sz w:val="20"/>
                <w:szCs w:val="20"/>
                <w:color w:val="auto"/>
              </w:rPr>
            </w:pPr>
            <w:r>
              <w:rPr>
                <w:rFonts w:ascii="Arial" w:cs="Arial" w:eastAsia="Arial" w:hAnsi="Arial"/>
                <w:sz w:val="18"/>
                <w:szCs w:val="18"/>
                <w:color w:val="161920"/>
                <w:w w:val="97"/>
              </w:rPr>
              <w:t>2.0%</w:t>
            </w:r>
          </w:p>
        </w:tc>
        <w:tc>
          <w:tcPr>
            <w:tcW w:w="20" w:type="dxa"/>
            <w:vAlign w:val="bottom"/>
            <w:shd w:val="clear" w:color="auto" w:fill="DBD8D3"/>
          </w:tcPr>
          <w:p>
            <w:pPr>
              <w:spacing w:after="0"/>
              <w:rPr>
                <w:sz w:val="19"/>
                <w:szCs w:val="19"/>
                <w:color w:val="auto"/>
              </w:rPr>
            </w:pPr>
          </w:p>
        </w:tc>
        <w:tc>
          <w:tcPr>
            <w:tcW w:w="5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580" w:type="dxa"/>
            <w:vAlign w:val="bottom"/>
            <w:vMerge w:val="continue"/>
          </w:tcPr>
          <w:p>
            <w:pPr>
              <w:spacing w:after="0"/>
              <w:rPr>
                <w:sz w:val="14"/>
                <w:szCs w:val="14"/>
                <w:color w:val="auto"/>
              </w:rPr>
            </w:pPr>
          </w:p>
        </w:tc>
        <w:tc>
          <w:tcPr>
            <w:tcW w:w="20" w:type="dxa"/>
            <w:vAlign w:val="bottom"/>
            <w:shd w:val="clear" w:color="auto" w:fill="DBD8D3"/>
          </w:tcPr>
          <w:p>
            <w:pPr>
              <w:spacing w:after="0"/>
              <w:rPr>
                <w:sz w:val="14"/>
                <w:szCs w:val="14"/>
                <w:color w:val="auto"/>
              </w:rPr>
            </w:pPr>
          </w:p>
        </w:tc>
        <w:tc>
          <w:tcPr>
            <w:tcW w:w="5080" w:type="dxa"/>
            <w:vAlign w:val="bottom"/>
            <w:gridSpan w:val="2"/>
            <w:vMerge w:val="restart"/>
          </w:tcPr>
          <w:p>
            <w:pPr>
              <w:jc w:val="right"/>
              <w:spacing w:after="0"/>
              <w:rPr>
                <w:sz w:val="20"/>
                <w:szCs w:val="20"/>
                <w:color w:val="auto"/>
              </w:rPr>
            </w:pPr>
            <w:r>
              <w:rPr>
                <w:rFonts w:ascii="Arial" w:cs="Arial" w:eastAsia="Arial" w:hAnsi="Arial"/>
                <w:sz w:val="18"/>
                <w:szCs w:val="18"/>
                <w:color w:val="161920"/>
              </w:rPr>
              <w:t>50</w:t>
            </w:r>
          </w:p>
        </w:tc>
        <w:tc>
          <w:tcPr>
            <w:tcW w:w="0" w:type="dxa"/>
            <w:vAlign w:val="bottom"/>
          </w:tcPr>
          <w:p>
            <w:pPr>
              <w:spacing w:after="0"/>
              <w:rPr>
                <w:sz w:val="1"/>
                <w:szCs w:val="1"/>
                <w:color w:val="auto"/>
              </w:rPr>
            </w:pPr>
          </w:p>
        </w:tc>
      </w:tr>
      <w:tr>
        <w:trPr>
          <w:trHeight w:val="384"/>
        </w:trPr>
        <w:tc>
          <w:tcPr>
            <w:tcW w:w="580" w:type="dxa"/>
            <w:vAlign w:val="bottom"/>
          </w:tcPr>
          <w:p>
            <w:pPr>
              <w:jc w:val="right"/>
              <w:ind w:right="70"/>
              <w:spacing w:after="0"/>
              <w:rPr>
                <w:sz w:val="20"/>
                <w:szCs w:val="20"/>
                <w:color w:val="auto"/>
              </w:rPr>
            </w:pPr>
            <w:r>
              <w:rPr>
                <w:rFonts w:ascii="Arial" w:cs="Arial" w:eastAsia="Arial" w:hAnsi="Arial"/>
                <w:sz w:val="18"/>
                <w:szCs w:val="18"/>
                <w:color w:val="161920"/>
                <w:w w:val="97"/>
              </w:rPr>
              <w:t>1.0%</w:t>
            </w:r>
          </w:p>
        </w:tc>
        <w:tc>
          <w:tcPr>
            <w:tcW w:w="20" w:type="dxa"/>
            <w:vAlign w:val="bottom"/>
            <w:shd w:val="clear" w:color="auto" w:fill="DBD8D3"/>
          </w:tcPr>
          <w:p>
            <w:pPr>
              <w:spacing w:after="0"/>
              <w:rPr>
                <w:sz w:val="24"/>
                <w:szCs w:val="24"/>
                <w:color w:val="auto"/>
              </w:rPr>
            </w:pPr>
          </w:p>
        </w:tc>
        <w:tc>
          <w:tcPr>
            <w:tcW w:w="50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80" w:type="dxa"/>
            <w:vAlign w:val="bottom"/>
            <w:vMerge w:val="restart"/>
          </w:tcPr>
          <w:p>
            <w:pPr>
              <w:jc w:val="right"/>
              <w:ind w:right="70"/>
              <w:spacing w:after="0"/>
              <w:rPr>
                <w:sz w:val="20"/>
                <w:szCs w:val="20"/>
                <w:color w:val="auto"/>
              </w:rPr>
            </w:pPr>
            <w:r>
              <w:rPr>
                <w:rFonts w:ascii="Arial" w:cs="Arial" w:eastAsia="Arial" w:hAnsi="Arial"/>
                <w:sz w:val="18"/>
                <w:szCs w:val="18"/>
                <w:color w:val="161920"/>
                <w:w w:val="97"/>
              </w:rPr>
              <w:t>0.0%</w:t>
            </w:r>
          </w:p>
        </w:tc>
        <w:tc>
          <w:tcPr>
            <w:tcW w:w="20" w:type="dxa"/>
            <w:vAlign w:val="bottom"/>
            <w:tcBorders>
              <w:bottom w:val="single" w:sz="8" w:color="DBD8D3"/>
            </w:tcBorders>
            <w:shd w:val="clear" w:color="auto" w:fill="DBD8D3"/>
          </w:tcPr>
          <w:p>
            <w:pPr>
              <w:spacing w:after="0"/>
              <w:rPr>
                <w:sz w:val="15"/>
                <w:szCs w:val="15"/>
                <w:color w:val="auto"/>
              </w:rPr>
            </w:pPr>
          </w:p>
        </w:tc>
        <w:tc>
          <w:tcPr>
            <w:tcW w:w="4120" w:type="dxa"/>
            <w:vAlign w:val="bottom"/>
            <w:tcBorders>
              <w:bottom w:val="single" w:sz="8" w:color="DBD8D3"/>
            </w:tcBorders>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161920"/>
              </w:rPr>
              <w:t>0</w:t>
            </w:r>
          </w:p>
        </w:tc>
        <w:tc>
          <w:tcPr>
            <w:tcW w:w="0" w:type="dxa"/>
            <w:vAlign w:val="bottom"/>
          </w:tcPr>
          <w:p>
            <w:pPr>
              <w:spacing w:after="0"/>
              <w:rPr>
                <w:sz w:val="1"/>
                <w:szCs w:val="1"/>
                <w:color w:val="auto"/>
              </w:rPr>
            </w:pPr>
          </w:p>
        </w:tc>
      </w:tr>
      <w:tr>
        <w:trPr>
          <w:trHeight w:val="187"/>
        </w:trPr>
        <w:tc>
          <w:tcPr>
            <w:tcW w:w="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-1601470</wp:posOffset>
            </wp:positionV>
            <wp:extent cx="3696335" cy="1920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3696335" cy="1920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420"/>
        <w:spacing w:after="0"/>
        <w:rPr>
          <w:sz w:val="20"/>
          <w:szCs w:val="20"/>
          <w:color w:val="auto"/>
        </w:rPr>
      </w:pPr>
      <w:r>
        <w:rPr>
          <w:rFonts w:ascii="Arial" w:cs="Arial" w:eastAsia="Arial" w:hAnsi="Arial"/>
          <w:sz w:val="11"/>
          <w:szCs w:val="11"/>
          <w:b w:val="1"/>
          <w:bCs w:val="1"/>
          <w:color w:val="FB0414"/>
        </w:rPr>
        <w:t>Trailing 2 Year</w:t>
      </w:r>
    </w:p>
    <w:p>
      <w:pPr>
        <w:spacing w:after="0" w:line="14" w:lineRule="exact"/>
        <w:rPr>
          <w:sz w:val="20"/>
          <w:szCs w:val="20"/>
          <w:color w:val="auto"/>
        </w:rPr>
      </w:pPr>
    </w:p>
    <w:p>
      <w:pPr>
        <w:ind w:left="1420"/>
        <w:spacing w:after="0"/>
        <w:rPr>
          <w:sz w:val="20"/>
          <w:szCs w:val="20"/>
          <w:color w:val="auto"/>
        </w:rPr>
      </w:pPr>
      <w:r>
        <w:rPr>
          <w:rFonts w:ascii="Arial" w:cs="Arial" w:eastAsia="Arial" w:hAnsi="Arial"/>
          <w:sz w:val="12"/>
          <w:szCs w:val="12"/>
          <w:b w:val="1"/>
          <w:bCs w:val="1"/>
          <w:color w:val="FB0414"/>
        </w:rPr>
        <w:t>Average: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59055</wp:posOffset>
            </wp:positionV>
            <wp:extent cx="405130" cy="769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405130" cy="76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880"/>
        <w:spacing w:after="0"/>
        <w:rPr>
          <w:sz w:val="20"/>
          <w:szCs w:val="20"/>
          <w:color w:val="auto"/>
        </w:rPr>
      </w:pPr>
      <w:r>
        <w:rPr>
          <w:rFonts w:ascii="Arial" w:cs="Arial" w:eastAsia="Arial" w:hAnsi="Arial"/>
          <w:sz w:val="11"/>
          <w:szCs w:val="11"/>
          <w:b w:val="1"/>
          <w:bCs w:val="1"/>
          <w:color w:val="FB0414"/>
        </w:rPr>
        <w:t>Trailing 10 Year</w:t>
      </w:r>
    </w:p>
    <w:p>
      <w:pPr>
        <w:spacing w:after="0" w:line="14" w:lineRule="exact"/>
        <w:rPr>
          <w:sz w:val="20"/>
          <w:szCs w:val="20"/>
          <w:color w:val="auto"/>
        </w:rPr>
      </w:pPr>
    </w:p>
    <w:p>
      <w:pPr>
        <w:jc w:val="center"/>
        <w:ind w:right="1880"/>
        <w:spacing w:after="0"/>
        <w:rPr>
          <w:sz w:val="20"/>
          <w:szCs w:val="20"/>
          <w:color w:val="auto"/>
        </w:rPr>
      </w:pPr>
      <w:r>
        <w:rPr>
          <w:rFonts w:ascii="Arial" w:cs="Arial" w:eastAsia="Arial" w:hAnsi="Arial"/>
          <w:sz w:val="12"/>
          <w:szCs w:val="12"/>
          <w:b w:val="1"/>
          <w:bCs w:val="1"/>
          <w:color w:val="FB0414"/>
        </w:rPr>
        <w:t>Average: 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-1285875</wp:posOffset>
                </wp:positionH>
                <wp:positionV relativeFrom="paragraph">
                  <wp:posOffset>656590</wp:posOffset>
                </wp:positionV>
                <wp:extent cx="261493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14930" cy="4763"/>
                        </a:xfrm>
                        <a:prstGeom prst="line">
                          <a:avLst/>
                        </a:prstGeom>
                        <a:solidFill>
                          <a:srgbClr val="FFFFFF"/>
                        </a:solidFill>
                        <a:ln w="9525">
                          <a:solidFill>
                            <a:srgbClr val="DBD8D3"/>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1.2499pt,51.7pt" to="104.65pt,51.7pt" o:allowincell="f" strokecolor="#DBD8D3" strokeweight="0.75pt"/>
            </w:pict>
          </mc:Fallback>
        </mc:AlternateContent>
        <w:drawing>
          <wp:anchor simplePos="0" relativeHeight="251657728" behindDoc="1" locked="0" layoutInCell="0" allowOverlap="1">
            <wp:simplePos x="0" y="0"/>
            <wp:positionH relativeFrom="column">
              <wp:posOffset>-1598295</wp:posOffset>
            </wp:positionH>
            <wp:positionV relativeFrom="paragraph">
              <wp:posOffset>744855</wp:posOffset>
            </wp:positionV>
            <wp:extent cx="2963545" cy="3575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extLst>
                    </a:blip>
                    <a:srcRect/>
                    <a:stretch>
                      <a:fillRect/>
                    </a:stretch>
                  </pic:blipFill>
                  <pic:spPr bwMode="auto">
                    <a:xfrm>
                      <a:off x="0" y="0"/>
                      <a:ext cx="2963545" cy="357505"/>
                    </a:xfrm>
                    <a:prstGeom prst="rect">
                      <a:avLst/>
                    </a:prstGeom>
                    <a:noFill/>
                  </pic:spPr>
                </pic:pic>
              </a:graphicData>
            </a:graphic>
          </wp:anchor>
        </w:drawing>
      </w:r>
    </w:p>
    <w:p>
      <w:pPr>
        <w:spacing w:after="0" w:line="1437" w:lineRule="exact"/>
        <w:rPr>
          <w:sz w:val="20"/>
          <w:szCs w:val="20"/>
          <w:color w:val="auto"/>
        </w:rPr>
      </w:pPr>
    </w:p>
    <w:p>
      <w:pPr>
        <w:sectPr>
          <w:pgSz w:w="11880" w:h="15479" w:orient="portrait"/>
          <w:cols w:equalWidth="0" w:num="2">
            <w:col w:w="7260" w:space="720"/>
            <w:col w:w="2760"/>
          </w:cols>
          <w:pgMar w:left="480" w:top="1157" w:right="659" w:bottom="264"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80" w:right="20"/>
        <w:spacing w:after="0" w:line="334" w:lineRule="auto"/>
        <w:rPr>
          <w:sz w:val="20"/>
          <w:szCs w:val="20"/>
          <w:color w:val="auto"/>
        </w:rPr>
      </w:pPr>
      <w:r>
        <w:rPr>
          <w:rFonts w:ascii="Arial" w:cs="Arial" w:eastAsia="Arial" w:hAnsi="Arial"/>
          <w:sz w:val="20"/>
          <w:szCs w:val="20"/>
          <w:color w:val="595959"/>
        </w:rPr>
        <w:t>This challenging interest rate and U.S. Treasury market environment adversely impacted Agency MBS valuations across the coupon stack in 2023. In May and again in October, Agency MBS spreads – the difference between Agency MBS yields and benchmark interest rates – attained levels previously reached only during significant financial market dislocations, such as the Great Financial Crisis and the peak of the Covid pandemic.</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Agency MBS Spread to Treasuries</w:t>
      </w:r>
      <w:r>
        <w:rPr>
          <w:rFonts w:ascii="Arial" w:cs="Arial" w:eastAsia="Arial" w:hAnsi="Arial"/>
          <w:sz w:val="11"/>
          <w:szCs w:val="11"/>
          <w:b w:val="1"/>
          <w:bCs w:val="1"/>
          <w:color w:val="auto"/>
        </w:rPr>
        <w:t>7</w:t>
      </w:r>
    </w:p>
    <w:p>
      <w:pPr>
        <w:sectPr>
          <w:pgSz w:w="11880" w:h="15479" w:orient="portrait"/>
          <w:cols w:equalWidth="0" w:num="1">
            <w:col w:w="10740"/>
          </w:cols>
          <w:pgMar w:left="480" w:top="1157" w:right="659" w:bottom="264" w:gutter="0" w:footer="0" w:header="0"/>
          <w:type w:val="continuous"/>
        </w:sectPr>
      </w:pPr>
    </w:p>
    <w:p>
      <w:pPr>
        <w:spacing w:after="0" w:line="179" w:lineRule="exact"/>
        <w:rPr>
          <w:sz w:val="20"/>
          <w:szCs w:val="20"/>
          <w:color w:val="auto"/>
        </w:rPr>
      </w:pPr>
    </w:p>
    <w:p>
      <w:pPr>
        <w:ind w:left="80"/>
        <w:spacing w:after="0"/>
        <w:rPr>
          <w:sz w:val="20"/>
          <w:szCs w:val="20"/>
          <w:color w:val="auto"/>
        </w:rPr>
      </w:pPr>
      <w:r>
        <w:rPr>
          <w:rFonts w:ascii="Arial" w:cs="Arial" w:eastAsia="Arial" w:hAnsi="Arial"/>
          <w:sz w:val="18"/>
          <w:szCs w:val="18"/>
          <w:color w:val="161920"/>
        </w:rPr>
        <w:t>250 bps</w:t>
      </w:r>
    </w:p>
    <w:p>
      <w:pPr>
        <w:spacing w:after="0" w:line="289" w:lineRule="exact"/>
        <w:rPr>
          <w:sz w:val="20"/>
          <w:szCs w:val="20"/>
          <w:color w:val="auto"/>
        </w:rPr>
      </w:pPr>
    </w:p>
    <w:p>
      <w:pPr>
        <w:ind w:left="440" w:hanging="365"/>
        <w:spacing w:after="0"/>
        <w:tabs>
          <w:tab w:leader="none" w:pos="440" w:val="left"/>
        </w:tabs>
        <w:numPr>
          <w:ilvl w:val="0"/>
          <w:numId w:val="1"/>
        </w:numPr>
        <w:rPr>
          <w:rFonts w:ascii="Arial" w:cs="Arial" w:eastAsia="Arial" w:hAnsi="Arial"/>
          <w:sz w:val="18"/>
          <w:szCs w:val="18"/>
          <w:color w:val="161920"/>
        </w:rPr>
      </w:pPr>
      <w:r>
        <w:rPr>
          <w:rFonts w:ascii="Arial" w:cs="Arial" w:eastAsia="Arial" w:hAnsi="Arial"/>
          <w:sz w:val="18"/>
          <w:szCs w:val="18"/>
          <w:color w:val="161920"/>
        </w:rPr>
        <w:t>bps</w:t>
      </w:r>
    </w:p>
    <w:p>
      <w:pPr>
        <w:spacing w:after="0" w:line="325" w:lineRule="exact"/>
        <w:rPr>
          <w:rFonts w:ascii="Arial" w:cs="Arial" w:eastAsia="Arial" w:hAnsi="Arial"/>
          <w:sz w:val="18"/>
          <w:szCs w:val="18"/>
          <w:color w:val="161920"/>
        </w:rPr>
      </w:pPr>
    </w:p>
    <w:p>
      <w:pPr>
        <w:ind w:left="440" w:hanging="365"/>
        <w:spacing w:after="0"/>
        <w:tabs>
          <w:tab w:leader="none" w:pos="440" w:val="left"/>
        </w:tabs>
        <w:numPr>
          <w:ilvl w:val="0"/>
          <w:numId w:val="2"/>
        </w:numPr>
        <w:rPr>
          <w:rFonts w:ascii="Arial" w:cs="Arial" w:eastAsia="Arial" w:hAnsi="Arial"/>
          <w:sz w:val="18"/>
          <w:szCs w:val="18"/>
          <w:color w:val="161920"/>
        </w:rPr>
      </w:pPr>
      <w:r>
        <w:rPr>
          <w:rFonts w:ascii="Arial" w:cs="Arial" w:eastAsia="Arial" w:hAnsi="Arial"/>
          <w:sz w:val="18"/>
          <w:szCs w:val="18"/>
          <w:color w:val="161920"/>
        </w:rPr>
        <w:t>bps</w:t>
      </w:r>
    </w:p>
    <w:p>
      <w:pPr>
        <w:spacing w:after="0" w:line="325" w:lineRule="exact"/>
        <w:rPr>
          <w:rFonts w:ascii="Arial" w:cs="Arial" w:eastAsia="Arial" w:hAnsi="Arial"/>
          <w:sz w:val="18"/>
          <w:szCs w:val="18"/>
          <w:color w:val="161920"/>
        </w:rPr>
      </w:pPr>
    </w:p>
    <w:p>
      <w:pPr>
        <w:ind w:left="440" w:hanging="365"/>
        <w:spacing w:after="0"/>
        <w:tabs>
          <w:tab w:leader="none" w:pos="440" w:val="left"/>
        </w:tabs>
        <w:numPr>
          <w:ilvl w:val="0"/>
          <w:numId w:val="3"/>
        </w:numPr>
        <w:rPr>
          <w:rFonts w:ascii="Arial" w:cs="Arial" w:eastAsia="Arial" w:hAnsi="Arial"/>
          <w:sz w:val="18"/>
          <w:szCs w:val="18"/>
          <w:color w:val="161920"/>
        </w:rPr>
      </w:pPr>
      <w:r>
        <w:rPr>
          <w:rFonts w:ascii="Arial" w:cs="Arial" w:eastAsia="Arial" w:hAnsi="Arial"/>
          <w:sz w:val="18"/>
          <w:szCs w:val="18"/>
          <w:color w:val="161920"/>
        </w:rPr>
        <w:t>bps</w:t>
      </w:r>
    </w:p>
    <w:p>
      <w:pPr>
        <w:spacing w:after="0" w:line="325" w:lineRule="exact"/>
        <w:rPr>
          <w:rFonts w:ascii="Arial" w:cs="Arial" w:eastAsia="Arial" w:hAnsi="Arial"/>
          <w:sz w:val="18"/>
          <w:szCs w:val="18"/>
          <w:color w:val="161920"/>
        </w:rPr>
      </w:pPr>
    </w:p>
    <w:p>
      <w:pPr>
        <w:ind w:left="440" w:hanging="258"/>
        <w:spacing w:after="0"/>
        <w:tabs>
          <w:tab w:leader="none" w:pos="440" w:val="left"/>
        </w:tabs>
        <w:numPr>
          <w:ilvl w:val="0"/>
          <w:numId w:val="4"/>
        </w:numPr>
        <w:rPr>
          <w:rFonts w:ascii="Arial" w:cs="Arial" w:eastAsia="Arial" w:hAnsi="Arial"/>
          <w:sz w:val="18"/>
          <w:szCs w:val="18"/>
          <w:color w:val="161920"/>
        </w:rPr>
      </w:pPr>
      <w:r>
        <w:rPr>
          <w:rFonts w:ascii="Arial" w:cs="Arial" w:eastAsia="Arial" w:hAnsi="Arial"/>
          <w:sz w:val="18"/>
          <w:szCs w:val="18"/>
          <w:color w:val="161920"/>
        </w:rPr>
        <w:t>bps</w:t>
      </w:r>
    </w:p>
    <w:p>
      <w:pPr>
        <w:spacing w:after="0" w:line="325" w:lineRule="exact"/>
        <w:rPr>
          <w:rFonts w:ascii="Arial" w:cs="Arial" w:eastAsia="Arial" w:hAnsi="Arial"/>
          <w:sz w:val="18"/>
          <w:szCs w:val="18"/>
          <w:color w:val="161920"/>
        </w:rPr>
      </w:pPr>
    </w:p>
    <w:p>
      <w:pPr>
        <w:ind w:left="440" w:hanging="152"/>
        <w:spacing w:after="0"/>
        <w:tabs>
          <w:tab w:leader="none" w:pos="440" w:val="left"/>
        </w:tabs>
        <w:numPr>
          <w:ilvl w:val="0"/>
          <w:numId w:val="5"/>
        </w:numPr>
        <w:rPr>
          <w:rFonts w:ascii="Arial" w:cs="Arial" w:eastAsia="Arial" w:hAnsi="Arial"/>
          <w:sz w:val="18"/>
          <w:szCs w:val="18"/>
          <w:color w:val="161920"/>
        </w:rPr>
      </w:pPr>
      <w:r>
        <w:rPr>
          <w:rFonts w:ascii="Arial" w:cs="Arial" w:eastAsia="Arial" w:hAnsi="Arial"/>
          <w:sz w:val="18"/>
          <w:szCs w:val="18"/>
          <w:color w:val="161920"/>
        </w:rPr>
        <w:t>bps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FB0414"/>
        </w:rPr>
        <w:t>10 Year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-858520</wp:posOffset>
            </wp:positionV>
            <wp:extent cx="5654675" cy="1774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extLst>
                    </a:blip>
                    <a:srcRect/>
                    <a:stretch>
                      <a:fillRect/>
                    </a:stretch>
                  </pic:blipFill>
                  <pic:spPr bwMode="auto">
                    <a:xfrm>
                      <a:off x="0" y="0"/>
                      <a:ext cx="5654675" cy="177419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FB0414"/>
        </w:rPr>
        <w:t>(2011-2021): 100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884555</wp:posOffset>
            </wp:positionV>
            <wp:extent cx="6032500" cy="395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6032500" cy="395605"/>
                    </a:xfrm>
                    <a:prstGeom prst="rect">
                      <a:avLst/>
                    </a:prstGeom>
                    <a:noFill/>
                  </pic:spPr>
                </pic:pic>
              </a:graphicData>
            </a:graphic>
          </wp:anchor>
        </w:drawing>
      </w:r>
    </w:p>
    <w:p>
      <w:pPr>
        <w:spacing w:after="0" w:line="1508" w:lineRule="exact"/>
        <w:rPr>
          <w:sz w:val="20"/>
          <w:szCs w:val="20"/>
          <w:color w:val="auto"/>
        </w:rPr>
      </w:pPr>
    </w:p>
    <w:p>
      <w:pPr>
        <w:sectPr>
          <w:pgSz w:w="11880" w:h="15479" w:orient="portrait"/>
          <w:cols w:equalWidth="0" w:num="2">
            <w:col w:w="5080" w:space="720"/>
            <w:col w:w="4940"/>
          </w:cols>
          <w:pgMar w:left="480" w:top="1157" w:right="659" w:bottom="264"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AGNC Investment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wp:posOffset>
                </wp:positionH>
                <wp:positionV relativeFrom="paragraph">
                  <wp:posOffset>-56515</wp:posOffset>
                </wp:positionV>
                <wp:extent cx="0" cy="21971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9710"/>
                        </a:xfrm>
                        <a:prstGeom prst="line">
                          <a:avLst/>
                        </a:prstGeom>
                        <a:solidFill>
                          <a:srgbClr val="FFFFFF"/>
                        </a:solidFill>
                        <a:ln w="12700">
                          <a:solidFill>
                            <a:srgbClr val="3C60AC"/>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4.4499pt" to="4.05pt,12.85pt" o:allowincell="f" strokecolor="#3C60AC" strokeweight="1pt"/>
            </w:pict>
          </mc:Fallback>
        </mc:AlternateContent>
      </w:r>
    </w:p>
    <w:p>
      <w:pPr>
        <w:ind w:left="260"/>
        <w:spacing w:after="0"/>
        <w:rPr>
          <w:sz w:val="20"/>
          <w:szCs w:val="20"/>
          <w:color w:val="auto"/>
        </w:rPr>
      </w:pPr>
      <w:r>
        <w:rPr>
          <w:rFonts w:ascii="Arial" w:cs="Arial" w:eastAsia="Arial" w:hAnsi="Arial"/>
          <w:sz w:val="16"/>
          <w:szCs w:val="16"/>
          <w:b w:val="1"/>
          <w:bCs w:val="1"/>
          <w:color w:val="auto"/>
        </w:rPr>
        <w:t xml:space="preserve">2023 Annual Report </w:t>
      </w:r>
      <w:r>
        <w:rPr>
          <w:rFonts w:ascii="Arial" w:cs="Arial" w:eastAsia="Arial" w:hAnsi="Arial"/>
          <w:sz w:val="16"/>
          <w:szCs w:val="16"/>
          <w:b w:val="1"/>
          <w:bCs w:val="1"/>
          <w:color w:val="3C60AC"/>
        </w:rPr>
        <w:t>•</w:t>
      </w:r>
      <w:r>
        <w:rPr>
          <w:rFonts w:ascii="Arial" w:cs="Arial" w:eastAsia="Arial" w:hAnsi="Arial"/>
          <w:sz w:val="16"/>
          <w:szCs w:val="16"/>
          <w:b w:val="1"/>
          <w:bCs w:val="1"/>
          <w:color w:val="auto"/>
        </w:rPr>
        <w:t xml:space="preserve"> 2</w:t>
      </w:r>
    </w:p>
    <w:p>
      <w:pPr>
        <w:sectPr>
          <w:pgSz w:w="11880" w:h="15479" w:orient="portrait"/>
          <w:cols w:equalWidth="0" w:num="1">
            <w:col w:w="10740"/>
          </w:cols>
          <w:pgMar w:left="480" w:top="1157" w:right="659" w:bottom="264" w:gutter="0" w:footer="0" w:header="0"/>
          <w:type w:val="continuous"/>
        </w:sectPr>
      </w:pPr>
    </w:p>
    <w:bookmarkStart w:id="4" w:name="page5"/>
    <w:bookmarkEnd w:id="4"/>
    <w:p>
      <w:pPr>
        <w:spacing w:after="0" w:line="3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165" cy="622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extLst>
                        <a:ext uri="{28A0092B-C50C-407E-A947-70E740481C1C}"/>
                      </a:extLst>
                    </a:blip>
                    <a:srcRect/>
                    <a:stretch>
                      <a:fillRect/>
                    </a:stretch>
                  </pic:blipFill>
                  <pic:spPr bwMode="auto">
                    <a:xfrm>
                      <a:off x="0" y="0"/>
                      <a:ext cx="7543165" cy="622300"/>
                    </a:xfrm>
                    <a:prstGeom prst="rect">
                      <a:avLst/>
                    </a:prstGeom>
                    <a:noFill/>
                  </pic:spPr>
                </pic:pic>
              </a:graphicData>
            </a:graphic>
          </wp:anchor>
        </w:drawing>
      </w:r>
    </w:p>
    <w:p>
      <w:pPr>
        <w:ind w:left="40"/>
        <w:spacing w:after="0"/>
        <w:rPr>
          <w:sz w:val="20"/>
          <w:szCs w:val="20"/>
          <w:color w:val="auto"/>
        </w:rPr>
      </w:pPr>
      <w:r>
        <w:rPr>
          <w:rFonts w:ascii="Arial" w:cs="Arial" w:eastAsia="Arial" w:hAnsi="Arial"/>
          <w:sz w:val="20"/>
          <w:szCs w:val="20"/>
          <w:b w:val="1"/>
          <w:bCs w:val="1"/>
          <w:color w:val="auto"/>
        </w:rPr>
        <w:t>A Transformation in the Agency MBS Market</w:t>
      </w:r>
    </w:p>
    <w:p>
      <w:pPr>
        <w:spacing w:after="0" w:line="140" w:lineRule="exact"/>
        <w:rPr>
          <w:sz w:val="20"/>
          <w:szCs w:val="20"/>
          <w:color w:val="auto"/>
        </w:rPr>
      </w:pPr>
    </w:p>
    <w:p>
      <w:pPr>
        <w:ind w:left="40" w:right="260"/>
        <w:spacing w:after="0" w:line="333" w:lineRule="auto"/>
        <w:rPr>
          <w:sz w:val="20"/>
          <w:szCs w:val="20"/>
          <w:color w:val="auto"/>
        </w:rPr>
      </w:pPr>
      <w:r>
        <w:rPr>
          <w:rFonts w:ascii="Arial" w:cs="Arial" w:eastAsia="Arial" w:hAnsi="Arial"/>
          <w:sz w:val="20"/>
          <w:szCs w:val="20"/>
          <w:color w:val="595959"/>
        </w:rPr>
        <w:t>Over the last 15 years, the Fed and banks have dominated ownership of Agency MBS, peaking at approximately 70% of the total market in 2021. The Fed’s recent reduction in its Agency MBS position during the current quantitative tightening cycle, coupled with banks curtailing their participation in the Agency MBS market as a result of increased regulatory pressures, have led to a dramatic shift in ownership to price-sensitive, indexed-based money managers. While this ownership transition has increased near-term spread volatility, wider spreads offer more attractive return opportunities for Agency MBS investors over the longer term.</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Agency MBS Ownership Composition</w:t>
      </w:r>
      <w:r>
        <w:rPr>
          <w:rFonts w:ascii="Arial" w:cs="Arial" w:eastAsia="Arial" w:hAnsi="Arial"/>
          <w:sz w:val="11"/>
          <w:szCs w:val="11"/>
          <w:b w:val="1"/>
          <w:bCs w:val="1"/>
          <w:color w:val="auto"/>
        </w:rPr>
        <w:t>8</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2"/>
          <w:szCs w:val="12"/>
          <w:color w:val="auto"/>
        </w:rPr>
        <w:t>(% of Agency MBS Outstanding)</w:t>
      </w:r>
    </w:p>
    <w:p>
      <w:pPr>
        <w:spacing w:after="0" w:line="156" w:lineRule="exact"/>
        <w:rPr>
          <w:sz w:val="20"/>
          <w:szCs w:val="20"/>
          <w:color w:val="auto"/>
        </w:rPr>
      </w:pPr>
    </w:p>
    <w:tbl>
      <w:tblPr>
        <w:tblLayout w:type="fixed"/>
        <w:tblInd w:w="2340" w:type="dxa"/>
        <w:tblCellMar>
          <w:top w:w="0" w:type="dxa"/>
          <w:left w:w="0" w:type="dxa"/>
          <w:bottom w:w="0" w:type="dxa"/>
          <w:right w:w="0" w:type="dxa"/>
        </w:tblCellMar>
      </w:tblPr>
      <w:tr>
        <w:trPr>
          <w:trHeight w:val="101"/>
        </w:trPr>
        <w:tc>
          <w:tcPr>
            <w:tcW w:w="800" w:type="dxa"/>
            <w:vAlign w:val="bottom"/>
            <w:vMerge w:val="restart"/>
          </w:tcPr>
          <w:p>
            <w:pPr>
              <w:spacing w:after="0"/>
              <w:rPr>
                <w:sz w:val="20"/>
                <w:szCs w:val="20"/>
                <w:color w:val="auto"/>
              </w:rPr>
            </w:pPr>
            <w:r>
              <w:rPr>
                <w:rFonts w:ascii="Arial" w:cs="Arial" w:eastAsia="Arial" w:hAnsi="Arial"/>
                <w:sz w:val="14"/>
                <w:szCs w:val="14"/>
                <w:color w:val="161920"/>
              </w:rPr>
              <w:t>Fed</w:t>
            </w:r>
          </w:p>
        </w:tc>
        <w:tc>
          <w:tcPr>
            <w:tcW w:w="80" w:type="dxa"/>
            <w:vAlign w:val="bottom"/>
          </w:tcPr>
          <w:p>
            <w:pPr>
              <w:spacing w:after="0"/>
              <w:rPr>
                <w:sz w:val="8"/>
                <w:szCs w:val="8"/>
                <w:color w:val="auto"/>
              </w:rPr>
            </w:pPr>
          </w:p>
        </w:tc>
        <w:tc>
          <w:tcPr>
            <w:tcW w:w="980" w:type="dxa"/>
            <w:vAlign w:val="bottom"/>
            <w:vMerge w:val="restart"/>
          </w:tcPr>
          <w:p>
            <w:pPr>
              <w:ind w:left="40"/>
              <w:spacing w:after="0"/>
              <w:rPr>
                <w:sz w:val="20"/>
                <w:szCs w:val="20"/>
                <w:color w:val="auto"/>
              </w:rPr>
            </w:pPr>
            <w:r>
              <w:rPr>
                <w:rFonts w:ascii="Arial" w:cs="Arial" w:eastAsia="Arial" w:hAnsi="Arial"/>
                <w:sz w:val="14"/>
                <w:szCs w:val="14"/>
                <w:color w:val="161920"/>
              </w:rPr>
              <w:t>Banks</w:t>
            </w:r>
          </w:p>
        </w:tc>
        <w:tc>
          <w:tcPr>
            <w:tcW w:w="80" w:type="dxa"/>
            <w:vAlign w:val="bottom"/>
          </w:tcPr>
          <w:p>
            <w:pPr>
              <w:spacing w:after="0"/>
              <w:rPr>
                <w:sz w:val="8"/>
                <w:szCs w:val="8"/>
                <w:color w:val="auto"/>
              </w:rPr>
            </w:pPr>
          </w:p>
        </w:tc>
        <w:tc>
          <w:tcPr>
            <w:tcW w:w="940" w:type="dxa"/>
            <w:vAlign w:val="bottom"/>
            <w:vMerge w:val="restart"/>
          </w:tcPr>
          <w:p>
            <w:pPr>
              <w:ind w:left="40"/>
              <w:spacing w:after="0"/>
              <w:rPr>
                <w:sz w:val="20"/>
                <w:szCs w:val="20"/>
                <w:color w:val="auto"/>
              </w:rPr>
            </w:pPr>
            <w:r>
              <w:rPr>
                <w:rFonts w:ascii="Arial" w:cs="Arial" w:eastAsia="Arial" w:hAnsi="Arial"/>
                <w:sz w:val="14"/>
                <w:szCs w:val="14"/>
                <w:color w:val="161920"/>
              </w:rPr>
              <w:t>GSEs</w:t>
            </w:r>
          </w:p>
        </w:tc>
        <w:tc>
          <w:tcPr>
            <w:tcW w:w="80" w:type="dxa"/>
            <w:vAlign w:val="bottom"/>
          </w:tcPr>
          <w:p>
            <w:pPr>
              <w:spacing w:after="0"/>
              <w:rPr>
                <w:sz w:val="8"/>
                <w:szCs w:val="8"/>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color w:val="161920"/>
              </w:rPr>
              <w:t>Overseas</w:t>
            </w:r>
          </w:p>
        </w:tc>
        <w:tc>
          <w:tcPr>
            <w:tcW w:w="80" w:type="dxa"/>
            <w:vAlign w:val="bottom"/>
          </w:tcPr>
          <w:p>
            <w:pPr>
              <w:spacing w:after="0"/>
              <w:rPr>
                <w:sz w:val="8"/>
                <w:szCs w:val="8"/>
                <w:color w:val="auto"/>
              </w:rPr>
            </w:pPr>
          </w:p>
        </w:tc>
        <w:tc>
          <w:tcPr>
            <w:tcW w:w="960" w:type="dxa"/>
            <w:vAlign w:val="bottom"/>
            <w:vMerge w:val="restart"/>
          </w:tcPr>
          <w:p>
            <w:pPr>
              <w:ind w:left="40"/>
              <w:spacing w:after="0"/>
              <w:rPr>
                <w:sz w:val="20"/>
                <w:szCs w:val="20"/>
                <w:color w:val="auto"/>
              </w:rPr>
            </w:pPr>
            <w:r>
              <w:rPr>
                <w:rFonts w:ascii="Arial" w:cs="Arial" w:eastAsia="Arial" w:hAnsi="Arial"/>
                <w:sz w:val="14"/>
                <w:szCs w:val="14"/>
                <w:color w:val="161920"/>
              </w:rPr>
              <w:t>REITs</w:t>
            </w:r>
          </w:p>
        </w:tc>
        <w:tc>
          <w:tcPr>
            <w:tcW w:w="80" w:type="dxa"/>
            <w:vAlign w:val="bottom"/>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Arial" w:cs="Arial" w:eastAsia="Arial" w:hAnsi="Arial"/>
                <w:sz w:val="14"/>
                <w:szCs w:val="14"/>
                <w:color w:val="161920"/>
                <w:w w:val="99"/>
              </w:rPr>
              <w:t>Money Managers</w:t>
            </w:r>
          </w:p>
        </w:tc>
        <w:tc>
          <w:tcPr>
            <w:tcW w:w="0" w:type="dxa"/>
            <w:vAlign w:val="bottom"/>
          </w:tcPr>
          <w:p>
            <w:pPr>
              <w:spacing w:after="0"/>
              <w:rPr>
                <w:sz w:val="1"/>
                <w:szCs w:val="1"/>
                <w:color w:val="auto"/>
              </w:rPr>
            </w:pPr>
          </w:p>
        </w:tc>
      </w:tr>
      <w:tr>
        <w:trPr>
          <w:trHeight w:val="82"/>
        </w:trPr>
        <w:tc>
          <w:tcPr>
            <w:tcW w:w="800" w:type="dxa"/>
            <w:vAlign w:val="bottom"/>
            <w:vMerge w:val="continue"/>
          </w:tcPr>
          <w:p>
            <w:pPr>
              <w:spacing w:after="0"/>
              <w:rPr>
                <w:sz w:val="7"/>
                <w:szCs w:val="7"/>
                <w:color w:val="auto"/>
              </w:rPr>
            </w:pPr>
          </w:p>
        </w:tc>
        <w:tc>
          <w:tcPr>
            <w:tcW w:w="80" w:type="dxa"/>
            <w:vAlign w:val="bottom"/>
            <w:shd w:val="clear" w:color="auto" w:fill="274CA2"/>
          </w:tcPr>
          <w:p>
            <w:pPr>
              <w:spacing w:after="0"/>
              <w:rPr>
                <w:sz w:val="7"/>
                <w:szCs w:val="7"/>
                <w:color w:val="auto"/>
              </w:rPr>
            </w:pPr>
          </w:p>
        </w:tc>
        <w:tc>
          <w:tcPr>
            <w:tcW w:w="980" w:type="dxa"/>
            <w:vAlign w:val="bottom"/>
            <w:vMerge w:val="continue"/>
          </w:tcPr>
          <w:p>
            <w:pPr>
              <w:spacing w:after="0"/>
              <w:rPr>
                <w:sz w:val="7"/>
                <w:szCs w:val="7"/>
                <w:color w:val="auto"/>
              </w:rPr>
            </w:pPr>
          </w:p>
        </w:tc>
        <w:tc>
          <w:tcPr>
            <w:tcW w:w="80" w:type="dxa"/>
            <w:vAlign w:val="bottom"/>
            <w:shd w:val="clear" w:color="auto" w:fill="BBC2E0"/>
          </w:tcPr>
          <w:p>
            <w:pPr>
              <w:spacing w:after="0"/>
              <w:rPr>
                <w:sz w:val="7"/>
                <w:szCs w:val="7"/>
                <w:color w:val="auto"/>
              </w:rPr>
            </w:pPr>
          </w:p>
        </w:tc>
        <w:tc>
          <w:tcPr>
            <w:tcW w:w="940" w:type="dxa"/>
            <w:vAlign w:val="bottom"/>
            <w:vMerge w:val="continue"/>
          </w:tcPr>
          <w:p>
            <w:pPr>
              <w:spacing w:after="0"/>
              <w:rPr>
                <w:sz w:val="7"/>
                <w:szCs w:val="7"/>
                <w:color w:val="auto"/>
              </w:rPr>
            </w:pPr>
          </w:p>
        </w:tc>
        <w:tc>
          <w:tcPr>
            <w:tcW w:w="80" w:type="dxa"/>
            <w:vAlign w:val="bottom"/>
            <w:shd w:val="clear" w:color="auto" w:fill="6F6769"/>
          </w:tcPr>
          <w:p>
            <w:pPr>
              <w:spacing w:after="0"/>
              <w:rPr>
                <w:sz w:val="7"/>
                <w:szCs w:val="7"/>
                <w:color w:val="auto"/>
              </w:rPr>
            </w:pPr>
          </w:p>
        </w:tc>
        <w:tc>
          <w:tcPr>
            <w:tcW w:w="1200" w:type="dxa"/>
            <w:vAlign w:val="bottom"/>
            <w:vMerge w:val="continue"/>
          </w:tcPr>
          <w:p>
            <w:pPr>
              <w:spacing w:after="0"/>
              <w:rPr>
                <w:sz w:val="7"/>
                <w:szCs w:val="7"/>
                <w:color w:val="auto"/>
              </w:rPr>
            </w:pPr>
          </w:p>
        </w:tc>
        <w:tc>
          <w:tcPr>
            <w:tcW w:w="80" w:type="dxa"/>
            <w:vAlign w:val="bottom"/>
            <w:shd w:val="clear" w:color="auto" w:fill="48B18A"/>
          </w:tcPr>
          <w:p>
            <w:pPr>
              <w:spacing w:after="0"/>
              <w:rPr>
                <w:sz w:val="7"/>
                <w:szCs w:val="7"/>
                <w:color w:val="auto"/>
              </w:rPr>
            </w:pPr>
          </w:p>
        </w:tc>
        <w:tc>
          <w:tcPr>
            <w:tcW w:w="960" w:type="dxa"/>
            <w:vAlign w:val="bottom"/>
            <w:vMerge w:val="continue"/>
          </w:tcPr>
          <w:p>
            <w:pPr>
              <w:spacing w:after="0"/>
              <w:rPr>
                <w:sz w:val="7"/>
                <w:szCs w:val="7"/>
                <w:color w:val="auto"/>
              </w:rPr>
            </w:pPr>
          </w:p>
        </w:tc>
        <w:tc>
          <w:tcPr>
            <w:tcW w:w="80" w:type="dxa"/>
            <w:vAlign w:val="bottom"/>
            <w:shd w:val="clear" w:color="auto" w:fill="E2E1DC"/>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1416050</wp:posOffset>
                </wp:positionH>
                <wp:positionV relativeFrom="paragraph">
                  <wp:posOffset>-51435</wp:posOffset>
                </wp:positionV>
                <wp:extent cx="52070" cy="5143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70" cy="51435"/>
                        </a:xfrm>
                        <a:prstGeom prst="rect">
                          <a:avLst/>
                        </a:prstGeom>
                        <a:solidFill>
                          <a:srgbClr val="011638"/>
                        </a:solidFill>
                      </wps:spPr>
                      <wps:bodyPr/>
                    </wps:wsp>
                  </a:graphicData>
                </a:graphic>
              </wp:anchor>
            </w:drawing>
          </mc:Choice>
          <mc:Fallback>
            <w:pict>
              <v:rect id="Shape 35" o:spid="_x0000_s1060" style="position:absolute;margin-left:111.5pt;margin-top:-4.0499pt;width:4.1pt;height: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11638" stroked="f"/>
            </w:pict>
          </mc:Fallback>
        </mc:AlternateContent>
      </w:r>
    </w:p>
    <w:p>
      <w:pPr>
        <w:jc w:val="right"/>
        <w:ind w:right="10340"/>
        <w:spacing w:after="0"/>
        <w:rPr>
          <w:sz w:val="20"/>
          <w:szCs w:val="20"/>
          <w:color w:val="auto"/>
        </w:rPr>
      </w:pPr>
      <w:r>
        <w:rPr>
          <w:rFonts w:ascii="Arial" w:cs="Arial" w:eastAsia="Arial" w:hAnsi="Arial"/>
          <w:sz w:val="17"/>
          <w:szCs w:val="17"/>
          <w:color w:val="161920"/>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-20320</wp:posOffset>
            </wp:positionV>
            <wp:extent cx="6318250" cy="21069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extLst>
                    </a:blip>
                    <a:srcRect/>
                    <a:stretch>
                      <a:fillRect/>
                    </a:stretch>
                  </pic:blipFill>
                  <pic:spPr bwMode="auto">
                    <a:xfrm>
                      <a:off x="0" y="0"/>
                      <a:ext cx="6318250" cy="2106930"/>
                    </a:xfrm>
                    <a:prstGeom prst="rect">
                      <a:avLst/>
                    </a:prstGeom>
                    <a:noFill/>
                  </pic:spPr>
                </pic:pic>
              </a:graphicData>
            </a:graphic>
          </wp:anchor>
        </w:drawing>
      </w:r>
    </w:p>
    <w:p>
      <w:pPr>
        <w:spacing w:after="0" w:line="113" w:lineRule="exact"/>
        <w:rPr>
          <w:sz w:val="20"/>
          <w:szCs w:val="20"/>
          <w:color w:val="auto"/>
        </w:rPr>
      </w:pPr>
    </w:p>
    <w:p>
      <w:pPr>
        <w:jc w:val="right"/>
        <w:ind w:right="10340"/>
        <w:spacing w:after="0"/>
        <w:rPr>
          <w:sz w:val="20"/>
          <w:szCs w:val="20"/>
          <w:color w:val="auto"/>
        </w:rPr>
      </w:pPr>
      <w:r>
        <w:rPr>
          <w:rFonts w:ascii="Arial" w:cs="Arial" w:eastAsia="Arial" w:hAnsi="Arial"/>
          <w:sz w:val="18"/>
          <w:szCs w:val="18"/>
          <w:color w:val="161920"/>
        </w:rPr>
        <w:t>90%</w:t>
      </w:r>
    </w:p>
    <w:p>
      <w:pPr>
        <w:spacing w:after="0" w:line="121" w:lineRule="exact"/>
        <w:rPr>
          <w:sz w:val="20"/>
          <w:szCs w:val="20"/>
          <w:color w:val="auto"/>
        </w:rPr>
      </w:pPr>
    </w:p>
    <w:p>
      <w:pPr>
        <w:jc w:val="right"/>
        <w:ind w:right="10340"/>
        <w:spacing w:after="0"/>
        <w:rPr>
          <w:sz w:val="20"/>
          <w:szCs w:val="20"/>
          <w:color w:val="auto"/>
        </w:rPr>
      </w:pPr>
      <w:r>
        <w:rPr>
          <w:rFonts w:ascii="Arial" w:cs="Arial" w:eastAsia="Arial" w:hAnsi="Arial"/>
          <w:sz w:val="18"/>
          <w:szCs w:val="18"/>
          <w:color w:val="161920"/>
        </w:rPr>
        <w:t>80%</w:t>
      </w:r>
    </w:p>
    <w:p>
      <w:pPr>
        <w:spacing w:after="0" w:line="121" w:lineRule="exact"/>
        <w:rPr>
          <w:sz w:val="20"/>
          <w:szCs w:val="20"/>
          <w:color w:val="auto"/>
        </w:rPr>
      </w:pPr>
    </w:p>
    <w:p>
      <w:pPr>
        <w:jc w:val="right"/>
        <w:ind w:right="10340"/>
        <w:spacing w:after="0"/>
        <w:rPr>
          <w:sz w:val="20"/>
          <w:szCs w:val="20"/>
          <w:color w:val="auto"/>
        </w:rPr>
      </w:pPr>
      <w:r>
        <w:rPr>
          <w:rFonts w:ascii="Arial" w:cs="Arial" w:eastAsia="Arial" w:hAnsi="Arial"/>
          <w:sz w:val="18"/>
          <w:szCs w:val="18"/>
          <w:color w:val="161920"/>
        </w:rPr>
        <w:t>70%</w:t>
      </w:r>
    </w:p>
    <w:p>
      <w:pPr>
        <w:spacing w:after="0" w:line="121" w:lineRule="exact"/>
        <w:rPr>
          <w:sz w:val="20"/>
          <w:szCs w:val="20"/>
          <w:color w:val="auto"/>
        </w:rPr>
      </w:pPr>
    </w:p>
    <w:p>
      <w:pPr>
        <w:jc w:val="right"/>
        <w:ind w:right="10340"/>
        <w:spacing w:after="0"/>
        <w:rPr>
          <w:sz w:val="20"/>
          <w:szCs w:val="20"/>
          <w:color w:val="auto"/>
        </w:rPr>
      </w:pPr>
      <w:r>
        <w:rPr>
          <w:rFonts w:ascii="Arial" w:cs="Arial" w:eastAsia="Arial" w:hAnsi="Arial"/>
          <w:sz w:val="18"/>
          <w:szCs w:val="18"/>
          <w:color w:val="161920"/>
        </w:rPr>
        <w:t>60%</w:t>
      </w:r>
    </w:p>
    <w:p>
      <w:pPr>
        <w:spacing w:after="0" w:line="121" w:lineRule="exact"/>
        <w:rPr>
          <w:sz w:val="20"/>
          <w:szCs w:val="20"/>
          <w:color w:val="auto"/>
        </w:rPr>
      </w:pPr>
    </w:p>
    <w:p>
      <w:pPr>
        <w:jc w:val="right"/>
        <w:ind w:right="10340"/>
        <w:spacing w:after="0"/>
        <w:rPr>
          <w:sz w:val="20"/>
          <w:szCs w:val="20"/>
          <w:color w:val="auto"/>
        </w:rPr>
      </w:pPr>
      <w:r>
        <w:rPr>
          <w:rFonts w:ascii="Arial" w:cs="Arial" w:eastAsia="Arial" w:hAnsi="Arial"/>
          <w:sz w:val="18"/>
          <w:szCs w:val="18"/>
          <w:color w:val="161920"/>
        </w:rPr>
        <w:t>50%</w:t>
      </w:r>
    </w:p>
    <w:p>
      <w:pPr>
        <w:spacing w:after="0" w:line="121" w:lineRule="exact"/>
        <w:rPr>
          <w:sz w:val="20"/>
          <w:szCs w:val="20"/>
          <w:color w:val="auto"/>
        </w:rPr>
      </w:pPr>
    </w:p>
    <w:p>
      <w:pPr>
        <w:jc w:val="right"/>
        <w:ind w:right="10340"/>
        <w:spacing w:after="0"/>
        <w:rPr>
          <w:sz w:val="20"/>
          <w:szCs w:val="20"/>
          <w:color w:val="auto"/>
        </w:rPr>
      </w:pPr>
      <w:r>
        <w:rPr>
          <w:rFonts w:ascii="Arial" w:cs="Arial" w:eastAsia="Arial" w:hAnsi="Arial"/>
          <w:sz w:val="18"/>
          <w:szCs w:val="18"/>
          <w:color w:val="161920"/>
        </w:rPr>
        <w:t>40%</w:t>
      </w:r>
    </w:p>
    <w:p>
      <w:pPr>
        <w:spacing w:after="0" w:line="121" w:lineRule="exact"/>
        <w:rPr>
          <w:sz w:val="20"/>
          <w:szCs w:val="20"/>
          <w:color w:val="auto"/>
        </w:rPr>
      </w:pPr>
    </w:p>
    <w:p>
      <w:pPr>
        <w:jc w:val="right"/>
        <w:ind w:right="10340"/>
        <w:spacing w:after="0"/>
        <w:rPr>
          <w:sz w:val="20"/>
          <w:szCs w:val="20"/>
          <w:color w:val="auto"/>
        </w:rPr>
      </w:pPr>
      <w:r>
        <w:rPr>
          <w:rFonts w:ascii="Arial" w:cs="Arial" w:eastAsia="Arial" w:hAnsi="Arial"/>
          <w:sz w:val="18"/>
          <w:szCs w:val="18"/>
          <w:color w:val="161920"/>
        </w:rPr>
        <w:t>30%</w:t>
      </w:r>
    </w:p>
    <w:p>
      <w:pPr>
        <w:spacing w:after="0" w:line="121" w:lineRule="exact"/>
        <w:rPr>
          <w:sz w:val="20"/>
          <w:szCs w:val="20"/>
          <w:color w:val="auto"/>
        </w:rPr>
      </w:pPr>
    </w:p>
    <w:p>
      <w:pPr>
        <w:jc w:val="right"/>
        <w:ind w:right="10340"/>
        <w:spacing w:after="0"/>
        <w:rPr>
          <w:sz w:val="20"/>
          <w:szCs w:val="20"/>
          <w:color w:val="auto"/>
        </w:rPr>
      </w:pPr>
      <w:r>
        <w:rPr>
          <w:rFonts w:ascii="Arial" w:cs="Arial" w:eastAsia="Arial" w:hAnsi="Arial"/>
          <w:sz w:val="18"/>
          <w:szCs w:val="18"/>
          <w:color w:val="161920"/>
        </w:rPr>
        <w:t>20%</w:t>
      </w:r>
    </w:p>
    <w:p>
      <w:pPr>
        <w:spacing w:after="0" w:line="121" w:lineRule="exact"/>
        <w:rPr>
          <w:sz w:val="20"/>
          <w:szCs w:val="20"/>
          <w:color w:val="auto"/>
        </w:rPr>
      </w:pPr>
    </w:p>
    <w:p>
      <w:pPr>
        <w:jc w:val="right"/>
        <w:ind w:right="10340"/>
        <w:spacing w:after="0"/>
        <w:rPr>
          <w:sz w:val="20"/>
          <w:szCs w:val="20"/>
          <w:color w:val="auto"/>
        </w:rPr>
      </w:pPr>
      <w:r>
        <w:rPr>
          <w:rFonts w:ascii="Arial" w:cs="Arial" w:eastAsia="Arial" w:hAnsi="Arial"/>
          <w:sz w:val="18"/>
          <w:szCs w:val="18"/>
          <w:color w:val="161920"/>
        </w:rPr>
        <w:t>10%</w:t>
      </w:r>
    </w:p>
    <w:p>
      <w:pPr>
        <w:spacing w:after="0" w:line="121" w:lineRule="exact"/>
        <w:rPr>
          <w:sz w:val="20"/>
          <w:szCs w:val="20"/>
          <w:color w:val="auto"/>
        </w:rPr>
      </w:pPr>
    </w:p>
    <w:p>
      <w:pPr>
        <w:jc w:val="right"/>
        <w:ind w:right="10340"/>
        <w:spacing w:after="0"/>
        <w:rPr>
          <w:sz w:val="20"/>
          <w:szCs w:val="20"/>
          <w:color w:val="auto"/>
        </w:rPr>
      </w:pPr>
      <w:r>
        <w:rPr>
          <w:rFonts w:ascii="Arial" w:cs="Arial" w:eastAsia="Arial" w:hAnsi="Arial"/>
          <w:sz w:val="18"/>
          <w:szCs w:val="18"/>
          <w:color w:val="161920"/>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73025</wp:posOffset>
            </wp:positionV>
            <wp:extent cx="6550660" cy="273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a:extLst>
                        <a:ext uri="{28A0092B-C50C-407E-A947-70E740481C1C}"/>
                      </a:extLst>
                    </a:blip>
                    <a:srcRect/>
                    <a:stretch>
                      <a:fillRect/>
                    </a:stretch>
                  </pic:blipFill>
                  <pic:spPr bwMode="auto">
                    <a:xfrm>
                      <a:off x="0" y="0"/>
                      <a:ext cx="6550660" cy="27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Our Performance Through the Volatility</w:t>
      </w:r>
    </w:p>
    <w:p>
      <w:pPr>
        <w:spacing w:after="0" w:line="140" w:lineRule="exact"/>
        <w:rPr>
          <w:sz w:val="20"/>
          <w:szCs w:val="20"/>
          <w:color w:val="auto"/>
        </w:rPr>
      </w:pPr>
    </w:p>
    <w:p>
      <w:pPr>
        <w:ind w:left="20"/>
        <w:spacing w:after="0" w:line="339" w:lineRule="auto"/>
        <w:rPr>
          <w:sz w:val="20"/>
          <w:szCs w:val="20"/>
          <w:color w:val="auto"/>
        </w:rPr>
      </w:pPr>
      <w:r>
        <w:rPr>
          <w:rFonts w:ascii="Arial" w:cs="Arial" w:eastAsia="Arial" w:hAnsi="Arial"/>
          <w:sz w:val="20"/>
          <w:szCs w:val="20"/>
          <w:color w:val="595959"/>
        </w:rPr>
        <w:t>Despite the extremely volatile macroeconomic backdrop that characterized 2023, AGNC generated a 10.0% total stock return</w:t>
      </w:r>
      <w:r>
        <w:rPr>
          <w:rFonts w:ascii="Arial" w:cs="Arial" w:eastAsia="Arial" w:hAnsi="Arial"/>
          <w:sz w:val="11"/>
          <w:szCs w:val="11"/>
          <w:color w:val="595959"/>
        </w:rPr>
        <w:t>2</w:t>
      </w:r>
      <w:r>
        <w:rPr>
          <w:rFonts w:ascii="Arial" w:cs="Arial" w:eastAsia="Arial" w:hAnsi="Arial"/>
          <w:sz w:val="20"/>
          <w:szCs w:val="20"/>
          <w:color w:val="595959"/>
        </w:rPr>
        <w:t xml:space="preserve"> and a 3.0% economic return,</w:t>
      </w:r>
      <w:r>
        <w:rPr>
          <w:rFonts w:ascii="Arial" w:cs="Arial" w:eastAsia="Arial" w:hAnsi="Arial"/>
          <w:sz w:val="11"/>
          <w:szCs w:val="11"/>
          <w:color w:val="595959"/>
        </w:rPr>
        <w:t>9</w:t>
      </w:r>
      <w:r>
        <w:rPr>
          <w:rFonts w:ascii="Arial" w:cs="Arial" w:eastAsia="Arial" w:hAnsi="Arial"/>
          <w:sz w:val="20"/>
          <w:szCs w:val="20"/>
          <w:color w:val="595959"/>
        </w:rPr>
        <w:t xml:space="preserve"> driven by a stable and compelling monthly dividend. In doing so, AGNC materially outperformed our Agency mREIT Peer Group, which produced average total stock</w:t>
      </w:r>
      <w:r>
        <w:rPr>
          <w:rFonts w:ascii="Arial" w:cs="Arial" w:eastAsia="Arial" w:hAnsi="Arial"/>
          <w:sz w:val="11"/>
          <w:szCs w:val="11"/>
          <w:color w:val="595959"/>
        </w:rPr>
        <w:t>2</w:t>
      </w:r>
      <w:r>
        <w:rPr>
          <w:rFonts w:ascii="Arial" w:cs="Arial" w:eastAsia="Arial" w:hAnsi="Arial"/>
          <w:sz w:val="20"/>
          <w:szCs w:val="20"/>
          <w:color w:val="595959"/>
        </w:rPr>
        <w:t xml:space="preserve"> and economic returns</w:t>
      </w:r>
      <w:r>
        <w:rPr>
          <w:rFonts w:ascii="Arial" w:cs="Arial" w:eastAsia="Arial" w:hAnsi="Arial"/>
          <w:sz w:val="11"/>
          <w:szCs w:val="11"/>
          <w:color w:val="595959"/>
        </w:rPr>
        <w:t>9</w:t>
      </w:r>
      <w:r>
        <w:rPr>
          <w:rFonts w:ascii="Arial" w:cs="Arial" w:eastAsia="Arial" w:hAnsi="Arial"/>
          <w:sz w:val="20"/>
          <w:szCs w:val="20"/>
          <w:color w:val="595959"/>
        </w:rPr>
        <w:t xml:space="preserve"> of -2.2% and -3.4%, respectively.</w:t>
      </w:r>
    </w:p>
    <w:p>
      <w:pPr>
        <w:spacing w:after="0" w:line="1" w:lineRule="exact"/>
        <w:rPr>
          <w:sz w:val="20"/>
          <w:szCs w:val="20"/>
          <w:color w:val="auto"/>
        </w:rPr>
      </w:pPr>
    </w:p>
    <w:p>
      <w:pPr>
        <w:ind w:left="20" w:right="160"/>
        <w:spacing w:after="0" w:line="321" w:lineRule="auto"/>
        <w:rPr>
          <w:sz w:val="20"/>
          <w:szCs w:val="20"/>
          <w:color w:val="auto"/>
        </w:rPr>
      </w:pPr>
      <w:r>
        <w:rPr>
          <w:rFonts w:ascii="Arial" w:cs="Arial" w:eastAsia="Arial" w:hAnsi="Arial"/>
          <w:sz w:val="20"/>
          <w:szCs w:val="20"/>
          <w:color w:val="595959"/>
        </w:rPr>
        <w:t>Our performance in 2023 illustrates the importance of our active portfolio management strategy and disciplined approach to risk management. During the year, we proactively shifted the composition of our asset portfolio away from “to-be-announced” (“TBA”) securities and lower coupon holdings toward a greater share of higher coupon, high-quality specified pools to capitalize on higher yields and wider spreads. In light of the elevated interest rate volatility, we remained disciplined in our risk management actions, maintaining an interest rate hedge position throughout 2023 that averaged over 115% of our repo funding and TBA position. Finally, we continued to prioritize liquidity throughout the year, with our unencumbered cash and Agency MBS position increasing to $5.1 billion, or 66% of our tangible stockholders’ equity, as of the end of 2023.</w:t>
      </w:r>
    </w:p>
    <w:p>
      <w:pPr>
        <w:sectPr>
          <w:pgSz w:w="11880" w:h="15479" w:orient="portrait"/>
          <w:cols w:equalWidth="0" w:num="1">
            <w:col w:w="10800"/>
          </w:cols>
          <w:pgMar w:left="520" w:top="1440" w:right="559" w:bottom="2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180"/>
        <w:spacing w:after="0"/>
        <w:rPr>
          <w:sz w:val="20"/>
          <w:szCs w:val="20"/>
          <w:color w:val="auto"/>
        </w:rPr>
      </w:pPr>
      <w:r>
        <w:rPr>
          <w:rFonts w:ascii="Arial" w:cs="Arial" w:eastAsia="Arial" w:hAnsi="Arial"/>
          <w:sz w:val="16"/>
          <w:szCs w:val="16"/>
          <w:b w:val="1"/>
          <w:bCs w:val="1"/>
          <w:color w:val="auto"/>
        </w:rPr>
        <w:t>AGNC Investment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6863715</wp:posOffset>
                </wp:positionH>
                <wp:positionV relativeFrom="paragraph">
                  <wp:posOffset>-56515</wp:posOffset>
                </wp:positionV>
                <wp:extent cx="0" cy="23812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8125"/>
                        </a:xfrm>
                        <a:prstGeom prst="line">
                          <a:avLst/>
                        </a:prstGeom>
                        <a:solidFill>
                          <a:srgbClr val="FFFFFF"/>
                        </a:solidFill>
                        <a:ln w="12700">
                          <a:solidFill>
                            <a:srgbClr val="3C60AC"/>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0.45pt,-4.4499pt" to="540.45pt,14.3pt" o:allowincell="f" strokecolor="#3C60AC" strokeweight="1pt"/>
            </w:pict>
          </mc:Fallback>
        </mc:AlternateContent>
      </w:r>
    </w:p>
    <w:p>
      <w:pPr>
        <w:jc w:val="right"/>
        <w:ind w:right="180"/>
        <w:spacing w:after="0"/>
        <w:rPr>
          <w:sz w:val="20"/>
          <w:szCs w:val="20"/>
          <w:color w:val="auto"/>
        </w:rPr>
      </w:pPr>
      <w:r>
        <w:rPr>
          <w:rFonts w:ascii="Arial" w:cs="Arial" w:eastAsia="Arial" w:hAnsi="Arial"/>
          <w:sz w:val="16"/>
          <w:szCs w:val="16"/>
          <w:b w:val="1"/>
          <w:bCs w:val="1"/>
          <w:color w:val="auto"/>
        </w:rPr>
        <w:t xml:space="preserve">2023 Annual Report </w:t>
      </w:r>
      <w:r>
        <w:rPr>
          <w:rFonts w:ascii="Arial" w:cs="Arial" w:eastAsia="Arial" w:hAnsi="Arial"/>
          <w:sz w:val="16"/>
          <w:szCs w:val="16"/>
          <w:b w:val="1"/>
          <w:bCs w:val="1"/>
          <w:color w:val="3C60AC"/>
        </w:rPr>
        <w:t>•</w:t>
      </w:r>
      <w:r>
        <w:rPr>
          <w:rFonts w:ascii="Arial" w:cs="Arial" w:eastAsia="Arial" w:hAnsi="Arial"/>
          <w:sz w:val="16"/>
          <w:szCs w:val="16"/>
          <w:b w:val="1"/>
          <w:bCs w:val="1"/>
          <w:color w:val="auto"/>
        </w:rPr>
        <w:t xml:space="preserve"> 3</w:t>
      </w:r>
    </w:p>
    <w:p>
      <w:pPr>
        <w:sectPr>
          <w:pgSz w:w="11880" w:h="15479" w:orient="portrait"/>
          <w:cols w:equalWidth="0" w:num="1">
            <w:col w:w="10800"/>
          </w:cols>
          <w:pgMar w:left="520" w:top="1440" w:right="559" w:bottom="255" w:gutter="0" w:footer="0" w:header="0"/>
          <w:type w:val="continuous"/>
        </w:sectPr>
      </w:pPr>
    </w:p>
    <w:bookmarkStart w:id="5" w:name="page6"/>
    <w:bookmarkEnd w:id="5"/>
    <w:p>
      <w:pPr>
        <w:spacing w:after="0" w:line="2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165" cy="639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3">
                      <a:extLst>
                        <a:ext uri="{28A0092B-C50C-407E-A947-70E740481C1C}"/>
                      </a:extLst>
                    </a:blip>
                    <a:srcRect/>
                    <a:stretch>
                      <a:fillRect/>
                    </a:stretch>
                  </pic:blipFill>
                  <pic:spPr bwMode="auto">
                    <a:xfrm>
                      <a:off x="0" y="0"/>
                      <a:ext cx="7543165" cy="63944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auto"/>
        </w:rPr>
        <w:t>OUR CONSTRUCTIVE OUTLOOK FOR AN EVOLVING MARKET</w:t>
      </w:r>
    </w:p>
    <w:p>
      <w:pPr>
        <w:spacing w:after="0" w:line="236" w:lineRule="exact"/>
        <w:rPr>
          <w:sz w:val="20"/>
          <w:szCs w:val="20"/>
          <w:color w:val="auto"/>
        </w:rPr>
      </w:pPr>
    </w:p>
    <w:p>
      <w:pPr>
        <w:spacing w:after="0" w:line="395" w:lineRule="auto"/>
        <w:rPr>
          <w:sz w:val="20"/>
          <w:szCs w:val="20"/>
          <w:color w:val="auto"/>
        </w:rPr>
      </w:pPr>
      <w:r>
        <w:rPr>
          <w:rFonts w:ascii="Arial" w:cs="Arial" w:eastAsia="Arial" w:hAnsi="Arial"/>
          <w:sz w:val="20"/>
          <w:szCs w:val="20"/>
          <w:color w:val="595959"/>
        </w:rPr>
        <w:t>As we have noted previously, broad fixed income market transitions are generally not linear and can occur over a period of years. Heading into 2024, however, we believe a more favorable investment outlook has emerged as many of the factors that drove the adverse conditions over the past two years appear to be largely behind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291465</wp:posOffset>
            </wp:positionV>
            <wp:extent cx="7543165" cy="61633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4">
                      <a:extLst>
                        <a:ext uri="{28A0092B-C50C-407E-A947-70E740481C1C}"/>
                      </a:extLst>
                    </a:blip>
                    <a:srcRect/>
                    <a:stretch>
                      <a:fillRect/>
                    </a:stretch>
                  </pic:blipFill>
                  <pic:spPr bwMode="auto">
                    <a:xfrm>
                      <a:off x="0" y="0"/>
                      <a:ext cx="7543165" cy="6163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3C60AC"/>
        </w:rPr>
        <w:t>Several Key Developments Support Our Growing Optimism</w:t>
      </w:r>
    </w:p>
    <w:p>
      <w:pPr>
        <w:sectPr>
          <w:pgSz w:w="11880" w:h="15479" w:orient="portrait"/>
          <w:cols w:equalWidth="0" w:num="1">
            <w:col w:w="10660"/>
          </w:cols>
          <w:pgMar w:left="540" w:top="1440" w:right="679" w:bottom="264" w:gutter="0" w:footer="0" w:header="0"/>
        </w:sectPr>
      </w:pPr>
    </w:p>
    <w:p>
      <w:pPr>
        <w:spacing w:after="0" w:line="346" w:lineRule="exact"/>
        <w:rPr>
          <w:sz w:val="20"/>
          <w:szCs w:val="20"/>
          <w:color w:val="auto"/>
        </w:rPr>
      </w:pPr>
    </w:p>
    <w:p>
      <w:pPr>
        <w:ind w:left="520" w:right="240" w:hanging="175"/>
        <w:spacing w:after="0" w:line="329" w:lineRule="auto"/>
        <w:tabs>
          <w:tab w:leader="none" w:pos="520" w:val="left"/>
        </w:tabs>
        <w:numPr>
          <w:ilvl w:val="0"/>
          <w:numId w:val="6"/>
        </w:numPr>
        <w:rPr>
          <w:rFonts w:ascii="Arial" w:cs="Arial" w:eastAsia="Arial" w:hAnsi="Arial"/>
          <w:sz w:val="20"/>
          <w:szCs w:val="20"/>
          <w:color w:val="3C60AC"/>
        </w:rPr>
      </w:pPr>
      <w:r>
        <w:rPr>
          <w:rFonts w:ascii="Arial" w:cs="Arial" w:eastAsia="Arial" w:hAnsi="Arial"/>
          <w:sz w:val="20"/>
          <w:szCs w:val="20"/>
          <w:color w:val="auto"/>
        </w:rPr>
        <w:t>In the fourth quarter, the Fed adopted a more neutral monetary policy stance and indicated that multiple rate cuts are possible in 2024 if inflation continues to improve and progresses toward the long-run target as expected.</w:t>
      </w:r>
    </w:p>
    <w:p>
      <w:pPr>
        <w:spacing w:after="0" w:line="3" w:lineRule="exact"/>
        <w:rPr>
          <w:rFonts w:ascii="Arial" w:cs="Arial" w:eastAsia="Arial" w:hAnsi="Arial"/>
          <w:sz w:val="20"/>
          <w:szCs w:val="20"/>
          <w:color w:val="3C60AC"/>
        </w:rPr>
      </w:pPr>
    </w:p>
    <w:p>
      <w:pPr>
        <w:ind w:left="500" w:hanging="155"/>
        <w:spacing w:after="0" w:line="343" w:lineRule="auto"/>
        <w:tabs>
          <w:tab w:leader="none" w:pos="500" w:val="left"/>
        </w:tabs>
        <w:numPr>
          <w:ilvl w:val="0"/>
          <w:numId w:val="6"/>
        </w:numPr>
        <w:rPr>
          <w:rFonts w:ascii="Arial" w:cs="Arial" w:eastAsia="Arial" w:hAnsi="Arial"/>
          <w:sz w:val="20"/>
          <w:szCs w:val="20"/>
          <w:color w:val="3C60AC"/>
        </w:rPr>
      </w:pPr>
      <w:r>
        <w:rPr>
          <w:rFonts w:ascii="Arial" w:cs="Arial" w:eastAsia="Arial" w:hAnsi="Arial"/>
          <w:sz w:val="20"/>
          <w:szCs w:val="20"/>
          <w:color w:val="auto"/>
        </w:rPr>
        <w:t>Against this backdrop, interest rate volatility appears poised to gradually decline, which, in turn, enhances the attractiveness of Agency MBS and incrementally reduces the need for, and cost of, our interest rate risk management activities.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136" w:right="440" w:hanging="136"/>
        <w:spacing w:after="0" w:line="329" w:lineRule="auto"/>
        <w:tabs>
          <w:tab w:leader="none" w:pos="113" w:val="left"/>
        </w:tabs>
        <w:numPr>
          <w:ilvl w:val="0"/>
          <w:numId w:val="7"/>
        </w:numPr>
        <w:rPr>
          <w:rFonts w:ascii="Arial" w:cs="Arial" w:eastAsia="Arial" w:hAnsi="Arial"/>
          <w:sz w:val="20"/>
          <w:szCs w:val="20"/>
          <w:color w:val="3C60AC"/>
        </w:rPr>
      </w:pPr>
      <w:r>
        <w:rPr>
          <w:rFonts w:ascii="Arial" w:cs="Arial" w:eastAsia="Arial" w:hAnsi="Arial"/>
          <w:sz w:val="20"/>
          <w:szCs w:val="20"/>
          <w:color w:val="auto"/>
        </w:rPr>
        <w:t>The supply outlook for Agency MBS remains favorable despite the Fed’s gradual reduction of its portfolio, as elevated mortgage rates and home prices suppress origination volumes and refinance activity.</w:t>
      </w:r>
    </w:p>
    <w:p>
      <w:pPr>
        <w:spacing w:after="0" w:line="3" w:lineRule="exact"/>
        <w:rPr>
          <w:rFonts w:ascii="Arial" w:cs="Arial" w:eastAsia="Arial" w:hAnsi="Arial"/>
          <w:sz w:val="20"/>
          <w:szCs w:val="20"/>
          <w:color w:val="3C60AC"/>
        </w:rPr>
      </w:pPr>
    </w:p>
    <w:p>
      <w:pPr>
        <w:ind w:left="156" w:right="380" w:hanging="156"/>
        <w:spacing w:after="0" w:line="360" w:lineRule="auto"/>
        <w:tabs>
          <w:tab w:leader="none" w:pos="157" w:val="left"/>
        </w:tabs>
        <w:numPr>
          <w:ilvl w:val="0"/>
          <w:numId w:val="7"/>
        </w:numPr>
        <w:rPr>
          <w:rFonts w:ascii="Arial" w:cs="Arial" w:eastAsia="Arial" w:hAnsi="Arial"/>
          <w:sz w:val="20"/>
          <w:szCs w:val="20"/>
          <w:color w:val="3C60AC"/>
        </w:rPr>
      </w:pPr>
      <w:r>
        <w:rPr>
          <w:rFonts w:ascii="Arial" w:cs="Arial" w:eastAsia="Arial" w:hAnsi="Arial"/>
          <w:sz w:val="20"/>
          <w:szCs w:val="20"/>
          <w:color w:val="auto"/>
        </w:rPr>
        <w:t>Perhaps most importantly, Agency MBS spreads appear to have settled into a new and more favorable trading range, which enhances our ability to generate attractive returns for stockholders.</w:t>
      </w:r>
    </w:p>
    <w:p>
      <w:pPr>
        <w:spacing w:after="0" w:line="434" w:lineRule="exact"/>
        <w:rPr>
          <w:sz w:val="20"/>
          <w:szCs w:val="20"/>
          <w:color w:val="auto"/>
        </w:rPr>
      </w:pPr>
    </w:p>
    <w:p>
      <w:pPr>
        <w:sectPr>
          <w:pgSz w:w="11880" w:h="15479" w:orient="portrait"/>
          <w:cols w:equalWidth="0" w:num="2">
            <w:col w:w="5260" w:space="244"/>
            <w:col w:w="5156"/>
          </w:cols>
          <w:pgMar w:left="540" w:top="1440" w:right="679" w:bottom="264" w:gutter="0" w:footer="0" w:header="0"/>
          <w:type w:val="continuous"/>
        </w:sectPr>
      </w:pPr>
    </w:p>
    <w:tbl>
      <w:tblPr>
        <w:tblLayout w:type="fixed"/>
        <w:tblInd w:w="360" w:type="dxa"/>
        <w:tblCellMar>
          <w:top w:w="0" w:type="dxa"/>
          <w:left w:w="0" w:type="dxa"/>
          <w:bottom w:w="0" w:type="dxa"/>
          <w:right w:w="0" w:type="dxa"/>
        </w:tblCellMar>
      </w:tblPr>
      <w:tr>
        <w:trPr>
          <w:trHeight w:val="316"/>
        </w:trPr>
        <w:tc>
          <w:tcPr>
            <w:tcW w:w="4200" w:type="dxa"/>
            <w:vAlign w:val="bottom"/>
            <w:gridSpan w:val="2"/>
          </w:tcPr>
          <w:p>
            <w:pPr>
              <w:ind w:left="20"/>
              <w:spacing w:after="0"/>
              <w:rPr>
                <w:sz w:val="20"/>
                <w:szCs w:val="20"/>
                <w:color w:val="auto"/>
              </w:rPr>
            </w:pPr>
            <w:r>
              <w:rPr>
                <w:rFonts w:ascii="Arial" w:cs="Arial" w:eastAsia="Arial" w:hAnsi="Arial"/>
                <w:sz w:val="20"/>
                <w:szCs w:val="20"/>
                <w:b w:val="1"/>
                <w:bCs w:val="1"/>
                <w:color w:val="auto"/>
              </w:rPr>
              <w:t>Fed Funds Target Midpoint</w:t>
            </w:r>
            <w:r>
              <w:rPr>
                <w:rFonts w:ascii="Arial" w:cs="Arial" w:eastAsia="Arial" w:hAnsi="Arial"/>
                <w:sz w:val="11"/>
                <w:szCs w:val="11"/>
                <w:b w:val="1"/>
                <w:bCs w:val="1"/>
                <w:color w:val="auto"/>
              </w:rPr>
              <w:t>10</w:t>
            </w:r>
          </w:p>
        </w:tc>
        <w:tc>
          <w:tcPr>
            <w:tcW w:w="5260" w:type="dxa"/>
            <w:vAlign w:val="bottom"/>
            <w:gridSpan w:val="2"/>
          </w:tcPr>
          <w:p>
            <w:pPr>
              <w:ind w:left="940"/>
              <w:spacing w:after="0"/>
              <w:rPr>
                <w:sz w:val="20"/>
                <w:szCs w:val="20"/>
                <w:color w:val="auto"/>
              </w:rPr>
            </w:pPr>
            <w:r>
              <w:rPr>
                <w:rFonts w:ascii="Arial" w:cs="Arial" w:eastAsia="Arial" w:hAnsi="Arial"/>
                <w:sz w:val="20"/>
                <w:szCs w:val="20"/>
                <w:b w:val="1"/>
                <w:bCs w:val="1"/>
                <w:color w:val="auto"/>
              </w:rPr>
              <w:t>Agency MBS Spread to Treasuries</w:t>
            </w:r>
            <w:r>
              <w:rPr>
                <w:rFonts w:ascii="Arial" w:cs="Arial" w:eastAsia="Arial" w:hAnsi="Arial"/>
                <w:sz w:val="11"/>
                <w:szCs w:val="11"/>
                <w:b w:val="1"/>
                <w:bCs w:val="1"/>
                <w:color w:val="auto"/>
              </w:rPr>
              <w:t>11</w:t>
            </w:r>
          </w:p>
        </w:tc>
        <w:tc>
          <w:tcPr>
            <w:tcW w:w="0" w:type="dxa"/>
            <w:vAlign w:val="bottom"/>
          </w:tcPr>
          <w:p>
            <w:pPr>
              <w:spacing w:after="0"/>
              <w:rPr>
                <w:sz w:val="1"/>
                <w:szCs w:val="1"/>
                <w:color w:val="auto"/>
              </w:rPr>
            </w:pPr>
          </w:p>
        </w:tc>
      </w:tr>
      <w:tr>
        <w:trPr>
          <w:trHeight w:val="234"/>
        </w:trPr>
        <w:tc>
          <w:tcPr>
            <w:tcW w:w="600" w:type="dxa"/>
            <w:vAlign w:val="bottom"/>
            <w:vMerge w:val="restart"/>
          </w:tcPr>
          <w:p>
            <w:pPr>
              <w:spacing w:after="0"/>
              <w:rPr>
                <w:sz w:val="20"/>
                <w:szCs w:val="20"/>
                <w:color w:val="auto"/>
              </w:rPr>
            </w:pPr>
            <w:r>
              <w:rPr>
                <w:rFonts w:ascii="Arial" w:cs="Arial" w:eastAsia="Arial" w:hAnsi="Arial"/>
                <w:sz w:val="18"/>
                <w:szCs w:val="18"/>
                <w:color w:val="161920"/>
              </w:rPr>
              <w:t>6.0%</w:t>
            </w:r>
          </w:p>
        </w:tc>
        <w:tc>
          <w:tcPr>
            <w:tcW w:w="3600" w:type="dxa"/>
            <w:vAlign w:val="bottom"/>
          </w:tcPr>
          <w:p>
            <w:pPr>
              <w:spacing w:after="0"/>
              <w:rPr>
                <w:sz w:val="20"/>
                <w:szCs w:val="20"/>
                <w:color w:val="auto"/>
              </w:rPr>
            </w:pPr>
          </w:p>
        </w:tc>
        <w:tc>
          <w:tcPr>
            <w:tcW w:w="1780" w:type="dxa"/>
            <w:vAlign w:val="bottom"/>
            <w:vMerge w:val="restart"/>
          </w:tcPr>
          <w:p>
            <w:pPr>
              <w:jc w:val="right"/>
              <w:ind w:right="88"/>
              <w:spacing w:after="0"/>
              <w:rPr>
                <w:sz w:val="20"/>
                <w:szCs w:val="20"/>
                <w:color w:val="auto"/>
              </w:rPr>
            </w:pPr>
            <w:r>
              <w:rPr>
                <w:rFonts w:ascii="Arial" w:cs="Arial" w:eastAsia="Arial" w:hAnsi="Arial"/>
                <w:sz w:val="18"/>
                <w:szCs w:val="18"/>
                <w:color w:val="161920"/>
              </w:rPr>
              <w:t>200 bps</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00" w:type="dxa"/>
            <w:vAlign w:val="bottom"/>
            <w:vMerge w:val="continue"/>
          </w:tcPr>
          <w:p>
            <w:pPr>
              <w:spacing w:after="0"/>
              <w:rPr>
                <w:sz w:val="16"/>
                <w:szCs w:val="16"/>
                <w:color w:val="auto"/>
              </w:rPr>
            </w:pPr>
          </w:p>
        </w:tc>
        <w:tc>
          <w:tcPr>
            <w:tcW w:w="3600" w:type="dxa"/>
            <w:vAlign w:val="bottom"/>
            <w:tcBorders>
              <w:left w:val="single" w:sz="8" w:color="DBD8D3"/>
            </w:tcBorders>
          </w:tcPr>
          <w:p>
            <w:pPr>
              <w:spacing w:after="0"/>
              <w:rPr>
                <w:sz w:val="16"/>
                <w:szCs w:val="16"/>
                <w:color w:val="auto"/>
              </w:rPr>
            </w:pPr>
          </w:p>
        </w:tc>
        <w:tc>
          <w:tcPr>
            <w:tcW w:w="1780" w:type="dxa"/>
            <w:vAlign w:val="bottom"/>
            <w:vMerge w:val="continue"/>
          </w:tcPr>
          <w:p>
            <w:pPr>
              <w:spacing w:after="0"/>
              <w:rPr>
                <w:sz w:val="16"/>
                <w:szCs w:val="16"/>
                <w:color w:val="auto"/>
              </w:rPr>
            </w:pPr>
          </w:p>
        </w:tc>
        <w:tc>
          <w:tcPr>
            <w:tcW w:w="3480" w:type="dxa"/>
            <w:vAlign w:val="bottom"/>
            <w:tcBorders>
              <w:left w:val="single" w:sz="8" w:color="DBD8D3"/>
            </w:tcBorders>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161920"/>
              </w:rPr>
              <w:t>5.0%</w:t>
            </w:r>
          </w:p>
        </w:tc>
        <w:tc>
          <w:tcPr>
            <w:tcW w:w="3600" w:type="dxa"/>
            <w:vAlign w:val="bottom"/>
            <w:tcBorders>
              <w:left w:val="single" w:sz="8" w:color="DBD8D3"/>
            </w:tcBorders>
          </w:tcPr>
          <w:p>
            <w:pPr>
              <w:spacing w:after="0"/>
              <w:rPr>
                <w:sz w:val="24"/>
                <w:szCs w:val="24"/>
                <w:color w:val="auto"/>
              </w:rPr>
            </w:pPr>
          </w:p>
        </w:tc>
        <w:tc>
          <w:tcPr>
            <w:tcW w:w="1780" w:type="dxa"/>
            <w:vAlign w:val="bottom"/>
            <w:vMerge w:val="restart"/>
          </w:tcPr>
          <w:p>
            <w:pPr>
              <w:jc w:val="right"/>
              <w:ind w:right="88"/>
              <w:spacing w:after="0"/>
              <w:rPr>
                <w:sz w:val="20"/>
                <w:szCs w:val="20"/>
                <w:color w:val="auto"/>
              </w:rPr>
            </w:pPr>
            <w:r>
              <w:rPr>
                <w:rFonts w:ascii="Arial" w:cs="Arial" w:eastAsia="Arial" w:hAnsi="Arial"/>
                <w:sz w:val="18"/>
                <w:szCs w:val="18"/>
                <w:color w:val="161920"/>
              </w:rPr>
              <w:t>150 bps</w:t>
            </w:r>
          </w:p>
        </w:tc>
        <w:tc>
          <w:tcPr>
            <w:tcW w:w="3480" w:type="dxa"/>
            <w:vAlign w:val="bottom"/>
            <w:tcBorders>
              <w:left w:val="single" w:sz="8" w:color="DBD8D3"/>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00" w:type="dxa"/>
            <w:vAlign w:val="bottom"/>
            <w:vMerge w:val="restart"/>
          </w:tcPr>
          <w:p>
            <w:pPr>
              <w:spacing w:after="0"/>
              <w:rPr>
                <w:sz w:val="20"/>
                <w:szCs w:val="20"/>
                <w:color w:val="auto"/>
              </w:rPr>
            </w:pPr>
            <w:r>
              <w:rPr>
                <w:rFonts w:ascii="Arial" w:cs="Arial" w:eastAsia="Arial" w:hAnsi="Arial"/>
                <w:sz w:val="18"/>
                <w:szCs w:val="18"/>
                <w:color w:val="161920"/>
              </w:rPr>
              <w:t>4.0%</w:t>
            </w:r>
          </w:p>
        </w:tc>
        <w:tc>
          <w:tcPr>
            <w:tcW w:w="3600" w:type="dxa"/>
            <w:vAlign w:val="bottom"/>
            <w:tcBorders>
              <w:left w:val="single" w:sz="8" w:color="DBD8D3"/>
            </w:tcBorders>
          </w:tcPr>
          <w:p>
            <w:pPr>
              <w:spacing w:after="0"/>
              <w:rPr>
                <w:sz w:val="14"/>
                <w:szCs w:val="14"/>
                <w:color w:val="auto"/>
              </w:rPr>
            </w:pPr>
          </w:p>
        </w:tc>
        <w:tc>
          <w:tcPr>
            <w:tcW w:w="1780" w:type="dxa"/>
            <w:vAlign w:val="bottom"/>
            <w:vMerge w:val="continue"/>
          </w:tcPr>
          <w:p>
            <w:pPr>
              <w:spacing w:after="0"/>
              <w:rPr>
                <w:sz w:val="14"/>
                <w:szCs w:val="14"/>
                <w:color w:val="auto"/>
              </w:rPr>
            </w:pPr>
          </w:p>
        </w:tc>
        <w:tc>
          <w:tcPr>
            <w:tcW w:w="3480" w:type="dxa"/>
            <w:vAlign w:val="bottom"/>
            <w:tcBorders>
              <w:left w:val="single" w:sz="8" w:color="DBD8D3"/>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00" w:type="dxa"/>
            <w:vAlign w:val="bottom"/>
            <w:vMerge w:val="continue"/>
          </w:tcPr>
          <w:p>
            <w:pPr>
              <w:spacing w:after="0"/>
              <w:rPr>
                <w:sz w:val="17"/>
                <w:szCs w:val="17"/>
                <w:color w:val="auto"/>
              </w:rPr>
            </w:pPr>
          </w:p>
        </w:tc>
        <w:tc>
          <w:tcPr>
            <w:tcW w:w="3600" w:type="dxa"/>
            <w:vAlign w:val="bottom"/>
            <w:tcBorders>
              <w:left w:val="single" w:sz="8" w:color="DBD8D3"/>
            </w:tcBorders>
          </w:tcPr>
          <w:p>
            <w:pPr>
              <w:spacing w:after="0"/>
              <w:rPr>
                <w:sz w:val="17"/>
                <w:szCs w:val="17"/>
                <w:color w:val="auto"/>
              </w:rPr>
            </w:pPr>
          </w:p>
        </w:tc>
        <w:tc>
          <w:tcPr>
            <w:tcW w:w="1780" w:type="dxa"/>
            <w:vAlign w:val="bottom"/>
            <w:vMerge w:val="restart"/>
          </w:tcPr>
          <w:p>
            <w:pPr>
              <w:jc w:val="right"/>
              <w:ind w:right="88"/>
              <w:spacing w:after="0"/>
              <w:rPr>
                <w:sz w:val="20"/>
                <w:szCs w:val="20"/>
                <w:color w:val="auto"/>
              </w:rPr>
            </w:pPr>
            <w:r>
              <w:rPr>
                <w:rFonts w:ascii="Arial" w:cs="Arial" w:eastAsia="Arial" w:hAnsi="Arial"/>
                <w:sz w:val="18"/>
                <w:szCs w:val="18"/>
                <w:color w:val="161920"/>
              </w:rPr>
              <w:t>100 bps</w:t>
            </w:r>
          </w:p>
        </w:tc>
        <w:tc>
          <w:tcPr>
            <w:tcW w:w="3480" w:type="dxa"/>
            <w:vAlign w:val="bottom"/>
            <w:tcBorders>
              <w:left w:val="single" w:sz="8" w:color="DBD8D3"/>
            </w:tcBorders>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161920"/>
              </w:rPr>
              <w:t>3.0%</w:t>
            </w:r>
          </w:p>
        </w:tc>
        <w:tc>
          <w:tcPr>
            <w:tcW w:w="3600" w:type="dxa"/>
            <w:vAlign w:val="bottom"/>
            <w:tcBorders>
              <w:left w:val="single" w:sz="8" w:color="DBD8D3"/>
            </w:tcBorders>
          </w:tcPr>
          <w:p>
            <w:pPr>
              <w:spacing w:after="0"/>
              <w:rPr>
                <w:sz w:val="24"/>
                <w:szCs w:val="24"/>
                <w:color w:val="auto"/>
              </w:rPr>
            </w:pPr>
          </w:p>
        </w:tc>
        <w:tc>
          <w:tcPr>
            <w:tcW w:w="1780" w:type="dxa"/>
            <w:vAlign w:val="bottom"/>
            <w:vMerge w:val="continue"/>
          </w:tcPr>
          <w:p>
            <w:pPr>
              <w:spacing w:after="0"/>
              <w:rPr>
                <w:sz w:val="24"/>
                <w:szCs w:val="24"/>
                <w:color w:val="auto"/>
              </w:rPr>
            </w:pPr>
          </w:p>
        </w:tc>
        <w:tc>
          <w:tcPr>
            <w:tcW w:w="3480" w:type="dxa"/>
            <w:vAlign w:val="bottom"/>
            <w:tcBorders>
              <w:left w:val="single" w:sz="8" w:color="DBD8D3"/>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00" w:type="dxa"/>
            <w:vAlign w:val="bottom"/>
          </w:tcPr>
          <w:p>
            <w:pPr>
              <w:spacing w:after="0"/>
              <w:rPr>
                <w:sz w:val="20"/>
                <w:szCs w:val="20"/>
                <w:color w:val="auto"/>
              </w:rPr>
            </w:pPr>
            <w:r>
              <w:rPr>
                <w:rFonts w:ascii="Arial" w:cs="Arial" w:eastAsia="Arial" w:hAnsi="Arial"/>
                <w:sz w:val="18"/>
                <w:szCs w:val="18"/>
                <w:color w:val="161920"/>
              </w:rPr>
              <w:t>2.0%</w:t>
            </w:r>
          </w:p>
        </w:tc>
        <w:tc>
          <w:tcPr>
            <w:tcW w:w="3600" w:type="dxa"/>
            <w:vAlign w:val="bottom"/>
            <w:tcBorders>
              <w:left w:val="single" w:sz="8" w:color="DBD8D3"/>
            </w:tcBorders>
          </w:tcPr>
          <w:p>
            <w:pPr>
              <w:spacing w:after="0"/>
              <w:rPr>
                <w:sz w:val="24"/>
                <w:szCs w:val="24"/>
                <w:color w:val="auto"/>
              </w:rPr>
            </w:pPr>
          </w:p>
        </w:tc>
        <w:tc>
          <w:tcPr>
            <w:tcW w:w="1780" w:type="dxa"/>
            <w:vAlign w:val="bottom"/>
            <w:vMerge w:val="restart"/>
          </w:tcPr>
          <w:p>
            <w:pPr>
              <w:jc w:val="right"/>
              <w:ind w:right="88"/>
              <w:spacing w:after="0"/>
              <w:rPr>
                <w:sz w:val="20"/>
                <w:szCs w:val="20"/>
                <w:color w:val="auto"/>
              </w:rPr>
            </w:pPr>
            <w:r>
              <w:rPr>
                <w:rFonts w:ascii="Arial" w:cs="Arial" w:eastAsia="Arial" w:hAnsi="Arial"/>
                <w:sz w:val="18"/>
                <w:szCs w:val="18"/>
                <w:color w:val="161920"/>
              </w:rPr>
              <w:t>50 bps</w:t>
            </w:r>
          </w:p>
        </w:tc>
        <w:tc>
          <w:tcPr>
            <w:tcW w:w="3480" w:type="dxa"/>
            <w:vAlign w:val="bottom"/>
            <w:tcBorders>
              <w:left w:val="single" w:sz="8" w:color="DBD8D3"/>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0" w:type="dxa"/>
            <w:vAlign w:val="bottom"/>
            <w:vMerge w:val="restart"/>
          </w:tcPr>
          <w:p>
            <w:pPr>
              <w:spacing w:after="0"/>
              <w:rPr>
                <w:sz w:val="20"/>
                <w:szCs w:val="20"/>
                <w:color w:val="auto"/>
              </w:rPr>
            </w:pPr>
            <w:r>
              <w:rPr>
                <w:rFonts w:ascii="Arial" w:cs="Arial" w:eastAsia="Arial" w:hAnsi="Arial"/>
                <w:sz w:val="18"/>
                <w:szCs w:val="18"/>
                <w:color w:val="161920"/>
              </w:rPr>
              <w:t>1.0%</w:t>
            </w:r>
          </w:p>
        </w:tc>
        <w:tc>
          <w:tcPr>
            <w:tcW w:w="3600" w:type="dxa"/>
            <w:vAlign w:val="bottom"/>
            <w:tcBorders>
              <w:left w:val="single" w:sz="8" w:color="DBD8D3"/>
            </w:tcBorders>
          </w:tcPr>
          <w:p>
            <w:pPr>
              <w:spacing w:after="0"/>
              <w:rPr>
                <w:sz w:val="17"/>
                <w:szCs w:val="17"/>
                <w:color w:val="auto"/>
              </w:rPr>
            </w:pPr>
          </w:p>
        </w:tc>
        <w:tc>
          <w:tcPr>
            <w:tcW w:w="1780" w:type="dxa"/>
            <w:vAlign w:val="bottom"/>
            <w:vMerge w:val="continue"/>
          </w:tcPr>
          <w:p>
            <w:pPr>
              <w:spacing w:after="0"/>
              <w:rPr>
                <w:sz w:val="17"/>
                <w:szCs w:val="17"/>
                <w:color w:val="auto"/>
              </w:rPr>
            </w:pPr>
          </w:p>
        </w:tc>
        <w:tc>
          <w:tcPr>
            <w:tcW w:w="3480" w:type="dxa"/>
            <w:vAlign w:val="bottom"/>
            <w:tcBorders>
              <w:left w:val="single" w:sz="8" w:color="DBD8D3"/>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600" w:type="dxa"/>
            <w:vAlign w:val="bottom"/>
            <w:vMerge w:val="continue"/>
          </w:tcPr>
          <w:p>
            <w:pPr>
              <w:spacing w:after="0"/>
              <w:rPr>
                <w:sz w:val="14"/>
                <w:szCs w:val="14"/>
                <w:color w:val="auto"/>
              </w:rPr>
            </w:pPr>
          </w:p>
        </w:tc>
        <w:tc>
          <w:tcPr>
            <w:tcW w:w="3600" w:type="dxa"/>
            <w:vAlign w:val="bottom"/>
            <w:tcBorders>
              <w:left w:val="single" w:sz="8" w:color="DBD8D3"/>
            </w:tcBorders>
          </w:tcPr>
          <w:p>
            <w:pPr>
              <w:spacing w:after="0"/>
              <w:rPr>
                <w:sz w:val="14"/>
                <w:szCs w:val="14"/>
                <w:color w:val="auto"/>
              </w:rPr>
            </w:pPr>
          </w:p>
        </w:tc>
        <w:tc>
          <w:tcPr>
            <w:tcW w:w="1780" w:type="dxa"/>
            <w:vAlign w:val="bottom"/>
          </w:tcPr>
          <w:p>
            <w:pPr>
              <w:spacing w:after="0"/>
              <w:rPr>
                <w:sz w:val="14"/>
                <w:szCs w:val="14"/>
                <w:color w:val="auto"/>
              </w:rPr>
            </w:pPr>
          </w:p>
        </w:tc>
        <w:tc>
          <w:tcPr>
            <w:tcW w:w="3480" w:type="dxa"/>
            <w:vAlign w:val="bottom"/>
            <w:tcBorders>
              <w:left w:val="single" w:sz="8" w:color="DBD8D3"/>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 w:type="dxa"/>
            <w:vAlign w:val="bottom"/>
            <w:vMerge w:val="restart"/>
          </w:tcPr>
          <w:p>
            <w:pPr>
              <w:spacing w:after="0"/>
              <w:rPr>
                <w:sz w:val="20"/>
                <w:szCs w:val="20"/>
                <w:color w:val="auto"/>
              </w:rPr>
            </w:pPr>
            <w:r>
              <w:rPr>
                <w:rFonts w:ascii="Arial" w:cs="Arial" w:eastAsia="Arial" w:hAnsi="Arial"/>
                <w:sz w:val="18"/>
                <w:szCs w:val="18"/>
                <w:color w:val="161920"/>
              </w:rPr>
              <w:t>0.0%</w:t>
            </w:r>
          </w:p>
        </w:tc>
        <w:tc>
          <w:tcPr>
            <w:tcW w:w="3600" w:type="dxa"/>
            <w:vAlign w:val="bottom"/>
            <w:tcBorders>
              <w:left w:val="single" w:sz="8" w:color="DBD8D3"/>
              <w:bottom w:val="single" w:sz="8" w:color="DBD8D3"/>
            </w:tcBorders>
          </w:tcPr>
          <w:p>
            <w:pPr>
              <w:spacing w:after="0"/>
              <w:rPr>
                <w:sz w:val="15"/>
                <w:szCs w:val="15"/>
                <w:color w:val="auto"/>
              </w:rPr>
            </w:pPr>
          </w:p>
        </w:tc>
        <w:tc>
          <w:tcPr>
            <w:tcW w:w="1780" w:type="dxa"/>
            <w:vAlign w:val="bottom"/>
            <w:vMerge w:val="restart"/>
          </w:tcPr>
          <w:p>
            <w:pPr>
              <w:jc w:val="right"/>
              <w:ind w:right="88"/>
              <w:spacing w:after="0"/>
              <w:rPr>
                <w:sz w:val="20"/>
                <w:szCs w:val="20"/>
                <w:color w:val="auto"/>
              </w:rPr>
            </w:pPr>
            <w:r>
              <w:rPr>
                <w:rFonts w:ascii="Arial" w:cs="Arial" w:eastAsia="Arial" w:hAnsi="Arial"/>
                <w:sz w:val="18"/>
                <w:szCs w:val="18"/>
                <w:color w:val="161920"/>
              </w:rPr>
              <w:t>0 bps</w:t>
            </w:r>
          </w:p>
        </w:tc>
        <w:tc>
          <w:tcPr>
            <w:tcW w:w="3480" w:type="dxa"/>
            <w:vAlign w:val="bottom"/>
            <w:tcBorders>
              <w:left w:val="single" w:sz="8" w:color="DBD8D3"/>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vMerge w:val="continue"/>
          </w:tcPr>
          <w:p>
            <w:pPr>
              <w:spacing w:after="0" w:line="20" w:lineRule="exact"/>
              <w:rPr>
                <w:sz w:val="1"/>
                <w:szCs w:val="1"/>
                <w:color w:val="auto"/>
              </w:rPr>
            </w:pPr>
          </w:p>
        </w:tc>
        <w:tc>
          <w:tcPr>
            <w:tcW w:w="3600" w:type="dxa"/>
            <w:vAlign w:val="bottom"/>
            <w:vMerge w:val="restart"/>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3480" w:type="dxa"/>
            <w:vAlign w:val="bottom"/>
            <w:tcBorders>
              <w:left w:val="single" w:sz="8" w:color="DBD8D3"/>
              <w:bottom w:val="single" w:sz="8" w:color="DBD8D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0" w:type="dxa"/>
            <w:vAlign w:val="bottom"/>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right="500"/>
        <w:spacing w:after="0" w:line="498" w:lineRule="auto"/>
        <w:rPr>
          <w:sz w:val="20"/>
          <w:szCs w:val="20"/>
          <w:color w:val="auto"/>
        </w:rPr>
      </w:pPr>
      <w:r>
        <w:rPr>
          <w:rFonts w:ascii="Arial" w:cs="Arial" w:eastAsia="Arial" w:hAnsi="Arial"/>
          <w:sz w:val="20"/>
          <w:szCs w:val="20"/>
          <w:b w:val="1"/>
          <w:bCs w:val="1"/>
          <w:color w:val="3C60AC"/>
        </w:rPr>
        <w:t>Collectively, we believe these developments have created one of the most compelling environments for levered Agency MBS investors in decades.</w:t>
      </w:r>
    </w:p>
    <w:p>
      <w:pPr>
        <w:sectPr>
          <w:pgSz w:w="11880" w:h="15479" w:orient="portrait"/>
          <w:cols w:equalWidth="0" w:num="1">
            <w:col w:w="10660"/>
          </w:cols>
          <w:pgMar w:left="540" w:top="1440" w:right="679" w:bottom="26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AGNC Investment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-56515</wp:posOffset>
                </wp:positionV>
                <wp:extent cx="0" cy="21971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9710"/>
                        </a:xfrm>
                        <a:prstGeom prst="line">
                          <a:avLst/>
                        </a:prstGeom>
                        <a:solidFill>
                          <a:srgbClr val="FFFFFF"/>
                        </a:solidFill>
                        <a:ln w="12700">
                          <a:solidFill>
                            <a:srgbClr val="3C60AC"/>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pt,-4.4499pt" to="1.05pt,12.85pt" o:allowincell="f" strokecolor="#3C60AC" strokeweight="1pt"/>
            </w:pict>
          </mc:Fallback>
        </mc:AlternateContent>
      </w:r>
    </w:p>
    <w:p>
      <w:pPr>
        <w:ind w:left="200"/>
        <w:spacing w:after="0"/>
        <w:rPr>
          <w:sz w:val="20"/>
          <w:szCs w:val="20"/>
          <w:color w:val="auto"/>
        </w:rPr>
      </w:pPr>
      <w:r>
        <w:rPr>
          <w:rFonts w:ascii="Arial" w:cs="Arial" w:eastAsia="Arial" w:hAnsi="Arial"/>
          <w:sz w:val="16"/>
          <w:szCs w:val="16"/>
          <w:b w:val="1"/>
          <w:bCs w:val="1"/>
          <w:color w:val="auto"/>
        </w:rPr>
        <w:t xml:space="preserve">2023 Annual Report </w:t>
      </w:r>
      <w:r>
        <w:rPr>
          <w:rFonts w:ascii="Arial" w:cs="Arial" w:eastAsia="Arial" w:hAnsi="Arial"/>
          <w:sz w:val="16"/>
          <w:szCs w:val="16"/>
          <w:b w:val="1"/>
          <w:bCs w:val="1"/>
          <w:color w:val="3C60AC"/>
        </w:rPr>
        <w:t>•</w:t>
      </w:r>
      <w:r>
        <w:rPr>
          <w:rFonts w:ascii="Arial" w:cs="Arial" w:eastAsia="Arial" w:hAnsi="Arial"/>
          <w:sz w:val="16"/>
          <w:szCs w:val="16"/>
          <w:b w:val="1"/>
          <w:bCs w:val="1"/>
          <w:color w:val="auto"/>
        </w:rPr>
        <w:t xml:space="preserve"> 4</w:t>
      </w:r>
    </w:p>
    <w:p>
      <w:pPr>
        <w:sectPr>
          <w:pgSz w:w="11880" w:h="15479" w:orient="portrait"/>
          <w:cols w:equalWidth="0" w:num="1">
            <w:col w:w="10660"/>
          </w:cols>
          <w:pgMar w:left="540" w:top="1440" w:right="679" w:bottom="264" w:gutter="0" w:footer="0" w:header="0"/>
          <w:type w:val="continuous"/>
        </w:sectPr>
      </w:pPr>
    </w:p>
    <w:bookmarkStart w:id="6" w:name="page7"/>
    <w:bookmarkEnd w:id="6"/>
    <w:p>
      <w:pPr>
        <w:spacing w:after="0" w:line="2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165" cy="622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5">
                      <a:extLst>
                        <a:ext uri="{28A0092B-C50C-407E-A947-70E740481C1C}"/>
                      </a:extLst>
                    </a:blip>
                    <a:srcRect/>
                    <a:stretch>
                      <a:fillRect/>
                    </a:stretch>
                  </pic:blipFill>
                  <pic:spPr bwMode="auto">
                    <a:xfrm>
                      <a:off x="0" y="0"/>
                      <a:ext cx="7543165" cy="622300"/>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auto"/>
        </w:rPr>
        <w:t>THE AGNC ADVANTAGE</w:t>
      </w:r>
    </w:p>
    <w:p>
      <w:pPr>
        <w:spacing w:after="0" w:line="236" w:lineRule="exact"/>
        <w:rPr>
          <w:sz w:val="20"/>
          <w:szCs w:val="20"/>
          <w:color w:val="auto"/>
        </w:rPr>
      </w:pPr>
    </w:p>
    <w:p>
      <w:pPr>
        <w:ind w:right="80"/>
        <w:spacing w:after="0" w:line="343" w:lineRule="auto"/>
        <w:rPr>
          <w:sz w:val="20"/>
          <w:szCs w:val="20"/>
          <w:color w:val="auto"/>
        </w:rPr>
      </w:pPr>
      <w:r>
        <w:rPr>
          <w:rFonts w:ascii="Arial" w:cs="Arial" w:eastAsia="Arial" w:hAnsi="Arial"/>
          <w:sz w:val="20"/>
          <w:szCs w:val="20"/>
          <w:b w:val="1"/>
          <w:bCs w:val="1"/>
          <w:color w:val="595959"/>
        </w:rPr>
        <w:t xml:space="preserve">We believe the AGNC Advantage is clear: </w:t>
      </w:r>
      <w:r>
        <w:rPr>
          <w:rFonts w:ascii="Arial" w:cs="Arial" w:eastAsia="Arial" w:hAnsi="Arial"/>
          <w:sz w:val="20"/>
          <w:szCs w:val="20"/>
          <w:color w:val="595959"/>
        </w:rPr>
        <w:t>we have delivered a remarkable track record of dividend-driven</w:t>
      </w:r>
      <w:r>
        <w:rPr>
          <w:rFonts w:ascii="Arial" w:cs="Arial" w:eastAsia="Arial" w:hAnsi="Arial"/>
          <w:sz w:val="20"/>
          <w:szCs w:val="20"/>
          <w:b w:val="1"/>
          <w:bCs w:val="1"/>
          <w:color w:val="595959"/>
        </w:rPr>
        <w:t xml:space="preserve"> </w:t>
      </w:r>
      <w:r>
        <w:rPr>
          <w:rFonts w:ascii="Arial" w:cs="Arial" w:eastAsia="Arial" w:hAnsi="Arial"/>
          <w:sz w:val="20"/>
          <w:szCs w:val="20"/>
          <w:color w:val="595959"/>
        </w:rPr>
        <w:t>stockholder returns since inception, illustrating the long-term benefits of our differentiated investment, funding, and risk management capabilities. Led by our experienced team, AGNC provides stockholders a liquid and efficient way to access the $9 trillion Agency MBS market that historically has only been available to institutional investors with sophisticated trading platforms.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60" w:type="dxa"/>
            <w:vAlign w:val="bottom"/>
          </w:tcPr>
          <w:p>
            <w:pPr>
              <w:ind w:left="480"/>
              <w:spacing w:after="0"/>
              <w:rPr>
                <w:sz w:val="20"/>
                <w:szCs w:val="20"/>
                <w:color w:val="auto"/>
              </w:rPr>
            </w:pPr>
            <w:r>
              <w:rPr>
                <w:rFonts w:ascii="Arial" w:cs="Arial" w:eastAsia="Arial" w:hAnsi="Arial"/>
                <w:sz w:val="20"/>
                <w:szCs w:val="20"/>
                <w:b w:val="1"/>
                <w:bCs w:val="1"/>
                <w:color w:val="auto"/>
              </w:rPr>
              <w:t>Proven Long-Term Outperformance</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60"/>
                <w:szCs w:val="60"/>
                <w:color w:val="3C60AC"/>
              </w:rPr>
              <w:t>349%</w:t>
            </w: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60" w:type="dxa"/>
            <w:vAlign w:val="bottom"/>
            <w:vMerge w:val="restart"/>
          </w:tcPr>
          <w:p>
            <w:pPr>
              <w:ind w:left="480"/>
              <w:spacing w:after="0"/>
              <w:rPr>
                <w:sz w:val="20"/>
                <w:szCs w:val="20"/>
                <w:color w:val="auto"/>
              </w:rPr>
            </w:pPr>
            <w:r>
              <w:rPr>
                <w:rFonts w:ascii="Arial" w:cs="Arial" w:eastAsia="Arial" w:hAnsi="Arial"/>
                <w:sz w:val="20"/>
                <w:szCs w:val="20"/>
                <w:color w:val="595959"/>
              </w:rPr>
              <w:t>Since our May 2008 IPO, our dividend-driven total stock return has</w:t>
            </w:r>
          </w:p>
        </w:tc>
        <w:tc>
          <w:tcPr>
            <w:tcW w:w="2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60" w:type="dxa"/>
            <w:vAlign w:val="bottom"/>
            <w:tcBorders>
              <w:right w:val="single" w:sz="8" w:color="3951A5"/>
            </w:tcBorders>
          </w:tcPr>
          <w:p>
            <w:pPr>
              <w:spacing w:after="0"/>
              <w:rPr>
                <w:sz w:val="17"/>
                <w:szCs w:val="17"/>
                <w:color w:val="auto"/>
              </w:rPr>
            </w:pPr>
          </w:p>
        </w:tc>
        <w:tc>
          <w:tcPr>
            <w:tcW w:w="720" w:type="dxa"/>
            <w:vAlign w:val="bottom"/>
          </w:tcPr>
          <w:p>
            <w:pPr>
              <w:spacing w:after="0"/>
              <w:rPr>
                <w:sz w:val="17"/>
                <w:szCs w:val="17"/>
                <w:color w:val="auto"/>
              </w:rPr>
            </w:pPr>
          </w:p>
        </w:tc>
        <w:tc>
          <w:tcPr>
            <w:tcW w:w="7060" w:type="dxa"/>
            <w:vAlign w:val="bottom"/>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60" w:type="dxa"/>
            <w:vAlign w:val="bottom"/>
            <w:tcBorders>
              <w:right w:val="single" w:sz="8" w:color="3951A5"/>
            </w:tcBorders>
          </w:tcPr>
          <w:p>
            <w:pPr>
              <w:spacing w:after="0"/>
              <w:rPr>
                <w:sz w:val="20"/>
                <w:szCs w:val="20"/>
                <w:color w:val="auto"/>
              </w:rPr>
            </w:pPr>
          </w:p>
        </w:tc>
        <w:tc>
          <w:tcPr>
            <w:tcW w:w="720" w:type="dxa"/>
            <w:vAlign w:val="bottom"/>
          </w:tcPr>
          <w:p>
            <w:pPr>
              <w:spacing w:after="0"/>
              <w:rPr>
                <w:sz w:val="20"/>
                <w:szCs w:val="20"/>
                <w:color w:val="auto"/>
              </w:rPr>
            </w:pPr>
          </w:p>
        </w:tc>
        <w:tc>
          <w:tcPr>
            <w:tcW w:w="7060" w:type="dxa"/>
            <w:vAlign w:val="bottom"/>
          </w:tcPr>
          <w:p>
            <w:pPr>
              <w:ind w:left="480"/>
              <w:spacing w:after="0"/>
              <w:rPr>
                <w:sz w:val="20"/>
                <w:szCs w:val="20"/>
                <w:color w:val="auto"/>
              </w:rPr>
            </w:pPr>
            <w:r>
              <w:rPr>
                <w:rFonts w:ascii="Arial" w:cs="Arial" w:eastAsia="Arial" w:hAnsi="Arial"/>
                <w:sz w:val="20"/>
                <w:szCs w:val="20"/>
                <w:color w:val="595959"/>
              </w:rPr>
              <w:t>significantly exceeded those of comparable indices and other yield-</w:t>
            </w:r>
          </w:p>
        </w:tc>
        <w:tc>
          <w:tcPr>
            <w:tcW w:w="2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tcBorders>
              <w:right w:val="single" w:sz="8" w:color="3951A5"/>
            </w:tcBorders>
          </w:tcPr>
          <w:p>
            <w:pPr>
              <w:spacing w:after="0"/>
              <w:rPr>
                <w:sz w:val="20"/>
                <w:szCs w:val="20"/>
                <w:color w:val="auto"/>
              </w:rPr>
            </w:pPr>
          </w:p>
        </w:tc>
        <w:tc>
          <w:tcPr>
            <w:tcW w:w="720" w:type="dxa"/>
            <w:vAlign w:val="bottom"/>
          </w:tcPr>
          <w:p>
            <w:pPr>
              <w:spacing w:after="0"/>
              <w:rPr>
                <w:sz w:val="20"/>
                <w:szCs w:val="20"/>
                <w:color w:val="auto"/>
              </w:rPr>
            </w:pPr>
          </w:p>
        </w:tc>
        <w:tc>
          <w:tcPr>
            <w:tcW w:w="7060" w:type="dxa"/>
            <w:vAlign w:val="bottom"/>
          </w:tcPr>
          <w:p>
            <w:pPr>
              <w:ind w:left="480"/>
              <w:spacing w:after="0"/>
              <w:rPr>
                <w:sz w:val="20"/>
                <w:szCs w:val="20"/>
                <w:color w:val="auto"/>
              </w:rPr>
            </w:pPr>
            <w:r>
              <w:rPr>
                <w:rFonts w:ascii="Arial" w:cs="Arial" w:eastAsia="Arial" w:hAnsi="Arial"/>
                <w:sz w:val="20"/>
                <w:szCs w:val="20"/>
                <w:color w:val="595959"/>
              </w:rPr>
              <w:t>oriented alternatives, which illustrates the durability of our business</w:t>
            </w:r>
          </w:p>
        </w:tc>
        <w:tc>
          <w:tcPr>
            <w:tcW w:w="2540" w:type="dxa"/>
            <w:vAlign w:val="bottom"/>
          </w:tcPr>
          <w:p>
            <w:pPr>
              <w:jc w:val="center"/>
              <w:spacing w:after="0"/>
              <w:rPr>
                <w:sz w:val="20"/>
                <w:szCs w:val="20"/>
                <w:color w:val="auto"/>
              </w:rPr>
            </w:pPr>
            <w:r>
              <w:rPr>
                <w:rFonts w:ascii="Arial" w:cs="Arial" w:eastAsia="Arial" w:hAnsi="Arial"/>
                <w:sz w:val="18"/>
                <w:szCs w:val="18"/>
                <w:color w:val="auto"/>
              </w:rPr>
              <w:t>TOTAL STOCK</w:t>
            </w:r>
          </w:p>
        </w:tc>
        <w:tc>
          <w:tcPr>
            <w:tcW w:w="0" w:type="dxa"/>
            <w:vAlign w:val="bottom"/>
          </w:tcPr>
          <w:p>
            <w:pPr>
              <w:spacing w:after="0"/>
              <w:rPr>
                <w:sz w:val="1"/>
                <w:szCs w:val="1"/>
                <w:color w:val="auto"/>
              </w:rPr>
            </w:pPr>
          </w:p>
        </w:tc>
      </w:tr>
      <w:tr>
        <w:trPr>
          <w:trHeight w:val="50"/>
        </w:trPr>
        <w:tc>
          <w:tcPr>
            <w:tcW w:w="160" w:type="dxa"/>
            <w:vAlign w:val="bottom"/>
            <w:tcBorders>
              <w:right w:val="single" w:sz="8" w:color="3951A5"/>
            </w:tcBorders>
          </w:tcPr>
          <w:p>
            <w:pPr>
              <w:spacing w:after="0"/>
              <w:rPr>
                <w:sz w:val="4"/>
                <w:szCs w:val="4"/>
                <w:color w:val="auto"/>
              </w:rPr>
            </w:pPr>
          </w:p>
        </w:tc>
        <w:tc>
          <w:tcPr>
            <w:tcW w:w="720" w:type="dxa"/>
            <w:vAlign w:val="bottom"/>
            <w:tcBorders>
              <w:bottom w:val="single" w:sz="8" w:color="3951A5"/>
            </w:tcBorders>
          </w:tcPr>
          <w:p>
            <w:pPr>
              <w:spacing w:after="0"/>
              <w:rPr>
                <w:sz w:val="4"/>
                <w:szCs w:val="4"/>
                <w:color w:val="auto"/>
              </w:rPr>
            </w:pPr>
          </w:p>
        </w:tc>
        <w:tc>
          <w:tcPr>
            <w:tcW w:w="7060" w:type="dxa"/>
            <w:vAlign w:val="bottom"/>
            <w:vMerge w:val="restart"/>
          </w:tcPr>
          <w:p>
            <w:pPr>
              <w:ind w:left="480"/>
              <w:spacing w:after="0"/>
              <w:rPr>
                <w:sz w:val="20"/>
                <w:szCs w:val="20"/>
                <w:color w:val="auto"/>
              </w:rPr>
            </w:pPr>
            <w:r>
              <w:rPr>
                <w:rFonts w:ascii="Arial" w:cs="Arial" w:eastAsia="Arial" w:hAnsi="Arial"/>
                <w:sz w:val="20"/>
                <w:szCs w:val="20"/>
                <w:color w:val="595959"/>
              </w:rPr>
              <w:t>model and the benefit of being a long-term investor in AGNC.</w:t>
            </w:r>
          </w:p>
        </w:tc>
        <w:tc>
          <w:tcPr>
            <w:tcW w:w="2540" w:type="dxa"/>
            <w:vAlign w:val="bottom"/>
            <w:vMerge w:val="restart"/>
          </w:tcPr>
          <w:p>
            <w:pPr>
              <w:jc w:val="center"/>
              <w:spacing w:after="0"/>
              <w:rPr>
                <w:sz w:val="20"/>
                <w:szCs w:val="20"/>
                <w:color w:val="auto"/>
              </w:rPr>
            </w:pPr>
            <w:r>
              <w:rPr>
                <w:rFonts w:ascii="Arial" w:cs="Arial" w:eastAsia="Arial" w:hAnsi="Arial"/>
                <w:sz w:val="18"/>
                <w:szCs w:val="18"/>
                <w:color w:val="auto"/>
              </w:rPr>
              <w:t>RETURN SINCE IPO</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347"/>
        </w:trPr>
        <w:tc>
          <w:tcPr>
            <w:tcW w:w="160" w:type="dxa"/>
            <w:vAlign w:val="bottom"/>
            <w:tcBorders>
              <w:bottom w:val="single" w:sz="8" w:color="3C60AC"/>
            </w:tcBorders>
          </w:tcPr>
          <w:p>
            <w:pPr>
              <w:spacing w:after="0"/>
              <w:rPr>
                <w:sz w:val="24"/>
                <w:szCs w:val="24"/>
                <w:color w:val="auto"/>
              </w:rPr>
            </w:pPr>
          </w:p>
        </w:tc>
        <w:tc>
          <w:tcPr>
            <w:tcW w:w="720" w:type="dxa"/>
            <w:vAlign w:val="bottom"/>
            <w:tcBorders>
              <w:bottom w:val="single" w:sz="8" w:color="3C60AC"/>
            </w:tcBorders>
          </w:tcPr>
          <w:p>
            <w:pPr>
              <w:spacing w:after="0"/>
              <w:rPr>
                <w:sz w:val="24"/>
                <w:szCs w:val="24"/>
                <w:color w:val="auto"/>
              </w:rPr>
            </w:pPr>
          </w:p>
        </w:tc>
        <w:tc>
          <w:tcPr>
            <w:tcW w:w="7060" w:type="dxa"/>
            <w:vAlign w:val="bottom"/>
            <w:tcBorders>
              <w:bottom w:val="single" w:sz="8" w:color="3C60AC"/>
            </w:tcBorders>
            <w:vMerge w:val="continue"/>
          </w:tcPr>
          <w:p>
            <w:pPr>
              <w:spacing w:after="0"/>
              <w:rPr>
                <w:sz w:val="24"/>
                <w:szCs w:val="24"/>
                <w:color w:val="auto"/>
              </w:rPr>
            </w:pPr>
          </w:p>
        </w:tc>
        <w:tc>
          <w:tcPr>
            <w:tcW w:w="2540" w:type="dxa"/>
            <w:vAlign w:val="bottom"/>
            <w:tcBorders>
              <w:bottom w:val="single" w:sz="8" w:color="3C60AC"/>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60" w:type="dxa"/>
            <w:vAlign w:val="bottom"/>
          </w:tcPr>
          <w:p>
            <w:pPr>
              <w:ind w:left="480"/>
              <w:spacing w:after="0"/>
              <w:rPr>
                <w:sz w:val="20"/>
                <w:szCs w:val="20"/>
                <w:color w:val="auto"/>
              </w:rPr>
            </w:pPr>
            <w:r>
              <w:rPr>
                <w:rFonts w:ascii="Arial" w:cs="Arial" w:eastAsia="Arial" w:hAnsi="Arial"/>
                <w:sz w:val="20"/>
                <w:szCs w:val="20"/>
                <w:b w:val="1"/>
                <w:bCs w:val="1"/>
                <w:color w:val="auto"/>
              </w:rPr>
              <w:t>Substantial Monthly Dividend Income</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60"/>
                <w:szCs w:val="60"/>
                <w:color w:val="3C60AC"/>
                <w:w w:val="95"/>
              </w:rPr>
              <w:t>14.7%</w:t>
            </w:r>
          </w:p>
        </w:tc>
        <w:tc>
          <w:tcPr>
            <w:tcW w:w="0" w:type="dxa"/>
            <w:vAlign w:val="bottom"/>
          </w:tcPr>
          <w:p>
            <w:pPr>
              <w:spacing w:after="0"/>
              <w:rPr>
                <w:sz w:val="1"/>
                <w:szCs w:val="1"/>
                <w:color w:val="auto"/>
              </w:rPr>
            </w:pPr>
          </w:p>
        </w:tc>
      </w:tr>
      <w:tr>
        <w:trPr>
          <w:trHeight w:val="240"/>
        </w:trPr>
        <w:tc>
          <w:tcPr>
            <w:tcW w:w="880" w:type="dxa"/>
            <w:vAlign w:val="bottom"/>
            <w:gridSpan w:val="2"/>
            <w:vMerge w:val="restart"/>
          </w:tcPr>
          <w:p>
            <w:pPr>
              <w:jc w:val="right"/>
              <w:ind w:right="20"/>
              <w:spacing w:after="0"/>
              <w:rPr>
                <w:sz w:val="20"/>
                <w:szCs w:val="20"/>
                <w:color w:val="auto"/>
              </w:rPr>
            </w:pPr>
            <w:r>
              <w:rPr>
                <w:rFonts w:ascii="Arial" w:cs="Arial" w:eastAsia="Arial" w:hAnsi="Arial"/>
                <w:sz w:val="28"/>
                <w:szCs w:val="28"/>
                <w:color w:val="274CA2"/>
              </w:rPr>
              <w:t>$</w:t>
            </w:r>
          </w:p>
        </w:tc>
        <w:tc>
          <w:tcPr>
            <w:tcW w:w="7060" w:type="dxa"/>
            <w:vAlign w:val="bottom"/>
          </w:tcPr>
          <w:p>
            <w:pPr>
              <w:ind w:left="480"/>
              <w:spacing w:after="0"/>
              <w:rPr>
                <w:sz w:val="20"/>
                <w:szCs w:val="20"/>
                <w:color w:val="auto"/>
              </w:rPr>
            </w:pPr>
            <w:r>
              <w:rPr>
                <w:rFonts w:ascii="Arial" w:cs="Arial" w:eastAsia="Arial" w:hAnsi="Arial"/>
                <w:sz w:val="20"/>
                <w:szCs w:val="20"/>
                <w:color w:val="595959"/>
              </w:rPr>
              <w:t>Our dividend yield meaningfully exceeds those of financial services</w:t>
            </w:r>
          </w:p>
        </w:tc>
        <w:tc>
          <w:tcPr>
            <w:tcW w:w="2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80" w:type="dxa"/>
            <w:vAlign w:val="bottom"/>
            <w:gridSpan w:val="2"/>
            <w:vMerge w:val="continue"/>
          </w:tcPr>
          <w:p>
            <w:pPr>
              <w:spacing w:after="0"/>
              <w:rPr>
                <w:sz w:val="20"/>
                <w:szCs w:val="20"/>
                <w:color w:val="auto"/>
              </w:rPr>
            </w:pPr>
          </w:p>
        </w:tc>
        <w:tc>
          <w:tcPr>
            <w:tcW w:w="7060" w:type="dxa"/>
            <w:vAlign w:val="bottom"/>
          </w:tcPr>
          <w:p>
            <w:pPr>
              <w:ind w:left="480"/>
              <w:spacing w:after="0"/>
              <w:rPr>
                <w:sz w:val="20"/>
                <w:szCs w:val="20"/>
                <w:color w:val="auto"/>
              </w:rPr>
            </w:pPr>
            <w:r>
              <w:rPr>
                <w:rFonts w:ascii="Arial" w:cs="Arial" w:eastAsia="Arial" w:hAnsi="Arial"/>
                <w:sz w:val="20"/>
                <w:szCs w:val="20"/>
                <w:color w:val="595959"/>
              </w:rPr>
              <w:t>indices and other traditional yield-oriented sectors, providing a</w:t>
            </w:r>
          </w:p>
        </w:tc>
        <w:tc>
          <w:tcPr>
            <w:tcW w:w="2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60" w:type="dxa"/>
            <w:vAlign w:val="bottom"/>
          </w:tcPr>
          <w:p>
            <w:pPr>
              <w:ind w:left="480"/>
              <w:spacing w:after="0"/>
              <w:rPr>
                <w:sz w:val="20"/>
                <w:szCs w:val="20"/>
                <w:color w:val="auto"/>
              </w:rPr>
            </w:pPr>
            <w:r>
              <w:rPr>
                <w:rFonts w:ascii="Arial" w:cs="Arial" w:eastAsia="Arial" w:hAnsi="Arial"/>
                <w:sz w:val="20"/>
                <w:szCs w:val="20"/>
                <w:color w:val="595959"/>
              </w:rPr>
              <w:t>substantial monthly income component to total returns, with over $12</w:t>
            </w:r>
          </w:p>
        </w:tc>
        <w:tc>
          <w:tcPr>
            <w:tcW w:w="2540" w:type="dxa"/>
            <w:vAlign w:val="bottom"/>
          </w:tcPr>
          <w:p>
            <w:pPr>
              <w:jc w:val="center"/>
              <w:spacing w:after="0"/>
              <w:rPr>
                <w:sz w:val="20"/>
                <w:szCs w:val="20"/>
                <w:color w:val="auto"/>
              </w:rPr>
            </w:pPr>
            <w:r>
              <w:rPr>
                <w:rFonts w:ascii="Arial" w:cs="Arial" w:eastAsia="Arial" w:hAnsi="Arial"/>
                <w:sz w:val="18"/>
                <w:szCs w:val="18"/>
                <w:color w:val="auto"/>
              </w:rPr>
              <w:t>DIVIDEND</w:t>
            </w:r>
          </w:p>
        </w:tc>
        <w:tc>
          <w:tcPr>
            <w:tcW w:w="0" w:type="dxa"/>
            <w:vAlign w:val="bottom"/>
          </w:tcPr>
          <w:p>
            <w:pPr>
              <w:spacing w:after="0"/>
              <w:rPr>
                <w:sz w:val="1"/>
                <w:szCs w:val="1"/>
                <w:color w:val="auto"/>
              </w:rPr>
            </w:pPr>
          </w:p>
        </w:tc>
      </w:tr>
      <w:tr>
        <w:trPr>
          <w:trHeight w:val="418"/>
        </w:trPr>
        <w:tc>
          <w:tcPr>
            <w:tcW w:w="160" w:type="dxa"/>
            <w:vAlign w:val="bottom"/>
            <w:tcBorders>
              <w:bottom w:val="single" w:sz="8" w:color="3C60AC"/>
            </w:tcBorders>
          </w:tcPr>
          <w:p>
            <w:pPr>
              <w:spacing w:after="0"/>
              <w:rPr>
                <w:sz w:val="24"/>
                <w:szCs w:val="24"/>
                <w:color w:val="auto"/>
              </w:rPr>
            </w:pPr>
          </w:p>
        </w:tc>
        <w:tc>
          <w:tcPr>
            <w:tcW w:w="720" w:type="dxa"/>
            <w:vAlign w:val="bottom"/>
            <w:tcBorders>
              <w:bottom w:val="single" w:sz="8" w:color="3C60AC"/>
            </w:tcBorders>
          </w:tcPr>
          <w:p>
            <w:pPr>
              <w:spacing w:after="0"/>
              <w:rPr>
                <w:sz w:val="24"/>
                <w:szCs w:val="24"/>
                <w:color w:val="auto"/>
              </w:rPr>
            </w:pPr>
          </w:p>
        </w:tc>
        <w:tc>
          <w:tcPr>
            <w:tcW w:w="7060" w:type="dxa"/>
            <w:vAlign w:val="bottom"/>
            <w:tcBorders>
              <w:bottom w:val="single" w:sz="8" w:color="3C60AC"/>
            </w:tcBorders>
          </w:tcPr>
          <w:p>
            <w:pPr>
              <w:ind w:left="480"/>
              <w:spacing w:after="0"/>
              <w:rPr>
                <w:sz w:val="20"/>
                <w:szCs w:val="20"/>
                <w:color w:val="auto"/>
              </w:rPr>
            </w:pPr>
            <w:r>
              <w:rPr>
                <w:rFonts w:ascii="Arial" w:cs="Arial" w:eastAsia="Arial" w:hAnsi="Arial"/>
                <w:sz w:val="20"/>
                <w:szCs w:val="20"/>
                <w:color w:val="595959"/>
              </w:rPr>
              <w:t>billion of common stock dividends paid since inception.</w:t>
            </w:r>
          </w:p>
        </w:tc>
        <w:tc>
          <w:tcPr>
            <w:tcW w:w="2540" w:type="dxa"/>
            <w:vAlign w:val="bottom"/>
            <w:tcBorders>
              <w:bottom w:val="single" w:sz="8" w:color="3C60AC"/>
            </w:tcBorders>
          </w:tcPr>
          <w:p>
            <w:pPr>
              <w:jc w:val="center"/>
              <w:spacing w:after="0"/>
              <w:rPr>
                <w:sz w:val="20"/>
                <w:szCs w:val="20"/>
                <w:color w:val="auto"/>
              </w:rPr>
            </w:pPr>
            <w:r>
              <w:rPr>
                <w:rFonts w:ascii="Arial" w:cs="Arial" w:eastAsia="Arial" w:hAnsi="Arial"/>
                <w:sz w:val="18"/>
                <w:szCs w:val="18"/>
                <w:color w:val="auto"/>
              </w:rPr>
              <w:t>YIELD</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305"/>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60" w:type="dxa"/>
            <w:vAlign w:val="bottom"/>
          </w:tcPr>
          <w:p>
            <w:pPr>
              <w:ind w:left="480"/>
              <w:spacing w:after="0"/>
              <w:rPr>
                <w:sz w:val="20"/>
                <w:szCs w:val="20"/>
                <w:color w:val="auto"/>
              </w:rPr>
            </w:pPr>
            <w:r>
              <w:rPr>
                <w:rFonts w:ascii="Arial" w:cs="Arial" w:eastAsia="Arial" w:hAnsi="Arial"/>
                <w:sz w:val="20"/>
                <w:szCs w:val="20"/>
                <w:b w:val="1"/>
                <w:bCs w:val="1"/>
                <w:color w:val="auto"/>
              </w:rPr>
              <w:t>Differentiated Asset Exposure</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60"/>
                <w:szCs w:val="60"/>
                <w:color w:val="3C60AC"/>
              </w:rPr>
              <w:t>$9.0T</w:t>
            </w: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60" w:type="dxa"/>
            <w:vAlign w:val="bottom"/>
          </w:tcPr>
          <w:p>
            <w:pPr>
              <w:ind w:left="480"/>
              <w:spacing w:after="0"/>
              <w:rPr>
                <w:sz w:val="20"/>
                <w:szCs w:val="20"/>
                <w:color w:val="auto"/>
              </w:rPr>
            </w:pPr>
            <w:r>
              <w:rPr>
                <w:rFonts w:ascii="Arial" w:cs="Arial" w:eastAsia="Arial" w:hAnsi="Arial"/>
                <w:sz w:val="20"/>
                <w:szCs w:val="20"/>
                <w:color w:val="595959"/>
              </w:rPr>
              <w:t>The massive Agency MBS market is regarded by the Federal Reserve</w:t>
            </w:r>
          </w:p>
        </w:tc>
        <w:tc>
          <w:tcPr>
            <w:tcW w:w="2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60" w:type="dxa"/>
            <w:vAlign w:val="bottom"/>
          </w:tcPr>
          <w:p>
            <w:pPr>
              <w:ind w:left="480"/>
              <w:spacing w:after="0"/>
              <w:rPr>
                <w:sz w:val="20"/>
                <w:szCs w:val="20"/>
                <w:color w:val="auto"/>
              </w:rPr>
            </w:pPr>
            <w:r>
              <w:rPr>
                <w:rFonts w:ascii="Arial" w:cs="Arial" w:eastAsia="Arial" w:hAnsi="Arial"/>
                <w:sz w:val="20"/>
                <w:szCs w:val="20"/>
                <w:color w:val="595959"/>
              </w:rPr>
              <w:t>as a pillar of our financial system, and AGNC provides stockholders</w:t>
            </w:r>
          </w:p>
        </w:tc>
        <w:tc>
          <w:tcPr>
            <w:tcW w:w="2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60" w:type="dxa"/>
            <w:vAlign w:val="bottom"/>
          </w:tcPr>
          <w:p>
            <w:pPr>
              <w:ind w:left="480"/>
              <w:spacing w:after="0"/>
              <w:rPr>
                <w:sz w:val="20"/>
                <w:szCs w:val="20"/>
                <w:color w:val="auto"/>
              </w:rPr>
            </w:pPr>
            <w:r>
              <w:rPr>
                <w:rFonts w:ascii="Arial" w:cs="Arial" w:eastAsia="Arial" w:hAnsi="Arial"/>
                <w:sz w:val="20"/>
                <w:szCs w:val="20"/>
                <w:color w:val="595959"/>
              </w:rPr>
              <w:t>a liquid and efficient way to gain exposure to this fixed income asset</w:t>
            </w:r>
          </w:p>
        </w:tc>
        <w:tc>
          <w:tcPr>
            <w:tcW w:w="2540" w:type="dxa"/>
            <w:vAlign w:val="bottom"/>
          </w:tcPr>
          <w:p>
            <w:pPr>
              <w:jc w:val="center"/>
              <w:spacing w:after="0"/>
              <w:rPr>
                <w:sz w:val="20"/>
                <w:szCs w:val="20"/>
                <w:color w:val="auto"/>
              </w:rPr>
            </w:pPr>
            <w:r>
              <w:rPr>
                <w:rFonts w:ascii="Arial" w:cs="Arial" w:eastAsia="Arial" w:hAnsi="Arial"/>
                <w:sz w:val="18"/>
                <w:szCs w:val="18"/>
                <w:color w:val="auto"/>
              </w:rPr>
              <w:t>AGENCY MBS</w:t>
            </w:r>
          </w:p>
        </w:tc>
        <w:tc>
          <w:tcPr>
            <w:tcW w:w="0" w:type="dxa"/>
            <w:vAlign w:val="bottom"/>
          </w:tcPr>
          <w:p>
            <w:pPr>
              <w:spacing w:after="0"/>
              <w:rPr>
                <w:sz w:val="1"/>
                <w:szCs w:val="1"/>
                <w:color w:val="auto"/>
              </w:rPr>
            </w:pPr>
          </w:p>
        </w:tc>
      </w:tr>
      <w:tr>
        <w:trPr>
          <w:trHeight w:val="418"/>
        </w:trPr>
        <w:tc>
          <w:tcPr>
            <w:tcW w:w="160" w:type="dxa"/>
            <w:vAlign w:val="bottom"/>
            <w:tcBorders>
              <w:bottom w:val="single" w:sz="8" w:color="3C60AC"/>
            </w:tcBorders>
          </w:tcPr>
          <w:p>
            <w:pPr>
              <w:spacing w:after="0"/>
              <w:rPr>
                <w:sz w:val="24"/>
                <w:szCs w:val="24"/>
                <w:color w:val="auto"/>
              </w:rPr>
            </w:pPr>
          </w:p>
        </w:tc>
        <w:tc>
          <w:tcPr>
            <w:tcW w:w="720" w:type="dxa"/>
            <w:vAlign w:val="bottom"/>
            <w:tcBorders>
              <w:bottom w:val="single" w:sz="8" w:color="3C60AC"/>
            </w:tcBorders>
          </w:tcPr>
          <w:p>
            <w:pPr>
              <w:spacing w:after="0"/>
              <w:rPr>
                <w:sz w:val="24"/>
                <w:szCs w:val="24"/>
                <w:color w:val="auto"/>
              </w:rPr>
            </w:pPr>
          </w:p>
        </w:tc>
        <w:tc>
          <w:tcPr>
            <w:tcW w:w="7060" w:type="dxa"/>
            <w:vAlign w:val="bottom"/>
            <w:tcBorders>
              <w:bottom w:val="single" w:sz="8" w:color="3C60AC"/>
            </w:tcBorders>
          </w:tcPr>
          <w:p>
            <w:pPr>
              <w:ind w:left="480"/>
              <w:spacing w:after="0"/>
              <w:rPr>
                <w:sz w:val="20"/>
                <w:szCs w:val="20"/>
                <w:color w:val="auto"/>
              </w:rPr>
            </w:pPr>
            <w:r>
              <w:rPr>
                <w:rFonts w:ascii="Arial" w:cs="Arial" w:eastAsia="Arial" w:hAnsi="Arial"/>
                <w:sz w:val="20"/>
                <w:szCs w:val="20"/>
                <w:color w:val="595959"/>
              </w:rPr>
              <w:t>class that benefits from government support.</w:t>
            </w:r>
          </w:p>
        </w:tc>
        <w:tc>
          <w:tcPr>
            <w:tcW w:w="2540" w:type="dxa"/>
            <w:vAlign w:val="bottom"/>
            <w:tcBorders>
              <w:bottom w:val="single" w:sz="8" w:color="3C60AC"/>
            </w:tcBorders>
          </w:tcPr>
          <w:p>
            <w:pPr>
              <w:jc w:val="center"/>
              <w:spacing w:after="0"/>
              <w:rPr>
                <w:sz w:val="20"/>
                <w:szCs w:val="20"/>
                <w:color w:val="auto"/>
              </w:rPr>
            </w:pPr>
            <w:r>
              <w:rPr>
                <w:rFonts w:ascii="Arial" w:cs="Arial" w:eastAsia="Arial" w:hAnsi="Arial"/>
                <w:sz w:val="18"/>
                <w:szCs w:val="18"/>
                <w:color w:val="auto"/>
              </w:rPr>
              <w:t>MARKET SIZE</w:t>
            </w:r>
            <w:r>
              <w:rPr>
                <w:rFonts w:ascii="Arial" w:cs="Arial" w:eastAsia="Arial" w:hAnsi="Arial"/>
                <w:sz w:val="10"/>
                <w:szCs w:val="10"/>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-2506345</wp:posOffset>
            </wp:positionV>
            <wp:extent cx="381000" cy="368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6">
                      <a:extLst>
                        <a:ext uri="{28A0092B-C50C-407E-A947-70E740481C1C}"/>
                      </a:extLst>
                    </a:blip>
                    <a:srcRect/>
                    <a:stretch>
                      <a:fillRect/>
                    </a:stretch>
                  </pic:blipFill>
                  <pic:spPr bwMode="auto">
                    <a:xfrm>
                      <a:off x="0" y="0"/>
                      <a:ext cx="381000" cy="36830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-1651635</wp:posOffset>
            </wp:positionV>
            <wp:extent cx="532765" cy="532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7">
                      <a:extLst>
                        <a:ext uri="{28A0092B-C50C-407E-A947-70E740481C1C}"/>
                      </a:extLst>
                    </a:blip>
                    <a:srcRect/>
                    <a:stretch>
                      <a:fillRect/>
                    </a:stretch>
                  </pic:blipFill>
                  <pic:spPr bwMode="auto">
                    <a:xfrm>
                      <a:off x="0" y="0"/>
                      <a:ext cx="532765" cy="532765"/>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-743585</wp:posOffset>
            </wp:positionV>
            <wp:extent cx="520700" cy="527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8">
                      <a:extLst>
                        <a:ext uri="{28A0092B-C50C-407E-A947-70E740481C1C}"/>
                      </a:extLst>
                    </a:blip>
                    <a:srcRect/>
                    <a:stretch>
                      <a:fillRect/>
                    </a:stretch>
                  </pic:blipFill>
                  <pic:spPr bwMode="auto">
                    <a:xfrm>
                      <a:off x="0" y="0"/>
                      <a:ext cx="520700" cy="527050"/>
                    </a:xfrm>
                    <a:prstGeom prst="rect">
                      <a:avLst/>
                    </a:prstGeom>
                    <a:noFill/>
                  </pic:spPr>
                </pic:pic>
              </a:graphicData>
            </a:graphic>
          </wp:anchor>
        </w:drawing>
      </w:r>
    </w:p>
    <w:p>
      <w:pPr>
        <w:sectPr>
          <w:pgSz w:w="11880" w:h="15479" w:orient="portrait"/>
          <w:cols w:equalWidth="0" w:num="1">
            <w:col w:w="10580"/>
          </w:cols>
          <w:pgMar w:left="560" w:top="1440" w:right="739" w:bottom="255" w:gutter="0" w:footer="0" w:header="0"/>
        </w:sectPr>
      </w:pPr>
    </w:p>
    <w:p>
      <w:pPr>
        <w:spacing w:after="0" w:line="192"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Unique Investment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-46990</wp:posOffset>
            </wp:positionV>
            <wp:extent cx="598805" cy="598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9">
                      <a:extLst>
                        <a:ext uri="{28A0092B-C50C-407E-A947-70E740481C1C}"/>
                      </a:extLst>
                    </a:blip>
                    <a:srcRect/>
                    <a:stretch>
                      <a:fillRect/>
                    </a:stretch>
                  </pic:blipFill>
                  <pic:spPr bwMode="auto">
                    <a:xfrm>
                      <a:off x="0" y="0"/>
                      <a:ext cx="598805" cy="598805"/>
                    </a:xfrm>
                    <a:prstGeom prst="rect">
                      <a:avLst/>
                    </a:prstGeom>
                    <a:noFill/>
                  </pic:spPr>
                </pic:pic>
              </a:graphicData>
            </a:graphic>
          </wp:anchor>
        </w:drawing>
      </w:r>
    </w:p>
    <w:p>
      <w:pPr>
        <w:ind w:left="1360"/>
        <w:spacing w:after="0" w:line="319" w:lineRule="auto"/>
        <w:rPr>
          <w:sz w:val="20"/>
          <w:szCs w:val="20"/>
          <w:color w:val="auto"/>
        </w:rPr>
      </w:pPr>
      <w:r>
        <w:rPr>
          <w:rFonts w:ascii="Arial" w:cs="Arial" w:eastAsia="Arial" w:hAnsi="Arial"/>
          <w:sz w:val="20"/>
          <w:szCs w:val="20"/>
          <w:color w:val="595959"/>
        </w:rPr>
        <w:t>AGNC is led by a seasoned management team with a platform that brings together asset selection expertise, competitive funding advantages, and disciplined risk management strategies to generate superior long-term value for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45085</wp:posOffset>
                </wp:positionV>
                <wp:extent cx="664972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9720" cy="4763"/>
                        </a:xfrm>
                        <a:prstGeom prst="line">
                          <a:avLst/>
                        </a:prstGeom>
                        <a:solidFill>
                          <a:srgbClr val="FFFFFF"/>
                        </a:solidFill>
                        <a:ln w="3175">
                          <a:solidFill>
                            <a:srgbClr val="3C60AC"/>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3.55pt" to="523.7pt,3.55pt" o:allowincell="f" strokecolor="#3C60AC" strokeweight="0.25pt"/>
            </w:pict>
          </mc:Fallback>
        </mc:AlternateConten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60"/>
          <w:szCs w:val="60"/>
          <w:color w:val="3C60AC"/>
        </w:rPr>
        <w:t>$60.2B</w:t>
      </w:r>
    </w:p>
    <w:p>
      <w:pPr>
        <w:ind w:left="300"/>
        <w:spacing w:after="0"/>
        <w:rPr>
          <w:sz w:val="20"/>
          <w:szCs w:val="20"/>
          <w:color w:val="auto"/>
        </w:rPr>
      </w:pPr>
      <w:r>
        <w:rPr>
          <w:rFonts w:ascii="Arial" w:cs="Arial" w:eastAsia="Arial" w:hAnsi="Arial"/>
          <w:sz w:val="18"/>
          <w:szCs w:val="18"/>
          <w:color w:val="auto"/>
        </w:rPr>
        <w:t>INVESTMENT</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PORTFOLIO</w:t>
      </w:r>
      <w:r>
        <w:rPr>
          <w:rFonts w:ascii="Arial" w:cs="Arial" w:eastAsia="Arial" w:hAnsi="Arial"/>
          <w:sz w:val="10"/>
          <w:szCs w:val="10"/>
          <w:color w:val="auto"/>
        </w:rPr>
        <w:t>1</w:t>
      </w:r>
    </w:p>
    <w:p>
      <w:pPr>
        <w:spacing w:after="0" w:line="450" w:lineRule="exact"/>
        <w:rPr>
          <w:sz w:val="20"/>
          <w:szCs w:val="20"/>
          <w:color w:val="auto"/>
        </w:rPr>
      </w:pPr>
    </w:p>
    <w:p>
      <w:pPr>
        <w:sectPr>
          <w:pgSz w:w="11880" w:h="15479" w:orient="portrait"/>
          <w:cols w:equalWidth="0" w:num="2">
            <w:col w:w="7560" w:space="700"/>
            <w:col w:w="2320"/>
          </w:cols>
          <w:pgMar w:left="560" w:top="1440" w:right="739" w:bottom="255" w:gutter="0" w:footer="0" w:header="0"/>
          <w:type w:val="continuous"/>
        </w:sectPr>
      </w:pPr>
    </w:p>
    <w:p>
      <w:pPr>
        <w:ind w:left="1360"/>
        <w:spacing w:after="0"/>
        <w:rPr>
          <w:sz w:val="20"/>
          <w:szCs w:val="20"/>
          <w:color w:val="auto"/>
        </w:rPr>
      </w:pPr>
      <w:r>
        <w:rPr>
          <w:rFonts w:ascii="Arial" w:cs="Arial" w:eastAsia="Arial" w:hAnsi="Arial"/>
          <w:sz w:val="20"/>
          <w:szCs w:val="20"/>
          <w:b w:val="1"/>
          <w:bCs w:val="1"/>
          <w:color w:val="auto"/>
        </w:rPr>
        <w:t>Efficiency and Transparency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-91440</wp:posOffset>
            </wp:positionV>
            <wp:extent cx="508000" cy="690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0">
                      <a:extLst>
                        <a:ext uri="{28A0092B-C50C-407E-A947-70E740481C1C}"/>
                      </a:extLst>
                    </a:blip>
                    <a:srcRect/>
                    <a:stretch>
                      <a:fillRect/>
                    </a:stretch>
                  </pic:blipFill>
                  <pic:spPr bwMode="auto">
                    <a:xfrm>
                      <a:off x="0" y="0"/>
                      <a:ext cx="508000" cy="690245"/>
                    </a:xfrm>
                    <a:prstGeom prst="rect">
                      <a:avLst/>
                    </a:prstGeom>
                    <a:noFill/>
                  </pic:spPr>
                </pic:pic>
              </a:graphicData>
            </a:graphic>
          </wp:anchor>
        </w:drawing>
      </w:r>
    </w:p>
    <w:p>
      <w:pPr>
        <w:ind w:left="1360"/>
        <w:spacing w:after="0" w:line="319" w:lineRule="auto"/>
        <w:rPr>
          <w:sz w:val="20"/>
          <w:szCs w:val="20"/>
          <w:color w:val="auto"/>
        </w:rPr>
      </w:pPr>
      <w:r>
        <w:rPr>
          <w:rFonts w:ascii="Arial" w:cs="Arial" w:eastAsia="Arial" w:hAnsi="Arial"/>
          <w:sz w:val="20"/>
          <w:szCs w:val="20"/>
          <w:color w:val="595959"/>
        </w:rPr>
        <w:t>AGNC’s investment capabilities are further enhanced by a stockholder-friendly platform that provides industry-leading operating efficiency, significant scale, and a long-standing commitment to transparency and responsible stewardship of our investors’ capital.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-38735</wp:posOffset>
                </wp:positionV>
                <wp:extent cx="664972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9720" cy="4763"/>
                        </a:xfrm>
                        <a:prstGeom prst="line">
                          <a:avLst/>
                        </a:prstGeom>
                        <a:solidFill>
                          <a:srgbClr val="FFFFFF"/>
                        </a:solidFill>
                        <a:ln w="3175">
                          <a:solidFill>
                            <a:srgbClr val="3C60AC"/>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3.0499pt" to="523.7pt,-3.0499pt" o:allowincell="f" strokecolor="#3C60AC" strokeweight="0.25pt"/>
            </w:pict>
          </mc:Fallback>
        </mc:AlternateConten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Times New Roman" w:cs="Times New Roman" w:eastAsia="Times New Roman" w:hAnsi="Times New Roman"/>
          <w:sz w:val="60"/>
          <w:szCs w:val="60"/>
          <w:color w:val="3C60AC"/>
        </w:rPr>
        <w:t>1.23%</w:t>
      </w:r>
    </w:p>
    <w:p>
      <w:pPr>
        <w:jc w:val="center"/>
        <w:ind w:right="360"/>
        <w:spacing w:after="0"/>
        <w:rPr>
          <w:sz w:val="20"/>
          <w:szCs w:val="20"/>
          <w:color w:val="auto"/>
        </w:rPr>
      </w:pPr>
      <w:r>
        <w:rPr>
          <w:rFonts w:ascii="Arial" w:cs="Arial" w:eastAsia="Arial" w:hAnsi="Arial"/>
          <w:sz w:val="18"/>
          <w:szCs w:val="18"/>
          <w:color w:val="auto"/>
        </w:rPr>
        <w:t>OPERATING</w:t>
      </w:r>
    </w:p>
    <w:p>
      <w:pPr>
        <w:spacing w:after="0" w:line="3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COST STRUCTURE</w:t>
      </w:r>
      <w:r>
        <w:rPr>
          <w:rFonts w:ascii="Arial" w:cs="Arial" w:eastAsia="Arial" w:hAnsi="Arial"/>
          <w:sz w:val="10"/>
          <w:szCs w:val="10"/>
          <w:color w:val="auto"/>
        </w:rPr>
        <w:t>3</w:t>
      </w:r>
    </w:p>
    <w:p>
      <w:pPr>
        <w:spacing w:after="0" w:line="493" w:lineRule="exact"/>
        <w:rPr>
          <w:sz w:val="20"/>
          <w:szCs w:val="20"/>
          <w:color w:val="auto"/>
        </w:rPr>
      </w:pPr>
    </w:p>
    <w:p>
      <w:pPr>
        <w:sectPr>
          <w:pgSz w:w="11880" w:h="15479" w:orient="portrait"/>
          <w:cols w:equalWidth="0" w:num="2">
            <w:col w:w="7800" w:space="460"/>
            <w:col w:w="2320"/>
          </w:cols>
          <w:pgMar w:left="560" w:top="1440" w:right="739" w:bottom="255" w:gutter="0" w:footer="0" w:header="0"/>
          <w:type w:val="continuous"/>
        </w:sectPr>
      </w:pPr>
    </w:p>
    <w:p>
      <w:pPr>
        <w:ind w:right="820"/>
        <w:spacing w:after="0" w:line="685" w:lineRule="auto"/>
        <w:rPr>
          <w:sz w:val="20"/>
          <w:szCs w:val="20"/>
          <w:color w:val="auto"/>
        </w:rPr>
      </w:pPr>
      <w:r>
        <w:rPr>
          <w:rFonts w:ascii="Arial" w:cs="Arial" w:eastAsia="Arial" w:hAnsi="Arial"/>
          <w:sz w:val="20"/>
          <w:szCs w:val="20"/>
          <w:color w:val="595959"/>
        </w:rPr>
        <w:t>As always, we appreciate your continued support of AGNC, and we wish you a healthy and prosperous 2024. Best regards,</w:t>
      </w:r>
    </w:p>
    <w:p>
      <w:pPr>
        <w:sectPr>
          <w:pgSz w:w="11880" w:h="15479" w:orient="portrait"/>
          <w:cols w:equalWidth="0" w:num="1">
            <w:col w:w="10580"/>
          </w:cols>
          <w:pgMar w:left="560" w:top="1440" w:right="739" w:bottom="255"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595959"/>
        </w:rPr>
        <w:t>Peter J. Federico</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595959"/>
        </w:rPr>
        <w:t>President and Chief Executive Officer</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595959"/>
        </w:rPr>
        <w:t>February 15,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AGNC Investment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1504315</wp:posOffset>
                </wp:positionH>
                <wp:positionV relativeFrom="paragraph">
                  <wp:posOffset>-56515</wp:posOffset>
                </wp:positionV>
                <wp:extent cx="0" cy="23812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8125"/>
                        </a:xfrm>
                        <a:prstGeom prst="line">
                          <a:avLst/>
                        </a:prstGeom>
                        <a:solidFill>
                          <a:srgbClr val="FFFFFF"/>
                        </a:solidFill>
                        <a:ln w="12700">
                          <a:solidFill>
                            <a:srgbClr val="3C60AC"/>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8.45pt,-4.4499pt" to="118.45pt,14.3pt" o:allowincell="f" strokecolor="#3C60AC" strokeweight="1pt"/>
            </w:pict>
          </mc:Fallback>
        </mc:AlternateContent>
      </w:r>
    </w:p>
    <w:p>
      <w:pPr>
        <w:jc w:val="right"/>
        <w:spacing w:after="0"/>
        <w:rPr>
          <w:sz w:val="20"/>
          <w:szCs w:val="20"/>
          <w:color w:val="auto"/>
        </w:rPr>
      </w:pPr>
      <w:r>
        <w:rPr>
          <w:rFonts w:ascii="Arial" w:cs="Arial" w:eastAsia="Arial" w:hAnsi="Arial"/>
          <w:sz w:val="16"/>
          <w:szCs w:val="16"/>
          <w:b w:val="1"/>
          <w:bCs w:val="1"/>
          <w:color w:val="auto"/>
        </w:rPr>
        <w:t xml:space="preserve">2023 Annual Report </w:t>
      </w:r>
      <w:r>
        <w:rPr>
          <w:rFonts w:ascii="Arial" w:cs="Arial" w:eastAsia="Arial" w:hAnsi="Arial"/>
          <w:sz w:val="16"/>
          <w:szCs w:val="16"/>
          <w:b w:val="1"/>
          <w:bCs w:val="1"/>
          <w:color w:val="3C60AC"/>
        </w:rPr>
        <w:t>•</w:t>
      </w:r>
      <w:r>
        <w:rPr>
          <w:rFonts w:ascii="Arial" w:cs="Arial" w:eastAsia="Arial" w:hAnsi="Arial"/>
          <w:sz w:val="16"/>
          <w:szCs w:val="16"/>
          <w:b w:val="1"/>
          <w:bCs w:val="1"/>
          <w:color w:val="auto"/>
        </w:rPr>
        <w:t xml:space="preserve"> 5</w:t>
      </w:r>
    </w:p>
    <w:p>
      <w:pPr>
        <w:sectPr>
          <w:pgSz w:w="11880" w:h="15479" w:orient="portrait"/>
          <w:cols w:equalWidth="0" w:num="2">
            <w:col w:w="7680" w:space="720"/>
            <w:col w:w="2180"/>
          </w:cols>
          <w:pgMar w:left="560" w:top="1440" w:right="739" w:bottom="255" w:gutter="0" w:footer="0" w:header="0"/>
          <w:type w:val="continuous"/>
        </w:sectPr>
      </w:pPr>
    </w:p>
    <w:bookmarkStart w:id="7" w:name="page8"/>
    <w:bookmarkEnd w:id="7"/>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165" cy="622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1">
                      <a:extLst>
                        <a:ext uri="{28A0092B-C50C-407E-A947-70E740481C1C}"/>
                      </a:extLst>
                    </a:blip>
                    <a:srcRect/>
                    <a:stretch>
                      <a:fillRect/>
                    </a:stretch>
                  </pic:blipFill>
                  <pic:spPr bwMode="auto">
                    <a:xfrm>
                      <a:off x="0" y="0"/>
                      <a:ext cx="7543165" cy="6223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Endnotes and Important Notices</w:t>
      </w:r>
    </w:p>
    <w:p>
      <w:pPr>
        <w:spacing w:after="0" w:line="102"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595959"/>
        </w:rPr>
        <w:t>1</w:t>
        <w:tab/>
        <w:t>As of December 31, 2023.</w:t>
      </w:r>
    </w:p>
    <w:p>
      <w:pPr>
        <w:spacing w:after="0" w:line="96" w:lineRule="exact"/>
        <w:rPr>
          <w:sz w:val="20"/>
          <w:szCs w:val="20"/>
          <w:color w:val="auto"/>
        </w:rPr>
      </w:pPr>
    </w:p>
    <w:p>
      <w:pPr>
        <w:ind w:left="300" w:hanging="300"/>
        <w:spacing w:after="0" w:line="365" w:lineRule="auto"/>
        <w:tabs>
          <w:tab w:leader="none" w:pos="300" w:val="left"/>
        </w:tabs>
        <w:numPr>
          <w:ilvl w:val="0"/>
          <w:numId w:val="8"/>
        </w:numPr>
        <w:rPr>
          <w:rFonts w:ascii="Arial" w:cs="Arial" w:eastAsia="Arial" w:hAnsi="Arial"/>
          <w:sz w:val="16"/>
          <w:szCs w:val="16"/>
          <w:color w:val="595959"/>
        </w:rPr>
      </w:pPr>
      <w:r>
        <w:rPr>
          <w:rFonts w:ascii="Arial" w:cs="Arial" w:eastAsia="Arial" w:hAnsi="Arial"/>
          <w:sz w:val="16"/>
          <w:szCs w:val="16"/>
          <w:color w:val="595959"/>
        </w:rPr>
        <w:t>Total stock return is measured from AGNC’s May 2008 IPO through December 31, 2023; it includes price appreciation and dividend reinvestment, and dividends are assumed to be reinvested at the closing price of the security on the ex-dividend date. Where shown, sectors reflect the following indices: Financials (S&amp;P 500 Financials Index), Real Estate (S&amp;P 500 Real Estate Index), and Mortgage REITs (Bloomberg Mortgage REIT Index). Where shown for Agency-focused residential mortgage REIT peer comparison purposes, the Agency mREIT Peer Group reflects an unweighted average of ARR, DX, IVR, NLY, ORC, and TWO. Comparative data provided for informational purposes only. Past performance is not indicative of future results. AGNC’s investment strategy, business, and operations are different from companies included in the indices cited, and an investment in AGNC involves different risks and uncertainties from these companies. Please refer to our annual report on Form 10-K and quarterly reports on Form 10-Q for a more complete description of the risks of our business. Source: Bloomberg.</w:t>
      </w:r>
    </w:p>
    <w:p>
      <w:pPr>
        <w:spacing w:after="0" w:line="2" w:lineRule="exact"/>
        <w:rPr>
          <w:sz w:val="20"/>
          <w:szCs w:val="20"/>
          <w:color w:val="auto"/>
        </w:rPr>
      </w:pPr>
    </w:p>
    <w:p>
      <w:pPr>
        <w:ind w:left="300" w:hanging="300"/>
        <w:spacing w:after="0"/>
        <w:tabs>
          <w:tab w:leader="none" w:pos="300" w:val="left"/>
        </w:tabs>
        <w:numPr>
          <w:ilvl w:val="0"/>
          <w:numId w:val="9"/>
        </w:numPr>
        <w:rPr>
          <w:rFonts w:ascii="Arial" w:cs="Arial" w:eastAsia="Arial" w:hAnsi="Arial"/>
          <w:sz w:val="16"/>
          <w:szCs w:val="16"/>
          <w:color w:val="595959"/>
        </w:rPr>
      </w:pPr>
      <w:r>
        <w:rPr>
          <w:rFonts w:ascii="Arial" w:cs="Arial" w:eastAsia="Arial" w:hAnsi="Arial"/>
          <w:sz w:val="16"/>
          <w:szCs w:val="16"/>
          <w:color w:val="595959"/>
        </w:rPr>
        <w:t>AGNC’s operating cost structure reflects operating expenses as a percentage of average stockholders’ equity for the twelve months ended</w:t>
      </w:r>
    </w:p>
    <w:p>
      <w:pPr>
        <w:spacing w:after="0" w:line="376" w:lineRule="exact"/>
        <w:rPr>
          <w:sz w:val="20"/>
          <w:szCs w:val="20"/>
          <w:color w:val="auto"/>
        </w:rPr>
      </w:pPr>
    </w:p>
    <w:p>
      <w:pPr>
        <w:ind w:left="300" w:hanging="300"/>
        <w:spacing w:after="0"/>
        <w:tabs>
          <w:tab w:leader="none" w:pos="300" w:val="left"/>
        </w:tabs>
        <w:numPr>
          <w:ilvl w:val="0"/>
          <w:numId w:val="10"/>
        </w:numPr>
        <w:rPr>
          <w:rFonts w:ascii="Arial" w:cs="Arial" w:eastAsia="Arial" w:hAnsi="Arial"/>
          <w:sz w:val="16"/>
          <w:szCs w:val="16"/>
          <w:color w:val="595959"/>
        </w:rPr>
      </w:pPr>
      <w:r>
        <w:rPr>
          <w:rFonts w:ascii="Arial" w:cs="Arial" w:eastAsia="Arial" w:hAnsi="Arial"/>
          <w:sz w:val="16"/>
          <w:szCs w:val="16"/>
          <w:color w:val="595959"/>
        </w:rPr>
        <w:t>Homes financed is based upon management’s estimates of the number of homes financed by AGNC’s holdings of Agency MBS as of</w:t>
      </w:r>
    </w:p>
    <w:p>
      <w:pPr>
        <w:spacing w:after="0" w:line="96" w:lineRule="exact"/>
        <w:rPr>
          <w:rFonts w:ascii="Arial" w:cs="Arial" w:eastAsia="Arial" w:hAnsi="Arial"/>
          <w:sz w:val="16"/>
          <w:szCs w:val="16"/>
          <w:color w:val="595959"/>
        </w:rPr>
      </w:pPr>
    </w:p>
    <w:p>
      <w:pPr>
        <w:ind w:left="300"/>
        <w:spacing w:after="0"/>
        <w:rPr>
          <w:rFonts w:ascii="Arial" w:cs="Arial" w:eastAsia="Arial" w:hAnsi="Arial"/>
          <w:sz w:val="16"/>
          <w:szCs w:val="16"/>
          <w:color w:val="595959"/>
        </w:rPr>
      </w:pPr>
      <w:r>
        <w:rPr>
          <w:rFonts w:ascii="Arial" w:cs="Arial" w:eastAsia="Arial" w:hAnsi="Arial"/>
          <w:sz w:val="16"/>
          <w:szCs w:val="16"/>
          <w:color w:val="595959"/>
        </w:rPr>
        <w:t>December 31, 2023.</w:t>
      </w:r>
    </w:p>
    <w:p>
      <w:pPr>
        <w:spacing w:after="0" w:line="96" w:lineRule="exact"/>
        <w:rPr>
          <w:sz w:val="20"/>
          <w:szCs w:val="20"/>
          <w:color w:val="auto"/>
        </w:rPr>
      </w:pPr>
    </w:p>
    <w:p>
      <w:pPr>
        <w:ind w:left="300" w:hanging="300"/>
        <w:spacing w:after="0"/>
        <w:tabs>
          <w:tab w:leader="none" w:pos="300" w:val="left"/>
        </w:tabs>
        <w:numPr>
          <w:ilvl w:val="0"/>
          <w:numId w:val="11"/>
        </w:numPr>
        <w:rPr>
          <w:rFonts w:ascii="Arial" w:cs="Arial" w:eastAsia="Arial" w:hAnsi="Arial"/>
          <w:sz w:val="16"/>
          <w:szCs w:val="16"/>
          <w:color w:val="595959"/>
        </w:rPr>
      </w:pPr>
      <w:r>
        <w:rPr>
          <w:rFonts w:ascii="Arial" w:cs="Arial" w:eastAsia="Arial" w:hAnsi="Arial"/>
          <w:sz w:val="16"/>
          <w:szCs w:val="16"/>
          <w:color w:val="595959"/>
        </w:rPr>
        <w:t>Treasury yields shown from December 31, 2008 through December 31, 2023. Source: Bloomberg.</w:t>
      </w:r>
    </w:p>
    <w:p>
      <w:pPr>
        <w:spacing w:after="0" w:line="96" w:lineRule="exact"/>
        <w:rPr>
          <w:sz w:val="20"/>
          <w:szCs w:val="20"/>
          <w:color w:val="auto"/>
        </w:rPr>
      </w:pPr>
    </w:p>
    <w:p>
      <w:pPr>
        <w:ind w:left="300" w:hanging="300"/>
        <w:spacing w:after="0"/>
        <w:tabs>
          <w:tab w:leader="none" w:pos="300" w:val="left"/>
        </w:tabs>
        <w:numPr>
          <w:ilvl w:val="0"/>
          <w:numId w:val="12"/>
        </w:numPr>
        <w:rPr>
          <w:rFonts w:ascii="Arial" w:cs="Arial" w:eastAsia="Arial" w:hAnsi="Arial"/>
          <w:sz w:val="16"/>
          <w:szCs w:val="16"/>
          <w:color w:val="595959"/>
        </w:rPr>
      </w:pPr>
      <w:r>
        <w:rPr>
          <w:rFonts w:ascii="Arial" w:cs="Arial" w:eastAsia="Arial" w:hAnsi="Arial"/>
          <w:sz w:val="16"/>
          <w:szCs w:val="16"/>
          <w:color w:val="595959"/>
        </w:rPr>
        <w:t>MOVE Index reflects the ICE BofA Move Index from December 31, 2008 through December 31, 2023. Source: Bloomberg.</w:t>
      </w:r>
    </w:p>
    <w:p>
      <w:pPr>
        <w:spacing w:after="0" w:line="96" w:lineRule="exact"/>
        <w:rPr>
          <w:sz w:val="20"/>
          <w:szCs w:val="20"/>
          <w:color w:val="auto"/>
        </w:rPr>
      </w:pPr>
    </w:p>
    <w:p>
      <w:pPr>
        <w:ind w:left="300" w:right="100" w:hanging="300"/>
        <w:spacing w:after="0" w:line="365" w:lineRule="auto"/>
        <w:tabs>
          <w:tab w:leader="none" w:pos="300" w:val="left"/>
        </w:tabs>
        <w:numPr>
          <w:ilvl w:val="0"/>
          <w:numId w:val="13"/>
        </w:numPr>
        <w:rPr>
          <w:rFonts w:ascii="Arial" w:cs="Arial" w:eastAsia="Arial" w:hAnsi="Arial"/>
          <w:sz w:val="16"/>
          <w:szCs w:val="16"/>
          <w:color w:val="595959"/>
        </w:rPr>
      </w:pPr>
      <w:r>
        <w:rPr>
          <w:rFonts w:ascii="Arial" w:cs="Arial" w:eastAsia="Arial" w:hAnsi="Arial"/>
          <w:sz w:val="16"/>
          <w:szCs w:val="16"/>
          <w:color w:val="595959"/>
        </w:rPr>
        <w:t>The Agency MBS spread to Treasuries reflects the 30-year current coupon MBS spread to a 50/50 average of 5- and 10-year U.S. Treasury yields (.MBS510US G Index) from December 31, 2008 through December 31, 2023. Source: Bloomberg.</w:t>
      </w:r>
    </w:p>
    <w:p>
      <w:pPr>
        <w:ind w:left="300" w:right="380" w:hanging="300"/>
        <w:spacing w:after="0" w:line="365" w:lineRule="auto"/>
        <w:tabs>
          <w:tab w:leader="none" w:pos="300" w:val="left"/>
        </w:tabs>
        <w:numPr>
          <w:ilvl w:val="0"/>
          <w:numId w:val="14"/>
        </w:numPr>
        <w:rPr>
          <w:rFonts w:ascii="Arial" w:cs="Arial" w:eastAsia="Arial" w:hAnsi="Arial"/>
          <w:sz w:val="16"/>
          <w:szCs w:val="16"/>
          <w:color w:val="595959"/>
        </w:rPr>
      </w:pPr>
      <w:r>
        <w:rPr>
          <w:rFonts w:ascii="Arial" w:cs="Arial" w:eastAsia="Arial" w:hAnsi="Arial"/>
          <w:sz w:val="16"/>
          <w:szCs w:val="16"/>
          <w:color w:val="595959"/>
        </w:rPr>
        <w:t>Agency MBS ownership composition data reflects approximate ownership based on the most recently available holdings data for each ownership category as of each year-end shown. Source: JP Morgan.</w:t>
      </w:r>
    </w:p>
    <w:p>
      <w:pPr>
        <w:ind w:left="300" w:right="40" w:hanging="300"/>
        <w:spacing w:after="0" w:line="365" w:lineRule="auto"/>
        <w:tabs>
          <w:tab w:leader="none" w:pos="300" w:val="left"/>
        </w:tabs>
        <w:numPr>
          <w:ilvl w:val="0"/>
          <w:numId w:val="15"/>
        </w:numPr>
        <w:rPr>
          <w:rFonts w:ascii="Arial" w:cs="Arial" w:eastAsia="Arial" w:hAnsi="Arial"/>
          <w:sz w:val="16"/>
          <w:szCs w:val="16"/>
          <w:color w:val="595959"/>
        </w:rPr>
      </w:pPr>
      <w:r>
        <w:rPr>
          <w:rFonts w:ascii="Arial" w:cs="Arial" w:eastAsia="Arial" w:hAnsi="Arial"/>
          <w:sz w:val="16"/>
          <w:szCs w:val="16"/>
          <w:color w:val="595959"/>
        </w:rPr>
        <w:t>Economic return represents the sum of the change in tangible net book value per common share and dividends declared on common stock during the period over the beginning tangible net book value per common share. Where shown for Agency-focused residential mortgage REIT peer comparison purposes, the Agency mREIT Peer Group reflects an unweighted average of ARR, DX, IVR, NLY, ORC, and TWO.</w:t>
      </w:r>
    </w:p>
    <w:p>
      <w:pPr>
        <w:spacing w:after="0" w:line="1" w:lineRule="exact"/>
        <w:rPr>
          <w:sz w:val="20"/>
          <w:szCs w:val="20"/>
          <w:color w:val="auto"/>
        </w:rPr>
      </w:pPr>
    </w:p>
    <w:p>
      <w:pPr>
        <w:ind w:left="300" w:hanging="300"/>
        <w:spacing w:after="0"/>
        <w:tabs>
          <w:tab w:leader="none" w:pos="300" w:val="left"/>
        </w:tabs>
        <w:numPr>
          <w:ilvl w:val="0"/>
          <w:numId w:val="16"/>
        </w:numPr>
        <w:rPr>
          <w:rFonts w:ascii="Arial" w:cs="Arial" w:eastAsia="Arial" w:hAnsi="Arial"/>
          <w:sz w:val="16"/>
          <w:szCs w:val="16"/>
          <w:color w:val="595959"/>
        </w:rPr>
      </w:pPr>
      <w:r>
        <w:rPr>
          <w:rFonts w:ascii="Arial" w:cs="Arial" w:eastAsia="Arial" w:hAnsi="Arial"/>
          <w:sz w:val="16"/>
          <w:szCs w:val="16"/>
          <w:color w:val="595959"/>
        </w:rPr>
        <w:t>Represents the midpoint of the Federal Funds target range from December 31, 2008 through February 15, 2024. Source: Federal Reserve.</w:t>
      </w:r>
    </w:p>
    <w:p>
      <w:pPr>
        <w:spacing w:after="0" w:line="96" w:lineRule="exact"/>
        <w:rPr>
          <w:rFonts w:ascii="Arial" w:cs="Arial" w:eastAsia="Arial" w:hAnsi="Arial"/>
          <w:sz w:val="16"/>
          <w:szCs w:val="16"/>
          <w:color w:val="595959"/>
        </w:rPr>
      </w:pPr>
    </w:p>
    <w:p>
      <w:pPr>
        <w:ind w:left="300" w:right="100" w:hanging="300"/>
        <w:spacing w:after="0" w:line="365" w:lineRule="auto"/>
        <w:tabs>
          <w:tab w:leader="none" w:pos="300" w:val="left"/>
        </w:tabs>
        <w:numPr>
          <w:ilvl w:val="0"/>
          <w:numId w:val="16"/>
        </w:numPr>
        <w:rPr>
          <w:rFonts w:ascii="Arial" w:cs="Arial" w:eastAsia="Arial" w:hAnsi="Arial"/>
          <w:sz w:val="16"/>
          <w:szCs w:val="16"/>
          <w:color w:val="595959"/>
        </w:rPr>
      </w:pPr>
      <w:r>
        <w:rPr>
          <w:rFonts w:ascii="Arial" w:cs="Arial" w:eastAsia="Arial" w:hAnsi="Arial"/>
          <w:sz w:val="16"/>
          <w:szCs w:val="16"/>
          <w:color w:val="595959"/>
        </w:rPr>
        <w:t>The Agency MBS spread to Treasuries reflects the 30-year current coupon MBS spread to a 50/50 average of 5- and 10-year U.S. Treasury yields (.MBS510US G Index) from December 31, 2021 through February 15, 2024. Source: Bloomberg.</w:t>
      </w:r>
    </w:p>
    <w:p>
      <w:pPr>
        <w:ind w:left="300" w:hanging="300"/>
        <w:spacing w:after="0"/>
        <w:tabs>
          <w:tab w:leader="none" w:pos="300" w:val="left"/>
        </w:tabs>
        <w:numPr>
          <w:ilvl w:val="0"/>
          <w:numId w:val="16"/>
        </w:numPr>
        <w:rPr>
          <w:rFonts w:ascii="Arial" w:cs="Arial" w:eastAsia="Arial" w:hAnsi="Arial"/>
          <w:sz w:val="16"/>
          <w:szCs w:val="16"/>
          <w:color w:val="595959"/>
        </w:rPr>
      </w:pPr>
      <w:r>
        <w:rPr>
          <w:rFonts w:ascii="Arial" w:cs="Arial" w:eastAsia="Arial" w:hAnsi="Arial"/>
          <w:sz w:val="16"/>
          <w:szCs w:val="16"/>
          <w:color w:val="595959"/>
        </w:rPr>
        <w:t>Agency MBS market size as of December 2023. Source: Urban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1586865</wp:posOffset>
            </wp:positionV>
            <wp:extent cx="659447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2">
                      <a:extLst>
                        <a:ext uri="{28A0092B-C50C-407E-A947-70E740481C1C}"/>
                      </a:extLst>
                    </a:blip>
                    <a:srcRect/>
                    <a:stretch>
                      <a:fillRect/>
                    </a:stretch>
                  </pic:blipFill>
                  <pic:spPr bwMode="auto">
                    <a:xfrm>
                      <a:off x="0" y="0"/>
                      <a:ext cx="65944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20"/>
        <w:spacing w:after="0" w:line="382" w:lineRule="auto"/>
        <w:rPr>
          <w:sz w:val="20"/>
          <w:szCs w:val="20"/>
          <w:color w:val="auto"/>
        </w:rPr>
      </w:pPr>
      <w:r>
        <w:rPr>
          <w:rFonts w:ascii="Arial" w:cs="Arial" w:eastAsia="Arial" w:hAnsi="Arial"/>
          <w:sz w:val="17"/>
          <w:szCs w:val="17"/>
          <w:b w:val="1"/>
          <w:bCs w:val="1"/>
          <w:color w:val="595959"/>
        </w:rPr>
        <w:t xml:space="preserve">DISCLAIMER: </w:t>
      </w:r>
      <w:r>
        <w:rPr>
          <w:rFonts w:ascii="Arial" w:cs="Arial" w:eastAsia="Arial" w:hAnsi="Arial"/>
          <w:sz w:val="15"/>
          <w:szCs w:val="15"/>
          <w:b w:val="1"/>
          <w:bCs w:val="1"/>
          <w:color w:val="595959"/>
        </w:rPr>
        <w:t>This Annual Report contains forward-looking statements within the meaning of the Private Securities Litigation Reform</w:t>
      </w:r>
      <w:r>
        <w:rPr>
          <w:rFonts w:ascii="Arial" w:cs="Arial" w:eastAsia="Arial" w:hAnsi="Arial"/>
          <w:sz w:val="17"/>
          <w:szCs w:val="17"/>
          <w:b w:val="1"/>
          <w:bCs w:val="1"/>
          <w:color w:val="595959"/>
        </w:rPr>
        <w:t xml:space="preserve"> </w:t>
      </w:r>
      <w:r>
        <w:rPr>
          <w:rFonts w:ascii="Arial" w:cs="Arial" w:eastAsia="Arial" w:hAnsi="Arial"/>
          <w:sz w:val="15"/>
          <w:szCs w:val="15"/>
          <w:b w:val="1"/>
          <w:bCs w:val="1"/>
          <w:color w:val="595959"/>
        </w:rPr>
        <w:t>Act. Forward-looking statements are based on estimates, projections, beliefs and assumptions of management of the Company</w:t>
      </w:r>
    </w:p>
    <w:p>
      <w:pPr>
        <w:jc w:val="both"/>
        <w:ind w:right="420"/>
        <w:spacing w:after="0" w:line="433" w:lineRule="auto"/>
        <w:rPr>
          <w:sz w:val="20"/>
          <w:szCs w:val="20"/>
          <w:color w:val="auto"/>
        </w:rPr>
      </w:pPr>
      <w:r>
        <w:rPr>
          <w:rFonts w:ascii="Arial" w:cs="Arial" w:eastAsia="Arial" w:hAnsi="Arial"/>
          <w:sz w:val="16"/>
          <w:szCs w:val="16"/>
          <w:b w:val="1"/>
          <w:bCs w:val="1"/>
          <w:color w:val="595959"/>
        </w:rPr>
        <w:t xml:space="preserve">at the time of such statements and are not guarantees of future performance. As further described in the </w:t>
      </w:r>
      <w:r>
        <w:rPr>
          <w:rFonts w:ascii="Arial" w:cs="Arial" w:eastAsia="Arial" w:hAnsi="Arial"/>
          <w:sz w:val="16"/>
          <w:szCs w:val="16"/>
          <w:b w:val="1"/>
          <w:bCs w:val="1"/>
          <w:i w:val="1"/>
          <w:iCs w:val="1"/>
          <w:color w:val="595959"/>
        </w:rPr>
        <w:t>Management Discussion</w:t>
      </w:r>
      <w:r>
        <w:rPr>
          <w:rFonts w:ascii="Arial" w:cs="Arial" w:eastAsia="Arial" w:hAnsi="Arial"/>
          <w:sz w:val="16"/>
          <w:szCs w:val="16"/>
          <w:b w:val="1"/>
          <w:bCs w:val="1"/>
          <w:color w:val="595959"/>
        </w:rPr>
        <w:t xml:space="preserve"> </w:t>
      </w:r>
      <w:r>
        <w:rPr>
          <w:rFonts w:ascii="Arial" w:cs="Arial" w:eastAsia="Arial" w:hAnsi="Arial"/>
          <w:sz w:val="16"/>
          <w:szCs w:val="16"/>
          <w:b w:val="1"/>
          <w:bCs w:val="1"/>
          <w:i w:val="1"/>
          <w:iCs w:val="1"/>
          <w:color w:val="595959"/>
        </w:rPr>
        <w:t xml:space="preserve">and Analysis </w:t>
      </w:r>
      <w:r>
        <w:rPr>
          <w:rFonts w:ascii="Arial" w:cs="Arial" w:eastAsia="Arial" w:hAnsi="Arial"/>
          <w:sz w:val="16"/>
          <w:szCs w:val="16"/>
          <w:b w:val="1"/>
          <w:bCs w:val="1"/>
          <w:color w:val="595959"/>
        </w:rPr>
        <w:t>included in this Annual Report, forward-looking statements involve risks and uncertainties in predicting future results</w:t>
      </w:r>
      <w:r>
        <w:rPr>
          <w:rFonts w:ascii="Arial" w:cs="Arial" w:eastAsia="Arial" w:hAnsi="Arial"/>
          <w:sz w:val="16"/>
          <w:szCs w:val="16"/>
          <w:b w:val="1"/>
          <w:bCs w:val="1"/>
          <w:i w:val="1"/>
          <w:iCs w:val="1"/>
          <w:color w:val="595959"/>
        </w:rPr>
        <w:t xml:space="preserve"> </w:t>
      </w:r>
      <w:r>
        <w:rPr>
          <w:rFonts w:ascii="Arial" w:cs="Arial" w:eastAsia="Arial" w:hAnsi="Arial"/>
          <w:sz w:val="16"/>
          <w:szCs w:val="16"/>
          <w:b w:val="1"/>
          <w:bCs w:val="1"/>
          <w:color w:val="595959"/>
        </w:rPr>
        <w:t>and conditions. Actual results could differ materially from those projected in these forward-looking statements or from our historic performance due to a variety of important factors.</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AGNC Investment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13335</wp:posOffset>
                </wp:positionH>
                <wp:positionV relativeFrom="paragraph">
                  <wp:posOffset>-56515</wp:posOffset>
                </wp:positionV>
                <wp:extent cx="0" cy="21971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9710"/>
                        </a:xfrm>
                        <a:prstGeom prst="line">
                          <a:avLst/>
                        </a:prstGeom>
                        <a:solidFill>
                          <a:srgbClr val="FFFFFF"/>
                        </a:solidFill>
                        <a:ln w="12700">
                          <a:solidFill>
                            <a:srgbClr val="3C60AC"/>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pt,-4.4499pt" to="1.05pt,12.85pt" o:allowincell="f" strokecolor="#3C60AC" strokeweight="1pt"/>
            </w:pict>
          </mc:Fallback>
        </mc:AlternateContent>
      </w:r>
    </w:p>
    <w:p>
      <w:pPr>
        <w:ind w:left="200"/>
        <w:spacing w:after="0"/>
        <w:rPr>
          <w:sz w:val="20"/>
          <w:szCs w:val="20"/>
          <w:color w:val="auto"/>
        </w:rPr>
      </w:pPr>
      <w:r>
        <w:rPr>
          <w:rFonts w:ascii="Arial" w:cs="Arial" w:eastAsia="Arial" w:hAnsi="Arial"/>
          <w:sz w:val="16"/>
          <w:szCs w:val="16"/>
          <w:b w:val="1"/>
          <w:bCs w:val="1"/>
          <w:color w:val="auto"/>
        </w:rPr>
        <w:t xml:space="preserve">2023 Annual Report </w:t>
      </w:r>
      <w:r>
        <w:rPr>
          <w:rFonts w:ascii="Arial" w:cs="Arial" w:eastAsia="Arial" w:hAnsi="Arial"/>
          <w:sz w:val="16"/>
          <w:szCs w:val="16"/>
          <w:b w:val="1"/>
          <w:bCs w:val="1"/>
          <w:color w:val="3C60AC"/>
        </w:rPr>
        <w:t>•</w:t>
      </w:r>
      <w:r>
        <w:rPr>
          <w:rFonts w:ascii="Arial" w:cs="Arial" w:eastAsia="Arial" w:hAnsi="Arial"/>
          <w:sz w:val="16"/>
          <w:szCs w:val="16"/>
          <w:b w:val="1"/>
          <w:bCs w:val="1"/>
          <w:color w:val="auto"/>
        </w:rPr>
        <w:t xml:space="preserve"> 6</w:t>
      </w:r>
    </w:p>
    <w:p>
      <w:pPr>
        <w:sectPr>
          <w:pgSz w:w="11880" w:h="15479" w:orient="portrait"/>
          <w:cols w:equalWidth="0" w:num="1">
            <w:col w:w="10400"/>
          </w:cols>
          <w:pgMar w:left="540" w:top="1440" w:right="939" w:bottom="264"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633095</wp:posOffset>
                </wp:positionH>
                <wp:positionV relativeFrom="page">
                  <wp:posOffset>342900</wp:posOffset>
                </wp:positionV>
                <wp:extent cx="650557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85pt,27pt" to="562.1pt,27pt" o:allowincell="f" strokecolor="#000000"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633095</wp:posOffset>
                </wp:positionH>
                <wp:positionV relativeFrom="page">
                  <wp:posOffset>390525</wp:posOffset>
                </wp:positionV>
                <wp:extent cx="650557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85pt,30.75pt" to="562.1pt,30.75pt" o:allowincell="f" strokecolor="#000000" strokeweight="1pt">
                <w10:wrap anchorx="page" anchory="page"/>
              </v:line>
            </w:pict>
          </mc:Fallback>
        </mc:AlternateContent>
        <w:t>UNITED STATES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66" w:lineRule="exact"/>
        <w:rPr>
          <w:sz w:val="20"/>
          <w:szCs w:val="20"/>
          <w:color w:val="auto"/>
        </w:rPr>
      </w:pPr>
    </w:p>
    <w:p>
      <w:pPr>
        <w:ind w:left="1600" w:hanging="1363"/>
        <w:spacing w:after="0"/>
        <w:tabs>
          <w:tab w:leader="none" w:pos="1600" w:val="left"/>
        </w:tabs>
        <w:numPr>
          <w:ilvl w:val="0"/>
          <w:numId w:val="17"/>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 ended December 31, 2023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7" w:lineRule="exact"/>
        <w:rPr>
          <w:sz w:val="20"/>
          <w:szCs w:val="20"/>
          <w:color w:val="auto"/>
        </w:rPr>
      </w:pPr>
    </w:p>
    <w:p>
      <w:pPr>
        <w:ind w:left="4020" w:right="820" w:hanging="3783"/>
        <w:spacing w:after="0" w:line="416" w:lineRule="auto"/>
        <w:tabs>
          <w:tab w:leader="none" w:pos="1440" w:val="left"/>
        </w:tabs>
        <w:numPr>
          <w:ilvl w:val="0"/>
          <w:numId w:val="18"/>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001-34057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51435</wp:posOffset>
            </wp:positionV>
            <wp:extent cx="2115185" cy="638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3">
                      <a:extLst>
                        <a:ext uri="{28A0092B-C50C-407E-A947-70E740481C1C}"/>
                      </a:extLst>
                    </a:blip>
                    <a:srcRect/>
                    <a:stretch>
                      <a:fillRect/>
                    </a:stretch>
                  </pic:blipFill>
                  <pic:spPr bwMode="auto">
                    <a:xfrm>
                      <a:off x="0" y="0"/>
                      <a:ext cx="2115185" cy="638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AGNC INVESTMENT CORP.</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w:t>
      </w:r>
    </w:p>
    <w:p>
      <w:pPr>
        <w:sectPr>
          <w:pgSz w:w="12240" w:h="15840" w:orient="portrait"/>
          <w:cols w:equalWidth="0" w:num="1">
            <w:col w:w="10440"/>
          </w:cols>
          <w:pgMar w:left="900" w:top="646" w:right="900" w:bottom="64" w:gutter="0" w:footer="0" w:header="0"/>
        </w:sectPr>
      </w:pPr>
    </w:p>
    <w:p>
      <w:pPr>
        <w:spacing w:after="0" w:line="4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6"/>
          <w:szCs w:val="16"/>
          <w:b w:val="1"/>
          <w:bCs w:val="1"/>
          <w:color w:val="auto"/>
        </w:rPr>
        <w:t>Delaware</w:t>
      </w:r>
    </w:p>
    <w:p>
      <w:pPr>
        <w:ind w:left="1560"/>
        <w:spacing w:after="0" w:line="208" w:lineRule="auto"/>
        <w:rPr>
          <w:sz w:val="20"/>
          <w:szCs w:val="20"/>
          <w:color w:val="auto"/>
        </w:rPr>
      </w:pPr>
      <w:r>
        <w:rPr>
          <w:rFonts w:ascii="Times New Roman" w:cs="Times New Roman" w:eastAsia="Times New Roman" w:hAnsi="Times New Roman"/>
          <w:sz w:val="16"/>
          <w:szCs w:val="16"/>
          <w:b w:val="1"/>
          <w:bCs w:val="1"/>
          <w:color w:val="auto"/>
        </w:rPr>
        <w:t>(State or Other Jurisdiction of</w:t>
      </w: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1520"/>
        <w:spacing w:after="0"/>
        <w:rPr>
          <w:sz w:val="20"/>
          <w:szCs w:val="20"/>
          <w:color w:val="auto"/>
        </w:rPr>
      </w:pPr>
      <w:r>
        <w:rPr>
          <w:rFonts w:ascii="Times New Roman" w:cs="Times New Roman" w:eastAsia="Times New Roman" w:hAnsi="Times New Roman"/>
          <w:sz w:val="16"/>
          <w:szCs w:val="16"/>
          <w:b w:val="1"/>
          <w:bCs w:val="1"/>
          <w:color w:val="auto"/>
        </w:rPr>
        <w:t>26-1701984</w:t>
      </w:r>
    </w:p>
    <w:p>
      <w:pPr>
        <w:jc w:val="center"/>
        <w:ind w:right="1520"/>
        <w:spacing w:after="0" w:line="208" w:lineRule="auto"/>
        <w:rPr>
          <w:sz w:val="20"/>
          <w:szCs w:val="20"/>
          <w:color w:val="auto"/>
        </w:rPr>
      </w:pPr>
      <w:r>
        <w:rPr>
          <w:rFonts w:ascii="Times New Roman" w:cs="Times New Roman" w:eastAsia="Times New Roman" w:hAnsi="Times New Roman"/>
          <w:sz w:val="16"/>
          <w:szCs w:val="16"/>
          <w:b w:val="1"/>
          <w:bCs w:val="1"/>
          <w:color w:val="auto"/>
        </w:rPr>
        <w:t>(I.R.S. Employer</w:t>
      </w:r>
    </w:p>
    <w:p>
      <w:pPr>
        <w:spacing w:after="0" w:line="1" w:lineRule="exact"/>
        <w:rPr>
          <w:sz w:val="20"/>
          <w:szCs w:val="20"/>
          <w:color w:val="auto"/>
        </w:rPr>
      </w:pPr>
    </w:p>
    <w:p>
      <w:pPr>
        <w:jc w:val="center"/>
        <w:ind w:right="1520"/>
        <w:spacing w:after="0"/>
        <w:rPr>
          <w:sz w:val="20"/>
          <w:szCs w:val="20"/>
          <w:color w:val="auto"/>
        </w:rPr>
      </w:pPr>
      <w:r>
        <w:rPr>
          <w:rFonts w:ascii="Times New Roman" w:cs="Times New Roman" w:eastAsia="Times New Roman" w:hAnsi="Times New Roman"/>
          <w:sz w:val="15"/>
          <w:szCs w:val="15"/>
          <w:b w:val="1"/>
          <w:bCs w:val="1"/>
          <w:color w:val="auto"/>
        </w:rPr>
        <w:t>Identification No.)</w:t>
      </w:r>
    </w:p>
    <w:p>
      <w:pPr>
        <w:spacing w:after="0" w:line="100" w:lineRule="exact"/>
        <w:rPr>
          <w:sz w:val="20"/>
          <w:szCs w:val="20"/>
          <w:color w:val="auto"/>
        </w:rPr>
      </w:pPr>
    </w:p>
    <w:p>
      <w:pPr>
        <w:sectPr>
          <w:pgSz w:w="12240" w:h="15840" w:orient="portrait"/>
          <w:cols w:equalWidth="0" w:num="2">
            <w:col w:w="6960" w:space="720"/>
            <w:col w:w="2760"/>
          </w:cols>
          <w:pgMar w:left="900" w:top="646" w:right="900" w:bottom="64"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7373 Wisconsin Avenue, 22nd Floor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Bethesda, Maryland 20814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(301) 968-9315</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w:t>
      </w:r>
    </w:p>
    <w:p>
      <w:pPr>
        <w:sectPr>
          <w:pgSz w:w="12240" w:h="15840" w:orient="portrait"/>
          <w:cols w:equalWidth="0" w:num="1">
            <w:col w:w="10440"/>
          </w:cols>
          <w:pgMar w:left="900" w:top="646" w:right="900" w:bottom="64"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80" w:type="dxa"/>
            <w:vAlign w:val="bottom"/>
          </w:tcPr>
          <w:p>
            <w:pPr>
              <w:spacing w:after="0"/>
              <w:rPr>
                <w:sz w:val="18"/>
                <w:szCs w:val="18"/>
                <w:color w:val="auto"/>
              </w:rPr>
            </w:pPr>
          </w:p>
        </w:tc>
        <w:tc>
          <w:tcPr>
            <w:tcW w:w="3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Exchange on Which Registered</w:t>
            </w:r>
          </w:p>
        </w:tc>
        <w:tc>
          <w:tcPr>
            <w:tcW w:w="0" w:type="dxa"/>
            <w:vAlign w:val="bottom"/>
          </w:tcPr>
          <w:p>
            <w:pPr>
              <w:spacing w:after="0"/>
              <w:rPr>
                <w:sz w:val="1"/>
                <w:szCs w:val="1"/>
                <w:color w:val="auto"/>
              </w:rPr>
            </w:pPr>
          </w:p>
        </w:tc>
      </w:tr>
      <w:tr>
        <w:trPr>
          <w:trHeight w:val="219"/>
        </w:trPr>
        <w:tc>
          <w:tcPr>
            <w:tcW w:w="5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AGNC</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20" w:type="dxa"/>
            <w:vAlign w:val="bottom"/>
            <w:gridSpan w:val="3"/>
          </w:tcPr>
          <w:p>
            <w:pPr>
              <w:jc w:val="center"/>
              <w:ind w:right="580"/>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r>
        <w:trPr>
          <w:trHeight w:val="164"/>
        </w:trPr>
        <w:tc>
          <w:tcPr>
            <w:tcW w:w="52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rPr>
              <w:t>Depositary shares of 7.000% Series C Fixed-to-Floating Rate Cumulative</w:t>
            </w:r>
          </w:p>
        </w:tc>
        <w:tc>
          <w:tcPr>
            <w:tcW w:w="8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AGNCN</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2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r>
        <w:trPr>
          <w:trHeight w:val="128"/>
        </w:trPr>
        <w:tc>
          <w:tcPr>
            <w:tcW w:w="5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Redeemable Preferred Stock</w:t>
            </w:r>
          </w:p>
        </w:tc>
        <w:tc>
          <w:tcPr>
            <w:tcW w:w="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5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2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Depositary shares of 6.875% Series D Fixed-to-Floating Rate Cumulative</w:t>
            </w:r>
          </w:p>
        </w:tc>
        <w:tc>
          <w:tcPr>
            <w:tcW w:w="8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AGNCM</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2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r>
        <w:trPr>
          <w:trHeight w:val="128"/>
        </w:trPr>
        <w:tc>
          <w:tcPr>
            <w:tcW w:w="5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Redeemable Preferred Stock</w:t>
            </w:r>
          </w:p>
        </w:tc>
        <w:tc>
          <w:tcPr>
            <w:tcW w:w="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5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2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Depositary shares of 6.50% Series E Fixed-to-Floating Rate Cumulative</w:t>
            </w:r>
          </w:p>
        </w:tc>
        <w:tc>
          <w:tcPr>
            <w:tcW w:w="8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AGNCO</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2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r>
        <w:trPr>
          <w:trHeight w:val="128"/>
        </w:trPr>
        <w:tc>
          <w:tcPr>
            <w:tcW w:w="5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Redeemable Preferred Stock</w:t>
            </w:r>
          </w:p>
        </w:tc>
        <w:tc>
          <w:tcPr>
            <w:tcW w:w="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5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2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rPr>
              <w:t>Depositary shares of 6.125% Series F Fixed-to-Floating Rate Cumulative</w:t>
            </w:r>
          </w:p>
        </w:tc>
        <w:tc>
          <w:tcPr>
            <w:tcW w:w="8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AGNCP</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2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r>
        <w:trPr>
          <w:trHeight w:val="128"/>
        </w:trPr>
        <w:tc>
          <w:tcPr>
            <w:tcW w:w="5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Redeemable Preferred Stock</w:t>
            </w:r>
          </w:p>
        </w:tc>
        <w:tc>
          <w:tcPr>
            <w:tcW w:w="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5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52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rPr>
              <w:t>Depositary shares of 7.75% Series G Fixed-Rate Reset Cumulative</w:t>
            </w:r>
          </w:p>
        </w:tc>
        <w:tc>
          <w:tcPr>
            <w:tcW w:w="8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AGNCL</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2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r>
        <w:trPr>
          <w:trHeight w:val="128"/>
        </w:trPr>
        <w:tc>
          <w:tcPr>
            <w:tcW w:w="5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Redeemable Preferred Stock</w:t>
            </w:r>
          </w:p>
        </w:tc>
        <w:tc>
          <w:tcPr>
            <w:tcW w:w="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2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7520" w:type="dxa"/>
            <w:vAlign w:val="bottom"/>
            <w:gridSpan w:val="5"/>
          </w:tcPr>
          <w:p>
            <w:pPr>
              <w:ind w:left="30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796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xml:space="preserve">Yes </w:t>
            </w:r>
            <w:r>
              <w:rPr>
                <w:rFonts w:ascii="Arial" w:cs="Arial" w:eastAsia="Arial" w:hAnsi="Arial"/>
                <w:sz w:val="16"/>
                <w:szCs w:val="16"/>
                <w:b w:val="1"/>
                <w:bCs w:val="1"/>
                <w:color w:val="auto"/>
              </w:rPr>
              <w:t>ý</w:t>
            </w:r>
          </w:p>
        </w:tc>
        <w:tc>
          <w:tcPr>
            <w:tcW w:w="1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xml:space="preserve">No </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8"/>
        </w:trPr>
        <w:tc>
          <w:tcPr>
            <w:tcW w:w="752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tc>
        <w:tc>
          <w:tcPr>
            <w:tcW w:w="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Yes</w:t>
            </w:r>
          </w:p>
        </w:tc>
        <w:tc>
          <w:tcPr>
            <w:tcW w:w="580" w:type="dxa"/>
            <w:vAlign w:val="bottom"/>
          </w:tcPr>
          <w:p>
            <w:pPr>
              <w:ind w:left="60"/>
              <w:spacing w:after="0"/>
              <w:rPr>
                <w:sz w:val="20"/>
                <w:szCs w:val="20"/>
                <w:color w:val="auto"/>
              </w:rPr>
            </w:pP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color w:val="auto"/>
              </w:rPr>
              <w:t>No</w:t>
            </w:r>
          </w:p>
        </w:tc>
        <w:tc>
          <w:tcPr>
            <w:tcW w:w="1900" w:type="dxa"/>
            <w:vAlign w:val="bottom"/>
          </w:tcPr>
          <w:p>
            <w:pPr>
              <w:ind w:left="60"/>
              <w:spacing w:after="0"/>
              <w:rPr>
                <w:sz w:val="20"/>
                <w:szCs w:val="20"/>
                <w:color w:val="auto"/>
              </w:rPr>
            </w:pPr>
            <w:r>
              <w:rPr>
                <w:rFonts w:ascii="Arial" w:cs="Arial" w:eastAsia="Arial" w:hAnsi="Arial"/>
                <w:sz w:val="16"/>
                <w:szCs w:val="16"/>
                <w:b w:val="1"/>
                <w:bCs w:val="1"/>
                <w:color w:val="auto"/>
              </w:rPr>
              <w:t>ý</w:t>
            </w:r>
          </w:p>
        </w:tc>
        <w:tc>
          <w:tcPr>
            <w:tcW w:w="0" w:type="dxa"/>
            <w:vAlign w:val="bottom"/>
          </w:tcPr>
          <w:p>
            <w:pPr>
              <w:spacing w:after="0"/>
              <w:rPr>
                <w:sz w:val="1"/>
                <w:szCs w:val="1"/>
                <w:color w:val="auto"/>
              </w:rPr>
            </w:pPr>
          </w:p>
        </w:tc>
      </w:tr>
    </w:tbl>
    <w:p>
      <w:pPr>
        <w:jc w:val="both"/>
        <w:ind w:right="220" w:firstLine="360"/>
        <w:spacing w:after="0" w:line="1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b w:val="1"/>
          <w:bCs w:val="1"/>
          <w:color w:val="auto"/>
        </w:rPr>
        <w:t>☐</w:t>
      </w:r>
    </w:p>
    <w:p>
      <w:pPr>
        <w:ind w:left="360"/>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w:t>
      </w:r>
    </w:p>
    <w:p>
      <w:pPr>
        <w:spacing w:after="0" w:line="7" w:lineRule="exact"/>
        <w:rPr>
          <w:sz w:val="20"/>
          <w:szCs w:val="20"/>
          <w:color w:val="auto"/>
        </w:rPr>
      </w:pPr>
    </w:p>
    <w:p>
      <w:pPr>
        <w:spacing w:after="0" w:line="185" w:lineRule="exact"/>
        <w:tabs>
          <w:tab w:leader="none" w:pos="8940" w:val="left"/>
        </w:tabs>
        <w:rPr>
          <w:sz w:val="20"/>
          <w:szCs w:val="20"/>
          <w:color w:val="auto"/>
        </w:rPr>
      </w:pPr>
      <w:r>
        <w:rPr>
          <w:rFonts w:ascii="Times New Roman" w:cs="Times New Roman" w:eastAsia="Times New Roman" w:hAnsi="Times New Roman"/>
          <w:sz w:val="16"/>
          <w:szCs w:val="16"/>
          <w:color w:val="auto"/>
        </w:rPr>
        <w:t xml:space="preserve">Regulation S-T during the preceding 12 months (or for such shorter period that the registrant was required to submit such files).  Yes </w:t>
      </w:r>
      <w:r>
        <w:rPr>
          <w:rFonts w:ascii="Arial" w:cs="Arial" w:eastAsia="Arial" w:hAnsi="Arial"/>
          <w:sz w:val="16"/>
          <w:szCs w:val="16"/>
          <w:b w:val="1"/>
          <w:bCs w:val="1"/>
          <w:color w:val="auto"/>
        </w:rPr>
        <w:t>x</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b w:val="1"/>
          <w:bCs w:val="1"/>
          <w:color w:val="auto"/>
        </w:rPr>
        <w:t>☐</w:t>
      </w:r>
    </w:p>
    <w:p>
      <w:pPr>
        <w:spacing w:after="0" w:line="9" w:lineRule="exact"/>
        <w:rPr>
          <w:sz w:val="20"/>
          <w:szCs w:val="20"/>
          <w:color w:val="auto"/>
        </w:rPr>
      </w:pPr>
    </w:p>
    <w:p>
      <w:pPr>
        <w:ind w:right="100" w:firstLine="36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7" w:lineRule="exact"/>
        <w:rPr>
          <w:sz w:val="20"/>
          <w:szCs w:val="20"/>
          <w:color w:val="auto"/>
        </w:rPr>
      </w:pPr>
    </w:p>
    <w:tbl>
      <w:tblPr>
        <w:tblLayout w:type="fixed"/>
        <w:tblInd w:w="216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660" w:type="dxa"/>
            <w:vAlign w:val="bottom"/>
          </w:tcPr>
          <w:p>
            <w:pPr>
              <w:ind w:left="3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40"/>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660" w:type="dxa"/>
            <w:vAlign w:val="bottom"/>
          </w:tcPr>
          <w:p>
            <w:pPr>
              <w:ind w:left="3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40"/>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3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60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53" w:lineRule="exact"/>
        <w:rPr>
          <w:sz w:val="20"/>
          <w:szCs w:val="20"/>
          <w:color w:val="auto"/>
        </w:rPr>
      </w:pPr>
    </w:p>
    <w:p>
      <w:pPr>
        <w:ind w:right="280" w:firstLine="360"/>
        <w:spacing w:after="0" w:line="261"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b w:val="1"/>
          <w:bCs w:val="1"/>
          <w:color w:val="auto"/>
        </w:rPr>
        <w:t>¨</w:t>
      </w:r>
    </w:p>
    <w:p>
      <w:pPr>
        <w:spacing w:after="0" w:line="1" w:lineRule="exact"/>
        <w:rPr>
          <w:sz w:val="20"/>
          <w:szCs w:val="20"/>
          <w:color w:val="auto"/>
        </w:rPr>
      </w:pPr>
    </w:p>
    <w:p>
      <w:pPr>
        <w:jc w:val="both"/>
        <w:ind w:right="100" w:firstLine="360"/>
        <w:spacing w:after="0" w:line="1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b w:val="1"/>
          <w:bCs w:val="1"/>
          <w:color w:val="auto"/>
        </w:rPr>
        <w:t>☒</w:t>
      </w:r>
    </w:p>
    <w:p>
      <w:pPr>
        <w:spacing w:after="0" w:line="1" w:lineRule="exact"/>
        <w:rPr>
          <w:sz w:val="20"/>
          <w:szCs w:val="20"/>
          <w:color w:val="auto"/>
        </w:rPr>
      </w:pPr>
    </w:p>
    <w:p>
      <w:pPr>
        <w:ind w:right="360" w:firstLine="360"/>
        <w:spacing w:after="0" w:line="17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1" w:lineRule="exact"/>
        <w:rPr>
          <w:sz w:val="20"/>
          <w:szCs w:val="20"/>
          <w:color w:val="auto"/>
        </w:rPr>
      </w:pPr>
    </w:p>
    <w:p>
      <w:pPr>
        <w:ind w:right="180" w:firstLine="360"/>
        <w:spacing w:after="0" w:line="232"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6"/>
          <w:szCs w:val="16"/>
          <w:b w:val="1"/>
          <w:bCs w:val="1"/>
          <w:color w:val="auto"/>
        </w:rPr>
        <w:t>¨</w:t>
      </w:r>
    </w:p>
    <w:p>
      <w:pPr>
        <w:spacing w:after="0" w:line="1" w:lineRule="exact"/>
        <w:rPr>
          <w:sz w:val="20"/>
          <w:szCs w:val="20"/>
          <w:color w:val="auto"/>
        </w:rPr>
      </w:pPr>
    </w:p>
    <w:p>
      <w:pPr>
        <w:ind w:left="360"/>
        <w:spacing w:after="0" w:line="185" w:lineRule="exact"/>
        <w:tabs>
          <w:tab w:leader="none" w:pos="7760" w:val="left"/>
          <w:tab w:leader="none" w:pos="83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color w:val="auto"/>
        </w:rPr>
        <w:tab/>
        <w:t xml:space="preserve">No </w:t>
      </w:r>
      <w:r>
        <w:rPr>
          <w:rFonts w:ascii="Arial" w:cs="Arial" w:eastAsia="Arial" w:hAnsi="Arial"/>
          <w:sz w:val="16"/>
          <w:szCs w:val="16"/>
          <w:b w:val="1"/>
          <w:bCs w:val="1"/>
          <w:color w:val="auto"/>
        </w:rPr>
        <w:t>x</w:t>
      </w:r>
    </w:p>
    <w:p>
      <w:pPr>
        <w:spacing w:after="0" w:line="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6"/>
          <w:szCs w:val="16"/>
          <w:color w:val="auto"/>
        </w:rPr>
        <w:t>As of June 30, 2023, the aggregate market value of the Registrant's common stock held by non-affiliates of the Registrant was approximately $5.2 billion based upon the closing price of the Registrant's common stock of $10.13 per share as reported on The Nasdaq Global Select Market on that date. (For this computation, the Registrant has excluded the market value of all shares of its common stock reported as beneficially owned by executive officers and directors of the Registrant and certain other stockholders; such an exclusion shall not be deemed to constitute an admission that any such person is an "affiliate" of the Registrant.)</w:t>
      </w:r>
    </w:p>
    <w:p>
      <w:pPr>
        <w:ind w:left="360"/>
        <w:spacing w:after="0"/>
        <w:rPr>
          <w:sz w:val="20"/>
          <w:szCs w:val="20"/>
          <w:color w:val="auto"/>
        </w:rPr>
      </w:pPr>
      <w:r>
        <w:rPr>
          <w:rFonts w:ascii="Times New Roman" w:cs="Times New Roman" w:eastAsia="Times New Roman" w:hAnsi="Times New Roman"/>
          <w:sz w:val="16"/>
          <w:szCs w:val="16"/>
          <w:color w:val="auto"/>
        </w:rPr>
        <w:t>The number of shares of the issuer's common stock, $0.01 par value, outstanding as of January 31, 2024 was 695,015,141.</w:t>
      </w:r>
    </w:p>
    <w:p>
      <w:pPr>
        <w:sectPr>
          <w:pgSz w:w="12240" w:h="15840" w:orient="portrait"/>
          <w:cols w:equalWidth="0" w:num="1">
            <w:col w:w="10440"/>
          </w:cols>
          <w:pgMar w:left="900" w:top="646" w:right="900" w:bottom="64" w:gutter="0" w:footer="0" w:header="0"/>
          <w:type w:val="continuous"/>
        </w:sectPr>
      </w:pPr>
    </w:p>
    <w:bookmarkStart w:id="9" w:name="page10"/>
    <w:bookmarkEnd w:id="9"/>
    <w:p>
      <w:pPr>
        <w:ind w:firstLine="360"/>
        <w:spacing w:after="0" w:line="261" w:lineRule="auto"/>
        <w:rPr>
          <w:sz w:val="20"/>
          <w:szCs w:val="20"/>
          <w:color w:val="auto"/>
        </w:rPr>
      </w:pPr>
      <w:r>
        <w:rPr>
          <w:rFonts w:ascii="Times New Roman" w:cs="Times New Roman" w:eastAsia="Times New Roman" w:hAnsi="Times New Roman"/>
          <w:sz w:val="16"/>
          <w:szCs w:val="16"/>
          <w:color w:val="auto"/>
        </w:rPr>
        <w:t>DOCUMENTS INCORPORATED BY REFERENCE. The information required by Part III will be incorporated by reference from the Registrant's definitive proxy statement for the 2024 Annual Meeting of Stockholders to be filed with the Securities and Exchange Commission pursuant to Regulation 14A.</w:t>
      </w:r>
    </w:p>
    <w:p>
      <w:pPr>
        <w:ind w:left="360"/>
        <w:spacing w:after="0"/>
        <w:rPr>
          <w:sz w:val="20"/>
          <w:szCs w:val="20"/>
          <w:color w:val="auto"/>
        </w:rPr>
      </w:pPr>
      <w:r>
        <w:rPr>
          <w:rFonts w:ascii="Times New Roman" w:cs="Times New Roman" w:eastAsia="Times New Roman" w:hAnsi="Times New Roman"/>
          <w:sz w:val="16"/>
          <w:szCs w:val="16"/>
          <w:color w:val="auto"/>
        </w:rPr>
        <w:t>Certain exhibits previously filed with the Securities and Exchange Commission are incorporated by reference into Part IV of this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61595</wp:posOffset>
                </wp:positionH>
                <wp:positionV relativeFrom="paragraph">
                  <wp:posOffset>26035</wp:posOffset>
                </wp:positionV>
                <wp:extent cx="650557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pt,2.05pt" to="517.1pt,2.0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61595</wp:posOffset>
                </wp:positionH>
                <wp:positionV relativeFrom="paragraph">
                  <wp:posOffset>73660</wp:posOffset>
                </wp:positionV>
                <wp:extent cx="650557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pt,5.8pt" to="517.1pt,5.8pt" o:allowincell="f" strokecolor="#000000" strokeweight="1pt"/>
            </w:pict>
          </mc:Fallback>
        </mc:AlternateContent>
      </w:r>
    </w:p>
    <w:p>
      <w:pPr>
        <w:sectPr>
          <w:pgSz w:w="12240" w:h="15840" w:orient="portrait"/>
          <w:cols w:equalWidth="0" w:num="1">
            <w:col w:w="10440"/>
          </w:cols>
          <w:pgMar w:left="900" w:top="490" w:right="900" w:bottom="1440" w:gutter="0" w:footer="0" w:header="0"/>
        </w:sectPr>
      </w:pPr>
    </w:p>
    <w:bookmarkStart w:id="10" w:name="page11"/>
    <w:bookmarkEnd w:id="10"/>
    <w:p>
      <w:pPr>
        <w:ind w:left="3640"/>
        <w:spacing w:after="0"/>
        <w:rPr>
          <w:sz w:val="20"/>
          <w:szCs w:val="20"/>
          <w:color w:val="auto"/>
        </w:rPr>
      </w:pPr>
      <w:r>
        <w:rPr>
          <w:rFonts w:ascii="Times New Roman" w:cs="Times New Roman" w:eastAsia="Times New Roman" w:hAnsi="Times New Roman"/>
          <w:sz w:val="19"/>
          <w:szCs w:val="19"/>
          <w:b w:val="1"/>
          <w:bCs w:val="1"/>
          <w:color w:val="auto"/>
        </w:rPr>
        <w:t>AGNC INVESTMENT CORP.</w:t>
      </w:r>
    </w:p>
    <w:p>
      <w:pPr>
        <w:spacing w:after="0" w:line="1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 I.</w:t>
      </w:r>
    </w:p>
    <w:p>
      <w:pPr>
        <w:spacing w:after="0" w:line="58" w:lineRule="exact"/>
        <w:rPr>
          <w:sz w:val="20"/>
          <w:szCs w:val="20"/>
          <w:color w:val="auto"/>
        </w:rPr>
      </w:pPr>
    </w:p>
    <w:p>
      <w:pPr>
        <w:spacing w:after="0"/>
        <w:tabs>
          <w:tab w:leader="none" w:pos="880" w:val="left"/>
          <w:tab w:leader="none" w:pos="9200" w:val="left"/>
        </w:tabs>
        <w:rPr>
          <w:sz w:val="20"/>
          <w:szCs w:val="20"/>
          <w:color w:val="auto"/>
        </w:rPr>
      </w:pPr>
      <w:r>
        <w:rPr>
          <w:rFonts w:ascii="Times New Roman" w:cs="Times New Roman" w:eastAsia="Times New Roman" w:hAnsi="Times New Roman"/>
          <w:sz w:val="19"/>
          <w:szCs w:val="19"/>
          <w:color w:val="auto"/>
        </w:rPr>
        <w:t>Item 1.</w:t>
      </w:r>
      <w:r>
        <w:rPr>
          <w:sz w:val="20"/>
          <w:szCs w:val="20"/>
          <w:color w:val="auto"/>
        </w:rPr>
        <w:tab/>
      </w:r>
      <w:r>
        <w:rPr>
          <w:rFonts w:ascii="Times New Roman" w:cs="Times New Roman" w:eastAsia="Times New Roman" w:hAnsi="Times New Roman"/>
          <w:sz w:val="19"/>
          <w:szCs w:val="19"/>
          <w:color w:val="auto"/>
        </w:rPr>
        <w:t xml:space="preserve">Business </w:t>
      </w:r>
      <w:r>
        <w:rPr>
          <w:rFonts w:ascii="Times New Roman" w:cs="Times New Roman" w:eastAsia="Times New Roman" w:hAnsi="Times New Roman"/>
          <w:sz w:val="19"/>
          <w:szCs w:val="19"/>
          <w:color w:val="989898"/>
        </w:rPr>
        <w:t>. . . . . . . . . . . . . . . . . . . . . . . . . . . . . . . . . . . . . . . . . . . . . . . . . . . . . . . . . . . . . . . . . . . . . . .</w:t>
      </w:r>
      <w:r>
        <w:rPr>
          <w:sz w:val="20"/>
          <w:szCs w:val="20"/>
          <w:color w:val="auto"/>
        </w:rPr>
        <w:tab/>
      </w:r>
      <w:r>
        <w:rPr>
          <w:rFonts w:ascii="Times New Roman" w:cs="Times New Roman" w:eastAsia="Times New Roman" w:hAnsi="Times New Roman"/>
          <w:sz w:val="16"/>
          <w:szCs w:val="16"/>
          <w:color w:val="auto"/>
        </w:rPr>
        <w:t>2</w:t>
      </w:r>
    </w:p>
    <w:p>
      <w:pPr>
        <w:spacing w:after="0" w:line="58" w:lineRule="exact"/>
        <w:rPr>
          <w:sz w:val="20"/>
          <w:szCs w:val="20"/>
          <w:color w:val="auto"/>
        </w:rPr>
      </w:pPr>
    </w:p>
    <w:p>
      <w:pPr>
        <w:spacing w:after="0"/>
        <w:tabs>
          <w:tab w:leader="none" w:pos="880" w:val="left"/>
          <w:tab w:leader="none" w:pos="9200" w:val="left"/>
        </w:tabs>
        <w:rPr>
          <w:sz w:val="20"/>
          <w:szCs w:val="20"/>
          <w:color w:val="auto"/>
        </w:rPr>
      </w:pPr>
      <w:r>
        <w:rPr>
          <w:rFonts w:ascii="Times New Roman" w:cs="Times New Roman" w:eastAsia="Times New Roman" w:hAnsi="Times New Roman"/>
          <w:sz w:val="19"/>
          <w:szCs w:val="19"/>
          <w:color w:val="auto"/>
        </w:rPr>
        <w:t>Item 1A.</w:t>
        <w:tab/>
        <w:t xml:space="preserve">Risk Factors </w:t>
      </w:r>
      <w:r>
        <w:rPr>
          <w:rFonts w:ascii="Times New Roman" w:cs="Times New Roman" w:eastAsia="Times New Roman" w:hAnsi="Times New Roman"/>
          <w:sz w:val="19"/>
          <w:szCs w:val="19"/>
          <w:color w:val="989898"/>
        </w:rPr>
        <w:t>. . . . . . . . . . . . . . . . . . . . . . . . . . . . . . . . . . . . . . . . . . . . . . . . . . . . . . . . . . . . . . . . . . . .</w:t>
      </w:r>
      <w:r>
        <w:rPr>
          <w:sz w:val="20"/>
          <w:szCs w:val="20"/>
          <w:color w:val="auto"/>
        </w:rPr>
        <w:tab/>
      </w:r>
      <w:r>
        <w:rPr>
          <w:rFonts w:ascii="Times New Roman" w:cs="Times New Roman" w:eastAsia="Times New Roman" w:hAnsi="Times New Roman"/>
          <w:sz w:val="16"/>
          <w:szCs w:val="16"/>
          <w:color w:val="auto"/>
        </w:rPr>
        <w:t>7</w:t>
      </w:r>
    </w:p>
    <w:p>
      <w:pPr>
        <w:spacing w:after="0" w:line="58"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1B.</w:t>
        <w:tab/>
        <w:t xml:space="preserve">Unresolved Staff Comments </w:t>
      </w:r>
      <w:r>
        <w:rPr>
          <w:rFonts w:ascii="Times New Roman" w:cs="Times New Roman" w:eastAsia="Times New Roman" w:hAnsi="Times New Roman"/>
          <w:sz w:val="19"/>
          <w:szCs w:val="19"/>
          <w:color w:val="989898"/>
        </w:rPr>
        <w:t>. . . . . . . . . . . . . . . . . . . . . . . . . . . . . . . . . . . . . . . . . . . . . . . . . . . . . . . .</w:t>
      </w:r>
      <w:r>
        <w:rPr>
          <w:sz w:val="20"/>
          <w:szCs w:val="20"/>
          <w:color w:val="auto"/>
        </w:rPr>
        <w:tab/>
      </w:r>
      <w:r>
        <w:rPr>
          <w:rFonts w:ascii="Times New Roman" w:cs="Times New Roman" w:eastAsia="Times New Roman" w:hAnsi="Times New Roman"/>
          <w:sz w:val="19"/>
          <w:szCs w:val="19"/>
          <w:color w:val="auto"/>
        </w:rPr>
        <w:t>21</w:t>
      </w:r>
    </w:p>
    <w:p>
      <w:pPr>
        <w:spacing w:after="0" w:line="58"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1C.</w:t>
        <w:tab/>
        <w:t xml:space="preserve">Cybersecurity </w:t>
      </w:r>
      <w:r>
        <w:rPr>
          <w:rFonts w:ascii="Times New Roman" w:cs="Times New Roman" w:eastAsia="Times New Roman" w:hAnsi="Times New Roman"/>
          <w:sz w:val="19"/>
          <w:szCs w:val="19"/>
          <w:color w:val="989898"/>
        </w:rPr>
        <w:t>.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21</w:t>
      </w:r>
    </w:p>
    <w:p>
      <w:pPr>
        <w:spacing w:after="0" w:line="58"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2.</w:t>
      </w:r>
      <w:r>
        <w:rPr>
          <w:sz w:val="20"/>
          <w:szCs w:val="20"/>
          <w:color w:val="auto"/>
        </w:rPr>
        <w:tab/>
      </w:r>
      <w:r>
        <w:rPr>
          <w:rFonts w:ascii="Times New Roman" w:cs="Times New Roman" w:eastAsia="Times New Roman" w:hAnsi="Times New Roman"/>
          <w:sz w:val="19"/>
          <w:szCs w:val="19"/>
          <w:color w:val="auto"/>
        </w:rPr>
        <w:t xml:space="preserve">Properties </w:t>
      </w:r>
      <w:r>
        <w:rPr>
          <w:rFonts w:ascii="Times New Roman" w:cs="Times New Roman" w:eastAsia="Times New Roman" w:hAnsi="Times New Roman"/>
          <w:sz w:val="19"/>
          <w:szCs w:val="19"/>
          <w:color w:val="989898"/>
        </w:rPr>
        <w:t>.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22</w:t>
      </w:r>
    </w:p>
    <w:p>
      <w:pPr>
        <w:spacing w:after="0" w:line="58"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3.</w:t>
      </w:r>
      <w:r>
        <w:rPr>
          <w:sz w:val="20"/>
          <w:szCs w:val="20"/>
          <w:color w:val="auto"/>
        </w:rPr>
        <w:tab/>
      </w:r>
      <w:r>
        <w:rPr>
          <w:rFonts w:ascii="Times New Roman" w:cs="Times New Roman" w:eastAsia="Times New Roman" w:hAnsi="Times New Roman"/>
          <w:sz w:val="19"/>
          <w:szCs w:val="19"/>
          <w:color w:val="auto"/>
        </w:rPr>
        <w:t xml:space="preserve">Legal Proceedings </w:t>
      </w:r>
      <w:r>
        <w:rPr>
          <w:rFonts w:ascii="Times New Roman" w:cs="Times New Roman" w:eastAsia="Times New Roman" w:hAnsi="Times New Roman"/>
          <w:sz w:val="19"/>
          <w:szCs w:val="19"/>
          <w:color w:val="989898"/>
        </w:rPr>
        <w:t>.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22</w:t>
      </w:r>
    </w:p>
    <w:p>
      <w:pPr>
        <w:spacing w:after="0" w:line="58"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4.</w:t>
      </w:r>
      <w:r>
        <w:rPr>
          <w:sz w:val="20"/>
          <w:szCs w:val="20"/>
          <w:color w:val="auto"/>
        </w:rPr>
        <w:tab/>
      </w:r>
      <w:r>
        <w:rPr>
          <w:rFonts w:ascii="Times New Roman" w:cs="Times New Roman" w:eastAsia="Times New Roman" w:hAnsi="Times New Roman"/>
          <w:sz w:val="19"/>
          <w:szCs w:val="19"/>
          <w:color w:val="auto"/>
        </w:rPr>
        <w:t xml:space="preserve">Mine Safety Disclosures </w:t>
      </w:r>
      <w:r>
        <w:rPr>
          <w:rFonts w:ascii="Times New Roman" w:cs="Times New Roman" w:eastAsia="Times New Roman" w:hAnsi="Times New Roman"/>
          <w:sz w:val="19"/>
          <w:szCs w:val="19"/>
          <w:color w:val="989898"/>
        </w:rPr>
        <w:t>. . . . . . . . . . . . . . . . . . . . . . . . . . . . . . . . . . . . . . . . . . . . . . . . . . . . . . . . . . .</w:t>
      </w:r>
      <w:r>
        <w:rPr>
          <w:sz w:val="20"/>
          <w:szCs w:val="20"/>
          <w:color w:val="auto"/>
        </w:rPr>
        <w:tab/>
      </w:r>
      <w:r>
        <w:rPr>
          <w:rFonts w:ascii="Times New Roman" w:cs="Times New Roman" w:eastAsia="Times New Roman" w:hAnsi="Times New Roman"/>
          <w:sz w:val="19"/>
          <w:szCs w:val="19"/>
          <w:color w:val="auto"/>
        </w:rPr>
        <w:t>22</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 II.</w:t>
      </w:r>
    </w:p>
    <w:p>
      <w:pPr>
        <w:spacing w:after="0" w:line="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Market for Registrant's Common Equity, Related Stockholder Matters, and Issuer Purchases of</w:t>
      </w: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5.</w:t>
      </w:r>
      <w:r>
        <w:rPr>
          <w:sz w:val="20"/>
          <w:szCs w:val="20"/>
          <w:color w:val="auto"/>
        </w:rPr>
        <w:tab/>
      </w:r>
      <w:r>
        <w:rPr>
          <w:rFonts w:ascii="Times New Roman" w:cs="Times New Roman" w:eastAsia="Times New Roman" w:hAnsi="Times New Roman"/>
          <w:sz w:val="19"/>
          <w:szCs w:val="19"/>
          <w:color w:val="auto"/>
        </w:rPr>
        <w:t xml:space="preserve">Equity Securities </w:t>
      </w:r>
      <w:r>
        <w:rPr>
          <w:rFonts w:ascii="Times New Roman" w:cs="Times New Roman" w:eastAsia="Times New Roman" w:hAnsi="Times New Roman"/>
          <w:sz w:val="19"/>
          <w:szCs w:val="19"/>
          <w:color w:val="989898"/>
        </w:rPr>
        <w:t>.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23</w:t>
      </w:r>
    </w:p>
    <w:p>
      <w:pPr>
        <w:spacing w:after="0" w:line="38"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6.</w:t>
      </w:r>
      <w:r>
        <w:rPr>
          <w:sz w:val="20"/>
          <w:szCs w:val="20"/>
          <w:color w:val="auto"/>
        </w:rPr>
        <w:tab/>
      </w:r>
      <w:r>
        <w:rPr>
          <w:rFonts w:ascii="Times New Roman" w:cs="Times New Roman" w:eastAsia="Times New Roman" w:hAnsi="Times New Roman"/>
          <w:sz w:val="19"/>
          <w:szCs w:val="19"/>
          <w:color w:val="auto"/>
        </w:rPr>
        <w:t xml:space="preserve">Selected Financial Data  </w:t>
      </w:r>
      <w:r>
        <w:rPr>
          <w:rFonts w:ascii="Times New Roman" w:cs="Times New Roman" w:eastAsia="Times New Roman" w:hAnsi="Times New Roman"/>
          <w:sz w:val="19"/>
          <w:szCs w:val="19"/>
          <w:color w:val="989898"/>
        </w:rPr>
        <w:t>. . . . . . . . . . . . . . . . . . . . . . . . . . . . . . . . . . . . . . . . . . . . . . . . . . . . . . . . . . .</w:t>
      </w:r>
      <w:r>
        <w:rPr>
          <w:sz w:val="20"/>
          <w:szCs w:val="20"/>
          <w:color w:val="auto"/>
        </w:rPr>
        <w:tab/>
      </w:r>
      <w:r>
        <w:rPr>
          <w:rFonts w:ascii="Times New Roman" w:cs="Times New Roman" w:eastAsia="Times New Roman" w:hAnsi="Times New Roman"/>
          <w:sz w:val="19"/>
          <w:szCs w:val="19"/>
          <w:color w:val="auto"/>
        </w:rPr>
        <w:t>24</w:t>
      </w:r>
    </w:p>
    <w:p>
      <w:pPr>
        <w:spacing w:after="0" w:line="58"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7.</w:t>
      </w:r>
      <w:r>
        <w:rPr>
          <w:sz w:val="20"/>
          <w:szCs w:val="20"/>
          <w:color w:val="auto"/>
        </w:rPr>
        <w:tab/>
      </w:r>
      <w:r>
        <w:rPr>
          <w:rFonts w:ascii="Times New Roman" w:cs="Times New Roman" w:eastAsia="Times New Roman" w:hAnsi="Times New Roman"/>
          <w:sz w:val="19"/>
          <w:szCs w:val="19"/>
          <w:color w:val="auto"/>
        </w:rPr>
        <w:t xml:space="preserve">Management's Discussion and Analysis of Financial Condition and Results of Operations </w:t>
      </w:r>
      <w:r>
        <w:rPr>
          <w:rFonts w:ascii="Times New Roman" w:cs="Times New Roman" w:eastAsia="Times New Roman" w:hAnsi="Times New Roman"/>
          <w:sz w:val="19"/>
          <w:szCs w:val="19"/>
          <w:color w:val="989898"/>
        </w:rPr>
        <w:t>. . . . . . .</w:t>
      </w:r>
      <w:r>
        <w:rPr>
          <w:sz w:val="20"/>
          <w:szCs w:val="20"/>
          <w:color w:val="auto"/>
        </w:rPr>
        <w:tab/>
      </w:r>
      <w:r>
        <w:rPr>
          <w:rFonts w:ascii="Times New Roman" w:cs="Times New Roman" w:eastAsia="Times New Roman" w:hAnsi="Times New Roman"/>
          <w:sz w:val="19"/>
          <w:szCs w:val="19"/>
          <w:color w:val="auto"/>
        </w:rPr>
        <w:t>25</w:t>
      </w:r>
    </w:p>
    <w:p>
      <w:pPr>
        <w:spacing w:after="0" w:line="58"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7A.</w:t>
        <w:tab/>
        <w:t xml:space="preserve">Quantitative and Qualitative Disclosures About Market Risk </w:t>
      </w:r>
      <w:r>
        <w:rPr>
          <w:rFonts w:ascii="Times New Roman" w:cs="Times New Roman" w:eastAsia="Times New Roman" w:hAnsi="Times New Roman"/>
          <w:sz w:val="19"/>
          <w:szCs w:val="19"/>
          <w:color w:val="989898"/>
        </w:rPr>
        <w:t>. . . . . . . . . . . . . . . . . . . . . . . . . . . . . .</w:t>
      </w:r>
      <w:r>
        <w:rPr>
          <w:sz w:val="20"/>
          <w:szCs w:val="20"/>
          <w:color w:val="auto"/>
        </w:rPr>
        <w:tab/>
      </w:r>
      <w:r>
        <w:rPr>
          <w:rFonts w:ascii="Times New Roman" w:cs="Times New Roman" w:eastAsia="Times New Roman" w:hAnsi="Times New Roman"/>
          <w:sz w:val="19"/>
          <w:szCs w:val="19"/>
          <w:color w:val="auto"/>
        </w:rPr>
        <w:t>44</w:t>
      </w:r>
    </w:p>
    <w:p>
      <w:pPr>
        <w:spacing w:after="0" w:line="51"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8.</w:t>
      </w:r>
      <w:r>
        <w:rPr>
          <w:sz w:val="20"/>
          <w:szCs w:val="20"/>
          <w:color w:val="auto"/>
        </w:rPr>
        <w:tab/>
      </w:r>
      <w:r>
        <w:rPr>
          <w:rFonts w:ascii="Times New Roman" w:cs="Times New Roman" w:eastAsia="Times New Roman" w:hAnsi="Times New Roman"/>
          <w:sz w:val="19"/>
          <w:szCs w:val="19"/>
          <w:color w:val="auto"/>
        </w:rPr>
        <w:t xml:space="preserve">Financial Statements </w:t>
      </w:r>
      <w:r>
        <w:rPr>
          <w:rFonts w:ascii="Times New Roman" w:cs="Times New Roman" w:eastAsia="Times New Roman" w:hAnsi="Times New Roman"/>
          <w:sz w:val="19"/>
          <w:szCs w:val="19"/>
          <w:color w:val="989898"/>
        </w:rPr>
        <w:t>. . . . . . . . . . . . . . . . . . . . . . . . . . . . . . . . . . . . . . . . . . . . . . . . . . . . . . . . . . . . . .</w:t>
      </w:r>
      <w:r>
        <w:rPr>
          <w:sz w:val="20"/>
          <w:szCs w:val="20"/>
          <w:color w:val="auto"/>
        </w:rPr>
        <w:tab/>
      </w:r>
      <w:r>
        <w:rPr>
          <w:rFonts w:ascii="Times New Roman" w:cs="Times New Roman" w:eastAsia="Times New Roman" w:hAnsi="Times New Roman"/>
          <w:sz w:val="19"/>
          <w:szCs w:val="19"/>
          <w:color w:val="auto"/>
        </w:rPr>
        <w:t>48</w:t>
      </w:r>
    </w:p>
    <w:p>
      <w:pPr>
        <w:spacing w:after="0" w:line="65"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9.</w:t>
      </w:r>
      <w:r>
        <w:rPr>
          <w:sz w:val="20"/>
          <w:szCs w:val="20"/>
          <w:color w:val="auto"/>
        </w:rPr>
        <w:tab/>
      </w:r>
      <w:r>
        <w:rPr>
          <w:rFonts w:ascii="Times New Roman" w:cs="Times New Roman" w:eastAsia="Times New Roman" w:hAnsi="Times New Roman"/>
          <w:sz w:val="19"/>
          <w:szCs w:val="19"/>
          <w:color w:val="auto"/>
        </w:rPr>
        <w:t xml:space="preserve">Changes in and Disagreements with Accountants on Accounting and Financial Disclosure  </w:t>
      </w:r>
      <w:r>
        <w:rPr>
          <w:rFonts w:ascii="Times New Roman" w:cs="Times New Roman" w:eastAsia="Times New Roman" w:hAnsi="Times New Roman"/>
          <w:sz w:val="19"/>
          <w:szCs w:val="19"/>
          <w:color w:val="989898"/>
        </w:rPr>
        <w:t>. . . . . .</w:t>
      </w:r>
      <w:r>
        <w:rPr>
          <w:sz w:val="20"/>
          <w:szCs w:val="20"/>
          <w:color w:val="auto"/>
        </w:rPr>
        <w:tab/>
      </w:r>
      <w:r>
        <w:rPr>
          <w:rFonts w:ascii="Times New Roman" w:cs="Times New Roman" w:eastAsia="Times New Roman" w:hAnsi="Times New Roman"/>
          <w:sz w:val="19"/>
          <w:szCs w:val="19"/>
          <w:color w:val="auto"/>
        </w:rPr>
        <w:t>78</w:t>
      </w:r>
    </w:p>
    <w:p>
      <w:pPr>
        <w:spacing w:after="0" w:line="58"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9A.</w:t>
        <w:tab/>
        <w:t xml:space="preserve">Controls and Procedures </w:t>
      </w:r>
      <w:r>
        <w:rPr>
          <w:rFonts w:ascii="Times New Roman" w:cs="Times New Roman" w:eastAsia="Times New Roman" w:hAnsi="Times New Roman"/>
          <w:sz w:val="19"/>
          <w:szCs w:val="19"/>
          <w:color w:val="989898"/>
        </w:rPr>
        <w:t>. . . . . . . . . . . . . . . . . . . . . . . . . . . . . . . . . . . . . . . . . . . . . . . . . . . . . . . . . . .</w:t>
      </w:r>
      <w:r>
        <w:rPr>
          <w:sz w:val="20"/>
          <w:szCs w:val="20"/>
          <w:color w:val="auto"/>
        </w:rPr>
        <w:tab/>
      </w:r>
      <w:r>
        <w:rPr>
          <w:rFonts w:ascii="Times New Roman" w:cs="Times New Roman" w:eastAsia="Times New Roman" w:hAnsi="Times New Roman"/>
          <w:sz w:val="19"/>
          <w:szCs w:val="19"/>
          <w:color w:val="auto"/>
        </w:rPr>
        <w:t>78</w:t>
      </w:r>
    </w:p>
    <w:p>
      <w:pPr>
        <w:spacing w:after="0" w:line="58"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9B.</w:t>
        <w:tab/>
        <w:t xml:space="preserve">Other Information </w:t>
      </w:r>
      <w:r>
        <w:rPr>
          <w:rFonts w:ascii="Times New Roman" w:cs="Times New Roman" w:eastAsia="Times New Roman" w:hAnsi="Times New Roman"/>
          <w:sz w:val="19"/>
          <w:szCs w:val="19"/>
          <w:color w:val="989898"/>
        </w:rPr>
        <w:t>.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79</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 III.</w:t>
      </w:r>
    </w:p>
    <w:p>
      <w:pPr>
        <w:spacing w:after="0" w:line="58"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10.</w:t>
        <w:tab/>
        <w:t xml:space="preserve">Directors, Executive Officers and Corporate Governance </w:t>
      </w:r>
      <w:r>
        <w:rPr>
          <w:rFonts w:ascii="Times New Roman" w:cs="Times New Roman" w:eastAsia="Times New Roman" w:hAnsi="Times New Roman"/>
          <w:sz w:val="19"/>
          <w:szCs w:val="19"/>
          <w:color w:val="989898"/>
        </w:rPr>
        <w:t>. . . . . . . . . . . . . . . . . . . . . . . . . . . . . . . . .</w:t>
      </w:r>
      <w:r>
        <w:rPr>
          <w:sz w:val="20"/>
          <w:szCs w:val="20"/>
          <w:color w:val="auto"/>
        </w:rPr>
        <w:tab/>
      </w:r>
      <w:r>
        <w:rPr>
          <w:rFonts w:ascii="Times New Roman" w:cs="Times New Roman" w:eastAsia="Times New Roman" w:hAnsi="Times New Roman"/>
          <w:sz w:val="19"/>
          <w:szCs w:val="19"/>
          <w:color w:val="auto"/>
        </w:rPr>
        <w:t>79</w:t>
      </w:r>
    </w:p>
    <w:p>
      <w:pPr>
        <w:spacing w:after="0" w:line="58"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11.</w:t>
        <w:tab/>
        <w:t xml:space="preserve">Executive Compensation </w:t>
      </w:r>
      <w:r>
        <w:rPr>
          <w:rFonts w:ascii="Times New Roman" w:cs="Times New Roman" w:eastAsia="Times New Roman" w:hAnsi="Times New Roman"/>
          <w:sz w:val="19"/>
          <w:szCs w:val="19"/>
          <w:color w:val="989898"/>
        </w:rPr>
        <w:t>. . . . . . . . . . . . . . . . . . . . . . . . . . . . . . . . . . . . . . . . . . . . . . . . . . . . . . . . . .</w:t>
      </w:r>
      <w:r>
        <w:rPr>
          <w:sz w:val="20"/>
          <w:szCs w:val="20"/>
          <w:color w:val="auto"/>
        </w:rPr>
        <w:tab/>
      </w:r>
      <w:r>
        <w:rPr>
          <w:rFonts w:ascii="Times New Roman" w:cs="Times New Roman" w:eastAsia="Times New Roman" w:hAnsi="Times New Roman"/>
          <w:sz w:val="19"/>
          <w:szCs w:val="19"/>
          <w:color w:val="auto"/>
        </w:rPr>
        <w:t>79</w:t>
      </w:r>
    </w:p>
    <w:p>
      <w:pPr>
        <w:spacing w:after="0" w:line="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Security Ownership of Certain Beneficial Owners and Management and Related Stockholder</w:t>
      </w: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12.</w:t>
        <w:tab/>
        <w:t xml:space="preserve">Matters </w:t>
      </w:r>
      <w:r>
        <w:rPr>
          <w:rFonts w:ascii="Times New Roman" w:cs="Times New Roman" w:eastAsia="Times New Roman" w:hAnsi="Times New Roman"/>
          <w:sz w:val="19"/>
          <w:szCs w:val="19"/>
          <w:color w:val="989898"/>
        </w:rPr>
        <w:t>.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79</w:t>
      </w:r>
    </w:p>
    <w:p>
      <w:pPr>
        <w:spacing w:after="0" w:line="38"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13.</w:t>
        <w:tab/>
        <w:t xml:space="preserve">Certain Relationships and Related Transactions, and Director Independence </w:t>
      </w:r>
      <w:r>
        <w:rPr>
          <w:rFonts w:ascii="Times New Roman" w:cs="Times New Roman" w:eastAsia="Times New Roman" w:hAnsi="Times New Roman"/>
          <w:sz w:val="19"/>
          <w:szCs w:val="19"/>
          <w:color w:val="989898"/>
        </w:rPr>
        <w:t>. . . . . . . . . . . . . . . . . .</w:t>
      </w:r>
      <w:r>
        <w:rPr>
          <w:sz w:val="20"/>
          <w:szCs w:val="20"/>
          <w:color w:val="auto"/>
        </w:rPr>
        <w:tab/>
      </w:r>
      <w:r>
        <w:rPr>
          <w:rFonts w:ascii="Times New Roman" w:cs="Times New Roman" w:eastAsia="Times New Roman" w:hAnsi="Times New Roman"/>
          <w:sz w:val="19"/>
          <w:szCs w:val="19"/>
          <w:color w:val="auto"/>
        </w:rPr>
        <w:t>79</w:t>
      </w:r>
    </w:p>
    <w:p>
      <w:pPr>
        <w:spacing w:after="0" w:line="58"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14.</w:t>
        <w:tab/>
        <w:t xml:space="preserve">Principal Accounting Fees and Services </w:t>
      </w:r>
      <w:r>
        <w:rPr>
          <w:rFonts w:ascii="Times New Roman" w:cs="Times New Roman" w:eastAsia="Times New Roman" w:hAnsi="Times New Roman"/>
          <w:sz w:val="19"/>
          <w:szCs w:val="19"/>
          <w:color w:val="989898"/>
        </w:rPr>
        <w:t>. . . . . . . . . . . . . . . . . . . . . . . . . . . . . . . . . . . . . . . . . . . . . . .</w:t>
      </w:r>
      <w:r>
        <w:rPr>
          <w:sz w:val="20"/>
          <w:szCs w:val="20"/>
          <w:color w:val="auto"/>
        </w:rPr>
        <w:tab/>
      </w:r>
      <w:r>
        <w:rPr>
          <w:rFonts w:ascii="Times New Roman" w:cs="Times New Roman" w:eastAsia="Times New Roman" w:hAnsi="Times New Roman"/>
          <w:sz w:val="19"/>
          <w:szCs w:val="19"/>
          <w:color w:val="auto"/>
        </w:rPr>
        <w:t>79</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 IV.</w:t>
      </w:r>
    </w:p>
    <w:p>
      <w:pPr>
        <w:spacing w:after="0" w:line="58" w:lineRule="exact"/>
        <w:rPr>
          <w:sz w:val="20"/>
          <w:szCs w:val="20"/>
          <w:color w:val="auto"/>
        </w:rPr>
      </w:pPr>
    </w:p>
    <w:p>
      <w:pPr>
        <w:spacing w:after="0"/>
        <w:tabs>
          <w:tab w:leader="none" w:pos="880" w:val="left"/>
          <w:tab w:leader="none" w:pos="9140" w:val="left"/>
        </w:tabs>
        <w:rPr>
          <w:sz w:val="20"/>
          <w:szCs w:val="20"/>
          <w:color w:val="auto"/>
        </w:rPr>
      </w:pPr>
      <w:r>
        <w:rPr>
          <w:rFonts w:ascii="Times New Roman" w:cs="Times New Roman" w:eastAsia="Times New Roman" w:hAnsi="Times New Roman"/>
          <w:sz w:val="19"/>
          <w:szCs w:val="19"/>
          <w:color w:val="auto"/>
        </w:rPr>
        <w:t>Item 15.</w:t>
        <w:tab/>
        <w:t xml:space="preserve">Exhibits </w:t>
      </w:r>
      <w:r>
        <w:rPr>
          <w:rFonts w:ascii="Times New Roman" w:cs="Times New Roman" w:eastAsia="Times New Roman" w:hAnsi="Times New Roman"/>
          <w:sz w:val="19"/>
          <w:szCs w:val="19"/>
          <w:color w:val="989898"/>
        </w:rPr>
        <w:t>.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80</w:t>
      </w:r>
    </w:p>
    <w:p>
      <w:pPr>
        <w:spacing w:after="0" w:line="58" w:lineRule="exact"/>
        <w:rPr>
          <w:sz w:val="20"/>
          <w:szCs w:val="20"/>
          <w:color w:val="auto"/>
        </w:rPr>
      </w:pPr>
    </w:p>
    <w:p>
      <w:pPr>
        <w:spacing w:after="0"/>
        <w:tabs>
          <w:tab w:leader="none" w:pos="9140" w:val="left"/>
        </w:tabs>
        <w:rPr>
          <w:sz w:val="20"/>
          <w:szCs w:val="20"/>
          <w:color w:val="auto"/>
        </w:rPr>
      </w:pPr>
      <w:r>
        <w:rPr>
          <w:rFonts w:ascii="Times New Roman" w:cs="Times New Roman" w:eastAsia="Times New Roman" w:hAnsi="Times New Roman"/>
          <w:sz w:val="19"/>
          <w:szCs w:val="19"/>
          <w:color w:val="auto"/>
        </w:rPr>
        <w:t xml:space="preserve">Signatures  </w:t>
      </w:r>
      <w:r>
        <w:rPr>
          <w:rFonts w:ascii="Times New Roman" w:cs="Times New Roman" w:eastAsia="Times New Roman" w:hAnsi="Times New Roman"/>
          <w:sz w:val="19"/>
          <w:szCs w:val="19"/>
          <w:color w:val="989898"/>
        </w:rPr>
        <w:t>. . . . . . . . . . . .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84</w:t>
      </w:r>
    </w:p>
    <w:p>
      <w:pPr>
        <w:sectPr>
          <w:pgSz w:w="11880" w:h="15480" w:orient="portrait"/>
          <w:cols w:equalWidth="0" w:num="1">
            <w:col w:w="9420"/>
          </w:cols>
          <w:pgMar w:left="1020" w:top="8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w:t>
      </w:r>
    </w:p>
    <w:p>
      <w:pPr>
        <w:sectPr>
          <w:pgSz w:w="11880" w:h="15480" w:orient="portrait"/>
          <w:cols w:equalWidth="0" w:num="1">
            <w:col w:w="9420"/>
          </w:cols>
          <w:pgMar w:left="1020" w:top="815" w:right="1440" w:bottom="0" w:gutter="0" w:footer="0" w:header="0"/>
          <w:type w:val="continuous"/>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7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AGNC Investment Corp. ("AGNC," the "Company," "we," "us" and "our") was organized on January 7, 2008 and commenced operations on May 20, 2008 following the completion of our initial public offering. Our common stock is traded on The Nasdaq Global Select Market under the symbol "AGNC."</w:t>
      </w:r>
    </w:p>
    <w:p>
      <w:pPr>
        <w:spacing w:after="0" w:line="135"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We may also invest in other assets related to the housing, mortgage or real estate markets that are not guaranteed by a GSE or U.S. Government agency.</w:t>
      </w:r>
    </w:p>
    <w:p>
      <w:pPr>
        <w:spacing w:after="0" w:line="153"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44" w:lineRule="exact"/>
        <w:rPr>
          <w:sz w:val="20"/>
          <w:szCs w:val="20"/>
          <w:color w:val="auto"/>
        </w:rPr>
      </w:pPr>
    </w:p>
    <w:p>
      <w:pPr>
        <w:jc w:val="both"/>
        <w:ind w:right="20" w:firstLine="450"/>
        <w:spacing w:after="0" w:line="260" w:lineRule="auto"/>
        <w:rPr>
          <w:sz w:val="20"/>
          <w:szCs w:val="20"/>
          <w:color w:val="auto"/>
        </w:rPr>
      </w:pPr>
      <w:r>
        <w:rPr>
          <w:rFonts w:ascii="Times New Roman" w:cs="Times New Roman" w:eastAsia="Times New Roman" w:hAnsi="Times New Roman"/>
          <w:sz w:val="20"/>
          <w:szCs w:val="20"/>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Management Strategy</w:t>
      </w:r>
    </w:p>
    <w:p>
      <w:pPr>
        <w:spacing w:after="0" w:line="197"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Our portfolio management philosophy is based upon the following core objectives:</w:t>
      </w:r>
    </w:p>
    <w:p>
      <w:pPr>
        <w:spacing w:after="0" w:line="83" w:lineRule="exact"/>
        <w:rPr>
          <w:sz w:val="20"/>
          <w:szCs w:val="20"/>
          <w:color w:val="auto"/>
        </w:rPr>
      </w:pPr>
    </w:p>
    <w:p>
      <w:pPr>
        <w:ind w:left="840" w:hanging="310"/>
        <w:spacing w:after="0"/>
        <w:tabs>
          <w:tab w:leader="none" w:pos="8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attractive risk-adjusted returns for our stockholders primarily through monthly dividend distributions;</w:t>
      </w:r>
    </w:p>
    <w:p>
      <w:pPr>
        <w:spacing w:after="0" w:line="70" w:lineRule="exact"/>
        <w:rPr>
          <w:rFonts w:ascii="Times New Roman" w:cs="Times New Roman" w:eastAsia="Times New Roman" w:hAnsi="Times New Roman"/>
          <w:sz w:val="20"/>
          <w:szCs w:val="20"/>
          <w:color w:val="auto"/>
        </w:rPr>
      </w:pPr>
    </w:p>
    <w:p>
      <w:pPr>
        <w:ind w:left="840" w:hanging="310"/>
        <w:spacing w:after="0"/>
        <w:tabs>
          <w:tab w:leader="none" w:pos="8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an investment portfolio consisting predominantly of Agency RMBS;</w:t>
      </w:r>
    </w:p>
    <w:p>
      <w:pPr>
        <w:spacing w:after="0" w:line="70" w:lineRule="exact"/>
        <w:rPr>
          <w:rFonts w:ascii="Times New Roman" w:cs="Times New Roman" w:eastAsia="Times New Roman" w:hAnsi="Times New Roman"/>
          <w:sz w:val="20"/>
          <w:szCs w:val="20"/>
          <w:color w:val="auto"/>
        </w:rPr>
      </w:pPr>
    </w:p>
    <w:p>
      <w:pPr>
        <w:ind w:left="840" w:hanging="310"/>
        <w:spacing w:after="0"/>
        <w:tabs>
          <w:tab w:leader="none" w:pos="8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 on discrepancies in the relative valuations in the Agency and non-Agency securities market;</w:t>
      </w:r>
    </w:p>
    <w:p>
      <w:pPr>
        <w:spacing w:after="0" w:line="70" w:lineRule="exact"/>
        <w:rPr>
          <w:rFonts w:ascii="Times New Roman" w:cs="Times New Roman" w:eastAsia="Times New Roman" w:hAnsi="Times New Roman"/>
          <w:sz w:val="20"/>
          <w:szCs w:val="20"/>
          <w:color w:val="auto"/>
        </w:rPr>
      </w:pPr>
    </w:p>
    <w:p>
      <w:pPr>
        <w:ind w:left="840" w:hanging="310"/>
        <w:spacing w:after="0"/>
        <w:tabs>
          <w:tab w:leader="none" w:pos="8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financing, interest rate, prepayment, extension and credit risks;</w:t>
      </w:r>
    </w:p>
    <w:p>
      <w:pPr>
        <w:spacing w:after="0" w:line="70" w:lineRule="exact"/>
        <w:rPr>
          <w:rFonts w:ascii="Times New Roman" w:cs="Times New Roman" w:eastAsia="Times New Roman" w:hAnsi="Times New Roman"/>
          <w:sz w:val="20"/>
          <w:szCs w:val="20"/>
          <w:color w:val="auto"/>
        </w:rPr>
      </w:pPr>
    </w:p>
    <w:p>
      <w:pPr>
        <w:ind w:left="840" w:hanging="310"/>
        <w:spacing w:after="0"/>
        <w:tabs>
          <w:tab w:leader="none" w:pos="8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qualify as a REIT; and</w:t>
      </w:r>
    </w:p>
    <w:p>
      <w:pPr>
        <w:spacing w:after="0" w:line="70" w:lineRule="exact"/>
        <w:rPr>
          <w:rFonts w:ascii="Times New Roman" w:cs="Times New Roman" w:eastAsia="Times New Roman" w:hAnsi="Times New Roman"/>
          <w:sz w:val="20"/>
          <w:szCs w:val="20"/>
          <w:color w:val="auto"/>
        </w:rPr>
      </w:pPr>
    </w:p>
    <w:p>
      <w:pPr>
        <w:ind w:left="840" w:hanging="310"/>
        <w:spacing w:after="0"/>
        <w:tabs>
          <w:tab w:leader="none" w:pos="8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remain exempt from the requirements of the Investment Company Act of 1940 (the "Investment Company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Targeted Investments</w:t>
      </w:r>
    </w:p>
    <w:p>
      <w:pPr>
        <w:spacing w:after="0" w:line="197" w:lineRule="exact"/>
        <w:rPr>
          <w:sz w:val="20"/>
          <w:szCs w:val="20"/>
          <w:color w:val="auto"/>
        </w:rPr>
      </w:pPr>
    </w:p>
    <w:p>
      <w:pPr>
        <w:jc w:val="both"/>
        <w:ind w:right="20" w:firstLine="450"/>
        <w:spacing w:after="0" w:line="260" w:lineRule="auto"/>
        <w:rPr>
          <w:sz w:val="20"/>
          <w:szCs w:val="20"/>
          <w:color w:val="auto"/>
        </w:rPr>
      </w:pPr>
      <w:r>
        <w:rPr>
          <w:rFonts w:ascii="Times New Roman" w:cs="Times New Roman" w:eastAsia="Times New Roman" w:hAnsi="Times New Roman"/>
          <w:sz w:val="20"/>
          <w:szCs w:val="20"/>
          <w:color w:val="auto"/>
        </w:rPr>
        <w:t>Asset selection is a central component of our overall investment approach. Our investments consist predominantly of Agency RMBS which, in addition to carrying a GSE or U.S. Government guarantee against loss of principal, are considered a cornerstone of the U.S. financial system. The $9 trillion Agency market plays a vital role in providing liquidity to homeowners and prospective homeowners to purchase or refinance homes.</w:t>
      </w:r>
    </w:p>
    <w:p>
      <w:pPr>
        <w:spacing w:after="0" w:line="143" w:lineRule="exact"/>
        <w:rPr>
          <w:sz w:val="20"/>
          <w:szCs w:val="20"/>
          <w:color w:val="auto"/>
        </w:rPr>
      </w:pPr>
    </w:p>
    <w:p>
      <w:pPr>
        <w:jc w:val="both"/>
        <w:ind w:right="20" w:firstLine="450"/>
        <w:spacing w:after="0" w:line="260" w:lineRule="auto"/>
        <w:rPr>
          <w:sz w:val="20"/>
          <w:szCs w:val="20"/>
          <w:color w:val="auto"/>
        </w:rPr>
      </w:pPr>
      <w:r>
        <w:rPr>
          <w:rFonts w:ascii="Times New Roman" w:cs="Times New Roman" w:eastAsia="Times New Roman" w:hAnsi="Times New Roman"/>
          <w:sz w:val="20"/>
          <w:szCs w:val="20"/>
          <w:color w:val="auto"/>
        </w:rPr>
        <w:t>Our team of investment professionals has decades of experience investing in Agency RMBS. Our asset selection process involves assessing relative risk-return profiles against the backdrop of broader market conditions. Our team of investment professionals seeks to select assets with favorable underlying loan characteristics utilizing sophisticated modeling techniques to analyze each asset’s risk profile and optimize returns over the life of the investment.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Agency Securities</w:t>
      </w:r>
    </w:p>
    <w:p>
      <w:pPr>
        <w:spacing w:after="0" w:line="195" w:lineRule="exact"/>
        <w:rPr>
          <w:sz w:val="20"/>
          <w:szCs w:val="20"/>
          <w:color w:val="auto"/>
        </w:rPr>
      </w:pPr>
    </w:p>
    <w:p>
      <w:pPr>
        <w:jc w:val="both"/>
        <w:ind w:left="840" w:right="20" w:hanging="355"/>
        <w:spacing w:after="0" w:line="257" w:lineRule="auto"/>
        <w:tabs>
          <w:tab w:leader="none" w:pos="8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Agency Residential Mortgage-Backed Securities. </w:t>
      </w:r>
      <w:r>
        <w:rPr>
          <w:rFonts w:ascii="Times New Roman" w:cs="Times New Roman" w:eastAsia="Times New Roman" w:hAnsi="Times New Roman"/>
          <w:sz w:val="20"/>
          <w:szCs w:val="20"/>
          <w:color w:val="auto"/>
        </w:rPr>
        <w:t>Agency RMBS consist of pass-through certificates representing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interests in "pools" of mortgage loans secured by residential real property. Monthly payments of principal and interest made by the individual borrowers on the mortgage loans underlying the pools are in effect "passed through" to the security holders, after deducting guarantee and servicer fees. In general, mortgage pass-through certificates distribute cash flows from the underlying collateral on a pro rata basis among the security holders. Security holders also receive guarantor advances of principal and interest for delinquent loans in the mortgage pools. We may also</w:t>
      </w:r>
    </w:p>
    <w:p>
      <w:pPr>
        <w:sectPr>
          <w:pgSz w:w="12240" w:h="15840" w:orient="portrait"/>
          <w:cols w:equalWidth="0" w:num="1">
            <w:col w:w="10260"/>
          </w:cols>
          <w:pgMar w:left="1000" w:top="786" w:right="980" w:bottom="0" w:gutter="0" w:footer="0" w:header="0"/>
        </w:sect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260"/>
          </w:cols>
          <w:pgMar w:left="1000" w:top="786" w:right="980" w:bottom="0" w:gutter="0" w:footer="0" w:header="0"/>
          <w:type w:val="continuous"/>
        </w:sectPr>
      </w:pPr>
    </w:p>
    <w:bookmarkStart w:id="12" w:name="page13"/>
    <w:bookmarkEnd w:id="12"/>
    <w:p>
      <w:pPr>
        <w:ind w:left="840" w:right="20"/>
        <w:spacing w:after="0" w:line="281" w:lineRule="auto"/>
        <w:rPr>
          <w:sz w:val="20"/>
          <w:szCs w:val="20"/>
          <w:color w:val="auto"/>
        </w:rPr>
      </w:pPr>
      <w:r>
        <w:rPr>
          <w:rFonts w:ascii="Times New Roman" w:cs="Times New Roman" w:eastAsia="Times New Roman" w:hAnsi="Times New Roman"/>
          <w:sz w:val="20"/>
          <w:szCs w:val="20"/>
          <w:color w:val="auto"/>
        </w:rPr>
        <w:t>invest in Agency collateralized mortgage obligations ("CMOs"), which are structured instruments backed by a pool of Agency mortgage-backed securities.</w:t>
      </w:r>
    </w:p>
    <w:p>
      <w:pPr>
        <w:spacing w:after="0" w:line="117" w:lineRule="exact"/>
        <w:rPr>
          <w:sz w:val="20"/>
          <w:szCs w:val="20"/>
          <w:color w:val="auto"/>
        </w:rPr>
      </w:pPr>
    </w:p>
    <w:p>
      <w:pPr>
        <w:jc w:val="both"/>
        <w:ind w:left="840" w:right="20" w:hanging="355"/>
        <w:spacing w:after="0" w:line="268" w:lineRule="auto"/>
        <w:tabs>
          <w:tab w:leader="none" w:pos="84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To-Be-Announced Forward Contracts ("TBAs"). </w:t>
      </w:r>
      <w:r>
        <w:rPr>
          <w:rFonts w:ascii="Times New Roman" w:cs="Times New Roman" w:eastAsia="Times New Roman" w:hAnsi="Times New Roman"/>
          <w:sz w:val="20"/>
          <w:szCs w:val="20"/>
          <w:color w:val="auto"/>
        </w:rPr>
        <w:t>TBAs are forward contracts to purchase or sell Agency RMBS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TBA market. TBA contracts specify the coupon rate, issuer, term and face value of the bonds to be delivered, with the actual bonds to be delivered only identified shortly before the TBA settlement date.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Non-Agency Securities</w:t>
      </w:r>
    </w:p>
    <w:p>
      <w:pPr>
        <w:spacing w:after="0" w:line="195" w:lineRule="exact"/>
        <w:rPr>
          <w:sz w:val="20"/>
          <w:szCs w:val="20"/>
          <w:color w:val="auto"/>
        </w:rPr>
      </w:pPr>
    </w:p>
    <w:p>
      <w:pPr>
        <w:jc w:val="both"/>
        <w:ind w:left="840" w:hanging="310"/>
        <w:spacing w:after="0" w:line="259" w:lineRule="auto"/>
        <w:tabs>
          <w:tab w:leader="none" w:pos="8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Credit Risk Transfer ("CRT") Securities. </w:t>
      </w:r>
      <w:r>
        <w:rPr>
          <w:rFonts w:ascii="Times New Roman" w:cs="Times New Roman" w:eastAsia="Times New Roman" w:hAnsi="Times New Roman"/>
          <w:sz w:val="20"/>
          <w:szCs w:val="20"/>
          <w:color w:val="auto"/>
        </w:rPr>
        <w:t>CRT securities are risk sharing instruments that transfer a portion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risk associated with credit losses within pools of conventional residential mortgage loans from the GSEs and/or third-parties to private investors. Full repayment of the original principal balance of CRT securities is not guaranteed by the GSE or other third-party; rather, "credit risk transfer" is achieved by writing down the outstanding principal balance of the CRT security if credit losses on the related pool of loans exceed certain thresholds.</w:t>
      </w:r>
    </w:p>
    <w:p>
      <w:pPr>
        <w:spacing w:after="0" w:line="150" w:lineRule="exact"/>
        <w:rPr>
          <w:rFonts w:ascii="Times New Roman" w:cs="Times New Roman" w:eastAsia="Times New Roman" w:hAnsi="Times New Roman"/>
          <w:sz w:val="20"/>
          <w:szCs w:val="20"/>
          <w:color w:val="auto"/>
        </w:rPr>
      </w:pPr>
    </w:p>
    <w:p>
      <w:pPr>
        <w:jc w:val="both"/>
        <w:ind w:left="840" w:hanging="310"/>
        <w:spacing w:after="0" w:line="242" w:lineRule="auto"/>
        <w:tabs>
          <w:tab w:leader="none" w:pos="840" w:val="left"/>
        </w:tabs>
        <w:numPr>
          <w:ilvl w:val="0"/>
          <w:numId w:val="22"/>
        </w:numPr>
        <w:rPr>
          <w:rFonts w:ascii="Calibri" w:cs="Calibri" w:eastAsia="Calibri" w:hAnsi="Calibri"/>
          <w:sz w:val="20"/>
          <w:szCs w:val="20"/>
          <w:b w:val="1"/>
          <w:bCs w:val="1"/>
          <w:color w:val="auto"/>
        </w:rPr>
      </w:pPr>
      <w:r>
        <w:rPr>
          <w:rFonts w:ascii="Times New Roman" w:cs="Times New Roman" w:eastAsia="Times New Roman" w:hAnsi="Times New Roman"/>
          <w:sz w:val="20"/>
          <w:szCs w:val="20"/>
          <w:b w:val="1"/>
          <w:bCs w:val="1"/>
          <w:color w:val="auto"/>
        </w:rPr>
        <w:t xml:space="preserve">Non-Agency Residential Mortgage-Backed Securities ("Non-Agency RMBS"). </w:t>
      </w:r>
      <w:r>
        <w:rPr>
          <w:rFonts w:ascii="Times New Roman" w:cs="Times New Roman" w:eastAsia="Times New Roman" w:hAnsi="Times New Roman"/>
          <w:sz w:val="20"/>
          <w:szCs w:val="20"/>
          <w:color w:val="auto"/>
        </w:rPr>
        <w:t>Non-Agency RMBS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structured securities backed by pools of residential mortgages packaged and issued by private institutions, such as a commercial bank or non-bank lender. Certain tranches of non-Agency RMBS may benefit from credit enhancement derived from structural elements, such as subordination, over-collateralization or insurance. We may purchase investment grade instruments that benefit from credit enhancement and non-investment grade instruments that are structured to absorb more credit risk. We focus primarily on non-Agency securities where the underlying mortgages are secured by residential properties within the United States, which may be comprised of prime, non-prime, qualified and non-qualified mortgage loans.</w:t>
      </w:r>
    </w:p>
    <w:p>
      <w:pPr>
        <w:spacing w:after="0" w:line="139" w:lineRule="exact"/>
        <w:rPr>
          <w:rFonts w:ascii="Calibri" w:cs="Calibri" w:eastAsia="Calibri" w:hAnsi="Calibri"/>
          <w:sz w:val="20"/>
          <w:szCs w:val="20"/>
          <w:b w:val="1"/>
          <w:bCs w:val="1"/>
          <w:color w:val="auto"/>
        </w:rPr>
      </w:pPr>
    </w:p>
    <w:p>
      <w:pPr>
        <w:jc w:val="both"/>
        <w:ind w:left="840" w:right="20" w:hanging="310"/>
        <w:spacing w:after="0" w:line="256" w:lineRule="auto"/>
        <w:tabs>
          <w:tab w:leader="none" w:pos="84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Commercial Mortgage-Backed Securities ("CMBS"). </w:t>
      </w:r>
      <w:r>
        <w:rPr>
          <w:rFonts w:ascii="Times New Roman" w:cs="Times New Roman" w:eastAsia="Times New Roman" w:hAnsi="Times New Roman"/>
          <w:sz w:val="20"/>
          <w:szCs w:val="20"/>
          <w:color w:val="auto"/>
        </w:rPr>
        <w:t>CMBS are securities backed by a pool of loans secured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one or more commercial properties. CMBS may also consist of a single loan for a single asset or multiple loans for a group of cross-collateralized assets of a single-borrower. CMBS are typically structured as multiple classes of securities where cash flows are distributed following a predetermined waterfall, which may give priority to selected classes while subordinating other classes. We may invest across the capital structure of these securities. We intend to focus on CMBS where the underlying collateral is secured by commercial properties located within the United States.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Financing Strategy</w:t>
      </w:r>
    </w:p>
    <w:p>
      <w:pPr>
        <w:spacing w:after="0" w:line="19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Our investments in Agency RMBS benefit from asset-driven, as well as AGNC-specific, funding advantages, that enable us to enhance returns using leverage via low-cost and highly liquid collateralized borrowings structured as repurchase agreements.</w:t>
      </w:r>
    </w:p>
    <w:p>
      <w:pPr>
        <w:spacing w:after="0" w:line="135" w:lineRule="exact"/>
        <w:rPr>
          <w:sz w:val="20"/>
          <w:szCs w:val="20"/>
          <w:color w:val="auto"/>
        </w:rPr>
      </w:pPr>
    </w:p>
    <w:p>
      <w:pPr>
        <w:jc w:val="both"/>
        <w:ind w:right="20" w:firstLine="450"/>
        <w:spacing w:after="0" w:line="260" w:lineRule="auto"/>
        <w:rPr>
          <w:sz w:val="20"/>
          <w:szCs w:val="20"/>
          <w:color w:val="auto"/>
        </w:rPr>
      </w:pPr>
      <w:r>
        <w:rPr>
          <w:rFonts w:ascii="Times New Roman" w:cs="Times New Roman" w:eastAsia="Times New Roman" w:hAnsi="Times New Roman"/>
          <w:sz w:val="20"/>
          <w:szCs w:val="20"/>
          <w:color w:val="auto"/>
        </w:rPr>
        <w:t>Repurchase agreements ("repo") involve the sale and a simultaneous agreement to repurchase the transferred assets at a future date. Our borrowings through repurchase transactions are generally short-term, with maturities typically ranging from one day to one year, but may sometimes have maturities of up to five or more years. Our financing rates are primarily impacted by short-term benchmark rates and liquidity in the Agency repo and short-term funding markets.</w:t>
      </w:r>
    </w:p>
    <w:p>
      <w:pPr>
        <w:spacing w:after="0" w:line="143"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The amount of leverage that we utilize depends on market conditions, our assessment of risk and returns and our ability to borrow sufficient funds on favorable terms to acquire mortgage securities. We generally expect our leverage to be within six to twelve times the amount of our tangible stockholders' equity, but under certain conditions we may operate at leverage levels outside of this range.</w:t>
      </w:r>
    </w:p>
    <w:p>
      <w:pPr>
        <w:spacing w:after="0" w:line="143" w:lineRule="exact"/>
        <w:rPr>
          <w:sz w:val="20"/>
          <w:szCs w:val="20"/>
          <w:color w:val="auto"/>
        </w:rPr>
      </w:pPr>
    </w:p>
    <w:p>
      <w:pPr>
        <w:jc w:val="both"/>
        <w:ind w:right="20" w:firstLine="450"/>
        <w:spacing w:after="0" w:line="271" w:lineRule="auto"/>
        <w:rPr>
          <w:sz w:val="20"/>
          <w:szCs w:val="20"/>
          <w:color w:val="auto"/>
        </w:rPr>
      </w:pPr>
      <w:r>
        <w:rPr>
          <w:rFonts w:ascii="Times New Roman" w:cs="Times New Roman" w:eastAsia="Times New Roman" w:hAnsi="Times New Roman"/>
          <w:sz w:val="19"/>
          <w:szCs w:val="19"/>
          <w:color w:val="auto"/>
        </w:rPr>
        <w:t>We diversify our funding exposure by entering into repurchase agreements with multiple counterparties. We finance a portion of our investments through our wholly-owned captive broker-dealer subsidiary, Bethesda Securities, LLC ("BES"). BES is a member of the Fixed Income Clearing Corporation ("FICC") and has direct access to bilateral and tri-party repo funding as a Financial Industry Regulatory Authority ("FINRA") member broker-dealer. As an eligible institution, BES also raises repo funding through the General Collateral Finance ("GCF") Repo service offered by the FICC, with the FICC acting as the central counterparty. Thus, through BES, we have greater depth and diversity of funding than solely through traditional bilateral repo, while also lowering our funding cost, reducing our collateral requirements and limiting our counterparty exposure.</w:t>
      </w:r>
    </w:p>
    <w:p>
      <w:pPr>
        <w:spacing w:after="0" w:line="133"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20"/>
          <w:szCs w:val="20"/>
          <w:color w:val="auto"/>
        </w:rPr>
        <w:t>We also finance the acquisition of Agency RMBS by entering into TBA dollar roll transactions through which we simultaneously sell a TBA contract for the current month's settlement date and purchase a similar TBA contract for a forward month's settlement date. The TBA contract purchased for the forward settlement date is typically priced at a discount to the TBA contract sold for the current month. The discount, or "price drop", is the economic equivalent of interest income on the underlying Agency RMBS, less an implied financing cost, between the current month and forward month settlement dates. Prior to the forward settlement date, we may choose to roll the position to a later date by entering into an offsetting TBA</w:t>
      </w:r>
    </w:p>
    <w:p>
      <w:pPr>
        <w:sectPr>
          <w:pgSz w:w="12240" w:h="15840" w:orient="portrait"/>
          <w:cols w:equalWidth="0" w:num="1">
            <w:col w:w="10260"/>
          </w:cols>
          <w:pgMar w:left="1000" w:top="793" w:right="980" w:bottom="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60"/>
          </w:cols>
          <w:pgMar w:left="1000" w:top="793" w:right="980" w:bottom="0" w:gutter="0" w:footer="0" w:header="0"/>
          <w:type w:val="continuous"/>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20"/>
          <w:szCs w:val="20"/>
          <w:color w:val="auto"/>
        </w:rPr>
        <w:t>position, net settling the paired off positions for cash, and simultaneously entering into a similar TBA contract for a new forward settlement date. Hence the discount or price drop from rolling TBA positions forward is commonly referred to as "TBA dollar roll income." We recognize TBA contracts as derivative instruments on our consolidated financial statements at their net carrying value, which is their fair value less the purchase price to be paid or received under the TBA contract. Consequently, dollar roll transactions represent a form of off-balance sheet financing. In evaluating our overall leverage, we consider both our on-balance sheet and off-balance sheet financing.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Strategy</w:t>
      </w:r>
    </w:p>
    <w:p>
      <w:pPr>
        <w:spacing w:after="0" w:line="197"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20"/>
          <w:szCs w:val="20"/>
          <w:color w:val="auto"/>
        </w:rPr>
        <w:t>As a levered investor in fixed income securities, risk management is core to our business. We are exposed to a variety of market risks, including interest rate, prepayment, extension, spread and credit risks. Our investment strategies are based on our assessment of these risks, our ability to hedge a portion of these risks and our intention to qualify as a REIT. We employ a variety of investment and risk management strategies to reduce our exposure to market risks, and we continuously monitor and adjust our hedge portfolio, the net duration (or interest rate sensitivity) of our investment portfolio, and leverage in order to optimize returns over the longer term as market conditions warrant.</w:t>
      </w:r>
    </w:p>
    <w:p>
      <w:pPr>
        <w:spacing w:after="0" w:line="148"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 xml:space="preserve">Our hedging strategies are generally not designed to protect our net book value from spread risk, which as a levered investor in mortgage-backed securities is the inherent risk we take that the spread between the market yield on our investments and the benchmark interest rates linked to our interest rate hedges fluctuates. In addition, although we attempt to protect our net book value against moves in interest rates, we may not fully hedge against interest rate, prepayment and extension risks if we believe that bearing such risks enhances our return profile, or if the hedging transaction would negatively impact our REIT status. Our risk management actions may lower our earnings and dividends in the short-term to further our objective of preserving our net book value and maintaining attractive levels of earnings and dividends over the long-term. In addition, some of our hedges are intended to provide protection against larger rate moves and as a result may be relatively ineffective for smaller interest rate changes. For additional explanation of our market risks please refer to Item 7A. </w:t>
      </w:r>
      <w:r>
        <w:rPr>
          <w:rFonts w:ascii="Times New Roman" w:cs="Times New Roman" w:eastAsia="Times New Roman" w:hAnsi="Times New Roman"/>
          <w:sz w:val="20"/>
          <w:szCs w:val="20"/>
          <w:b w:val="1"/>
          <w:bCs w:val="1"/>
          <w:i w:val="1"/>
          <w:iCs w:val="1"/>
          <w:color w:val="auto"/>
        </w:rPr>
        <w:t>Quantitative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Qualitative Disclosures about Market Risk </w:t>
      </w:r>
      <w:r>
        <w:rPr>
          <w:rFonts w:ascii="Times New Roman" w:cs="Times New Roman" w:eastAsia="Times New Roman" w:hAnsi="Times New Roman"/>
          <w:sz w:val="20"/>
          <w:szCs w:val="20"/>
          <w:color w:val="auto"/>
        </w:rPr>
        <w:t>and Item 1A.</w:t>
      </w:r>
      <w:r>
        <w:rPr>
          <w:rFonts w:ascii="Times New Roman" w:cs="Times New Roman" w:eastAsia="Times New Roman" w:hAnsi="Times New Roman"/>
          <w:sz w:val="20"/>
          <w:szCs w:val="20"/>
          <w:b w:val="1"/>
          <w:bCs w:val="1"/>
          <w:i w:val="1"/>
          <w:iCs w:val="1"/>
          <w:color w:val="auto"/>
        </w:rPr>
        <w:t xml:space="preserve"> Risk Factors </w:t>
      </w:r>
      <w:r>
        <w:rPr>
          <w:rFonts w:ascii="Times New Roman" w:cs="Times New Roman" w:eastAsia="Times New Roman" w:hAnsi="Times New Roman"/>
          <w:sz w:val="20"/>
          <w:szCs w:val="20"/>
          <w:color w:val="auto"/>
        </w:rPr>
        <w:t>within this Form 10-K.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Exemption from Regulation under the Investment Company Act</w:t>
      </w:r>
    </w:p>
    <w:p>
      <w:pPr>
        <w:spacing w:after="0" w:line="19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 xml:space="preserve">We conduct our business so as not to become regulated as an investment company under the Investment Company Act, in reliance on the exemption provided by Section 3(c)(5)(C) of the Act. So long as we qualify for this exemption, we will not be subject to leverage and other restrictions imposed on registered investment companies, which would significantly reduce our ability to use leverage. Section 3(c)(5)(C), as interpreted by the staff of the U.S. Securities and Exchange Commission ("SEC"), requires us to invest at least 55% of our assets in "mortgages and other liens on and interest in real estate" or "qualifying real estate interests" ("55% asset test") and at least 80% of our assets in qualifying real estate interests and "real estate-related assets." In satisfying this 55% requirement, based on pronouncements of the SEC staff and in certain instances our own judgment, we treat Agency RMBS issued with respect to an underlying pool of mortgage loans in which we hold all the certificates issued by the pool ("whole pool" securities) as qualifying real estate interests. We typically treat "partial pool" and other mortgage securities where we hold less than all the certificates issued by the pool as real estate-related assets. For additional information regarding our exemption under the Investment Company Act please refer to Item 1A.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 xml:space="preserve"> within this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Real Estate Investment Trust Requirements</w:t>
      </w:r>
    </w:p>
    <w:p>
      <w:pPr>
        <w:spacing w:after="0" w:line="199"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We have elected to be taxed as a REIT under the Internal Revenue Code. As a REIT, we generally will not be subject to U.S. federal or state corporate income tax on our taxable income to the extent that we distribute annually all our taxable income to stockholders within the time limits prescribed by the Internal Revenue Code. Qualification and taxation as a REIT depend on our ability to continually meet requirements imposed upon REITs by the Internal Revenue Code, including satisfying certain organizational requirements, an annual distribution requirement and quarterly asset and annual income tests. The REIT asset and income tests are significant to our operations as they restrict the extent to which we can invest in certain types of securities and conduct certain hedging activities within the REIT. Consequently, we may be required to limit these activities or conduct them through a taxable REIT subsidiary ("TRS"). We believe that we have been organized and operate in such a manner as to qualify for taxation as a REIT.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Tests: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To continue to qualify as a REIT, we must satisfy two gross income requirements on an annual basis.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60"/>
          </w:cols>
          <w:pgMar w:left="1000" w:top="793" w:right="980" w:bottom="0" w:gutter="0" w:footer="0" w:header="0"/>
          <w:type w:val="continuous"/>
        </w:sectPr>
      </w:pPr>
    </w:p>
    <w:bookmarkStart w:id="14" w:name="page15"/>
    <w:bookmarkEnd w:id="14"/>
    <w:p>
      <w:pPr>
        <w:ind w:left="720" w:hanging="28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75% of our gross income for each taxable year generally must be derived from investments in real property or mortgages on real property.</w:t>
      </w:r>
    </w:p>
    <w:p>
      <w:pPr>
        <w:spacing w:after="0" w:line="121" w:lineRule="exact"/>
        <w:rPr>
          <w:rFonts w:ascii="Times New Roman" w:cs="Times New Roman" w:eastAsia="Times New Roman" w:hAnsi="Times New Roman"/>
          <w:sz w:val="20"/>
          <w:szCs w:val="20"/>
          <w:color w:val="auto"/>
        </w:rPr>
      </w:pPr>
    </w:p>
    <w:p>
      <w:pPr>
        <w:jc w:val="both"/>
        <w:ind w:left="720" w:right="20" w:hanging="280"/>
        <w:spacing w:after="0" w:line="266"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95% of our gross income in each taxable year generally must be derived from some combination of income that qualifies under the 75% gross income test described above, as well as other dividends, interest, and gains from the sale or disposition of stock or securities, which need not have any relation to real property.</w:t>
      </w:r>
    </w:p>
    <w:p>
      <w:pPr>
        <w:spacing w:after="0" w:line="135" w:lineRule="exact"/>
        <w:rPr>
          <w:sz w:val="20"/>
          <w:szCs w:val="20"/>
          <w:color w:val="auto"/>
        </w:rPr>
      </w:pPr>
    </w:p>
    <w:p>
      <w:pPr>
        <w:jc w:val="both"/>
        <w:ind w:right="20" w:firstLine="450"/>
        <w:spacing w:after="0" w:line="255" w:lineRule="auto"/>
        <w:rPr>
          <w:sz w:val="20"/>
          <w:szCs w:val="20"/>
          <w:color w:val="auto"/>
        </w:rPr>
      </w:pPr>
      <w:r>
        <w:rPr>
          <w:rFonts w:ascii="Times New Roman" w:cs="Times New Roman" w:eastAsia="Times New Roman" w:hAnsi="Times New Roman"/>
          <w:sz w:val="20"/>
          <w:szCs w:val="20"/>
          <w:color w:val="auto"/>
        </w:rPr>
        <w:t>Interest income from obligations secured by mortgages on real property (such as Agency and non-Agency MBS) generally constitutes qualifying income for purposes of the 75% gross income test described above. There is no direct authority with respect to the qualification of income or gains from TBAs for the 75% gross income test; however, we treat these as qualifying income for this purpose based on an opinion of legal counsel. The treatment of interest income from other real estate securities depends on their specific tax structure. Income and gains from instruments that we use to hedge the interest rate risk associated with our borrowings incurred, or to be incurred, to acquire real estate assets will generally be excluded from both gross income tests, provided that specified requirements are met.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Tests: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At the close of each calendar quarter, we must satisfy five tests relating to the nature of our assets.</w:t>
      </w:r>
    </w:p>
    <w:p>
      <w:pPr>
        <w:spacing w:after="0" w:line="190" w:lineRule="exact"/>
        <w:rPr>
          <w:sz w:val="20"/>
          <w:szCs w:val="20"/>
          <w:color w:val="auto"/>
        </w:rPr>
      </w:pPr>
    </w:p>
    <w:p>
      <w:pPr>
        <w:jc w:val="both"/>
        <w:ind w:left="720" w:right="20" w:hanging="370"/>
        <w:spacing w:after="0" w:line="258"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75% of the value of our total assets must be represented by some combination of "real estate assets," cash, cash items, U.S. Government securities, and, under some circumstances, temporary investments in stock or debt instruments purchased with new capital. For this purpose, mortgage-backed securities and mortgage loans are generally treated as "real estate assets." Assets that do not qualify for purposes of the 75% asset test are subject to the additional asset tests described below.</w:t>
      </w:r>
    </w:p>
    <w:p>
      <w:pPr>
        <w:spacing w:after="0" w:line="14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value of any one issuer's securities that we own may not exceed 5% of the value of our total assets.</w:t>
      </w:r>
    </w:p>
    <w:p>
      <w:pPr>
        <w:spacing w:after="0" w:line="190"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w:t>
      </w:r>
    </w:p>
    <w:p>
      <w:pPr>
        <w:spacing w:after="0" w:line="13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value of all securities of all TRSs that we hold may not exceed 20% of the value of our total assets.</w:t>
      </w:r>
    </w:p>
    <w:p>
      <w:pPr>
        <w:spacing w:after="0" w:line="19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more than 25% of the total value of our assets may be represented by certain non-mortgage debt instruments issued by publicly offered REITs (even though such debt instruments qualify under the 75% asset test).</w:t>
      </w:r>
    </w:p>
    <w:p>
      <w:pPr>
        <w:spacing w:after="0" w:line="121"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A failure to satisfy the income or asset tests would not immediately cause us to lose our REIT qualification; rather, we could retain our REIT qualification if we were able to satisfy certain relief provisions and pay any applicable penalty taxes and other fines, or, in the case of a failure to satisfy the asset test, eliminate the discrepancy within a 30-day cure period. Please also refer to the "Risks Related to Our Taxation as a REIT" in "Item 1A. Risk Factors" of this Form 10-K for further discussion of REIT qualification requirements and related items.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Requirements of our Captive Broker-Dealer Subsidiary</w:t>
      </w:r>
    </w:p>
    <w:p>
      <w:pPr>
        <w:spacing w:after="0" w:line="199"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20"/>
          <w:szCs w:val="20"/>
          <w:color w:val="auto"/>
        </w:rPr>
        <w:t>BES is subject to ongoing membership and regulatory requirements as a member of the FICC and FINRA and as an SEC registered broker-dealer that include but are not limited to trade practices, use and safekeeping of funds and securities, capital structure, recordkeeping and conduct of directors, officers and employees. Additionally, as a self-clearing, registered broker-dealer, BES is subject to minimum net capital requirements. Thus, our ability to access tri-party repo funding through the FICC's GCF Repo service, which represents a significant portion of our total borrowing capacity, is reliant on BES' ability to continually meet FINRA and FICC regulatory and membership requirements.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197"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We believe our success as a company ultimately depends on the strength, wellness, and dedication of our workforce. We pride ourselves on robust practices in the area of human capital management that are constantly evolving to meet the needs of our people. As of December 31, 2023, our workforce consisted of 53 full-time employees. We strive to provide each of our highly skilled employees an engaging, rewarding, supportive, and inclusive atmosphere in which to grow professionally. Our competitive and comprehensive benefits package is carefully designed to attract and retain talented personnel. We believe our</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60"/>
          </w:cols>
          <w:pgMar w:left="1000" w:top="793" w:right="980" w:bottom="0" w:gutter="0" w:footer="0" w:header="0"/>
          <w:type w:val="continuous"/>
        </w:sectPr>
      </w:pPr>
    </w:p>
    <w:bookmarkStart w:id="15" w:name="page16"/>
    <w:bookmarkEnd w:id="15"/>
    <w:p>
      <w:pPr>
        <w:ind w:right="20"/>
        <w:spacing w:after="0" w:line="281" w:lineRule="auto"/>
        <w:rPr>
          <w:sz w:val="20"/>
          <w:szCs w:val="20"/>
          <w:color w:val="auto"/>
        </w:rPr>
      </w:pPr>
      <w:r>
        <w:rPr>
          <w:rFonts w:ascii="Times New Roman" w:cs="Times New Roman" w:eastAsia="Times New Roman" w:hAnsi="Times New Roman"/>
          <w:sz w:val="20"/>
          <w:szCs w:val="20"/>
          <w:color w:val="auto"/>
        </w:rPr>
        <w:t>low voluntary employee turnover and favorable employee survey results are a testament to the success of our human capital management initiatives.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Employee Turnover Metrics</w:t>
      </w:r>
    </w:p>
    <w:p>
      <w:pPr>
        <w:spacing w:after="0" w:line="27" w:lineRule="exact"/>
        <w:rPr>
          <w:sz w:val="20"/>
          <w:szCs w:val="20"/>
          <w:color w:val="auto"/>
        </w:rPr>
      </w:pPr>
    </w:p>
    <w:tbl>
      <w:tblPr>
        <w:tblLayout w:type="fixed"/>
        <w:tblInd w:w="1240" w:type="dxa"/>
        <w:tblCellMar>
          <w:top w:w="0" w:type="dxa"/>
          <w:left w:w="0" w:type="dxa"/>
          <w:bottom w:w="0" w:type="dxa"/>
          <w:right w:w="0" w:type="dxa"/>
        </w:tblCellMar>
      </w:tblPr>
      <w:tr>
        <w:trPr>
          <w:trHeight w:val="241"/>
        </w:trPr>
        <w:tc>
          <w:tcPr>
            <w:tcW w:w="20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 w:type="dxa"/>
            <w:vAlign w:val="bottom"/>
            <w:tcBorders>
              <w:top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January 1</w:t>
            </w:r>
          </w:p>
        </w:tc>
        <w:tc>
          <w:tcPr>
            <w:tcW w:w="60" w:type="dxa"/>
            <w:vAlign w:val="bottom"/>
            <w:tcBorders>
              <w:top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 xml:space="preserve">Terminations </w:t>
            </w:r>
            <w:r>
              <w:rPr>
                <w:rFonts w:ascii="Times New Roman" w:cs="Times New Roman" w:eastAsia="Times New Roman" w:hAnsi="Times New Roman"/>
                <w:sz w:val="20"/>
                <w:szCs w:val="20"/>
                <w:b w:val="1"/>
                <w:bCs w:val="1"/>
                <w:color w:val="auto"/>
                <w:vertAlign w:val="superscript"/>
              </w:rPr>
              <w:t>1</w:t>
            </w:r>
          </w:p>
        </w:tc>
        <w:tc>
          <w:tcPr>
            <w:tcW w:w="60" w:type="dxa"/>
            <w:vAlign w:val="bottom"/>
            <w:tcBorders>
              <w:top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New Hires</w:t>
            </w:r>
          </w:p>
        </w:tc>
        <w:tc>
          <w:tcPr>
            <w:tcW w:w="60" w:type="dxa"/>
            <w:vAlign w:val="bottom"/>
            <w:tcBorders>
              <w:top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9"/>
        </w:trPr>
        <w:tc>
          <w:tcPr>
            <w:tcW w:w="2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2023</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r>
      <w:tr>
        <w:trPr>
          <w:trHeight w:val="255"/>
        </w:trPr>
        <w:tc>
          <w:tcPr>
            <w:tcW w:w="2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2022</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255"/>
        </w:trPr>
        <w:tc>
          <w:tcPr>
            <w:tcW w:w="2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2021</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3" w:lineRule="exact"/>
        <w:rPr>
          <w:sz w:val="20"/>
          <w:szCs w:val="20"/>
          <w:color w:val="auto"/>
        </w:rPr>
      </w:pPr>
    </w:p>
    <w:p>
      <w:pPr>
        <w:ind w:left="720" w:hanging="370"/>
        <w:spacing w:after="0"/>
        <w:tabs>
          <w:tab w:leader="none" w:pos="720" w:val="left"/>
        </w:tabs>
        <w:numPr>
          <w:ilvl w:val="0"/>
          <w:numId w:val="25"/>
        </w:numPr>
        <w:rPr>
          <w:rFonts w:ascii="Calibri" w:cs="Calibri" w:eastAsia="Calibri" w:hAnsi="Calibri"/>
          <w:sz w:val="16"/>
          <w:szCs w:val="16"/>
          <w:b w:val="1"/>
          <w:bCs w:val="1"/>
          <w:color w:val="auto"/>
        </w:rPr>
      </w:pPr>
      <w:r>
        <w:rPr>
          <w:rFonts w:ascii="Times New Roman" w:cs="Times New Roman" w:eastAsia="Times New Roman" w:hAnsi="Times New Roman"/>
          <w:sz w:val="16"/>
          <w:szCs w:val="16"/>
          <w:color w:val="auto"/>
        </w:rPr>
        <w:t>Employee terminations include voluntary and involuntary terminations.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Communications and Engagement</w:t>
      </w:r>
    </w:p>
    <w:p>
      <w:pPr>
        <w:spacing w:after="0" w:line="194" w:lineRule="exact"/>
        <w:rPr>
          <w:sz w:val="20"/>
          <w:szCs w:val="20"/>
          <w:color w:val="auto"/>
        </w:rPr>
      </w:pPr>
    </w:p>
    <w:p>
      <w:pPr>
        <w:jc w:val="both"/>
        <w:ind w:right="20" w:firstLine="450"/>
        <w:spacing w:after="0" w:line="253" w:lineRule="auto"/>
        <w:rPr>
          <w:sz w:val="20"/>
          <w:szCs w:val="20"/>
          <w:color w:val="auto"/>
        </w:rPr>
      </w:pPr>
      <w:r>
        <w:rPr>
          <w:rFonts w:ascii="Times New Roman" w:cs="Times New Roman" w:eastAsia="Times New Roman" w:hAnsi="Times New Roman"/>
          <w:sz w:val="20"/>
          <w:szCs w:val="20"/>
          <w:color w:val="auto"/>
        </w:rPr>
        <w:t>We recognize the importance of ongoing open communication and engagement with our employees, and we greatly value their input. We regularly engage with our employees in a variety of ways through ongoing direct engagement with each member of our staff, anonymous annual employee surveys and regular town hall meetings. Our anonymous employee surveys are an important component of our employee engagement that provide a means of assessing job satisfaction, engagement, and specific concerns of our employees. To enhance the candor and comfort of our employees, we use outside vendors that provide verbatim comments and analysis of engagement levels on an anonymous basis. In 2023, AGNC was recertified as a Great Place to Work™ in recognition of employee engagement efforts. The prestigious certification was based entirely on feedback from employees through an extensive anonymous survey about their experiences working at AGNC, during which 96% of our employees said AGNC is a great place to work. Our Board and management use the results of our surveys and ongoing feedback to implement various ideas and recommendations received from employees.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Workplace Culture and Ethics</w:t>
      </w:r>
    </w:p>
    <w:p>
      <w:pPr>
        <w:spacing w:after="0" w:line="194" w:lineRule="exact"/>
        <w:rPr>
          <w:sz w:val="20"/>
          <w:szCs w:val="20"/>
          <w:color w:val="auto"/>
        </w:rPr>
      </w:pPr>
    </w:p>
    <w:p>
      <w:pPr>
        <w:jc w:val="both"/>
        <w:ind w:right="20" w:firstLine="450"/>
        <w:spacing w:after="0" w:line="253" w:lineRule="auto"/>
        <w:rPr>
          <w:sz w:val="20"/>
          <w:szCs w:val="20"/>
          <w:color w:val="auto"/>
        </w:rPr>
      </w:pPr>
      <w:r>
        <w:rPr>
          <w:rFonts w:ascii="Times New Roman" w:cs="Times New Roman" w:eastAsia="Times New Roman" w:hAnsi="Times New Roman"/>
          <w:sz w:val="20"/>
          <w:szCs w:val="20"/>
          <w:color w:val="auto"/>
        </w:rPr>
        <w:t>Our corporate culture promotes open and honest communication, fair treatment, collegiality and high ethics and compliance standards. Our Code of Ethics and Conduct ("Code of Conduct") applies to all directors, officers and employees and provides clear expectations and guidance to facilitate appropriate decisioning. Our Code of Conduct covers topics such as compliance with securities laws, conflicts of interest, giving and receiving gifts, discrimination, harassment, privacy, appropriate use of Company assets, protecting confidential information, and reporting Code of Conduct violations (including through an anonymous third-party hotline). All employees are required to affirm their understanding of these standards on at least an annual basis. We also regularly conduct mandatory compliance training on the Code of Conduct, insider trading, whistleblower protections, anti-harassment and other legal and corporate policies. Our executive officers and human resources department maintain "open door" policies, and any form of retaliation for bona fide reporting of Code of Conduct violations is expressly prohibited.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Development</w:t>
      </w:r>
    </w:p>
    <w:p>
      <w:pPr>
        <w:spacing w:after="0" w:line="194"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We have a number of policies and programs to further the professional development of our employees. These include our professional certification and continuing education policy, reimbursement for any supervisor-approved courses for our employees, and memberships to organizations, such as the Mortgage Bankers Association, which includes free access to educational webinars. We also conduct periodic "Lunch and Learn" seminars and offer a formal mentoring program for employees to receive direct one-on-one career guidance and cross-functional experience across various operations. Our employees also have the opportunity to lead and/or participate in employee-led initiatives, such as our employee-led Volunteerism &amp; Community Outreach Committee, which is responsible for implementing and leading new volunteer opportunities, as well as identifying ways the Company can have a positive impact on the community. These initiatives have advanced unique and professional skill sets throughout the organization.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Diversity and Inclusion</w:t>
      </w:r>
    </w:p>
    <w:p>
      <w:pPr>
        <w:spacing w:after="0" w:line="194"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Central to our core values is that every individual deserves respect and equal treatment, regardless of gender, race, ethnicity, age, disability, sexual orientation, gender identity, cultural background or religious belief. We strive to have a diverse workforce and an inclusive and welcoming work environment that is free from wrongful discrimination. We have long maintained policies against discrimination and harassment in our workplace, and we periodically conduct workplace trainings and workshops attended by all employees related to these topics, including unconscious bias and anti-harassment training. Although we have a relatively small workforce and low turnover rate, our recruitment and hiring practices attempt to ensure the diversity of applicant pools for posted job openings. We also seek to engage our employees and provide them opportunities on a non-discriminatory and inclusive basis. As of December 31, 2023, 40% of our employees were women and 32% were ethnically diverse.</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60"/>
          </w:cols>
          <w:pgMar w:left="1000" w:top="793" w:right="98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194"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We seek to attract and retain the most talented employees in our industry by offering competitive compensation and benefits. Our pay-for-performance compensation philosophy is based on rewarding each employee’s individual contributions through a combination of fixed and variable pay elements. Each employee receives a total compensation package that includes base salary, short-term incentives in the form of an annual cash bonus and long-term equity incentives in the form of time-vesting and/or performance-vesting restricted stock units. The proportion of each employee’s variable incentive versus fixed-based elements of their compensation is directly correlated to the individual’s level of responsibility and role in the organization. Generally, higher level employees have higher proportions of variable incentive-based compensation in their target mix. Similarly, within the incentive-based elements, the proportion of long-term incentive-based elements generally corresponds to the individual’s role and level of responsibility in the organization.</w:t>
      </w:r>
    </w:p>
    <w:p>
      <w:pPr>
        <w:spacing w:after="0" w:line="149"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As the success of our business is fundamentally connected to the well-being of our people, we offer benefits that support their physical, financial and emotional well-being. We provide our employees with access to flexible, comprehensive and convenient medical coverage intended to meet their needs and the needs of their families. In addition to standard medical coverage, we offer employees dental and vision coverage, health savings and flexible spending accounts, paid time off, parental leave and adoption assistance, voluntary short-term and long-term disability insurance, term life insurance, employee assistance programs, and other benefits. We also believe in the long-term financial wellness of our employees, and to foster maximum savings rates by our employees we offer a 401(k) Savings Plan with Company matching contributions of 100% up to 6% of each employee’s eligible compensation, subject to IRS limits.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87"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Our success depends, in large part, on our ability to acquire assets at favorable spreads over our borrowing costs. In acquiring mortgage assets, we compete with a variety of other investors, including other mortgage REITs, government entities, banks, specialty finance companies, public and private funds, insurance companies and other financial institutions, who may have competitive advantages over us as to the price they are willing to pay due to factors such as a lower cost of funds, access to funding sources not available to us or a lack of REIT and Investment Company Act regulatory constraints.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78" w:lineRule="exact"/>
        <w:rPr>
          <w:sz w:val="20"/>
          <w:szCs w:val="20"/>
          <w:color w:val="auto"/>
        </w:rPr>
      </w:pPr>
    </w:p>
    <w:p>
      <w:pPr>
        <w:jc w:val="both"/>
        <w:ind w:right="20" w:firstLine="450"/>
        <w:spacing w:after="0" w:line="235" w:lineRule="auto"/>
        <w:rPr>
          <w:sz w:val="20"/>
          <w:szCs w:val="20"/>
          <w:color w:val="auto"/>
        </w:rPr>
      </w:pPr>
      <w:r>
        <w:rPr>
          <w:rFonts w:ascii="Times New Roman" w:cs="Times New Roman" w:eastAsia="Times New Roman" w:hAnsi="Times New Roman"/>
          <w:sz w:val="20"/>
          <w:szCs w:val="20"/>
          <w:color w:val="auto"/>
        </w:rPr>
        <w:t>Our executive offices are located at 7373 Wisconsin Avenue,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0"/>
          <w:szCs w:val="20"/>
          <w:color w:val="auto"/>
        </w:rPr>
        <w:t xml:space="preserve"> Floor, Bethesda, MD 20814 and our telephone number is (301) 968-9315.</w:t>
      </w:r>
    </w:p>
    <w:p>
      <w:pPr>
        <w:spacing w:after="0" w:line="161"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 xml:space="preserve">We make available our Annual Reports on Form 10-K, quarterly reports on Form 10-Q, current reports on Form 8-K and amendments to such reports as well as our Code of Ethics and Conduct on our internet website at </w:t>
      </w:r>
      <w:r>
        <w:rPr>
          <w:rFonts w:ascii="Times New Roman" w:cs="Times New Roman" w:eastAsia="Times New Roman" w:hAnsi="Times New Roman"/>
          <w:sz w:val="20"/>
          <w:szCs w:val="20"/>
          <w:u w:val="single" w:color="auto"/>
          <w:color w:val="auto"/>
        </w:rPr>
        <w:t>www.AGNC.com.</w:t>
      </w:r>
      <w:r>
        <w:rPr>
          <w:rFonts w:ascii="Times New Roman" w:cs="Times New Roman" w:eastAsia="Times New Roman" w:hAnsi="Times New Roman"/>
          <w:sz w:val="20"/>
          <w:szCs w:val="20"/>
          <w:color w:val="auto"/>
        </w:rPr>
        <w:t xml:space="preserve"> These reports are also available on the SEC internet website at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rPr>
        <w: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1A. </w:t>
      </w:r>
      <w:r>
        <w:rPr>
          <w:rFonts w:ascii="Times New Roman" w:cs="Times New Roman" w:eastAsia="Times New Roman" w:hAnsi="Times New Roman"/>
          <w:sz w:val="20"/>
          <w:szCs w:val="20"/>
          <w:b w:val="1"/>
          <w:bCs w:val="1"/>
          <w:i w:val="1"/>
          <w:iCs w:val="1"/>
          <w:color w:val="auto"/>
        </w:rPr>
        <w:t>Risk Factors</w:t>
      </w:r>
    </w:p>
    <w:p>
      <w:pPr>
        <w:spacing w:after="0" w:line="19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You should carefully consider the risks described below and all other information contained in this Annual Report on Form 10-K, including our annual consolidated financial statements and the related notes thereto before deciding to purchase our securities. Any of the following risks could materially affect our business, financial condition or results of operations. If that happens, the trading price of our securities could decline, and you may lose all or part of your investment. The risks and uncertainties described below are not the only ones facing us. Additional risks and uncertainties not presently known to us, or not presently deemed material by us, may also impair our operations and performance. Our risk factors discussed below are classified among:</w:t>
      </w:r>
    </w:p>
    <w:p>
      <w:pPr>
        <w:spacing w:after="0" w:line="90" w:lineRule="exact"/>
        <w:rPr>
          <w:sz w:val="20"/>
          <w:szCs w:val="20"/>
          <w:color w:val="auto"/>
        </w:rPr>
      </w:pPr>
    </w:p>
    <w:p>
      <w:pPr>
        <w:ind w:left="720" w:hanging="28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investment and portfolio management activities;</w:t>
      </w:r>
    </w:p>
    <w:p>
      <w:pPr>
        <w:spacing w:after="0" w:line="3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financing and hedging activities;</w:t>
      </w:r>
    </w:p>
    <w:p>
      <w:pPr>
        <w:spacing w:after="0" w:line="1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business operations;</w:t>
      </w:r>
    </w:p>
    <w:p>
      <w:pPr>
        <w:spacing w:after="0" w:line="1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legislative and regulatory risks; and</w:t>
      </w:r>
    </w:p>
    <w:p>
      <w:pPr>
        <w:spacing w:after="0" w:line="1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common stock.</w:t>
      </w:r>
    </w:p>
    <w:p>
      <w:pPr>
        <w:spacing w:after="0" w:line="163" w:lineRule="exact"/>
        <w:rPr>
          <w:sz w:val="20"/>
          <w:szCs w:val="20"/>
          <w:color w:val="auto"/>
        </w:rPr>
      </w:pPr>
    </w:p>
    <w:p>
      <w:pPr>
        <w:ind w:right="3860"/>
        <w:spacing w:after="0" w:line="465" w:lineRule="auto"/>
        <w:rPr>
          <w:sz w:val="20"/>
          <w:szCs w:val="20"/>
          <w:color w:val="auto"/>
        </w:rPr>
      </w:pPr>
      <w:r>
        <w:rPr>
          <w:rFonts w:ascii="Times New Roman" w:cs="Times New Roman" w:eastAsia="Times New Roman" w:hAnsi="Times New Roman"/>
          <w:sz w:val="19"/>
          <w:szCs w:val="19"/>
          <w:b w:val="1"/>
          <w:bCs w:val="1"/>
          <w:color w:val="auto"/>
        </w:rPr>
        <w:t xml:space="preserve">Risks Related to Our Investment and Portfolio Management Activities </w:t>
      </w:r>
      <w:r>
        <w:rPr>
          <w:rFonts w:ascii="Times New Roman" w:cs="Times New Roman" w:eastAsia="Times New Roman" w:hAnsi="Times New Roman"/>
          <w:sz w:val="19"/>
          <w:szCs w:val="19"/>
          <w:b w:val="1"/>
          <w:bCs w:val="1"/>
          <w:i w:val="1"/>
          <w:iCs w:val="1"/>
          <w:color w:val="auto"/>
        </w:rPr>
        <w:t>Spread risk is inherent to our business as a levered investor in Agency RMBS.</w:t>
      </w:r>
    </w:p>
    <w:p>
      <w:pPr>
        <w:spacing w:after="0" w:line="1" w:lineRule="exact"/>
        <w:rPr>
          <w:sz w:val="20"/>
          <w:szCs w:val="20"/>
          <w:color w:val="auto"/>
        </w:rPr>
      </w:pPr>
    </w:p>
    <w:p>
      <w:pPr>
        <w:jc w:val="both"/>
        <w:ind w:right="20" w:firstLine="450"/>
        <w:spacing w:after="0" w:line="260" w:lineRule="auto"/>
        <w:rPr>
          <w:sz w:val="20"/>
          <w:szCs w:val="20"/>
          <w:color w:val="auto"/>
        </w:rPr>
      </w:pPr>
      <w:r>
        <w:rPr>
          <w:rFonts w:ascii="Times New Roman" w:cs="Times New Roman" w:eastAsia="Times New Roman" w:hAnsi="Times New Roman"/>
          <w:sz w:val="20"/>
          <w:szCs w:val="20"/>
          <w:color w:val="auto"/>
        </w:rPr>
        <w:t>When the market spread between the yield on our assets and the yield on benchmark interest rates linked to our interest rate hedges widens, our tangible net book value will typically decline. We refer to this as "spread risk". As a levered investor primarily in fixed-rate Agency RMBS, spread risk is an inherent component of our business. Although we use hedging instruments to attempt to protect against moves in interest rates, our hedges will typically not protect us against spread risk.</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60"/>
          </w:cols>
          <w:pgMar w:left="1000" w:top="789" w:right="980" w:bottom="0" w:gutter="0" w:footer="0" w:header="0"/>
          <w:type w:val="continuous"/>
        </w:sectPr>
      </w:pPr>
    </w:p>
    <w:bookmarkStart w:id="17" w:name="page18"/>
    <w:bookmarkEnd w:id="17"/>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Spreads may widen due to numerous factors, including due to actual or expected monetary policy actions by U.S. and foreign central banks, increased market volatility, increased available supply of Agency RMBS, a decline in market liquidity and changes in investor return requirements and sentiment.</w:t>
      </w:r>
    </w:p>
    <w:p>
      <w:pPr>
        <w:spacing w:after="0" w:line="12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Interest rate and spread volatility represent significant risks to our business, potentially affecting our liquidity, increasing our costs, and impacting our ability to manage risks effectively.</w:t>
      </w:r>
    </w:p>
    <w:p>
      <w:pPr>
        <w:spacing w:after="0" w:line="117"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20"/>
          <w:szCs w:val="20"/>
          <w:color w:val="auto"/>
        </w:rPr>
        <w:t>Interest rate and spread volatility can have profound impacts on our business, financial condition, and operating results in several ways. Such volatility amplifies market-based risks, affecting asset and liability values and potentially leading to less earnings stability. Volatility increases our exposure to margin calls, including higher risk-based margin requirements, typically requiring us to post additional collateral, which could reduce our unencumbered liquidity and limit resources available for operational needs and further margin requirements. The complexity and cost of hedging against interest rate fluctuations also rises with volatility, potentially impacting our profitability.</w:t>
      </w:r>
    </w:p>
    <w:p>
      <w:pPr>
        <w:spacing w:after="0" w:line="14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Volatility can also reduce liquidity in the mortgage market as mortgage investors reduce their exposure to this risk, making it more challenging to buy or sell assets without affecting their market price. Volatility may also reduce the effectiveness and accuracy of the predictive models that we use to aid in our decision-making and risk management.</w:t>
      </w:r>
    </w:p>
    <w:p>
      <w:pPr>
        <w:spacing w:after="0" w:line="135"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In summary, interest rate and spread volatility represent significant risks to our business, potentially affecting our liquidity, increasing our costs, and impacting our ability to manage risks effectively. We continuously monitor these conditions and adjust our strategies accordingly, but there is no guarantee that these measures will be sufficient to mitigate the adverse effects of volatility on our operations and financial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Fed’s participation in the Agency mortgage market could have an adverse effect on our Agency RMBS investments.</w:t>
      </w:r>
    </w:p>
    <w:p>
      <w:pPr>
        <w:spacing w:after="0" w:line="199"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The Federal Reserve's (the “Fed”) participation in the Agency RMBS market can have a material impact on the mortgage market, altering the available supply, price and returns on Agency RMBS. Its involvement in the mortgage market can result in increased market volatility and amplify the effects of market-related risks on our financial condition. Generally, when the Fed conducts large-scale asset purchases, Agency RMBS values increase and mortgage spreads tighten. This scenario results in an increase in our tangible net book value, although the return potential on new asset purchases typically declines. Conversely, actual or anticipated reductions of Fed asset purchases or its outright sale of assets, would generally be expected to result in a decline in asset values and wider mortgage spreads to benchmark interest rates, reducing our tangible net book value, while increasing the return potential on new asset purchases.</w:t>
      </w:r>
    </w:p>
    <w:p>
      <w:pPr>
        <w:spacing w:after="0" w:line="153"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The Fed first used large-scale asset purchases of U.S. Treasury securities and Agency RMBS, known as quantitative easing, or QE, during the 2008-2009 global financial crisis in an attempt to stabilize financial markets and stimulate a sustained economic recovery. In its most recent QE round, resulting from the Covid-19 financial crisis, the Fed’s balance sheet more than doubled from $4.2 trillion in March 2020 to $8.9 trillion in May 2022. This included a significant increase in its Agency RMBS holdings, to nearly a third of all outstanding Agency RMBS by the time the Fed announced its intention to end QE and commence monetary tightening by, among other actions, gradually reducing its holdings of Agency RMBS over time by not reinvesting proceeds of principal repayments, subject to monthly caps.</w:t>
      </w:r>
    </w:p>
    <w:p>
      <w:pPr>
        <w:spacing w:after="0" w:line="150" w:lineRule="exact"/>
        <w:rPr>
          <w:sz w:val="20"/>
          <w:szCs w:val="20"/>
          <w:color w:val="auto"/>
        </w:rPr>
      </w:pPr>
    </w:p>
    <w:p>
      <w:pPr>
        <w:jc w:val="both"/>
        <w:ind w:right="20" w:firstLine="450"/>
        <w:spacing w:after="0" w:line="255" w:lineRule="auto"/>
        <w:rPr>
          <w:sz w:val="20"/>
          <w:szCs w:val="20"/>
          <w:color w:val="auto"/>
        </w:rPr>
      </w:pPr>
      <w:r>
        <w:rPr>
          <w:rFonts w:ascii="Times New Roman" w:cs="Times New Roman" w:eastAsia="Times New Roman" w:hAnsi="Times New Roman"/>
          <w:sz w:val="20"/>
          <w:szCs w:val="20"/>
          <w:color w:val="auto"/>
        </w:rPr>
        <w:t>Since the beginning of the Fed's current monetary tightening cycle in 2022, through fiscal year-end 2023, the Fed has reduced its Agency RMBS holdings by approximately $300 billion through mortgage prepayment activity. Although the Fed currently favors a gradual reduction of its balance sheet through prepayment activity, subject to monthly caps, there is no guarantee that it will not conduct outright asset sales in the future or alter its monthly caps. If the Fed were to conduct assets sales or allow a more rapid unwinding of its balance sheet than anticipated, Agency RMBS markets could experience increased market volatility, reduced liquidity and an increase in Agency RMBS spreads to benchmark interest rates, causing a material decline in our tangible net book and negatively impacting our financial position.</w:t>
      </w:r>
    </w:p>
    <w:p>
      <w:pPr>
        <w:spacing w:after="0" w:line="14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active portfolio management strategy may expose us to greater losses and lower returns than compared to passive strategies.</w:t>
      </w:r>
    </w:p>
    <w:p>
      <w:pPr>
        <w:spacing w:after="0" w:line="11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We employ an active management strategy; therefore, the composition of our investment portfolio, leverage ratio and hedge composition will vary as we believe changes to market conditions warrant. We may realize significant investment gains or losses when we sell investments that we no longer believe provide attractive risk-adjusted returns or when we believe more attractive alternatives are available. We may also be incorrect in our assessment of market conditions and select an investment portfolio, leverage levels and terms, and hedge composition that generate lower returns than a more static management strategy. Furthermore, because of our active strategy, investors may be unable to assess changes in our financial position solely by observing changes in the mortgage market.</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60"/>
          </w:cols>
          <w:pgMar w:left="1000" w:top="793" w:right="980" w:bottom="0" w:gutter="0" w:footer="0" w:header="0"/>
          <w:type w:val="continuous"/>
        </w:sectPr>
      </w:pPr>
    </w:p>
    <w:bookmarkStart w:id="18" w:name="page19"/>
    <w:bookmarkEnd w:id="18"/>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 decline in the fair value of our assets may adversely affect our financial condition and make it costlier to finance our assets.</w:t>
      </w:r>
    </w:p>
    <w:p>
      <w:pPr>
        <w:spacing w:after="0" w:line="118"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Our investment securities are reported at fair value on our consolidated balance sheet, with changes in fair value reported in net income or other comprehensive income. Therefore, a decline in the fair value of our assets reduces our total comprehensive income and adversely affects our financial position. We use our investments as collateral for our financing arrangements and certain hedge transactions; consequently, a decline in fair value, or perceived market uncertainty about the value of our assets, could reduce the amount of our unencumbered assets, subject us to margin calls and could make it more difficult for us to maintain our compliance with the terms of our financing agreements, and it could reduce our ability to purchase additional investments or to renew or replace our existing borrowings as they mature. As a result, we could be required to sell assets at adverse prices and our ability to maintain or grow our total comprehensive income could be reduced.</w:t>
      </w:r>
    </w:p>
    <w:p>
      <w:pPr>
        <w:spacing w:after="0" w:line="153"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The value of our assets is influenced by multiple factors. The value of our long-term fixed rate securities is particularly impacted by fluctuations in longer-term interest rates. Additionally, market liquidity can significantly impact asset values, where a decrease in liquidity can lead to a decline in asset values and increased price volatility. Factors that can reduce market liquidity include shifts in macro-economic conditions, market uncertainties, changes in investor sentiment, a decline in or negative global money flows to the U.S. fixed income markets, and regulatory capital requirements that constrain the market-making or funding capabilities of banks and financial institutions. Fed monetary policy and the pace of its balance sheet reduction could also negatively impact asset values and market liquidity, especially if this unwinding process occurs more rapidly than anticipated.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prepayment rates may adversely affect the return on our investments.</w:t>
      </w:r>
    </w:p>
    <w:p>
      <w:pPr>
        <w:spacing w:after="0" w:line="199"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Our investment portfolio includes securities backed by pools of mortgage loans, which receive payments related to the underlying mortgage loans. When borrowers prepay their mortgage loans at rates faster or slower than anticipated, it exposes us to prepayment or extension risk. Generally, prepayments increase during periods of falling mortgage interest rates and decrease during periods of rising mortgage interest rates, but other factors can also affect the rate of prepayments, including loan age and size, loan-to-value ratios, housing price trends, general economic conditions and GSE buyouts of delinquent loans.</w:t>
      </w:r>
    </w:p>
    <w:p>
      <w:pPr>
        <w:spacing w:after="0" w:line="144"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If our assets prepay at a faster rate than anticipated, we may be unable to reinvest the repayments at acceptable yields. If the proceeds are reinvested at lower yields than our existing assets, our net interest margins would be negatively impacted. We also amortize or accrete into interest income any premiums and discounts we pay or receive at purchase relative to the stated principal of our assets over their projected lives using the effective interest method. If the actual and estimated future prepayment experience differs from our prior estimates, we are required to record an adjustment to interest income for the impact of the cumulative difference in the effective yield, which could negatively affect our interest income.</w:t>
      </w:r>
    </w:p>
    <w:p>
      <w:pPr>
        <w:spacing w:after="0" w:line="148"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20"/>
          <w:szCs w:val="20"/>
          <w:color w:val="auto"/>
        </w:rPr>
        <w:t>If our assets prepay at a slower rate than anticipated, our assets could extend beyond their expected maturity, and we may have to finance our investments at potentially higher costs without the ability to reinvest principal into higher yielding securities. Additionally, if prepayment rates decrease due to a rising interest rate environment, the average life or duration of our fixed-rate assets would extend, but our interest rate swap maturities would remain fixed and, therefore, cover a smaller percentage of our funding exposure. At the same time, the market value of our assets could decline, while most of our hedging instruments would not receive any incremental offsetting gains.</w:t>
      </w:r>
    </w:p>
    <w:p>
      <w:pPr>
        <w:spacing w:after="0" w:line="148" w:lineRule="exact"/>
        <w:rPr>
          <w:sz w:val="20"/>
          <w:szCs w:val="20"/>
          <w:color w:val="auto"/>
        </w:rPr>
      </w:pPr>
    </w:p>
    <w:p>
      <w:pPr>
        <w:jc w:val="both"/>
        <w:ind w:right="20" w:firstLine="450"/>
        <w:spacing w:after="0" w:line="260" w:lineRule="auto"/>
        <w:rPr>
          <w:sz w:val="20"/>
          <w:szCs w:val="20"/>
          <w:color w:val="auto"/>
        </w:rPr>
      </w:pPr>
      <w:r>
        <w:rPr>
          <w:rFonts w:ascii="Times New Roman" w:cs="Times New Roman" w:eastAsia="Times New Roman" w:hAnsi="Times New Roman"/>
          <w:sz w:val="20"/>
          <w:szCs w:val="20"/>
          <w:color w:val="auto"/>
        </w:rPr>
        <w:t>To the extent that actual rates of prepayment differ from our expectations, our operating results could be adversely affected, and we could be forced to sell assets to maintain adequate liquidity, which could cause us to incur realized losses. In addition, should significant prepayments occur, there is no certainty that we will be able to identify acceptable new investments, which could reduce our invested capital or result in us investing in less favorable securities.</w:t>
      </w:r>
    </w:p>
    <w:p>
      <w:pPr>
        <w:spacing w:after="0" w:line="13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Prepayment rates are difficult to predict, and market conditions and other factors impacting mortgage origination channels may disrupt the historical correlation between interest rate changes and prepayment trends.</w:t>
      </w:r>
    </w:p>
    <w:p>
      <w:pPr>
        <w:spacing w:after="0" w:line="117"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Our success depends in part on our ability to predict prepayment behavior over a variety of economic conditions. As part of our overall portfolio risk management, we analyze interest rate changes and prepayment trends to assess their effects on our investment portfolio. Our analysis is largely based on predictive models and reliance on historical correlations between interest rates and other factors and the rate of prepayments. However, unprecedented events, market dislocations, advances in origination channel technologies and other factors may impair the usefulness of these historical correlations or render them completely invalid, reducing our ability to accurately predict future prepayment activity. Other factors beyond interest rates also impact the rate of prepayments and may be difficult to predict, such as housing turnover, lending conditions and the availability of credit to homeowners, and GSE buyouts of delinquent loans from the underlying mortgage pool.</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60"/>
          </w:cols>
          <w:pgMar w:left="1000" w:top="784" w:right="980" w:bottom="0" w:gutter="0" w:footer="0" w:header="0"/>
          <w:type w:val="continuous"/>
        </w:sectPr>
      </w:pPr>
    </w:p>
    <w:bookmarkStart w:id="19" w:name="page20"/>
    <w:bookmarkEnd w:id="19"/>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analytical models and third-party data that we rely on to manage our portfolio and conduct our business objectives may be incorrect, misleading or incomplete.</w:t>
      </w:r>
    </w:p>
    <w:p>
      <w:pPr>
        <w:spacing w:after="0" w:line="117"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We use analytical models, data and other information to value our assets and assess potential investment opportunities in connection with our risk management and hedging activities. We may source our models and data from third-parties or develop them internally. Models are dependent on multiple assumptions and inputs. Models typically also assume a static portfolio. If either the models, their underlying assumptions or data inputs prove to be incorrect, misleading or incomplete, any decisions we make in reliance on such information may be faulty and expose us to potential risks.</w:t>
      </w:r>
    </w:p>
    <w:p>
      <w:pPr>
        <w:spacing w:after="0" w:line="144"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Many of the analytical models we use are predictive in nature, such as mortgage prepayment and default models. The use of predictive models has inherent risks and may incorrectly forecast future behavior, leading to potential losses. Furthermore, since predictive models are usually constructed based on historical trends using data supplied by third parties, the success of relying on such models depends heavily on the accuracy and reliability of the supplied historical data. Additionally, multiple factors could disrupt the relationships between data and historical trends, reducing the ability of our models to predict future outcomes, or even render them invalid. We are at greater risk of this occurring during periods of high volatility or unanticipated and/or unprecedented financial or economic events, including any actual or anticipated shifts in Fed policy resulting from these events. Consequently, actual results could differ materially from our projections. Moreover, use of different models could result in materially different projections.</w:t>
      </w:r>
    </w:p>
    <w:p>
      <w:pPr>
        <w:spacing w:after="0" w:line="149" w:lineRule="exact"/>
        <w:rPr>
          <w:sz w:val="20"/>
          <w:szCs w:val="20"/>
          <w:color w:val="auto"/>
        </w:rPr>
      </w:pPr>
    </w:p>
    <w:p>
      <w:pPr>
        <w:jc w:val="both"/>
        <w:ind w:right="20" w:firstLine="450"/>
        <w:spacing w:after="0" w:line="255" w:lineRule="auto"/>
        <w:rPr>
          <w:sz w:val="20"/>
          <w:szCs w:val="20"/>
          <w:color w:val="auto"/>
        </w:rPr>
      </w:pPr>
      <w:r>
        <w:rPr>
          <w:rFonts w:ascii="Times New Roman" w:cs="Times New Roman" w:eastAsia="Times New Roman" w:hAnsi="Times New Roman"/>
          <w:sz w:val="20"/>
          <w:szCs w:val="20"/>
          <w:color w:val="auto"/>
        </w:rPr>
        <w:t>Analytical models and third-party data used to analyze credit sensitive assets also expose us to the risk that the (i) collateral cash flows and/or liability structures may be incorrectly modeled, or may be modeled based on simplifying assumptions that lead to errors; (ii) information about collateral may be incorrect, incomplete or misleading; (iii) collateral or bond historical performance (such as historical prepayments, defaults, cash flows, etc.) may be incorrectly reported, or subject to interpretation (e.g., different issuers may report delinquency statistics based on different definitions of what constitutes a delinquent loan); or (iv) collateral or bond information may be outdated, in which case the models may contain incorrect assumptions as to what has occurred since the date information was last updated.</w:t>
      </w:r>
    </w:p>
    <w:p>
      <w:pPr>
        <w:spacing w:after="0" w:line="14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fair value of our investments may not be readily determinable or may be materially different from the value that we ultimately realize upon their disposal.</w:t>
      </w:r>
    </w:p>
    <w:p>
      <w:pPr>
        <w:spacing w:after="0" w:line="117"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 xml:space="preserve">We measure the fair value of our investments in accordance with guidance set forth in Accounting Standards Codification Topic 820, </w:t>
      </w:r>
      <w:r>
        <w:rPr>
          <w:rFonts w:ascii="Times New Roman" w:cs="Times New Roman" w:eastAsia="Times New Roman" w:hAnsi="Times New Roman"/>
          <w:sz w:val="20"/>
          <w:szCs w:val="20"/>
          <w:b w:val="1"/>
          <w:bCs w:val="1"/>
          <w:i w:val="1"/>
          <w:iCs w:val="1"/>
          <w:color w:val="auto"/>
        </w:rPr>
        <w:t>Fair Value Measurements and Disclosures</w:t>
      </w:r>
      <w:r>
        <w:rPr>
          <w:rFonts w:ascii="Times New Roman" w:cs="Times New Roman" w:eastAsia="Times New Roman" w:hAnsi="Times New Roman"/>
          <w:sz w:val="20"/>
          <w:szCs w:val="20"/>
          <w:color w:val="auto"/>
        </w:rPr>
        <w:t>. Fair value is only an estimate based on good faith judgment of the price at which an investment can be sold since market prices of investments can only be determined by negotiation between a willing buyer and seller. Our determination of the fair value of our investments includes inputs provided by pricing services and third-party dealers. Valuations of certain investments in which we invest may be difficult to obtain or unreliable. In general, pricing services and dealers heavily disclaim their valuations and we do not have recourse against them in the event of inaccurate price quotes or other inputs used to determine the fair value of our investments. Depending on the complexity and illiquidity of a security, valuations of the same security can vary substantially from one pricing source to another. Moreover, values can fluctuate significantly, even over short periods of time. For these reasons, the fair value at which our investments are recorded may not be an accurate indication of their realizable value. The ultimate realization of the value of an asset depends on economic and other conditions that are beyond our control. Consequently, if we were to sell an asset, particularly through a forced liquidation, the realized value may be less than the amount at which the asset is recorded, which would negatively affect our results of operations and financial condition.</w:t>
      </w:r>
    </w:p>
    <w:p>
      <w:pPr>
        <w:spacing w:after="0" w:line="13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mortgage loans referenced by our CRT securities or that underlie our non-Agency securities may be or could become subject to delinquency or foreclosure, which could result in significant losses to us.</w:t>
      </w:r>
    </w:p>
    <w:p>
      <w:pPr>
        <w:spacing w:after="0" w:line="117"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Investments in credit-oriented securities, such as CRT securities and non-Agency MBS, where repayment of principal and interest is not guaranteed by a GSE or U.S. Government agency, subject us to the potential risk of loss of principal and/or interest due to delinquency, foreclosure and related losses on the underlying mortgage loans.</w:t>
      </w:r>
    </w:p>
    <w:p>
      <w:pPr>
        <w:spacing w:after="0" w:line="135"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CRT securities are risk sharing instruments issued by Fannie Mae and Freddie Mac, and similarly structured transactions arranged by third-party market participants, that are designed to synthetically transfer mortgage credit risk from the issuing entity to private investors. The transactions are structured as unguaranteed bonds whose principal payments are determined by the delinquency and prepayment experience of a reference pool of mortgages guaranteed by Fannie Mae or Freddie Mac. An investor in CRT securities bears the risk that the borrowers in the reference pool of loans may default on their obligations to make full and timely payments of principal and interest.</w:t>
      </w:r>
    </w:p>
    <w:p>
      <w:pPr>
        <w:spacing w:after="0" w:line="148"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Non-Agency RMBS are backed by residential mortgage loans, which carry the risk of delinquency, foreclosure and loss based on the borrower's ability to repay. The ability to repay is primarily influenced by the borrower's income and assets. Factors such as loss of employment, divorce, illness, acts of God, acts of war or terrorism, adverse changes in economic and</w:t>
      </w:r>
    </w:p>
    <w:p>
      <w:pPr>
        <w:sectPr>
          <w:pgSz w:w="12240" w:h="15840" w:orient="portrait"/>
          <w:cols w:equalWidth="0" w:num="1">
            <w:col w:w="10260"/>
          </w:cols>
          <w:pgMar w:left="1000" w:top="784" w:right="980" w:bottom="0" w:gutter="0" w:footer="0" w:header="0"/>
        </w:sect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260"/>
          </w:cols>
          <w:pgMar w:left="1000" w:top="784" w:right="980" w:bottom="0" w:gutter="0" w:footer="0" w:header="0"/>
          <w:type w:val="continuous"/>
        </w:sectPr>
      </w:pPr>
    </w:p>
    <w:bookmarkStart w:id="20" w:name="page21"/>
    <w:bookmarkEnd w:id="20"/>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market conditions, declining home values, changes in laws and regulations, changes in fiscal policies and zoning ordinances, environmental hazards such as mold, and property losses (insured or not) can impede repayment.</w:t>
      </w:r>
    </w:p>
    <w:p>
      <w:pPr>
        <w:spacing w:after="0" w:line="121"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CMBS are backed by commercial loans, secured by multifamily or other commercial properties. These loans typically face higher risks of delinquency and loss compared to residential loans. Repayment largely depends on the property's operational success. Factors affecting the property's net operating income, such as occupancy rates, tenant mix, the success of tenant businesses, property management, location, condition, and economic conditions, can influence the borrower's repayment capacity.</w:t>
      </w:r>
    </w:p>
    <w:p>
      <w:pPr>
        <w:spacing w:after="0" w:line="144" w:lineRule="exact"/>
        <w:rPr>
          <w:sz w:val="20"/>
          <w:szCs w:val="20"/>
          <w:color w:val="auto"/>
        </w:rPr>
      </w:pPr>
    </w:p>
    <w:p>
      <w:pPr>
        <w:jc w:val="both"/>
        <w:ind w:right="20" w:firstLine="450"/>
        <w:spacing w:after="0" w:line="253" w:lineRule="auto"/>
        <w:rPr>
          <w:sz w:val="20"/>
          <w:szCs w:val="20"/>
          <w:color w:val="auto"/>
        </w:rPr>
      </w:pPr>
      <w:r>
        <w:rPr>
          <w:rFonts w:ascii="Times New Roman" w:cs="Times New Roman" w:eastAsia="Times New Roman" w:hAnsi="Times New Roman"/>
          <w:sz w:val="20"/>
          <w:szCs w:val="20"/>
          <w:color w:val="auto"/>
        </w:rPr>
        <w:t>Geographic concentration of our assets can heighten the risk of default and loss. Both borrower repayment and the market value of the assets underlying our investments are affected by national, local and regional economic conditions. As a result, concentrations of investments tied to geographic regions increase the risk that adverse conditions affecting a region could increase the frequency and severity of losses on our investments. Additionally, assets in certain regional areas may be more susceptible to certain environmental hazards (such as earthquakes, widespread fires, rising sea levels, disease, floods, drought, hurricanes and certain climate risks) than properties in other areas; for example, assets located in coastal states may be more susceptible to hurricanes or sea level rise than properties in other parts of the country. Areas affected by these types of events often experience disruptions in travel, transportation and tourism, loss of jobs, a decrease in consumer activity, and a decline in real estate-related investments, and their economies may not recover sufficiently to support income producing real estate at pre-event levels. These types of occurrences may increase over time or become more severe due to changes in weather patterns and other climate changes.</w:t>
      </w:r>
    </w:p>
    <w:p>
      <w:pPr>
        <w:spacing w:after="0" w:line="14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Private mortgage insurance may not cover losses on loans referenced by our CRT securities and underlying our non-Agency RMBS.</w:t>
      </w:r>
    </w:p>
    <w:p>
      <w:pPr>
        <w:spacing w:after="0" w:line="117"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In certain instances, mortgage loans referenced by our CRT securities or underlying our non-Agency RMBS may have private mortgage insurance. However, this insurance may not cover some or all of our potential loss if a loan defaults. This may occur, for example, because it is frequently structured to absorb only a portion of the loss; the insurance provider rescinds or denies coverage; or the insurer's failure to satisfy its obligations under the insurance contract, whether due to breach of contract or to an insurer's insolvency.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credit spreads may adversely affect our profitability.</w:t>
      </w:r>
    </w:p>
    <w:p>
      <w:pPr>
        <w:spacing w:after="0" w:line="19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A significant component of the fair value of CRT and non-Agency securities and other credit risk-oriented investments is attributable to the credit spread, or the difference between the value of the credit instrument and the value of a financial instrument with similar interest rate exposure, but with no credit risk, such as a U.S. Treasury note. Credit spreads can be highly volatile and may fluctuate due to changes in economic conditions, liquidity, investor demand and other factors. Credits spreads typically widen in times of increased market uncertainty or when economic conditions have or are expected to deteriorate. Credit spreads may also widen due to actual or anticipated rating downgrades on the securities or similar securities. Hedging fair value changes associated with credit spreads can be inefficient and our hedging strategies are generally not designed to mitigate credit spread risk. Consequently, changes in credit spreads could adversely affect our profitability and financial condition.</w:t>
      </w:r>
    </w:p>
    <w:p>
      <w:pPr>
        <w:spacing w:after="0" w:line="14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acquire desirable investments due to competition, a reduction in the supply of new production Agency RMBS having the specific attributes we seek, and other factors.</w:t>
      </w:r>
    </w:p>
    <w:p>
      <w:pPr>
        <w:spacing w:after="0" w:line="117"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Our profitability depends on our ability to acquire our target assets at attractive prices. We may seek assets with specific attributes that affect their propensity for prepayment under certain market conditions or enable us to satisfy asset test requirements to maintain our REIT qualification status or exemption from regulation under the Investment Company Act (such as "whole pool" Agency RMBS). The supply of our target assets may be impacted by policies and procedures adopted by the GSEs, such as pooling practices, or their regulator, the FHFA, or actions by other governmental agencies. Housing finance reform measures may also impact the supply and availability of our target assets. Consequently, a sufficient supply of our target assets may not be available or available at attractive prices. We may also compete for these assets with a variety of other investors, including other REITs, specialty finance companies, public and private funds, government entities, banks, insurance companies and other financial institutions, who may have competitive advantages over us, such as a lower cost of funds and access to funding sources not available to us. If we are unable to acquire a sufficient supply of our target assets, we may be unable to achieve our investment objectives or to maintain our REIT qualification status or exemption from regulation under the Investment Company Act.</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260"/>
          </w:cols>
          <w:pgMar w:left="1000" w:top="793" w:right="98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i w:val="1"/>
          <w:iCs w:val="1"/>
          <w:color w:val="auto"/>
        </w:rPr>
        <w:t>We may change our targeted investments, investment guidelines and other operational policies without stockholder consent.</w:t>
      </w:r>
    </w:p>
    <w:p>
      <w:pPr>
        <w:spacing w:after="0" w:line="19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We may change our targeted investments and investment guidelines at any time without the consent of our stockholders, which could result in our making investments that are different from, and possibly riskier than, those described in this Annual Report or under our current guidelines. We may also amend or revise our other operational policies, including our policies with respect to our REIT qualification, acquisitions, dispositions, operations, indebtedness and distributions without a vote of, or notice to, our stockholders. Any such change may increase our exposure to risks described herein or expose us to new risks that are not currently contemplated, which could materially impair our operations and financial performance.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Financing and Hedging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strategy involves the use of significant leverage, which increases the risk that we may incur substantial losses.</w:t>
      </w:r>
    </w:p>
    <w:p>
      <w:pPr>
        <w:spacing w:after="0" w:line="199"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We expect our leverage to vary with market conditions and our assessment of the tradeoffs between risk and return on investments. We generally expect to maintain our leverage between six to twelve times the amount of our tangible stockholders' equity, but we may operate at levels outside of this range for extended periods. We incur this leverage by borrowing against a substantial portion of the market value of our assets. Leverage, which is fundamental to our investment strategy, creates significant risks and amplifies our risk exposure to higher borrowing costs, changes in underlying asset values, changes in mortgage spreads, and other market factors. Leverage also exposes us to the risk of margin calls and defaults under our funding agreements, which may result in forced sales of assets in adverse market conditions. The risks associated with leverage are more acute during volatile market environments and periods of reduced market liquidity. Because of our leverage, we may incur substantial losses.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procure or renew funding on favorable terms, or at all.</w:t>
      </w:r>
    </w:p>
    <w:p>
      <w:pPr>
        <w:spacing w:after="0" w:line="199"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We rely primarily on short-term borrowings to finance our mortgage investments. Consequently, our ability to achieve our investment objectives depends not only on our ability to borrow sufficient amounts and on favorable terms, but also our ability to renew or replace our maturing short-term borrowings on a continuous basis. A variety of factors could prevent us from being able to achieve our intended borrowing and leverage objectives, including:</w:t>
      </w:r>
    </w:p>
    <w:p>
      <w:pPr>
        <w:spacing w:after="0" w:line="143" w:lineRule="exact"/>
        <w:rPr>
          <w:sz w:val="20"/>
          <w:szCs w:val="20"/>
          <w:color w:val="auto"/>
        </w:rPr>
      </w:pPr>
    </w:p>
    <w:p>
      <w:pPr>
        <w:ind w:left="720" w:hanging="28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the repo market generally or the infrastructure that supports it;</w:t>
      </w:r>
    </w:p>
    <w:p>
      <w:pPr>
        <w:spacing w:after="0" w:line="3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short-term interest rates;</w:t>
      </w:r>
    </w:p>
    <w:p>
      <w:pPr>
        <w:spacing w:after="0" w:line="1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decline in the market value of our investments available to collateralize borrowings;</w:t>
      </w:r>
    </w:p>
    <w:p>
      <w:pPr>
        <w:spacing w:after="0" w:line="10" w:lineRule="exact"/>
        <w:rPr>
          <w:rFonts w:ascii="Times New Roman" w:cs="Times New Roman" w:eastAsia="Times New Roman" w:hAnsi="Times New Roman"/>
          <w:sz w:val="20"/>
          <w:szCs w:val="20"/>
          <w:color w:val="auto"/>
        </w:rPr>
      </w:pPr>
    </w:p>
    <w:p>
      <w:pPr>
        <w:ind w:left="720" w:right="20" w:hanging="28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"haircut" lenders require on the value of our assets under repurchase agreements, resulting in higher collateral requirements;</w:t>
      </w:r>
    </w:p>
    <w:p>
      <w:pPr>
        <w:ind w:left="720" w:right="20" w:hanging="28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member specific margin requirements assessed by the FICC for tri-party repo accessed by our wholly-owned captive broker-dealer subsidiary, BES, through the FICC's GCF Repo service;</w:t>
      </w:r>
    </w:p>
    <w:p>
      <w:pPr>
        <w:ind w:left="720" w:right="20" w:hanging="28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capital requirements or other limitations imposed on our lenders that negatively impact their ability or willingness to lend to us;</w:t>
      </w:r>
    </w:p>
    <w:p>
      <w:pPr>
        <w:ind w:left="720" w:hanging="28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exit by lenders from the market;</w:t>
      </w:r>
    </w:p>
    <w:p>
      <w:pPr>
        <w:spacing w:after="0" w:line="10" w:lineRule="exact"/>
        <w:rPr>
          <w:rFonts w:ascii="Times New Roman" w:cs="Times New Roman" w:eastAsia="Times New Roman" w:hAnsi="Times New Roman"/>
          <w:sz w:val="20"/>
          <w:szCs w:val="20"/>
          <w:color w:val="auto"/>
        </w:rPr>
      </w:pPr>
    </w:p>
    <w:p>
      <w:pPr>
        <w:ind w:left="720" w:right="20" w:hanging="280"/>
        <w:spacing w:after="0" w:line="25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circumstances that could result in our failure to satisfy covenants, leverage limits, or other requirements imposed by our lenders, in which case our lenders may terminate and cease entering into repurchase transactions with us; and</w:t>
      </w:r>
    </w:p>
    <w:p>
      <w:pPr>
        <w:ind w:left="720" w:right="20" w:hanging="280"/>
        <w:spacing w:after="0" w:line="26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BES to continually meet FINRA and FICC regulatory and membership requirements, which may change over time.</w:t>
      </w:r>
    </w:p>
    <w:p>
      <w:pPr>
        <w:spacing w:after="0" w:line="142"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Because of these and other factors, there is no assurance that we will be able to secure financing on terms that are acceptable to us. If we cannot obtain sufficient funding on acceptable terms, we may have to sell assets possibly under adverse market conditions.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borrowing costs may increase at a faster pace than the yield on our investments.</w:t>
      </w:r>
    </w:p>
    <w:p>
      <w:pPr>
        <w:spacing w:after="0" w:line="199" w:lineRule="exact"/>
        <w:rPr>
          <w:sz w:val="20"/>
          <w:szCs w:val="20"/>
          <w:color w:val="auto"/>
        </w:rPr>
      </w:pPr>
    </w:p>
    <w:p>
      <w:pPr>
        <w:jc w:val="both"/>
        <w:ind w:right="20" w:firstLine="450"/>
        <w:spacing w:after="0" w:line="260" w:lineRule="auto"/>
        <w:rPr>
          <w:sz w:val="20"/>
          <w:szCs w:val="20"/>
          <w:color w:val="auto"/>
        </w:rPr>
      </w:pPr>
      <w:r>
        <w:rPr>
          <w:rFonts w:ascii="Times New Roman" w:cs="Times New Roman" w:eastAsia="Times New Roman" w:hAnsi="Times New Roman"/>
          <w:sz w:val="20"/>
          <w:szCs w:val="20"/>
          <w:color w:val="auto"/>
        </w:rPr>
        <w:t>Our borrowing costs are particularly sensitive to changes in short-term interest rates, as well as overall funding availability and market liquidity, whereas the yield on our fixed rate assets is largely influenced by longer-term rates and conditions in the mortgage market. Consequently, our borrowing costs may rise at a faster pace or decline at a slower pace than the yield on our assets, negatively impacting our net interest margin.</w:t>
      </w:r>
    </w:p>
    <w:p>
      <w:pPr>
        <w:spacing w:after="0" w:line="13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It may be uneconomical to roll our TBA dollar roll transactions and we may be required to take physical delivery of the underlying securities and fund our obligations with cash or other financing sources.</w:t>
      </w:r>
    </w:p>
    <w:p>
      <w:pPr>
        <w:spacing w:after="0" w:line="117"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We utilize TBA dollar roll transactions as an alternate means of investing in and financing Agency RMBS, which represent a form of off-balance sheet financing and increase our "at risk" leverage. It may become uneconomical for us to roll forward our TBA positions prior to their settlement dates due to market conditions, which can be impacted by a variety of</w:t>
      </w:r>
    </w:p>
    <w:p>
      <w:pPr>
        <w:sectPr>
          <w:pgSz w:w="12240" w:h="15840" w:orient="portrait"/>
          <w:cols w:equalWidth="0" w:num="1">
            <w:col w:w="10260"/>
          </w:cols>
          <w:pgMar w:left="1000" w:top="784" w:right="980" w:bottom="0" w:gutter="0" w:footer="0" w:header="0"/>
        </w:sect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260"/>
          </w:cols>
          <w:pgMar w:left="1000" w:top="784" w:right="980" w:bottom="0" w:gutter="0" w:footer="0" w:header="0"/>
          <w:type w:val="continuous"/>
        </w:sectPr>
      </w:pPr>
    </w:p>
    <w:bookmarkStart w:id="22" w:name="page23"/>
    <w:bookmarkEnd w:id="22"/>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 xml:space="preserve">factors including the Fed’s purchases and sales of Agency RMBS in the TBA market. TBA dollar roll transactions include a deferred purchase price obligation on our part. An inability or unwillingness to continue to roll forward our position has effects similar to a termination of financing. In that circumstance, we would be required to settle the obligations for cash and would then take physical delivery of the underlying Agency RMBS. We may not have sufficient funds or alternative financing sources available to settle such obligations. Additionally, if we take delivery of the underlying securities, we can expect to receive the "cheapest to deliver" securities with the least favorable prepayment attributes that satisfy the terms of the TBA contract. Further, the specific securities that we receive may include few, if any, “whole pool” securities, which could inhibit our ability to remain exempt from and regulation as an investment company under the Investment Company Act (see </w:t>
      </w:r>
      <w:r>
        <w:rPr>
          <w:rFonts w:ascii="Times New Roman" w:cs="Times New Roman" w:eastAsia="Times New Roman" w:hAnsi="Times New Roman"/>
          <w:sz w:val="20"/>
          <w:szCs w:val="20"/>
          <w:b w:val="1"/>
          <w:bCs w:val="1"/>
          <w:i w:val="1"/>
          <w:iCs w:val="1"/>
          <w:color w:val="auto"/>
        </w:rPr>
        <w:t>“Loss of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exemption from regulation pursuant to the Investment Company Act would adversely affect us” </w:t>
      </w:r>
      <w:r>
        <w:rPr>
          <w:rFonts w:ascii="Times New Roman" w:cs="Times New Roman" w:eastAsia="Times New Roman" w:hAnsi="Times New Roman"/>
          <w:sz w:val="20"/>
          <w:szCs w:val="20"/>
          <w:color w:val="auto"/>
        </w:rPr>
        <w:t>below). TBA contracts also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subject us to margin requirements as described further below. Our inability to roll forward our TBA positions or failure to obtain adequate financing to settle our obligations or to meet margin calls under our TBA contracts could force us to sell assets under adverse market conditions causing us to incur significant losses.</w:t>
      </w:r>
    </w:p>
    <w:p>
      <w:pPr>
        <w:spacing w:after="0" w:line="14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Our funding and derivative agreements subject us to margin calls that could result in defaults and force us to sell assets under adverse market conditions or through foreclosure.</w:t>
      </w:r>
    </w:p>
    <w:p>
      <w:pPr>
        <w:spacing w:after="0" w:line="118"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Our funding and derivative agreements require that we maintain certain levels of collateral with our counterparties and may result in margin calls initiated against us if, for example, the value of our collateral declines. A margin call means that the counterparty requires us to pledge additional collateral to re-establish the required collateral level to protect them from loss in the event we default on our obligations. The requirement to meet margin calls can create liquidity risks. In the event of a margin call, we must generally provide additional collateral on the same business day. If we fail to meet the margin call, we would be in default, and our counterparty could terminate outstanding transactions, require us to settle our entire obligation under the agreement and enforce their interests against existing collateral. Furthermore, we may also be subject to certain cross-default and acceleration rights, such that if we were to fail to meet a margin call under one agreement that failure could lead to defaults, accelerations, or other adverse events under other agreements, as well. The threat or occurrence of margin calls or the accelerated settlement of our obligations under our agreements could force us to sell our investments under adverse market conditions and result in substantial losses.</w:t>
      </w:r>
    </w:p>
    <w:p>
      <w:pPr>
        <w:spacing w:after="0" w:line="153" w:lineRule="exact"/>
        <w:rPr>
          <w:sz w:val="20"/>
          <w:szCs w:val="20"/>
          <w:color w:val="auto"/>
        </w:rPr>
      </w:pPr>
    </w:p>
    <w:p>
      <w:pPr>
        <w:jc w:val="both"/>
        <w:ind w:right="20" w:firstLine="450"/>
        <w:spacing w:after="0" w:line="260" w:lineRule="auto"/>
        <w:rPr>
          <w:sz w:val="20"/>
          <w:szCs w:val="20"/>
          <w:color w:val="auto"/>
        </w:rPr>
      </w:pPr>
      <w:r>
        <w:rPr>
          <w:rFonts w:ascii="Times New Roman" w:cs="Times New Roman" w:eastAsia="Times New Roman" w:hAnsi="Times New Roman"/>
          <w:sz w:val="20"/>
          <w:szCs w:val="20"/>
          <w:color w:val="auto"/>
        </w:rPr>
        <w:t>Our fixed-rate collateral is generally more susceptible to margin calls due to its price sensitivity to changes in interest rates. In addition, some collateral may be less liquid than other instruments, which could cause it to be more susceptible to margin calls in a volatile market environment. Additionally, faster rates of prepayment increase the magnitude of potential margin calls as there is a time lag between the effective date of the prepayment and when we receive the principal payment.</w:t>
      </w:r>
    </w:p>
    <w:p>
      <w:pPr>
        <w:spacing w:after="0" w:line="143" w:lineRule="exact"/>
        <w:rPr>
          <w:sz w:val="20"/>
          <w:szCs w:val="20"/>
          <w:color w:val="auto"/>
        </w:rPr>
      </w:pPr>
    </w:p>
    <w:p>
      <w:pPr>
        <w:jc w:val="both"/>
        <w:ind w:right="20" w:firstLine="450"/>
        <w:spacing w:after="0" w:line="255" w:lineRule="auto"/>
        <w:rPr>
          <w:sz w:val="20"/>
          <w:szCs w:val="20"/>
          <w:color w:val="auto"/>
        </w:rPr>
      </w:pPr>
      <w:r>
        <w:rPr>
          <w:rFonts w:ascii="Times New Roman" w:cs="Times New Roman" w:eastAsia="Times New Roman" w:hAnsi="Times New Roman"/>
          <w:sz w:val="20"/>
          <w:szCs w:val="20"/>
          <w:color w:val="auto"/>
        </w:rPr>
        <w:t>Our derivative agreements also subject us to margin calls. Collateral requirements under our derivative agreements are typically dictated by contract or clearinghouse rules and regulations adopted by the U.S. Commodity Futures Trading Commission (“CFTC”) and regulators of other countries. Thus, changes in clearinghouse rules and other regulations can increase our margin requirements and the cost of our hedges. Our counterparties typically have the sole discretion to determine eligible collateral, the value of our collateral and, in the case of our derivative counterparties, the value of our derivative instruments. Additionally, for cleared swaps and futures, the futures commission merchant, or FCM, that we transact through typically has the right to require more collateral than the clearinghouse requires.</w:t>
      </w:r>
    </w:p>
    <w:p>
      <w:pPr>
        <w:spacing w:after="0" w:line="14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to FICC margin requirements could limit our ability to enter tri-party repo transactions with the FICC’s GCF Repo service and TBA transactions with the FICC’s MBSD</w:t>
      </w:r>
    </w:p>
    <w:p>
      <w:pPr>
        <w:spacing w:after="0" w:line="11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We finance a significant portion of our investments and execute TBA transactions through our wholly-owned captive broker-dealer subsidiary, BES. As an eligible institution, BES accesses repo funding through the FICC’s GCF Repo service and central clearing in the TBA market through the FICC's Mortgage-Backed Securities Division (MBSD).</w:t>
      </w:r>
    </w:p>
    <w:p>
      <w:pPr>
        <w:spacing w:after="0" w:line="135"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The FICC continually assesses potential changes to rules governing the calculation of margin and minimum margin requirements. The FICC may also levy member specific margin requirements, including requirements related to a member's specific portfolio risk factors as a ratio to that member’s net capital, requirements related to "back-testing" failures of collected FICC margin requirements to cover losses from a simulated liquidation of a member’s portfolio, and other charges that the FICC has the ability to implement, in some cases without a significant notice period.</w:t>
      </w:r>
    </w:p>
    <w:p>
      <w:pPr>
        <w:spacing w:after="0" w:line="144" w:lineRule="exact"/>
        <w:rPr>
          <w:sz w:val="20"/>
          <w:szCs w:val="20"/>
          <w:color w:val="auto"/>
        </w:rPr>
      </w:pPr>
    </w:p>
    <w:p>
      <w:pPr>
        <w:jc w:val="both"/>
        <w:ind w:right="20" w:firstLine="450"/>
        <w:spacing w:after="0" w:line="255" w:lineRule="auto"/>
        <w:rPr>
          <w:sz w:val="20"/>
          <w:szCs w:val="20"/>
          <w:color w:val="auto"/>
        </w:rPr>
      </w:pPr>
      <w:r>
        <w:rPr>
          <w:rFonts w:ascii="Times New Roman" w:cs="Times New Roman" w:eastAsia="Times New Roman" w:hAnsi="Times New Roman"/>
          <w:sz w:val="20"/>
          <w:szCs w:val="20"/>
          <w:color w:val="auto"/>
        </w:rPr>
        <w:t>Increases in FICC margin requirements would have the effect of reducing our unencumbered assets and could potentially limit our ability to utilize tri-party repo funding through the FICC's GCF Repo service and engage in centrally-cleared TBA transactions through the FICC’s MBSD. Furthermore, BES' inability to meet FICC margin requirements may result in the FICC declaring an event of default and ceasing to act for BES as a member along with a liquidation of any margin collateral as well as the portfolio of outstanding transactions for which the FICC serves as BES’ central counterparty, potentially in adverse market conditions. If BES were to fail to continually meet FICC margin requirements and default on its obligations to the FICC it could have a material financial impact on our financial position.</w:t>
      </w:r>
    </w:p>
    <w:p>
      <w:pPr>
        <w:sectPr>
          <w:pgSz w:w="12240" w:h="15840" w:orient="portrait"/>
          <w:cols w:equalWidth="0" w:num="1">
            <w:col w:w="10260"/>
          </w:cols>
          <w:pgMar w:left="1000" w:top="793" w:right="980" w:bottom="0" w:gutter="0" w:footer="0" w:header="0"/>
        </w:sect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260"/>
          </w:cols>
          <w:pgMar w:left="1000" w:top="793" w:right="980" w:bottom="0" w:gutter="0" w:footer="0" w:header="0"/>
          <w:type w:val="continuous"/>
        </w:sectPr>
      </w:pPr>
    </w:p>
    <w:bookmarkStart w:id="23" w:name="page24"/>
    <w:bookmarkEnd w:id="23"/>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repurchase agreements and agreements governing certain derivative instruments may contain financial and nonfinancial covenants subjecting us to the risk of default.</w:t>
      </w:r>
    </w:p>
    <w:p>
      <w:pPr>
        <w:spacing w:after="0" w:line="117" w:lineRule="exact"/>
        <w:rPr>
          <w:sz w:val="20"/>
          <w:szCs w:val="20"/>
          <w:color w:val="auto"/>
        </w:rPr>
      </w:pPr>
    </w:p>
    <w:p>
      <w:pPr>
        <w:jc w:val="both"/>
        <w:ind w:right="20" w:firstLine="450"/>
        <w:spacing w:after="0" w:line="252" w:lineRule="auto"/>
        <w:rPr>
          <w:sz w:val="20"/>
          <w:szCs w:val="20"/>
          <w:color w:val="auto"/>
        </w:rPr>
      </w:pPr>
      <w:r>
        <w:rPr>
          <w:rFonts w:ascii="Times New Roman" w:cs="Times New Roman" w:eastAsia="Times New Roman" w:hAnsi="Times New Roman"/>
          <w:sz w:val="20"/>
          <w:szCs w:val="20"/>
          <w:color w:val="auto"/>
        </w:rPr>
        <w:t>Our bilateral repurchase agreements and certain derivative agreements require that we comply with certain financial and non-financial covenants. Our more restrictive financial covenants typically limit declines in our stockholders’ equity for any given quarter, calendar year, or 12-month period and limit our leverage to a maximum amount. Compliance with these covenants depends on market factors and the strength of our business and operating results. In addition, our agreements typically require, among other things, that we maintain our status as a publicly listed REIT and to be exempted from the provisions of the 1940 Act. Various risks, uncertainties and events beyond our control, including significant fluctuations in interest rates, market volatility and changes in market conditions, could affect our ability to comply with these covenants. Unless we were able to negotiate a waiver or forbearance of such covenants, failure to comply with them could result in an event of default and generally would give the counterparty the right to exercise certain other remedies under the agreement, including termination of one or more repo or hedging transactions, acceleration of all amounts owed under an agreement, and the right to sell the collateral held by that counterparty. Any waiver or forbearance, if granted, could carry additional conditions that may be unfavorable to us. Additionally, certain of our agreements contain cross-default, cross-acceleration or similar provisions, such that if we were to violate a covenant under one agreement, that violation could lead to defaults, accelerations, or other adverse events under other agreements, as well.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rights under repurchase and derivative agreements in the event bankruptcy or insolvency may be limited.</w:t>
      </w:r>
    </w:p>
    <w:p>
      <w:pPr>
        <w:spacing w:after="0" w:line="199" w:lineRule="exact"/>
        <w:rPr>
          <w:sz w:val="20"/>
          <w:szCs w:val="20"/>
          <w:color w:val="auto"/>
        </w:rPr>
      </w:pPr>
    </w:p>
    <w:p>
      <w:pPr>
        <w:jc w:val="both"/>
        <w:ind w:right="20" w:firstLine="450"/>
        <w:spacing w:after="0" w:line="253" w:lineRule="auto"/>
        <w:rPr>
          <w:sz w:val="20"/>
          <w:szCs w:val="20"/>
          <w:color w:val="auto"/>
        </w:rPr>
      </w:pPr>
      <w:r>
        <w:rPr>
          <w:rFonts w:ascii="Times New Roman" w:cs="Times New Roman" w:eastAsia="Times New Roman" w:hAnsi="Times New Roman"/>
          <w:sz w:val="20"/>
          <w:szCs w:val="20"/>
          <w:color w:val="auto"/>
        </w:rPr>
        <w:t>In the event of our bankruptcy or insolvency, our repurchase agreements and hedging arrangements may qualify for special treatment under the U.S. Bankruptcy Code, the effect of which, among other things, would be to allow the counterparty under the applicable agreement to avoid the automatic stay provisions of the U.S. Bankruptcy Code and to foreclose on the collateral without delay. In the event of an insolvency or bankruptcy of one of our repurchase agreement or derivative counterparties, the counterparty may be permitted, under applicable insolvency laws, to repudiate the contract, and our claim against the counterparty for damages may be treated simply as an unsecured creditor. In addition, if the counterparty is a broker or dealer subject to the Securities Investor Protection Act of 1970, or an insured depository institution subject to the Federal Deposit Insurance Act, our ability to recover our assets under our agreements or to be compensated for any damages resulting from the counterparty's insolvency may be further limited by those statutes. Recoveries on these claims could be subject to significant delay and, if received, could be substantially less than the damages incurred.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funding and derivative agreement counterparties may not fulfill their obligations to us as and when due.</w:t>
      </w:r>
    </w:p>
    <w:p>
      <w:pPr>
        <w:spacing w:after="0" w:line="19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If a repurchase agreement counterparty defaults on its obligation to resell collateral to us, we could incur a loss on the transaction equal to the difference between the value of our collateral and the amount of our borrowing. Similarly, if a derivative agreement counterparty fails to return collateral to us at the conclusion of the derivative transaction or fails to pledge collateral to us or to make other payments we are entitled to under the terms of our agreement as and when due, we could incur a loss equal to the value of our collateral and other amounts due to us.</w:t>
      </w:r>
    </w:p>
    <w:p>
      <w:pPr>
        <w:spacing w:after="0" w:line="144" w:lineRule="exact"/>
        <w:rPr>
          <w:sz w:val="20"/>
          <w:szCs w:val="20"/>
          <w:color w:val="auto"/>
        </w:rPr>
      </w:pPr>
    </w:p>
    <w:p>
      <w:pPr>
        <w:jc w:val="both"/>
        <w:ind w:right="20" w:firstLine="450"/>
        <w:spacing w:after="0" w:line="253" w:lineRule="auto"/>
        <w:rPr>
          <w:sz w:val="20"/>
          <w:szCs w:val="20"/>
          <w:color w:val="auto"/>
        </w:rPr>
      </w:pPr>
      <w:r>
        <w:rPr>
          <w:rFonts w:ascii="Times New Roman" w:cs="Times New Roman" w:eastAsia="Times New Roman" w:hAnsi="Times New Roman"/>
          <w:sz w:val="20"/>
          <w:szCs w:val="20"/>
          <w:color w:val="auto"/>
        </w:rPr>
        <w:t>We attempt to limit our counterparty exposure by diversifying our funding across multiple counterparties and limiting our counterparties to registered central clearing exchanges and major financial institutions with acceptable credit ratings. However, these measures may not sufficiently reduce our risk of loss. Central clearing exchanges typically attempt to reduce the risk of default by requiring initial and daily variation margin from their clearinghouse members and maintain guarantee funds and other resources that are available in the event of default. Nonetheless, we could be exposed to a risk of loss if an exchange or one or more of its clearing members defaults on its obligations. Most of the swaps and futures transactions that we enter into must be cleared by a Derivatives Clearing Organization, or DCO. DCOs are subject to regulatory oversight, use extensive risk management processes, and might receive "too big to fail" support from the government in the case of insolvency. We access the DCO through several FCMs, which may establish their own collateral requirements beyond that of the DCO. Consequently, for any cleared swap or futures transaction, we bear the credit risk of both the DCO and the relevant FCM as to obligations under our swap and futures agreements. The enforceability of our derivative and repurchase agreements may also depend on compliance with applicable statutory, commodity and other regulatory requirements and, depending on the domicile of the counterparty, applicable international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hedging strategies may be ineffective.</w:t>
      </w:r>
    </w:p>
    <w:p>
      <w:pPr>
        <w:spacing w:after="0" w:line="199"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We attempt to limit, or hedge against, the adverse effect of changes in interest rates on the value of our assets and financing costs, subject to complying with REIT tax requirements. Hedging strategies are complex and do not fully protect against adverse changes under all circumstances. Our business model also calls for accepting certain amounts of risk. Consequently, our hedging activities are generally designed to limit interest rate exposure, but not to eliminate it, and they are generally not designed to hedge against spread risk and other risks inherent to our business model.</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260"/>
          </w:cols>
          <w:pgMar w:left="1000" w:top="784" w:right="980" w:bottom="0" w:gutter="0" w:footer="0" w:header="0"/>
          <w:type w:val="continuous"/>
        </w:sectPr>
      </w:pPr>
    </w:p>
    <w:bookmarkStart w:id="24" w:name="page25"/>
    <w:bookmarkEnd w:id="24"/>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Our hedging strategies may vary in scope based on our portfolio composition, liabilities and our assessment of the level and volatility of interest rates, expected prepayments, credit and other market conditions, and are expected to change over time. We could fail to properly assess a risk or fail to recognize a risk entirely, leaving us exposed to losses without the benefit of any offsetting hedges. Furthermore, the techniques and derivative instruments we select may not have the effect of reducing our risk. Poorly designed hedging strategies or improperly executed transactions could increase our risk of loss. Hedging activities could also result in losses if the hedged event does not occur. Numerous other factors can impact the effectiveness of our hedging strategies, including the following:</w:t>
      </w:r>
    </w:p>
    <w:p>
      <w:pPr>
        <w:spacing w:after="0" w:line="150" w:lineRule="exact"/>
        <w:rPr>
          <w:sz w:val="20"/>
          <w:szCs w:val="20"/>
          <w:color w:val="auto"/>
        </w:rPr>
      </w:pPr>
    </w:p>
    <w:p>
      <w:pPr>
        <w:ind w:left="720" w:hanging="28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interest rate hedges;</w:t>
      </w:r>
    </w:p>
    <w:p>
      <w:pPr>
        <w:spacing w:after="0" w:line="3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degree to which the interest rate hedge benchmark rate correlates to the interest rate risk being hedged;</w:t>
      </w:r>
    </w:p>
    <w:p>
      <w:pPr>
        <w:spacing w:after="0" w:line="10" w:lineRule="exact"/>
        <w:rPr>
          <w:rFonts w:ascii="Times New Roman" w:cs="Times New Roman" w:eastAsia="Times New Roman" w:hAnsi="Times New Roman"/>
          <w:sz w:val="20"/>
          <w:szCs w:val="20"/>
          <w:color w:val="auto"/>
        </w:rPr>
      </w:pPr>
    </w:p>
    <w:p>
      <w:pPr>
        <w:ind w:left="720" w:right="20" w:hanging="280"/>
        <w:spacing w:after="0" w:line="25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degree to which the duration of the hedge matches that of the related asset or liability, particularly as interest rates change;</w:t>
      </w:r>
    </w:p>
    <w:p>
      <w:pPr>
        <w:ind w:left="720" w:right="20" w:hanging="280"/>
        <w:spacing w:after="0" w:line="25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income that a REIT may earn from hedging transactions that do not satisfy certain requirements of the Internal Revenue Code or that are not done through a TRS; and</w:t>
      </w:r>
    </w:p>
    <w:p>
      <w:pPr>
        <w:ind w:left="720" w:right="20" w:hanging="280"/>
        <w:spacing w:after="0" w:line="260"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degree to which the value of our interest rate hedges changes relative to our assets as a result of fluctuations in interest rates, passage of time, or other factors.</w:t>
      </w:r>
    </w:p>
    <w:p>
      <w:pPr>
        <w:spacing w:after="0" w:line="142" w:lineRule="exact"/>
        <w:rPr>
          <w:sz w:val="20"/>
          <w:szCs w:val="20"/>
          <w:color w:val="auto"/>
        </w:rPr>
      </w:pPr>
    </w:p>
    <w:p>
      <w:pPr>
        <w:jc w:val="both"/>
        <w:ind w:right="20" w:firstLine="450"/>
        <w:spacing w:after="0" w:line="260" w:lineRule="auto"/>
        <w:rPr>
          <w:sz w:val="20"/>
          <w:szCs w:val="20"/>
          <w:color w:val="auto"/>
        </w:rPr>
      </w:pPr>
      <w:r>
        <w:rPr>
          <w:rFonts w:ascii="Times New Roman" w:cs="Times New Roman" w:eastAsia="Times New Roman" w:hAnsi="Times New Roman"/>
          <w:sz w:val="20"/>
          <w:szCs w:val="20"/>
          <w:color w:val="auto"/>
        </w:rPr>
        <w:t>Additionally, regulations adopted by the CFTC and regulators of other countries could adversely affect our ability to engage in derivative transactions or impose increased margin requirements and require additional operational and compliance costs. Consequently, our hedging strategies may fail to protect us from loss and could even result in greater losses than if we had not entered in the hedge transaction.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Operations</w:t>
      </w:r>
    </w:p>
    <w:p>
      <w:pPr>
        <w:spacing w:after="0" w:line="18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executive officers and other key personnel are critical to our success and the loss of any executive officer or key employee may materially adversely affect our business.</w:t>
      </w:r>
    </w:p>
    <w:p>
      <w:pPr>
        <w:spacing w:after="0" w:line="117"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We operate in a highly specialized industry and our success is dependent upon the efforts, experience, diligence, skill and network of business contacts of our executive officers and key personnel. The departure of any of our executive officers and/or key personnel could have a material adverse effect on our operations and performance.</w:t>
      </w:r>
    </w:p>
    <w:p>
      <w:pPr>
        <w:spacing w:after="0" w:line="12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highly dependent on information systems and third-party service providers to conduct our operations, and system failures, cybersecurity incidents or failure of our providers to fulfill their obligations to us could significantly disrupt our ability to operate our business.</w:t>
      </w:r>
    </w:p>
    <w:p>
      <w:pPr>
        <w:spacing w:after="0" w:line="136"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Our business heavily depends on information and communication systems, including services provided by third parties and cloud-based platforms. A failure in these systems, or a failure by a third-party provider, could significantly disrupt our operations. These systems may be subject to damage or interruption from, among other things, natural disasters, public health issues such as pandemics or epidemics, terrorist attack, rogue employees, power loss, telecommunications failures, internet disruptions, and other interruptions beyond our control. Additionally, our reliance on these systems exposes us to risks of disruption or damage from cybersecurity risks, such as malware, virus, hacking, denial of service, ransomware, physical or electronic break-ins, insider threats, and phishing attacks, all of which are increasingly sophisticated and prevalent. Our systems may be misconfigured or configured in a way that exacerbates our exposure to these risks. Despite having no significant breaches detected so far, we regularly are targeted by threat actors, and completely preventing or detecting such incidents promptly is increasingly challenging.</w:t>
      </w:r>
    </w:p>
    <w:p>
      <w:pPr>
        <w:spacing w:after="0" w:line="156"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20"/>
          <w:szCs w:val="20"/>
          <w:color w:val="auto"/>
        </w:rPr>
        <w:t>The complex nature of cybersecurity threats means a breach could go undetected for a long time, if ever, and responding to such incidents may not always be immediate or sufficient. Moreover, we depend on third-party vendors to implement security programs commensurate with their own risk. They may not be successful at defending against or detecting cybersecurity threats and they may not be obligated to inform us of such incidents. The consequences of a cyber-attack may include operational disruption, unauthorized access to sensitive data, regulatory fines, reputational damage, liability to third parties, and financial losses.</w:t>
      </w:r>
    </w:p>
    <w:p>
      <w:pPr>
        <w:spacing w:after="0" w:line="14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The impact of cybersecurity incidents is difficult to predict, and the evolving legal and regulatory environment around data privacy and security could lead to increased costs and stricter compliance requirements. During an investigation of a cybersecurity incident, or a series of events, it is possible we may not necessarily know the extent of the harm or how to remediate it, which could further adversely impact us, and new regulations may also compel us to disclose information about a material cybersecurity incident before it has been mitigated or resolved, or even fully investigated. Furthermore, whether a single or series of cyber events is material is often a matter of judgment rather than quantitative measures and might only be determinable well after the fact. Despite our efforts to enhance our cybersecurity defenses, we cannot assure complete</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260"/>
          </w:cols>
          <w:pgMar w:left="1000" w:top="793" w:right="980" w:bottom="0" w:gutter="0" w:footer="0" w:header="0"/>
          <w:type w:val="continuous"/>
        </w:sectPr>
      </w:pPr>
    </w:p>
    <w:bookmarkStart w:id="25" w:name="page26"/>
    <w:bookmarkEnd w:id="25"/>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protection against all cybersecurity threats. A cybersecurity incident, if one were to occur, could adversely affect our business, results of operations, or financial condition.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Taxation as a REIT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failure to qualify as a REIT would have adverse tax consequences.</w:t>
      </w:r>
    </w:p>
    <w:p>
      <w:pPr>
        <w:spacing w:after="0" w:line="19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We believe that we operate in a manner that allows us to qualify as a REIT for U.S. federal income tax purposes under Sections 856 through 860 of the Internal Revenue Code of 1986, as amended, and Treasury Regulations promulgated thereunder. We plan to continue to meet the requirements for taxation as a REIT. The determination that we are a REIT requires an analysis of various factual matters and circumstances that may not be totally within our control, and our compliance with the annual REIT income and quarterly asset requirements depends upon our ability to successfully manage the composition of our income and assets on an ongoing basis. For example, to qualify as a REIT, at least 75% of our gross income must come from real estate sources and 95% of our gross income must come from real estate sources and certain other sources that are itemized in the REIT tax laws. Additionally, our ability to satisfy the REIT asset tests depends upon our analysis of the characterization and fair market values of our assets, some of which are not susceptible to a precise determination, and for which we will not obtain independent appraisals. Furthermore, the proper classification of an instrument as debt or equity for federal income tax purposes may be uncertain in some circumstances, which could affect the application of the REIT asset requirements. We are also required to distribute to stockholders at least 90% of our REIT taxable income (determined without regard to the deduction for dividends paid and by excluding any net capital gain).</w:t>
      </w:r>
    </w:p>
    <w:p>
      <w:pPr>
        <w:spacing w:after="0" w:line="148" w:lineRule="exact"/>
        <w:rPr>
          <w:sz w:val="20"/>
          <w:szCs w:val="20"/>
          <w:color w:val="auto"/>
        </w:rPr>
      </w:pPr>
    </w:p>
    <w:p>
      <w:pPr>
        <w:jc w:val="both"/>
        <w:ind w:right="20" w:firstLine="450"/>
        <w:spacing w:after="0" w:line="255" w:lineRule="auto"/>
        <w:rPr>
          <w:sz w:val="20"/>
          <w:szCs w:val="20"/>
          <w:color w:val="auto"/>
        </w:rPr>
      </w:pPr>
      <w:r>
        <w:rPr>
          <w:rFonts w:ascii="Times New Roman" w:cs="Times New Roman" w:eastAsia="Times New Roman" w:hAnsi="Times New Roman"/>
          <w:sz w:val="20"/>
          <w:szCs w:val="20"/>
          <w:color w:val="auto"/>
        </w:rPr>
        <w:t>If we fail to qualify as a REIT in any tax year, we would be subject to U.S. federal and state corporate income tax on our taxable income at regular corporate rates, and dividends paid to our stockholders would not be deductible by us in computing our taxable income. Also, unless the IRS granted us relief under certain statutory provisions, we would remain disqualified as a REIT for four years following the year we first fail to qualify. If we fail to qualify as a REIT, we may have to pay significant income taxes and would, therefore, have less money available for investments or for distributions to our stockholders. This would likely have a significant adverse effect on the value of our equity. In addition, the tax law would no longer require us to make distributions to our stockholders.</w:t>
      </w:r>
    </w:p>
    <w:p>
      <w:pPr>
        <w:spacing w:after="0" w:line="150"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If we fail to satisfy one or more requirements for REIT qualification, we may still qualify as a REIT if there is reasonable cause for the failure, it is not due to willful neglect, and we satisfy other requirements, including completion of applicable IRS filings. It is not possible to state whether we would be entitled to the benefit of these relief provisions. If these relief provisions were inapplicable, we would not qualify as a REIT. Furthermore, even if we satisfy the relief provisions and maintain our qualification as a REIT, we may be still subject to a penalty tax. The penalty tax for failure to satisfy an asset test would be the greater of $50,000 per failure or an amount equal to the net income generated by the assets that resulted in the failure multiplied by the highest U.S. federal corporate tax rate in effect at the time of the failure. The penalty tax for failure to satisfy one or both gross income tests would be an amount equal to 100% of the net profit on the gross income that resulted in the failure calculated in accordance with the Internal Revenue Code.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REIT distribution requirements could adversely affect our ability to execute our business plan.</w:t>
      </w:r>
    </w:p>
    <w:p>
      <w:pPr>
        <w:spacing w:after="0" w:line="19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We generally must distribute annually at least 90% of our taxable income, subject to certain adjustments and excluding any net capital gain, for U.S. federal and state corporate income tax not to apply to earnings that we distribute and to retain our REIT status. Distributions of our taxable income must generally occur in the taxable year to which they relate, or in the following taxable year if declared before we timely file our tax return for the year and if paid with or before the first regular dividend payment after such declaration. We may also elect to retain, rather than distribute, our net long-term capital gains and pay tax on such gains if required, in which case, we could elect for our stockholders to include their proportionate share of such undistributed long-term capital gains in income, and to receive a corresponding credit for their share of the tax that we paid. Our stockholders would then increase the adjusted basis of their stock by the difference between (a) the amounts of capital gain dividends that we designated and that they include in their taxable income, minus (b) the tax that we paid on their behalf with respect to that income. We intend to make distributions to our stockholders to comply with the REIT qualification requirements of the Internal Revenue Code, which limits our ability to retain earnings and thereby replenish or increase capital from operations.</w:t>
      </w:r>
    </w:p>
    <w:p>
      <w:pPr>
        <w:spacing w:after="0" w:line="151" w:lineRule="exact"/>
        <w:rPr>
          <w:sz w:val="20"/>
          <w:szCs w:val="20"/>
          <w:color w:val="auto"/>
        </w:rPr>
      </w:pPr>
    </w:p>
    <w:p>
      <w:pPr>
        <w:jc w:val="both"/>
        <w:ind w:right="20" w:firstLine="450"/>
        <w:spacing w:after="0" w:line="255" w:lineRule="auto"/>
        <w:rPr>
          <w:sz w:val="20"/>
          <w:szCs w:val="20"/>
          <w:color w:val="auto"/>
        </w:rPr>
      </w:pPr>
      <w:r>
        <w:rPr>
          <w:rFonts w:ascii="Times New Roman" w:cs="Times New Roman" w:eastAsia="Times New Roman" w:hAnsi="Times New Roman"/>
          <w:sz w:val="20"/>
          <w:szCs w:val="20"/>
          <w:color w:val="auto"/>
        </w:rPr>
        <w:t>To the extent that we satisfy this distribution requirement, but distribute less than 100% of our taxable income, we will be subject to U.S. federal and state corporate income tax on our undistributed taxable income. Furthermore, 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(y) the amounts of income we retained and on which we have paid corporate income tax and (z) any excess distributions from prior periods.</w:t>
      </w:r>
    </w:p>
    <w:p>
      <w:pPr>
        <w:sectPr>
          <w:pgSz w:w="12240" w:h="15840" w:orient="portrait"/>
          <w:cols w:equalWidth="0" w:num="1">
            <w:col w:w="10260"/>
          </w:cols>
          <w:pgMar w:left="1000" w:top="793" w:right="980" w:bottom="0" w:gutter="0" w:footer="0" w:header="0"/>
        </w:sect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260"/>
          </w:cols>
          <w:pgMar w:left="1000" w:top="793" w:right="980" w:bottom="0" w:gutter="0" w:footer="0" w:header="0"/>
          <w:type w:val="continuous"/>
        </w:sectPr>
      </w:pPr>
    </w:p>
    <w:bookmarkStart w:id="26" w:name="page27"/>
    <w:bookmarkEnd w:id="26"/>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Our taxable income will typically differ from income prepared in accordance with GAAP due to temporary and permanent differences. For example, realized gains and losses on our hedging instruments, such as interest rate swaps, may be deferred for income tax purposes and amortized into taxable income over the remaining contract term of the instrument even if we have exited the instrument and settled such gains or losses for cash. We are also not allowed to reduce our taxable income for net capital losses incurred; instead, the capital losses may be carried forward for a period of up to five years and applied against future capital gains subject to our ability to generate sufficient capital gains, which cannot be assured. Therefore, it is possible that our taxable income could be in excess of the net cash generated from our operations. If we do not have funds available in these situations to meet our REIT distribution requirements or to avoid corporate and excise taxes altogether, we could be required to borrow funds on unfavorable terms, sell investments at disadvantageous prices or distribute amounts that would otherwise be invested in future acquisitions.</w:t>
      </w:r>
    </w:p>
    <w:p>
      <w:pPr>
        <w:spacing w:after="0" w:line="14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choose to pay dividends in our own stock, in which case stockholders may be required to pay income taxes in excess of cash dividends received.</w:t>
      </w:r>
    </w:p>
    <w:p>
      <w:pPr>
        <w:spacing w:after="0" w:line="117"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We may in the future distribute taxable dividends that are payable at least in part in shares of our common stock. Taxable stockholders receiving such dividends will be required to include the full amount of the dividend as ordinary income to the extent of our current and accumulated earnings and profits for U.S. federal income tax purposes. As a result, stockholders may be required to pay income taxes with respect to such dividends that are in excess of the cash dividends received. If a U.S. stockholder sells the stock that it receives as a dividend to pay this tax, the sales proceeds may be less than the amount included in income with respect to the dividend, depending on the market price of our stock at the time of the sale. Furthermore, with respect to certain non-U.S. stockholders, we may be required to withhold U.S. tax with respect to such dividends, including in respect of all or a portion of such dividend that is payable in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Even if we remain qualified as a REIT, we may face other tax liabilities that reduce our cash flow.</w:t>
      </w:r>
    </w:p>
    <w:p>
      <w:pPr>
        <w:spacing w:after="0" w:line="199"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Even if we remain qualified for taxation as a REIT, we may nonetheless be subject to certain federal, state and local taxes on our income and assets, including the following items. Any of these or other taxes we may incur would decrease cash available for distribution to our stockholders.</w:t>
      </w:r>
    </w:p>
    <w:p>
      <w:pPr>
        <w:spacing w:after="0" w:line="135" w:lineRule="exact"/>
        <w:rPr>
          <w:sz w:val="20"/>
          <w:szCs w:val="20"/>
          <w:color w:val="auto"/>
        </w:rPr>
      </w:pPr>
    </w:p>
    <w:p>
      <w:pPr>
        <w:ind w:left="720" w:right="20" w:hanging="280"/>
        <w:spacing w:after="0" w:line="26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Regular U.S. federal and state corporate income taxes on any undistributed taxable income, including undistributed net capital gains.</w:t>
      </w:r>
    </w:p>
    <w:p>
      <w:pPr>
        <w:spacing w:after="0" w:line="1" w:lineRule="exact"/>
        <w:rPr>
          <w:rFonts w:ascii="Times New Roman" w:cs="Times New Roman" w:eastAsia="Times New Roman" w:hAnsi="Times New Roman"/>
          <w:sz w:val="20"/>
          <w:szCs w:val="20"/>
          <w:color w:val="auto"/>
        </w:rPr>
      </w:pPr>
    </w:p>
    <w:p>
      <w:pPr>
        <w:ind w:left="720" w:right="20" w:hanging="28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non-deductible 4% excise tax if the actual amount distributed to our stockholders in a calendar year is less than a minimum amount specified under Federal tax laws.</w:t>
      </w:r>
    </w:p>
    <w:p>
      <w:pPr>
        <w:ind w:left="720" w:right="20" w:hanging="28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income taxes on the earnings of subsidiaries, to the extent that such subsidiaries are subchapter C corporations and are not qualified REIT subsidiaries or other disregarded entities for federal income tax purposes.</w:t>
      </w:r>
    </w:p>
    <w:p>
      <w:pPr>
        <w:ind w:left="720" w:hanging="28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100% tax on certain transactions between us and our TRSs that do not reflect arm's-length terms.</w:t>
      </w:r>
    </w:p>
    <w:p>
      <w:pPr>
        <w:spacing w:after="0" w:line="10" w:lineRule="exact"/>
        <w:rPr>
          <w:rFonts w:ascii="Times New Roman" w:cs="Times New Roman" w:eastAsia="Times New Roman" w:hAnsi="Times New Roman"/>
          <w:sz w:val="20"/>
          <w:szCs w:val="20"/>
          <w:color w:val="auto"/>
        </w:rPr>
      </w:pPr>
    </w:p>
    <w:p>
      <w:pPr>
        <w:jc w:val="both"/>
        <w:ind w:left="720" w:right="20" w:hanging="280"/>
        <w:spacing w:after="0" w:line="25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a gain on a disposition of any such assets during the five-year period following their acquisition from the subchapter C corporation.</w:t>
      </w:r>
    </w:p>
    <w:p>
      <w:pPr>
        <w:spacing w:after="0" w:line="2"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100% tax on net income and gains from "prohibited transactions."</w:t>
      </w:r>
    </w:p>
    <w:p>
      <w:pPr>
        <w:spacing w:after="0" w:line="1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Penalty taxes and other fines for failure to satisfy one or more requirements for REIT qualification.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Complying with REIT requirements may cause us to liquidate or forgo attractive investment opportunities.</w:t>
      </w:r>
    </w:p>
    <w:p>
      <w:pPr>
        <w:spacing w:after="0" w:line="19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To remain qualified as a REIT, we must ensure that, at the end of each calendar quarter, at least 75% of the value of our assets consists of cash, cash items, government securities and qualified real estate assets. The remainder of our investments in securities (other than government securities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and qualified real estate assets) can consist of the securities of any one issuer, and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We must also satisfy tests concerning the sources of our income and the amounts that we distribute to our stockholders. Complying with these requirements may prevent us from acquiring certain attractive investments or we may be required to sell otherwise attractive investments. Thus, the potential returns on our investment portfolio may be lower than if we were not subject to such requirements. Additionally, if we</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260"/>
          </w:cols>
          <w:pgMar w:left="1000" w:top="793" w:right="980" w:bottom="0" w:gutter="0" w:footer="0" w:header="0"/>
          <w:type w:val="continuous"/>
        </w:sectPr>
      </w:pPr>
    </w:p>
    <w:bookmarkStart w:id="27" w:name="page28"/>
    <w:bookmarkEnd w:id="27"/>
    <w:p>
      <w:pPr>
        <w:jc w:val="both"/>
        <w:spacing w:after="0" w:line="281" w:lineRule="auto"/>
        <w:rPr>
          <w:sz w:val="20"/>
          <w:szCs w:val="20"/>
          <w:color w:val="auto"/>
        </w:rPr>
      </w:pPr>
      <w:r>
        <w:rPr>
          <w:rFonts w:ascii="Times New Roman" w:cs="Times New Roman" w:eastAsia="Times New Roman" w:hAnsi="Times New Roman"/>
          <w:sz w:val="20"/>
          <w:szCs w:val="20"/>
          <w:color w:val="auto"/>
        </w:rPr>
        <w:t>must liquidate our investments to repay our lenders or to satisfy other obligations, we may be unable to comply with these requirements, potentially jeopardizing our qualification as a REIT.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Complying with REIT requirements may limit our ability to hedge effectively and may cause us to incur tax liabilities.</w:t>
      </w:r>
    </w:p>
    <w:p>
      <w:pPr>
        <w:spacing w:after="0" w:line="19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The REIT provisions of the Internal Revenue Code could substantially limit our ability to hedge our risks. Any income from a properly designated hedging transaction to manage risk of interest rate changes with respect to borrowings made or to be made, or ordinary obligations incurred or to be incurred, to acquire or carry real estate assets generally does not constitute "gross income" for purposes of the 75% or 95% gross income tests ("qualified hedges"). To the extent that we enter into other types of hedging transactions, or fail to properly designate qualified hedges, the income from those transactions is likely to be treated as non-qualifying income for purposes of both gross income tests. As such, we may have to limit our use of advantageous hedging techniques or implement those hedges through a TRS. This could increase the cost of our hedging activities as our TRS would be subject to tax on gains or expose us to greater risks than we would otherwise want to bear. In addition, losses in a TRS will generally not provide any tax benefit, except for being carried forward against future taxable income in the TRS.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Uncertainty exists with respect to the treatment of our TBAs for purposes of the REIT asset and income tests.</w:t>
      </w:r>
    </w:p>
    <w:p>
      <w:pPr>
        <w:spacing w:after="0" w:line="199"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There is no direct authority with respect to the qualification of TBAs as real estate assets or U.S. Government securities for purposes of the 75% asset test or the qualification of income or gains from dispositions of TBAs as gains from the sale of real property or other qualifying income for purposes of the 75% gross income test. However, we treat our TBAs as qualifying assets for purposes of the REIT 75% asset test, and we treat income and gains from our TBAs as qualifying income for purposes of the 75% gross income test, based on a legal opinion of Skadden, Arps, Slate, Meagher &amp; Flom LLP (“Skadden”) substantially to the effect that (i) for purposes of the REIT asset tests, our ownership of a TBA should be treated as ownership of the underlying Agency RMBS, and (ii) for purposes of the 75% REIT gross income test, any gain recognized by us in connection with the settlement of our TBAs should be treated as gain from the sale or disposition of the underlying Agency RMBS. Opinions of counsel are not binding on the IRS, and no assurance can be given that the IRS will not successfully challenge the conclusions set forth in such opinions. In addition, it must be emphasized that Skadden’s opinion is based on various assumptions relating to our TBAs and is conditioned upon fact-based representations and covenants made by our management regarding our TBAs. No assurance can be given that the IRS would not assert that such assets or income are not qualifying assets or income. If the IRS were to successfully challenge Skadden’s opinion, we could be subject to a penalty tax or we could fail to remain qualified as a REIT if a sufficient portion of our assets consists of TBAs or a sufficient portion of our income consists of income or gains from the disposition of TBAs.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Qualifying as a REIT involves highly technical and complex provisions of the Internal Revenue Code.</w:t>
      </w:r>
    </w:p>
    <w:p>
      <w:pPr>
        <w:spacing w:after="0" w:line="199"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Qualification as a REIT involves the application of highly technical and complex Internal Revenue Code provisions on a continuous basis for which only limited judicial and administrative authorities exist. Our application of such provisions may be dependent on interpretations of the provisions by the staff of the Internal Revenue Service, which may change over time. Even a technical or inadvertent violation of the Internal Revenue Code provisions could jeopardize our REIT qualification.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tax on prohibited transactions could limit our ability to engage in certain transactions.</w:t>
      </w:r>
    </w:p>
    <w:p>
      <w:pPr>
        <w:spacing w:after="0" w:line="19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Net income that we derive from a "prohibited transaction" is subject to a 100% tax. The term "prohibited transaction" generally includes a sale or other disposition of property that is held primarily for sale to customers in the ordinary course of a trade or business by us or by a borrower that has issued a shared appreciation mortgage or similar debt instrument to us. We could be subject to this tax if we were to dispose of assets or structure transactions in a manner that is treated as a prohibited transaction for federal income tax purposes.</w:t>
      </w:r>
    </w:p>
    <w:p>
      <w:pPr>
        <w:spacing w:after="0" w:line="144"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We intend to structure our activities to avoid classification as prohibited transactions. As a result, we may choose not to engage in certain transactions at the REIT level that might otherwise be beneficial to us. In addition, whether property is held "primarily for sale to customers in the ordinary course of a trade or business" depends on the particular facts and circumstances. Thus, no assurance can be given that any property that we sell will not be treated as such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at the entity’s regular corporate rates.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Distributions to tax-exempt investors may be classified as unrelated business taxable income.</w:t>
      </w:r>
    </w:p>
    <w:p>
      <w:pPr>
        <w:spacing w:after="0" w:line="199"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Although distributions with respect to our common stock generally do not constitute unrelated business taxable income, there are some circumstances where they may. If (i) we generate "excess inclusion income" as a result of all or a portion of our</w:t>
      </w:r>
    </w:p>
    <w:p>
      <w:pPr>
        <w:sectPr>
          <w:pgSz w:w="12240" w:h="15840" w:orient="portrait"/>
          <w:cols w:equalWidth="0" w:num="1">
            <w:col w:w="10240"/>
          </w:cols>
          <w:pgMar w:left="1000" w:top="793" w:right="100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240"/>
          </w:cols>
          <w:pgMar w:left="1000" w:top="793" w:right="1000" w:bottom="0" w:gutter="0" w:footer="0" w:header="0"/>
          <w:type w:val="continuous"/>
        </w:sectPr>
      </w:pPr>
    </w:p>
    <w:bookmarkStart w:id="28" w:name="page29"/>
    <w:bookmarkEnd w:id="28"/>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assets being subject to rules relating to "taxable mortgage pools" or as a result of holding residual interests in a REMIC or (ii) we become a "pension held REIT," then a portion of the distributions to tax exempt investors may be subject to U.S. federal income tax as unrelated business taxable income under the Internal Revenue Code.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Legislative and Regulatory Risks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of our exemption from regulation pursuant to the Investment Company Act would adversely affect us.</w:t>
      </w:r>
    </w:p>
    <w:p>
      <w:pPr>
        <w:spacing w:after="0" w:line="19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conduct our business so as not to become regulated as an investment company under the Investment Company Act in reliance on the exemption provided by Section 3(c)(5)(C) of the Investment Company Act. Section 3(c)(5)(C), as interpreted by the staff of the SEC, requires that: (i) at least 55% of our investment portfolio consists of "mortgages and other liens on and interest in real estate," or "qualifying real estate interests," and (ii) at least 80% of our investment portfolio consists of qualifying real estate interests plus "real estate-related assets."</w:t>
      </w:r>
    </w:p>
    <w:p>
      <w:pPr>
        <w:spacing w:after="0" w:line="144"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The specific real estate related assets that we acquire are limited by the provisions of the Investment Company Act and the rules and regulations promulgated thereunder. In satisfying the 55% requirement, we treat Agency RMBS issued with respect to an underlying pool of mortgage loans in which we directly or indirectly hold all the certificates issued by the pool ("whole pool" securities) as qualifying real estate interests based on pronouncements of the SEC staff. We treat partial pool securities, CRT and other mortgage related securities as real estate-related assets. Consequently, our ability to satisfy the exemption under the Investment Company Act is dependent upon our ability to acquire and hold on a continuous basis a sufficient amount of whole pool securities. The availability of whole pool securities may be adversely impacted by a variety of factors, including GSE pooling practices, which can change over time, housing finance reform initiatives and competition for whole pool securities with other mortgage REITs.</w:t>
      </w:r>
    </w:p>
    <w:p>
      <w:pPr>
        <w:spacing w:after="0" w:line="14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Additionally, if the SEC determines that any of our securities are not qualifying interests in real estate or real estate-related assets, otherwise believes we do not satisfy the above exceptions or changes its interpretation with respect to these securities or the above exceptions, we could be required to restructure our activities or sell certain of our assets. As such, we cannot guarantee that we will be able to acquire or hold enough whole pool securities to maintain our exemption under the Investment Company Act, and our compliance with these requirements may at times lead us to adopt less efficient methods of investing in certain securities or to forego acquiring more desirable securities. Importantly, if we fail to qualify for this exemption, our ability to use leverage would be substantially reduced and we would be unable to conduct our business as we currently conduct it, which could materially and adversely affect our business.</w:t>
      </w:r>
    </w:p>
    <w:p>
      <w:pPr>
        <w:spacing w:after="0" w:line="14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satisfy regulatory requirements of our captive broker-dealer subsidiary could result in our inability to access tri-party repo funding through the FICC’s GCF Repo service and could be harmful to our business operations.</w:t>
      </w:r>
    </w:p>
    <w:p>
      <w:pPr>
        <w:spacing w:after="0" w:line="117"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BES is subject to ongoing membership and regulatory requirements as a member of the FICC and FINRA and as an SEC registered broker-dealer that include but are not limited to trade practices, use and safekeeping of funds and securities, capital structure, recordkeeping and conduct of directors, officers and employees. Additionally, as a self-clearing, registered broker-dealer, BES is subject to minimum net capital requirements. Our ability to access tri-party repo funding through the FICC's GCF Repo service, which represents a significant portion of our total borrowing capacity, and our ability to conduct self-clearing of our investment and funding activity through BES are reliant on BES' ability to continually meet these regulatory and membership requirements. If BES were to lose its memberships in FICC and FINRA or its status as a self-clearing registered broker-dealer, we may be unable to find alternative sources of financing on favorable terms and we may experience business interruptions as we attempt to transfer custody and clearing activities to alternative providers that would be harmful to our business.</w:t>
      </w:r>
    </w:p>
    <w:p>
      <w:pPr>
        <w:spacing w:after="0" w:line="146"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New legislation or administrative or judicial action could make it more difficult or impossible for us to remain qualified as a REIT or it could otherwise adversely affect REITs and their stockholders.</w:t>
      </w:r>
    </w:p>
    <w:p>
      <w:pPr>
        <w:spacing w:after="0" w:line="117"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20"/>
          <w:szCs w:val="20"/>
          <w:color w:val="auto"/>
        </w:rPr>
        <w:t>The present U.S. federal income tax treatment of REITs may be modified, possibly with retroactive effect, by legislative, judicial or administrative action at any time, which could affect our ability to maintain our REIT status and/or the federal income tax treatment of an investment in us. The federal income tax rules dealing with REITs constantly are under review by persons involved in the legislative process, the IRS and the U.S. Treasury Department, which results in statutory changes as well as frequent revisions to regulations and interpretations. Revisions in Federal tax laws and interpretations thereof could affect or cause us to change our investments and affect the tax considerations of an investment in us.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260"/>
          </w:cols>
          <w:pgMar w:left="1000" w:top="793" w:right="980" w:bottom="0" w:gutter="0" w:footer="0" w:header="0"/>
          <w:type w:val="continuous"/>
        </w:sectPr>
      </w:pPr>
    </w:p>
    <w:bookmarkStart w:id="29" w:name="page30"/>
    <w:bookmarkEnd w:id="29"/>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Actions of the U.S. Government, including the U.S. Congress, Fed, U.S. Treasury, Federal Housing Finance Administration ("FHFA") and other governmental and regulatory bodies may adversely affect our business.</w:t>
      </w:r>
    </w:p>
    <w:p>
      <w:pPr>
        <w:spacing w:after="0" w:line="11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U.S. Government legislative and administrative actions may have an adverse impact on the financial markets. To the extent the markets do not respond favorably to any such actions or such actions do not function as intended, they could have broad adverse market implications and could negatively impact our financial condition and results of operations. For example, the actual or anticipated actions or inaction on U.S. fiscal policy matters, including the U.S. dept ceiling and the amount and tenor of U.S. Treasury debt required to fund the government, could result in a wide range of negative economic effects, including increased financial market and interest rate volatility and wider market spreads between mortgage assets and benchmark interest rates.</w:t>
      </w:r>
    </w:p>
    <w:p>
      <w:pPr>
        <w:spacing w:after="0" w:line="150" w:lineRule="exact"/>
        <w:rPr>
          <w:sz w:val="20"/>
          <w:szCs w:val="20"/>
          <w:color w:val="auto"/>
        </w:rPr>
      </w:pPr>
    </w:p>
    <w:p>
      <w:pPr>
        <w:jc w:val="both"/>
        <w:ind w:right="20" w:firstLine="450"/>
        <w:spacing w:after="0" w:line="253" w:lineRule="auto"/>
        <w:rPr>
          <w:sz w:val="20"/>
          <w:szCs w:val="20"/>
          <w:color w:val="auto"/>
        </w:rPr>
      </w:pPr>
      <w:r>
        <w:rPr>
          <w:rFonts w:ascii="Times New Roman" w:cs="Times New Roman" w:eastAsia="Times New Roman" w:hAnsi="Times New Roman"/>
          <w:sz w:val="20"/>
          <w:szCs w:val="20"/>
          <w:color w:val="auto"/>
        </w:rPr>
        <w:t>Additionally, new regulatory requirements, including the imposition of more stringent bank capital rules and changes to the manner and timing of clearing U.S. Treasury and Agency RMBS transactions, could adversely affect the availability or terms of financing from our lending counterparties, reduce market liquidity, restrict the origination of residential mortgage loans and the formation of new issuances of mortgage-backed securities and limit the trading activities of certain banking entities and other systemically significant organizations that are important to our business. For example, the Fed and Federal Deposit Insurance Commission have proposed amendments to the capital rules for banks subject to their supervision that would apply risk weights (and costs) to Agency RMBS that may, if adopted as proposed, impact the source, pricing, volume, financing, and nature of Agency RMBS, and the SEC Division of Trading and Markets has adopted regulations requiring the central clearing of U.S. Treasury and U.S. Treasury repo transactions that will require significant changes to trading operations and has the potential to adversely impact liquidity, funding and efficiency of these markets, which could adversely impact the cost and other terms or availability of financing and hedging arrangements for our business. Together or individually new regulatory requirements could materially affect our financial condition or results of operations in adverse ways.</w:t>
      </w:r>
    </w:p>
    <w:p>
      <w:pPr>
        <w:spacing w:after="0" w:line="23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9"/>
          <w:szCs w:val="19"/>
          <w:b w:val="1"/>
          <w:bCs w:val="1"/>
          <w:i w:val="1"/>
          <w:iCs w:val="1"/>
          <w:color w:val="auto"/>
        </w:rPr>
        <w:t>Federal housing finance reform and potential changes to the Federal conservatorship of Fannie Mae and Freddie Mac or to laws or regulations affecting the relationship between the GSEs and the U.S. Government may adversely affect our business.</w:t>
      </w:r>
    </w:p>
    <w:p>
      <w:pPr>
        <w:spacing w:after="0" w:line="95"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The payments of principal and interest we receive on our Agency RMBS are guaranteed by Fannie Mae, Freddie Mac or Ginnie Mae. The guarantees on Agency securities created by Ginnie Mae are explicitly backed by the full faith and credit of the U.S. Government, whereas the guarantees on Agency securities created by Fannie Mae and Freddie Mac are not.</w:t>
      </w:r>
    </w:p>
    <w:p>
      <w:pPr>
        <w:spacing w:after="0" w:line="135"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In September 2008, Fannie Mae and Freddie Mac were placed into the conservatorship of the FHFA, their federal regulator. In addition to the conservatorships, the U.S. Department of the Treasury has provided a liquidity backstop to Fannie Mae and Freddie Mac to ensure their financial stability. Over time, efforts to end the conservatorships and the guarantee-payment structure of Fannie Mae and Freddie Mac have garnered attention from the U.S. Government. During the final year of the Trump Administration, FHFA established new regulatory capital requirements necessary for Fannie Mae and Freddie Mac to exit conservatorship, and the U.S. Treasury Department amended the terms of its liquidity backstop to enable Fannie Mae and Freddie Mac to retain a greater amount of capital in order to achieve these levels, subject to certain conditions. Since taking office, the Biden Administration and the FHFA have delayed implementation or reversed some of these initiatives and have taken steps intended to advance other housing finance policy objectives. Although the FHFA has adopted amendments to GSE regulatory capital requirements, it has also taken steps to implement them, including by permitting the GSEs to charge fees that seek to offset related capital charges on certain Agency RMBS. These or future administrative actions may significantly impact the source, pricing, volume and nature of Agency RMBS and other mortgage securities that Fannie Mae and Freddie Mac issue.</w:t>
      </w:r>
    </w:p>
    <w:p>
      <w:pPr>
        <w:spacing w:after="0" w:line="151"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Further administrative and/or legislative actions may be taken that affect structural GSE and federal housing finance reform, alter the amount or nature of the credit support provided by the U.S. Treasury to Fannie Mae and Freddie Mac, modify the future roles of Fannie Mae and Freddie Mac in housing finance or otherwise impact the value or relative fungibility of Agency RMBS issued by each GSE. Such actions may create market uncertainty, may have the effect of reducing the actual or perceived credit quality of securities issued or guaranteed by them or may otherwise impact the size and scope of the Agency RMBS markets. To the extent such actions would terminate the conservatorships without also providing for a sufficiently robust U.S. government guaranty, they could re-define what constitutes an Agency security and subject Agency RMBS to greater credit risk, make them more difficult to finance, and cause their values to decline, all of which could have broad adverse implications for the mortgage markets and our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and trading volume of our common stock may be volatile.</w:t>
      </w:r>
    </w:p>
    <w:p>
      <w:pPr>
        <w:spacing w:after="0" w:line="199"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The market price and trading volume of our common stock may be highly volatile and subject to wide fluctuations. If the market price of our common stock declines significantly, stockholders may be unable to resell shares at a gain. Furthermore, fluctuations in the trading price of our common stock may adversely affect the liquidity of our common stock and our ability to</w:t>
      </w:r>
    </w:p>
    <w:p>
      <w:pPr>
        <w:sectPr>
          <w:pgSz w:w="12240" w:h="15840" w:orient="portrait"/>
          <w:cols w:equalWidth="0" w:num="1">
            <w:col w:w="10260"/>
          </w:cols>
          <w:pgMar w:left="1000" w:top="784" w:right="980" w:bottom="0" w:gutter="0" w:footer="0" w:header="0"/>
        </w:sect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260"/>
          </w:cols>
          <w:pgMar w:left="1000" w:top="784" w:right="980" w:bottom="0" w:gutter="0" w:footer="0" w:header="0"/>
          <w:type w:val="continuous"/>
        </w:sectPr>
      </w:pPr>
    </w:p>
    <w:bookmarkStart w:id="30" w:name="page31"/>
    <w:bookmarkEnd w:id="30"/>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raise additional equity capital. Price fluctuations may result in our stock trading below our reported net tangible book value per share for extended periods of time. Variations in the price of our common stock can be affected by any one of the risk factors described herein. Variations may also occur due to a variety of factors unrelated to our financial performance, such as:</w:t>
      </w:r>
    </w:p>
    <w:p>
      <w:pPr>
        <w:spacing w:after="0" w:line="135" w:lineRule="exact"/>
        <w:rPr>
          <w:sz w:val="20"/>
          <w:szCs w:val="20"/>
          <w:color w:val="auto"/>
        </w:rPr>
      </w:pPr>
    </w:p>
    <w:p>
      <w:pPr>
        <w:ind w:left="720" w:right="20" w:hanging="280"/>
        <w:spacing w:after="0" w:line="26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and economic conditions, including actual and anticipated changes in interest rates and mortgage spreads;</w:t>
      </w:r>
    </w:p>
    <w:p>
      <w:pPr>
        <w:spacing w:after="0" w:line="1" w:lineRule="exact"/>
        <w:rPr>
          <w:rFonts w:ascii="Times New Roman" w:cs="Times New Roman" w:eastAsia="Times New Roman" w:hAnsi="Times New Roman"/>
          <w:sz w:val="20"/>
          <w:szCs w:val="20"/>
          <w:color w:val="auto"/>
        </w:rPr>
      </w:pPr>
    </w:p>
    <w:p>
      <w:pPr>
        <w:ind w:left="720" w:right="20" w:hanging="28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government policy, rules and regulations applicable to mortgage REITs, including tax laws, financial accounting and reporting standards, and exemptions from the Investment Company Act of 1940, as amended;</w:t>
      </w:r>
    </w:p>
    <w:p>
      <w:pPr>
        <w:ind w:left="720" w:right="20" w:hanging="28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variations in our quarterly operating results as well as relative to levels expected by securities analysts;</w:t>
      </w:r>
    </w:p>
    <w:p>
      <w:pPr>
        <w:ind w:left="720" w:right="20" w:hanging="28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issuance of shares of common stock or securities convertible into common stock, which may be issued at a price below tangible net book value per share of common stock;</w:t>
      </w:r>
    </w:p>
    <w:p>
      <w:pPr>
        <w:ind w:left="720" w:hanging="28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market valuations of similar companies;</w:t>
      </w:r>
    </w:p>
    <w:p>
      <w:pPr>
        <w:spacing w:after="0" w:line="10" w:lineRule="exact"/>
        <w:rPr>
          <w:rFonts w:ascii="Times New Roman" w:cs="Times New Roman" w:eastAsia="Times New Roman" w:hAnsi="Times New Roman"/>
          <w:sz w:val="20"/>
          <w:szCs w:val="20"/>
          <w:color w:val="auto"/>
        </w:rPr>
      </w:pPr>
    </w:p>
    <w:p>
      <w:pPr>
        <w:ind w:left="720" w:hanging="280"/>
        <w:spacing w:after="0" w:line="25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market reaction to any increased indebtedness we incur in the future or issuance of preferred stock senior in priority to our common stock;</w:t>
      </w:r>
    </w:p>
    <w:p>
      <w:pPr>
        <w:ind w:left="720" w:hanging="28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by stockholders, individually or collectively;</w:t>
      </w:r>
    </w:p>
    <w:p>
      <w:pPr>
        <w:spacing w:after="0" w:line="1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management personnel;</w:t>
      </w:r>
    </w:p>
    <w:p>
      <w:pPr>
        <w:spacing w:after="0" w:line="1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speculation in the press or investment community;</w:t>
      </w:r>
    </w:p>
    <w:p>
      <w:pPr>
        <w:spacing w:after="0" w:line="1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our dividend policy; and</w:t>
      </w:r>
    </w:p>
    <w:p>
      <w:pPr>
        <w:spacing w:after="0" w:line="1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our targeted investments or investment guidelines.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not established a minimum dividend payment level and may be unable to pay dividends in the future.</w:t>
      </w:r>
    </w:p>
    <w:p>
      <w:pPr>
        <w:spacing w:after="0" w:line="19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We intend to pay monthly dividends to our common stockholders in an amount that all or substantially all our taxable income is distributed within the limits prescribed by the Internal Revenue Code. However, we have not established a minimum dividend payment level and the amount of our dividend may fluctuate. Our ability to pay dividends may be adversely affected by the risk factors described herein. All distributions will be made at the discretion of our Board of Directors and will depend on our earnings and financial condition, the requirements for REIT qualification and such other factors as our Board of Directors deems relevant from time to time. Additionally, our preferred stock has a preference on dividend payments and liquidating distributions that could limit our ability to pay dividends to the holders of our common stock. Therefore, we may not be able to make distributions in the future or our Board of Directors may change our dividend policy.</w:t>
      </w:r>
    </w:p>
    <w:p>
      <w:pPr>
        <w:spacing w:after="0" w:line="14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generally does not permit ownership of more than 9.8% of our common or capital stock and attempts to acquire amounts above this limit will be ineffective unless an exemption is granted by our Board of Directors.</w:t>
      </w:r>
    </w:p>
    <w:p>
      <w:pPr>
        <w:spacing w:after="0" w:line="117"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For the purpose of complying with REIT ownership limitations under the Internal Revenue Code, our amended and restated certificate of incorporation generally prohibits beneficial or constructive ownership by any person of more than 9.8% of our common or capital stock (by value or by number of shares, whichever is more restrictive), unless exempted by our Board of Directors. Such constructive ownership rules are complex and may cause the outstanding stock owned by a group of related individuals or entities to be deemed to be constructively owned by one individual or entity. As a result, the acquisition of 9.8% or less of the outstanding stock by an individual, entity or group could result in constructive ownership greater than 9.8% and thus be subject to our amended and restated certificate of incorporation's ownership limit. Any attempt to own or transfer shares of our common or preferred stock more than the ownership limit without the consent of the Board of Directors will result in the shares being automatically transferred to a charitable trust or, if the transfer to a charitable trust would not be effective, such transfer being treated as invalid from the outset. Such ownership limit could also delay or prevent a transaction or a change in our control that might involve a premium price for our common stock or otherwise be in the best interest of our stockholders.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1B. </w:t>
      </w:r>
      <w:r>
        <w:rPr>
          <w:rFonts w:ascii="Times New Roman" w:cs="Times New Roman" w:eastAsia="Times New Roman" w:hAnsi="Times New Roman"/>
          <w:sz w:val="20"/>
          <w:szCs w:val="20"/>
          <w:b w:val="1"/>
          <w:bCs w:val="1"/>
          <w:i w:val="1"/>
          <w:iCs w:val="1"/>
          <w:color w:val="auto"/>
        </w:rPr>
        <w:t>Unresolved Staff Comments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1C. </w:t>
      </w:r>
      <w:r>
        <w:rPr>
          <w:rFonts w:ascii="Times New Roman" w:cs="Times New Roman" w:eastAsia="Times New Roman" w:hAnsi="Times New Roman"/>
          <w:sz w:val="20"/>
          <w:szCs w:val="20"/>
          <w:b w:val="1"/>
          <w:bCs w:val="1"/>
          <w:i w:val="1"/>
          <w:iCs w:val="1"/>
          <w:color w:val="auto"/>
        </w:rPr>
        <w:t>Cybersecurity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197" w:lineRule="exact"/>
        <w:rPr>
          <w:sz w:val="20"/>
          <w:szCs w:val="20"/>
          <w:color w:val="auto"/>
        </w:rPr>
      </w:pPr>
    </w:p>
    <w:p>
      <w:pPr>
        <w:jc w:val="both"/>
        <w:ind w:firstLine="450"/>
        <w:spacing w:after="0" w:line="271" w:lineRule="auto"/>
        <w:rPr>
          <w:sz w:val="20"/>
          <w:szCs w:val="20"/>
          <w:color w:val="auto"/>
        </w:rPr>
      </w:pPr>
      <w:r>
        <w:rPr>
          <w:rFonts w:ascii="Times New Roman" w:cs="Times New Roman" w:eastAsia="Times New Roman" w:hAnsi="Times New Roman"/>
          <w:sz w:val="19"/>
          <w:szCs w:val="19"/>
          <w:color w:val="auto"/>
        </w:rPr>
        <w:t>We maintain an active cybersecurity risk management and strategy program to address the risks of cybersecurity threats to our business. Our cybersecurity program aligns with the NIST Cybersecurity Framework, and we conduct reviews of its effectiveness on a regular basis through annual testing, periodic third-party evaluations of our processes and controls, and ongoing surveillance. This program involves the use of cybersecurity tools to identify, protect, detect, respond, and recover from cybersecurity threats. Additionally, we engage with third-party cybersecurity consultants and other professional advisors to gain insight and knowledge into emerging threats, industry trends and emerging practices. Annually, we review cybersecurity risk in the context of our overall enterprise risk management assessment. As a component of these processes, our management</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260"/>
          </w:cols>
          <w:pgMar w:left="1000" w:top="793" w:right="980" w:bottom="0" w:gutter="0" w:footer="0" w:header="0"/>
          <w:type w:val="continuous"/>
        </w:sectPr>
      </w:pPr>
    </w:p>
    <w:bookmarkStart w:id="31" w:name="page32"/>
    <w:bookmarkEnd w:id="31"/>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team, including our Senior Vice President and Chief Technology Officer, identifies and assesses the likelihood and magnitude of risks, on both inherent and residual basis. These evaluations inform our overall cybersecurity strategy.</w:t>
      </w:r>
    </w:p>
    <w:p>
      <w:pPr>
        <w:spacing w:after="0" w:line="121"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Our business operations depend significantly on third party service providers. We have processes in place to evaluate the operational and cybersecurity risks posed to us by third parties on whom we are reliant for these services at the inception of our engagement, and we annually review third-party firms that pose the greatest risks to our business and operations from cybersecurity threats. Nonetheless, we rely on the third parties we use to implement security programs commensurate with their own risk, and we cannot ensure that their efforts will be successful.</w:t>
      </w:r>
    </w:p>
    <w:p>
      <w:pPr>
        <w:spacing w:after="0" w:line="144"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20"/>
          <w:szCs w:val="20"/>
          <w:color w:val="auto"/>
        </w:rPr>
        <w:t xml:space="preserve">Our primary business involves investments in mortgages and mortgage instruments, but we do not perform mortgage servicing, maintain customer accounts, or provide any direct mortgage lending. Nor do we receive personal information on individual mortgage borrowers as part of our regular operations. However, our business is highly dependent on the availability of information systems, and a cybersecurity incident, if one were to occur, could have the potential to disrupt our operations. Please refer to </w:t>
      </w:r>
      <w:r>
        <w:rPr>
          <w:rFonts w:ascii="Times New Roman" w:cs="Times New Roman" w:eastAsia="Times New Roman" w:hAnsi="Times New Roman"/>
          <w:sz w:val="20"/>
          <w:szCs w:val="20"/>
          <w:b w:val="1"/>
          <w:bCs w:val="1"/>
          <w:i w:val="1"/>
          <w:iCs w:val="1"/>
          <w:color w:val="auto"/>
        </w:rPr>
        <w:t>Risks Related to Our Business Operations</w:t>
      </w:r>
      <w:r>
        <w:rPr>
          <w:rFonts w:ascii="Times New Roman" w:cs="Times New Roman" w:eastAsia="Times New Roman" w:hAnsi="Times New Roman"/>
          <w:sz w:val="20"/>
          <w:szCs w:val="20"/>
          <w:color w:val="auto"/>
        </w:rPr>
        <w:t xml:space="preserve"> in Item 1A.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 xml:space="preserve"> of this Form 10-K for a further discussion of the risks posed by cybersecurity threats.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 and Oversight</w:t>
      </w:r>
    </w:p>
    <w:p>
      <w:pPr>
        <w:spacing w:after="0" w:line="197"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The Audit Committee of the Board of Directors has responsibility to oversee management’s strategy to address risks from cybersecurity threats. The Audit Committee periodically reviews with management the Company’s policies, controls, and procedures used to identify, mitigate, and manage cybersecurity risks. To accomplish this objective, we have established processes for reporting cybersecurity risks to the Audit Committee of the Board of Directors on a quarterly basis. This report, which is prepared by our Senior Vice President and Chief Technology Officer, includes performance as against key performance indicators (KPIs) and service level objectives specifically defined to measure the effectiveness of our cybersecurity controls and risk management efforts, current threat landscape, and strategy. In addition, on an annual basis the Company’s Senior Vice President and Chief Technology Officer presents to the Audit Committee on cybersecurity matters, including material changes to the Company’s information systems, policies and controls, the results of penetration and other testing and findings from any third-party reviews. Our Audit Committee is committed to maintaining a well-informed and cybersecurity-aware posture, regularly engaging by receiving scheduled and requested updates on our strategy to address risks from cybersecurity threats and the evolving threat landscape. The Board of Directors also is appraised of cybersecurity risks as part of its review of management’s annual enterprise risk management assessment.</w:t>
      </w:r>
    </w:p>
    <w:p>
      <w:pPr>
        <w:spacing w:after="0" w:line="148"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Management plays a pivotal role in identifying, assessing, and managing material risks from cybersecurity threats. This involves continuous monitoring, analyzing emerging threats, and the development and implementation of risk mitigation strategies. Led by our Senior Vice President and Chief Technology Officer with over 20 years of cyber and risk management experience, the Company actively implements and enforces cybersecurity policies, procedures, and strategies, including employee training programs, security assessments, and updates to ensure alignment with our evolving threat landscape.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2. </w:t>
      </w:r>
      <w:r>
        <w:rPr>
          <w:rFonts w:ascii="Times New Roman" w:cs="Times New Roman" w:eastAsia="Times New Roman" w:hAnsi="Times New Roman"/>
          <w:sz w:val="20"/>
          <w:szCs w:val="20"/>
          <w:b w:val="1"/>
          <w:bCs w:val="1"/>
          <w:i w:val="1"/>
          <w:iCs w:val="1"/>
          <w:color w:val="auto"/>
        </w:rPr>
        <w:t>Properties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3. </w:t>
      </w:r>
      <w:r>
        <w:rPr>
          <w:rFonts w:ascii="Times New Roman" w:cs="Times New Roman" w:eastAsia="Times New Roman" w:hAnsi="Times New Roman"/>
          <w:sz w:val="20"/>
          <w:szCs w:val="20"/>
          <w:b w:val="1"/>
          <w:bCs w:val="1"/>
          <w:i w:val="1"/>
          <w:iCs w:val="1"/>
          <w:color w:val="auto"/>
        </w:rPr>
        <w:t>Legal Proceedings</w:t>
      </w:r>
    </w:p>
    <w:p>
      <w:pPr>
        <w:spacing w:after="0" w:line="139"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4. </w:t>
      </w:r>
      <w:r>
        <w:rPr>
          <w:rFonts w:ascii="Times New Roman" w:cs="Times New Roman" w:eastAsia="Times New Roman" w:hAnsi="Times New Roman"/>
          <w:sz w:val="20"/>
          <w:szCs w:val="20"/>
          <w:b w:val="1"/>
          <w:bCs w:val="1"/>
          <w:i w:val="1"/>
          <w:iCs w:val="1"/>
          <w:color w:val="auto"/>
        </w:rPr>
        <w:t>Mine Safety Disclosures</w:t>
      </w:r>
    </w:p>
    <w:p>
      <w:pPr>
        <w:spacing w:after="0" w:line="1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260"/>
          </w:cols>
          <w:pgMar w:left="1000" w:top="793" w:right="980" w:bottom="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b w:val="1"/>
          <w:bCs w:val="1"/>
          <w:color w:val="auto"/>
        </w:rPr>
        <w:t xml:space="preserve">Item 5. </w:t>
      </w:r>
      <w:r>
        <w:rPr>
          <w:rFonts w:ascii="Times New Roman" w:cs="Times New Roman" w:eastAsia="Times New Roman" w:hAnsi="Times New Roman"/>
          <w:sz w:val="19"/>
          <w:szCs w:val="19"/>
          <w:b w:val="1"/>
          <w:bCs w:val="1"/>
          <w:i w:val="1"/>
          <w:iCs w:val="1"/>
          <w:color w:val="auto"/>
        </w:rPr>
        <w:t>Market for Registrant's Common Equity, Related Stockholder Matters and Issuer Purchases of Equity Securities</w:t>
      </w:r>
    </w:p>
    <w:p>
      <w:pPr>
        <w:spacing w:after="0" w:line="185"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Our common stock is listed on the Nasdaq Global Select Market under the symbol "AGNC." As of January 31, 2024, 695,015,141 shares of common stock were issued and outstanding, which were held by 1,464 stockholders of record. Most of the shares of our common stock are held by brokers and other institutions on behalf of stockholders.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97"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We intend to pay dividends monthly to our common stockholders and to continue to qualify for the tax benefits accorded to a REIT under the Internal Revenue Code. We have not established a minimum dividend payment level and our ability to pay dividends may be adversely affected for the reasons described under the caption "Risk Factors." Additionally, holders of depositary shares underlying our preferred stock are entitled to receive cumulative cash dividends before holders of our common stock are entitled to receive any dividends. See Note 9 to our Consolidated Financial Statements in this Form 10-K for a description of our preferred stock and for common and preferred stock dividends paid for the three years ended December 31, 2023. All distributions to stockholders will be made at the discretion of our Board of Directors and will depend on our earnings, financial condition, maintenance of our REIT status and other factors as our Board of Directors may deem relevant from time to time.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97" w:lineRule="exact"/>
        <w:rPr>
          <w:sz w:val="20"/>
          <w:szCs w:val="20"/>
          <w:color w:val="auto"/>
        </w:rPr>
      </w:pPr>
    </w:p>
    <w:p>
      <w:pPr>
        <w:jc w:val="both"/>
        <w:ind w:right="20" w:firstLine="549"/>
        <w:spacing w:after="0" w:line="260" w:lineRule="auto"/>
        <w:rPr>
          <w:sz w:val="20"/>
          <w:szCs w:val="20"/>
          <w:color w:val="auto"/>
        </w:rPr>
      </w:pPr>
      <w:r>
        <w:rPr>
          <w:rFonts w:ascii="Times New Roman" w:cs="Times New Roman" w:eastAsia="Times New Roman" w:hAnsi="Times New Roman"/>
          <w:sz w:val="20"/>
          <w:szCs w:val="20"/>
          <w:color w:val="auto"/>
        </w:rPr>
        <w:t>The following table summarizes information, as of December 31, 2023, concerning shares of our common stock authorized for issuance under our equity compensation plans, pursuant to which grants of equity-based awards, namely restricted stock units ("RSUs"), may be granted from time to time. See Notes 2 and 10 to our Consolidated Financial Statements in this Form 10-K for a description of our equity compensation plans.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securities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 securities</w:t>
            </w: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20" w:type="dxa"/>
            <w:vAlign w:val="bottom"/>
          </w:tcPr>
          <w:p>
            <w:pPr>
              <w:spacing w:after="0"/>
              <w:rPr>
                <w:sz w:val="13"/>
                <w:szCs w:val="13"/>
                <w:color w:val="auto"/>
              </w:rPr>
            </w:pPr>
          </w:p>
        </w:tc>
        <w:tc>
          <w:tcPr>
            <w:tcW w:w="19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 available for</w:t>
            </w: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to be issued upon</w:t>
            </w:r>
          </w:p>
        </w:tc>
        <w:tc>
          <w:tcPr>
            <w:tcW w:w="1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future issuance under</w:t>
            </w: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120" w:type="dxa"/>
            <w:vAlign w:val="bottom"/>
          </w:tcPr>
          <w:p>
            <w:pPr>
              <w:spacing w:after="0"/>
              <w:rPr>
                <w:sz w:val="13"/>
                <w:szCs w:val="13"/>
                <w:color w:val="auto"/>
              </w:rPr>
            </w:pPr>
          </w:p>
        </w:tc>
        <w:tc>
          <w:tcPr>
            <w:tcW w:w="13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120" w:type="dxa"/>
            <w:vAlign w:val="bottom"/>
          </w:tcPr>
          <w:p>
            <w:pPr>
              <w:spacing w:after="0"/>
              <w:rPr>
                <w:sz w:val="13"/>
                <w:szCs w:val="13"/>
                <w:color w:val="auto"/>
              </w:rPr>
            </w:pPr>
          </w:p>
        </w:tc>
        <w:tc>
          <w:tcPr>
            <w:tcW w:w="19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equity compensation plans</w:t>
            </w: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14"/>
              <w:spacing w:after="0" w:line="160" w:lineRule="exact"/>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0" w:type="dxa"/>
            <w:vAlign w:val="bottom"/>
          </w:tcPr>
          <w:p>
            <w:pPr>
              <w:spacing w:after="0"/>
              <w:rPr>
                <w:sz w:val="13"/>
                <w:szCs w:val="13"/>
                <w:color w:val="auto"/>
              </w:rPr>
            </w:pPr>
          </w:p>
        </w:tc>
        <w:tc>
          <w:tcPr>
            <w:tcW w:w="19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(excluding securities</w:t>
            </w:r>
          </w:p>
        </w:tc>
        <w:tc>
          <w:tcPr>
            <w:tcW w:w="0" w:type="dxa"/>
            <w:vAlign w:val="bottom"/>
          </w:tcPr>
          <w:p>
            <w:pPr>
              <w:spacing w:after="0"/>
              <w:rPr>
                <w:sz w:val="1"/>
                <w:szCs w:val="1"/>
                <w:color w:val="auto"/>
              </w:rPr>
            </w:pPr>
          </w:p>
        </w:tc>
      </w:tr>
      <w:tr>
        <w:trPr>
          <w:trHeight w:val="160"/>
        </w:trPr>
        <w:tc>
          <w:tcPr>
            <w:tcW w:w="5080" w:type="dxa"/>
            <w:vAlign w:val="bottom"/>
            <w:vMerge w:val="restart"/>
          </w:tcPr>
          <w:p>
            <w:pPr>
              <w:ind w:left="204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80" w:type="dxa"/>
            <w:vAlign w:val="bottom"/>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warrants</w:t>
            </w:r>
          </w:p>
        </w:tc>
        <w:tc>
          <w:tcPr>
            <w:tcW w:w="120" w:type="dxa"/>
            <w:vAlign w:val="bottom"/>
          </w:tcPr>
          <w:p>
            <w:pPr>
              <w:spacing w:after="0"/>
              <w:rPr>
                <w:sz w:val="13"/>
                <w:szCs w:val="13"/>
                <w:color w:val="auto"/>
              </w:rPr>
            </w:pPr>
          </w:p>
        </w:tc>
        <w:tc>
          <w:tcPr>
            <w:tcW w:w="13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options, warrants</w:t>
            </w:r>
          </w:p>
        </w:tc>
        <w:tc>
          <w:tcPr>
            <w:tcW w:w="120" w:type="dxa"/>
            <w:vAlign w:val="bottom"/>
          </w:tcPr>
          <w:p>
            <w:pPr>
              <w:spacing w:after="0"/>
              <w:rPr>
                <w:sz w:val="13"/>
                <w:szCs w:val="13"/>
                <w:color w:val="auto"/>
              </w:rPr>
            </w:pPr>
          </w:p>
        </w:tc>
        <w:tc>
          <w:tcPr>
            <w:tcW w:w="19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reflected in the first</w:t>
            </w:r>
          </w:p>
        </w:tc>
        <w:tc>
          <w:tcPr>
            <w:tcW w:w="0" w:type="dxa"/>
            <w:vAlign w:val="bottom"/>
          </w:tcPr>
          <w:p>
            <w:pPr>
              <w:spacing w:after="0"/>
              <w:rPr>
                <w:sz w:val="1"/>
                <w:szCs w:val="1"/>
                <w:color w:val="auto"/>
              </w:rPr>
            </w:pPr>
          </w:p>
        </w:tc>
      </w:tr>
      <w:tr>
        <w:trPr>
          <w:trHeight w:val="214"/>
        </w:trPr>
        <w:tc>
          <w:tcPr>
            <w:tcW w:w="5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9"/>
              </w:rPr>
              <w:t xml:space="preserve">and rights </w:t>
            </w:r>
            <w:r>
              <w:rPr>
                <w:rFonts w:ascii="Times New Roman" w:cs="Times New Roman" w:eastAsia="Times New Roman" w:hAnsi="Times New Roman"/>
                <w:sz w:val="20"/>
                <w:szCs w:val="20"/>
                <w:b w:val="1"/>
                <w:bCs w:val="1"/>
                <w:color w:val="auto"/>
                <w:w w:val="99"/>
                <w:vertAlign w:val="superscript"/>
              </w:rPr>
              <w:t>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and rights</w:t>
            </w:r>
          </w:p>
        </w:tc>
        <w:tc>
          <w:tcPr>
            <w:tcW w:w="120" w:type="dxa"/>
            <w:vAlign w:val="bottom"/>
          </w:tcPr>
          <w:p>
            <w:pPr>
              <w:spacing w:after="0"/>
              <w:rPr>
                <w:sz w:val="18"/>
                <w:szCs w:val="18"/>
                <w:color w:val="auto"/>
              </w:rPr>
            </w:pPr>
          </w:p>
        </w:tc>
        <w:tc>
          <w:tcPr>
            <w:tcW w:w="194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9"/>
              </w:rPr>
              <w:t xml:space="preserve">column of this table) </w:t>
            </w:r>
            <w:r>
              <w:rPr>
                <w:rFonts w:ascii="Times New Roman" w:cs="Times New Roman" w:eastAsia="Times New Roman" w:hAnsi="Times New Roman"/>
                <w:sz w:val="20"/>
                <w:szCs w:val="20"/>
                <w:b w:val="1"/>
                <w:bCs w:val="1"/>
                <w:color w:val="auto"/>
                <w:w w:val="99"/>
                <w:vertAlign w:val="superscript"/>
              </w:rPr>
              <w:t>2</w:t>
            </w:r>
          </w:p>
        </w:tc>
        <w:tc>
          <w:tcPr>
            <w:tcW w:w="0" w:type="dxa"/>
            <w:vAlign w:val="bottom"/>
          </w:tcPr>
          <w:p>
            <w:pPr>
              <w:spacing w:after="0"/>
              <w:rPr>
                <w:sz w:val="1"/>
                <w:szCs w:val="1"/>
                <w:color w:val="auto"/>
              </w:rPr>
            </w:pPr>
          </w:p>
        </w:tc>
      </w:tr>
      <w:tr>
        <w:trPr>
          <w:trHeight w:val="290"/>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18"/>
                <w:szCs w:val="18"/>
                <w:color w:val="B4B4B4"/>
              </w:rPr>
              <w:t>....................</w:t>
            </w:r>
          </w:p>
        </w:tc>
        <w:tc>
          <w:tcPr>
            <w:tcW w:w="1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8,649,016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28,655,641</w:t>
            </w:r>
          </w:p>
        </w:tc>
        <w:tc>
          <w:tcPr>
            <w:tcW w:w="0" w:type="dxa"/>
            <w:vAlign w:val="bottom"/>
          </w:tcPr>
          <w:p>
            <w:pPr>
              <w:spacing w:after="0"/>
              <w:rPr>
                <w:sz w:val="1"/>
                <w:szCs w:val="1"/>
                <w:color w:val="auto"/>
              </w:rPr>
            </w:pPr>
          </w:p>
        </w:tc>
      </w:tr>
      <w:tr>
        <w:trPr>
          <w:trHeight w:val="320"/>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18"/>
                <w:szCs w:val="18"/>
                <w:color w:val="B4B4B4"/>
              </w:rPr>
              <w:t>.............</w:t>
            </w:r>
          </w:p>
        </w:tc>
        <w:tc>
          <w:tcPr>
            <w:tcW w:w="80" w:type="dxa"/>
            <w:vAlign w:val="bottom"/>
          </w:tcPr>
          <w:p>
            <w:pPr>
              <w:spacing w:after="0"/>
              <w:rPr>
                <w:sz w:val="24"/>
                <w:szCs w:val="24"/>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5"/>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8,649,016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rPr>
              <w:t>28,655,641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________________________________</w:t>
            </w: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3244850</wp:posOffset>
            </wp:positionH>
            <wp:positionV relativeFrom="paragraph">
              <wp:posOffset>-172085</wp:posOffset>
            </wp:positionV>
            <wp:extent cx="3279775" cy="762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4">
                      <a:extLst>
                        <a:ext uri="{28A0092B-C50C-407E-A947-70E740481C1C}"/>
                      </a:extLst>
                    </a:blip>
                    <a:srcRect/>
                    <a:stretch>
                      <a:fillRect/>
                    </a:stretch>
                  </pic:blipFill>
                  <pic:spPr bwMode="auto">
                    <a:xfrm>
                      <a:off x="0" y="0"/>
                      <a:ext cx="3279775" cy="76200"/>
                    </a:xfrm>
                    <a:prstGeom prst="rect">
                      <a:avLst/>
                    </a:prstGeom>
                    <a:noFill/>
                  </pic:spPr>
                </pic:pic>
              </a:graphicData>
            </a:graphic>
          </wp:anchor>
        </w:drawing>
      </w:r>
    </w:p>
    <w:p>
      <w:pPr>
        <w:jc w:val="both"/>
        <w:ind w:left="720" w:hanging="370"/>
        <w:spacing w:after="0" w:line="249" w:lineRule="auto"/>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unvested time and performance-based RSU awards (unvested performance-based awards assume the maximum payout under the terms of the award); (ii) outstanding previously vested awards, if distribution of such awards has been deferred beyond the vesting date; and (iii) accrued dividend equivalent units on items (i) and (ii) through December 31, 2023.</w:t>
      </w:r>
    </w:p>
    <w:p>
      <w:pPr>
        <w:spacing w:after="0" w:line="1" w:lineRule="exact"/>
        <w:rPr>
          <w:rFonts w:ascii="Times New Roman" w:cs="Times New Roman" w:eastAsia="Times New Roman" w:hAnsi="Times New Roman"/>
          <w:sz w:val="16"/>
          <w:szCs w:val="16"/>
          <w:color w:val="auto"/>
        </w:rPr>
      </w:pPr>
    </w:p>
    <w:p>
      <w:pPr>
        <w:ind w:left="720" w:right="20" w:hanging="370"/>
        <w:spacing w:after="0" w:line="260" w:lineRule="auto"/>
        <w:tabs>
          <w:tab w:leader="none" w:pos="7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Available shares are reduced by items (i), (ii) and (iii) noted above and by shares issued for vested awards, net of units withheld to cover minimum statutory tax withholding requirements paid by us in cash on behalf of the employee.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197"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The following graph and table compare a stockholder's cumulative total return, assuming $100 invested at December 31, 2018, with the reinvestment of all dividends, as if such amounts had been invested in: (i) our common stock; (ii) the stocks included in the Standard &amp; Poor's 500 Stock Index ("S&amp;P 500"); and (iii) the stocks included in the Bloomberg Mortgage REIT Index.</w:t>
      </w:r>
    </w:p>
    <w:p>
      <w:pPr>
        <w:sectPr>
          <w:pgSz w:w="12240" w:h="15840" w:orient="portrait"/>
          <w:cols w:equalWidth="0" w:num="1">
            <w:col w:w="10260"/>
          </w:cols>
          <w:pgMar w:left="1000" w:top="102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260"/>
          </w:cols>
          <w:pgMar w:left="1000" w:top="1026" w:right="980" w:bottom="0" w:gutter="0" w:footer="0" w:header="0"/>
          <w:type w:val="continuous"/>
        </w:sectPr>
      </w:pPr>
    </w:p>
    <w:bookmarkStart w:id="33" w:name="page34"/>
    <w:bookmarkEnd w:id="33"/>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Among AGNC Investment Corp., The S&amp;P 500 Index and</w:t>
      </w:r>
    </w:p>
    <w:p>
      <w:pPr>
        <w:spacing w:after="0" w:line="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The Bloomberg Mortgage REIT Index</w:t>
      </w:r>
    </w:p>
    <w:p>
      <w:pPr>
        <w:spacing w:after="0" w:line="177" w:lineRule="exact"/>
        <w:rPr>
          <w:sz w:val="20"/>
          <w:szCs w:val="20"/>
          <w:color w:val="auto"/>
        </w:rPr>
      </w:pPr>
    </w:p>
    <w:tbl>
      <w:tblPr>
        <w:tblLayout w:type="fixed"/>
        <w:tblInd w:w="900" w:type="dxa"/>
        <w:tblCellMar>
          <w:top w:w="0" w:type="dxa"/>
          <w:left w:w="0" w:type="dxa"/>
          <w:bottom w:w="0" w:type="dxa"/>
          <w:right w:w="0" w:type="dxa"/>
        </w:tblCellMar>
      </w:tblPr>
      <w:tr>
        <w:trPr>
          <w:trHeight w:val="209"/>
        </w:trPr>
        <w:tc>
          <w:tcPr>
            <w:tcW w:w="120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91"/>
              </w:rPr>
              <w:t>220</w:t>
            </w:r>
          </w:p>
        </w:tc>
        <w:tc>
          <w:tcPr>
            <w:tcW w:w="1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556"/>
        </w:trPr>
        <w:tc>
          <w:tcPr>
            <w:tcW w:w="120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91"/>
              </w:rPr>
              <w:t>200</w:t>
            </w: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6"/>
        </w:trPr>
        <w:tc>
          <w:tcPr>
            <w:tcW w:w="120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91"/>
              </w:rPr>
              <w:t>180</w:t>
            </w: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1"/>
        </w:trPr>
        <w:tc>
          <w:tcPr>
            <w:tcW w:w="120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91"/>
              </w:rPr>
              <w:t>160</w:t>
            </w: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6"/>
        </w:trPr>
        <w:tc>
          <w:tcPr>
            <w:tcW w:w="120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91"/>
              </w:rPr>
              <w:t>140</w:t>
            </w: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6"/>
        </w:trPr>
        <w:tc>
          <w:tcPr>
            <w:tcW w:w="120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91"/>
              </w:rPr>
              <w:t>120</w:t>
            </w: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6"/>
        </w:trPr>
        <w:tc>
          <w:tcPr>
            <w:tcW w:w="120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91"/>
              </w:rPr>
              <w:t>100</w:t>
            </w: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1"/>
        </w:trPr>
        <w:tc>
          <w:tcPr>
            <w:tcW w:w="120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rPr>
              <w:t>80</w:t>
            </w: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56"/>
        </w:trPr>
        <w:tc>
          <w:tcPr>
            <w:tcW w:w="120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rPr>
              <w:t>60</w:t>
            </w: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0"/>
        </w:trPr>
        <w:tc>
          <w:tcPr>
            <w:tcW w:w="120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12/31/18</w:t>
            </w:r>
          </w:p>
        </w:tc>
        <w:tc>
          <w:tcPr>
            <w:tcW w:w="192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rPr>
              <w:t>12/31/19</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12/31/20</w:t>
            </w:r>
          </w:p>
        </w:tc>
        <w:tc>
          <w:tcPr>
            <w:tcW w:w="14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12/31/21</w:t>
            </w:r>
          </w:p>
        </w:tc>
        <w:tc>
          <w:tcPr>
            <w:tcW w:w="2040" w:type="dxa"/>
            <w:vAlign w:val="bottom"/>
          </w:tcPr>
          <w:p>
            <w:pPr>
              <w:jc w:val="right"/>
              <w:ind w:right="525"/>
              <w:spacing w:after="0"/>
              <w:rPr>
                <w:sz w:val="20"/>
                <w:szCs w:val="20"/>
                <w:color w:val="auto"/>
              </w:rPr>
            </w:pPr>
            <w:r>
              <w:rPr>
                <w:rFonts w:ascii="Times New Roman" w:cs="Times New Roman" w:eastAsia="Times New Roman" w:hAnsi="Times New Roman"/>
                <w:sz w:val="16"/>
                <w:szCs w:val="16"/>
                <w:color w:val="auto"/>
              </w:rPr>
              <w:t>12/31/22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12/31/23</w:t>
            </w:r>
          </w:p>
        </w:tc>
      </w:tr>
      <w:tr>
        <w:trPr>
          <w:trHeight w:val="416"/>
        </w:trPr>
        <w:tc>
          <w:tcPr>
            <w:tcW w:w="1200" w:type="dxa"/>
            <w:vAlign w:val="bottom"/>
          </w:tcPr>
          <w:p>
            <w:pPr>
              <w:spacing w:after="0"/>
              <w:rPr>
                <w:sz w:val="24"/>
                <w:szCs w:val="24"/>
                <w:color w:val="auto"/>
              </w:rPr>
            </w:pPr>
          </w:p>
        </w:tc>
        <w:tc>
          <w:tcPr>
            <w:tcW w:w="192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AGNC Investment Corp.</w:t>
            </w:r>
          </w:p>
        </w:tc>
        <w:tc>
          <w:tcPr>
            <w:tcW w:w="780" w:type="dxa"/>
            <w:vAlign w:val="bottom"/>
          </w:tcPr>
          <w:p>
            <w:pPr>
              <w:spacing w:after="0"/>
              <w:rPr>
                <w:sz w:val="24"/>
                <w:szCs w:val="24"/>
                <w:color w:val="auto"/>
              </w:rPr>
            </w:pPr>
          </w:p>
        </w:tc>
        <w:tc>
          <w:tcPr>
            <w:tcW w:w="1480" w:type="dxa"/>
            <w:vAlign w:val="bottom"/>
          </w:tcPr>
          <w:p>
            <w:pPr>
              <w:jc w:val="right"/>
              <w:ind w:right="785"/>
              <w:spacing w:after="0"/>
              <w:rPr>
                <w:sz w:val="20"/>
                <w:szCs w:val="20"/>
                <w:color w:val="auto"/>
              </w:rPr>
            </w:pPr>
            <w:r>
              <w:rPr>
                <w:rFonts w:ascii="Times New Roman" w:cs="Times New Roman" w:eastAsia="Times New Roman" w:hAnsi="Times New Roman"/>
                <w:sz w:val="14"/>
                <w:szCs w:val="14"/>
                <w:color w:val="auto"/>
              </w:rPr>
              <w:t>S&amp;P 500</w:t>
            </w:r>
          </w:p>
        </w:tc>
        <w:tc>
          <w:tcPr>
            <w:tcW w:w="2040" w:type="dxa"/>
            <w:vAlign w:val="bottom"/>
          </w:tcPr>
          <w:p>
            <w:pPr>
              <w:jc w:val="right"/>
              <w:ind w:right="265"/>
              <w:spacing w:after="0"/>
              <w:rPr>
                <w:sz w:val="20"/>
                <w:szCs w:val="20"/>
                <w:color w:val="auto"/>
              </w:rPr>
            </w:pPr>
            <w:r>
              <w:rPr>
                <w:rFonts w:ascii="Times New Roman" w:cs="Times New Roman" w:eastAsia="Times New Roman" w:hAnsi="Times New Roman"/>
                <w:sz w:val="14"/>
                <w:szCs w:val="14"/>
                <w:color w:val="auto"/>
              </w:rPr>
              <w:t>Bloomberg Mortgage REITs</w:t>
            </w: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822325</wp:posOffset>
            </wp:positionH>
            <wp:positionV relativeFrom="paragraph">
              <wp:posOffset>-3282950</wp:posOffset>
            </wp:positionV>
            <wp:extent cx="4918075" cy="28708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5">
                      <a:extLst>
                        <a:ext uri="{28A0092B-C50C-407E-A947-70E740481C1C}"/>
                      </a:extLst>
                    </a:blip>
                    <a:srcRect/>
                    <a:stretch>
                      <a:fillRect/>
                    </a:stretch>
                  </pic:blipFill>
                  <pic:spPr bwMode="auto">
                    <a:xfrm>
                      <a:off x="0" y="0"/>
                      <a:ext cx="4918075" cy="2870835"/>
                    </a:xfrm>
                    <a:prstGeom prst="rect">
                      <a:avLst/>
                    </a:prstGeom>
                    <a:noFill/>
                  </pic:spPr>
                </pic:pic>
              </a:graphicData>
            </a:graphic>
          </wp:anchor>
        </w:drawing>
        <w:drawing>
          <wp:anchor simplePos="0" relativeHeight="251657728" behindDoc="1" locked="0" layoutInCell="0" allowOverlap="1">
            <wp:simplePos x="0" y="0"/>
            <wp:positionH relativeFrom="column">
              <wp:posOffset>1193800</wp:posOffset>
            </wp:positionH>
            <wp:positionV relativeFrom="paragraph">
              <wp:posOffset>-71755</wp:posOffset>
            </wp:positionV>
            <wp:extent cx="381000" cy="44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6">
                      <a:extLst>
                        <a:ext uri="{28A0092B-C50C-407E-A947-70E740481C1C}"/>
                      </a:extLst>
                    </a:blip>
                    <a:srcRect/>
                    <a:stretch>
                      <a:fillRect/>
                    </a:stretch>
                  </pic:blipFill>
                  <pic:spPr bwMode="auto">
                    <a:xfrm>
                      <a:off x="0" y="0"/>
                      <a:ext cx="381000" cy="44450"/>
                    </a:xfrm>
                    <a:prstGeom prst="rect">
                      <a:avLst/>
                    </a:prstGeom>
                    <a:noFill/>
                  </pic:spPr>
                </pic:pic>
              </a:graphicData>
            </a:graphic>
          </wp:anchor>
        </w:drawing>
        <w:drawing>
          <wp:anchor simplePos="0" relativeHeight="251657728" behindDoc="1" locked="0" layoutInCell="0" allowOverlap="1">
            <wp:simplePos x="0" y="0"/>
            <wp:positionH relativeFrom="column">
              <wp:posOffset>2698750</wp:posOffset>
            </wp:positionH>
            <wp:positionV relativeFrom="paragraph">
              <wp:posOffset>-100330</wp:posOffset>
            </wp:positionV>
            <wp:extent cx="381000" cy="101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7">
                      <a:extLst>
                        <a:ext uri="{28A0092B-C50C-407E-A947-70E740481C1C}"/>
                      </a:extLst>
                    </a:blip>
                    <a:srcRect/>
                    <a:stretch>
                      <a:fillRect/>
                    </a:stretch>
                  </pic:blipFill>
                  <pic:spPr bwMode="auto">
                    <a:xfrm>
                      <a:off x="0" y="0"/>
                      <a:ext cx="381000" cy="101600"/>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-100330</wp:posOffset>
            </wp:positionV>
            <wp:extent cx="381000" cy="101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8">
                      <a:extLst>
                        <a:ext uri="{28A0092B-C50C-407E-A947-70E740481C1C}"/>
                      </a:extLst>
                    </a:blip>
                    <a:srcRect/>
                    <a:stretch>
                      <a:fillRect/>
                    </a:stretch>
                  </pic:blipFill>
                  <pic:spPr bwMode="auto">
                    <a:xfrm>
                      <a:off x="0" y="0"/>
                      <a:ext cx="381000" cy="10160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right="4320" w:hanging="280"/>
        <w:spacing w:after="0" w:line="259" w:lineRule="auto"/>
        <w:tabs>
          <w:tab w:leader="none" w:pos="7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invested on 12/31/18 in stock or index, including reinvestment of dividends. Fiscal year ending December 31.</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280"/>
        </w:trPr>
        <w:tc>
          <w:tcPr>
            <w:tcW w:w="5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74"/>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AGNC Investment Corp.</w:t>
            </w:r>
            <w:r>
              <w:rPr>
                <w:rFonts w:ascii="Times New Roman" w:cs="Times New Roman" w:eastAsia="Times New Roman" w:hAnsi="Times New Roman"/>
                <w:sz w:val="16"/>
                <w:szCs w:val="16"/>
                <w:color w:val="B4B4B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117.30</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113.32</w:t>
            </w:r>
          </w:p>
        </w:tc>
      </w:tr>
      <w:tr>
        <w:trPr>
          <w:trHeight w:val="300"/>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S&amp;P 500 </w:t>
            </w:r>
            <w:r>
              <w:rPr>
                <w:rFonts w:ascii="Times New Roman" w:cs="Times New Roman" w:eastAsia="Times New Roman" w:hAnsi="Times New Roman"/>
                <w:sz w:val="16"/>
                <w:szCs w:val="16"/>
                <w:color w:val="B4B4B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200.29</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131.47</w:t>
            </w:r>
          </w:p>
        </w:tc>
      </w:tr>
      <w:tr>
        <w:trPr>
          <w:trHeight w:val="300"/>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Bloomberg Mortgage REITs</w:t>
            </w:r>
            <w:r>
              <w:rPr>
                <w:rFonts w:ascii="Times New Roman" w:cs="Times New Roman" w:eastAsia="Times New Roman" w:hAnsi="Times New Roman"/>
                <w:sz w:val="16"/>
                <w:szCs w:val="16"/>
                <w:color w:val="B4B4B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113.11</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123.63</w:t>
            </w:r>
          </w:p>
        </w:tc>
      </w:tr>
    </w:tbl>
    <w:p>
      <w:pPr>
        <w:spacing w:after="0" w:line="223" w:lineRule="exact"/>
        <w:rPr>
          <w:sz w:val="20"/>
          <w:szCs w:val="20"/>
          <w:color w:val="auto"/>
        </w:rPr>
      </w:pPr>
    </w:p>
    <w:p>
      <w:pPr>
        <w:jc w:val="both"/>
        <w:ind w:right="20" w:firstLine="564"/>
        <w:spacing w:after="0" w:line="266" w:lineRule="auto"/>
        <w:rPr>
          <w:sz w:val="20"/>
          <w:szCs w:val="20"/>
          <w:color w:val="auto"/>
        </w:rPr>
      </w:pPr>
      <w:r>
        <w:rPr>
          <w:rFonts w:ascii="Times New Roman" w:cs="Times New Roman" w:eastAsia="Times New Roman" w:hAnsi="Times New Roman"/>
          <w:sz w:val="20"/>
          <w:szCs w:val="20"/>
          <w:color w:val="auto"/>
        </w:rPr>
        <w:t>The information in the share performance graph and table has been obtained from sources believed to be reliable, but neither its accuracy nor its completeness can be guaranteed. The historical information set forth above is not necessarily indicative of future performance. Accordingly, we do not make or endorse any predictions as to future share performance.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260"/>
          </w:cols>
          <w:pgMar w:left="1000" w:top="127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260"/>
          </w:cols>
          <w:pgMar w:left="1000" w:top="1273" w:right="98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 xml:space="preserve">Item 7. </w:t>
      </w:r>
      <w:r>
        <w:rPr>
          <w:rFonts w:ascii="Times New Roman" w:cs="Times New Roman" w:eastAsia="Times New Roman" w:hAnsi="Times New Roman"/>
          <w:sz w:val="20"/>
          <w:szCs w:val="20"/>
          <w:b w:val="1"/>
          <w:bCs w:val="1"/>
          <w:i w:val="1"/>
          <w:iCs w:val="1"/>
          <w:color w:val="auto"/>
        </w:rPr>
        <w:t>Management's Discussion and Analysis of Financial Condition and Results of Operations</w:t>
      </w:r>
    </w:p>
    <w:p>
      <w:pPr>
        <w:spacing w:after="0" w:line="199" w:lineRule="exact"/>
        <w:rPr>
          <w:sz w:val="20"/>
          <w:szCs w:val="20"/>
          <w:color w:val="auto"/>
        </w:rPr>
      </w:pPr>
    </w:p>
    <w:p>
      <w:pPr>
        <w:jc w:val="both"/>
        <w:ind w:right="20" w:firstLine="450"/>
        <w:spacing w:after="0" w:line="260" w:lineRule="auto"/>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Annual Report on Form 10-K. Our MD&amp;A is presented in the following sections:</w:t>
      </w:r>
    </w:p>
    <w:p>
      <w:pPr>
        <w:spacing w:after="0" w:line="63" w:lineRule="exact"/>
        <w:rPr>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Overview</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Condition</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Summary of Critical Accounting Estimates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Operations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and Capital Resources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Off-Balance Sheet Arrangements</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OVERVIEW</w:t>
      </w:r>
    </w:p>
    <w:p>
      <w:pPr>
        <w:spacing w:after="0" w:line="197"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20"/>
          <w:szCs w:val="20"/>
          <w:color w:val="auto"/>
        </w:rPr>
        <w:t>We are a leading provider of private capital to the U.S. housing market, enhancing liquidity in the residential real estate mortgage markets and, in turn, facilitating home ownership in the U.S. We invest primarily in Agency RMBS on a leveraged basis. These investments consist of residential mortgage pass-through securities and collateralized mortgage obligations for which the principal and interest payments are guaranteed by a U.S. Government-sponsored enterprise, such as Fannie Mae and Freddie Mac, or by a U.S. Government agency, such as Ginnie Mae. We may also invest in other assets related to the housing, mortgage or real estate markets that are not guaranteed by a GSE or U.S. Government agency.</w:t>
      </w:r>
    </w:p>
    <w:p>
      <w:pPr>
        <w:spacing w:after="0" w:line="148"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44"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Trends and Recent Market Impacts</w:t>
      </w:r>
    </w:p>
    <w:p>
      <w:pPr>
        <w:spacing w:after="0" w:line="197"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The Federal Reserve continued its unprecedented dual-track approach to monetary policy tightening in 2023. Since the beginning of this cycle in 2022, the Federal Reserve has raised the Federal Funds rate by 525 basis points and reduced its balance sheet by $1.3 trillion. This aggressive Federal Reserve campaign and a number of other macroeconomic and geopolitical factors, including persistent inflation, regional bank failures and fears of broader financial contagion, political uncertainty regarding the U.S. debt ceiling and gross supply of U.S. Treasury securities, and significant global geopolitical events, led to sharply higher interest rate and Agency RMBS spread volatility throughout the year. While a number of the risks related to these factors remain and will continue to influence Agency RMBS performance going forward, market uncertainty about many of them has declined considerably from peak levels experienced during the year.</w:t>
      </w:r>
    </w:p>
    <w:p>
      <w:pPr>
        <w:spacing w:after="0" w:line="153"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The 10-year U.S. Treasury increased 170 basis points from the April 2023 low of 3.3% to nearly 5.0% in mid-October before declining 110 basis points to 3.9% at year end, ending the year unchanged. The current coupon Agency RMBS spread to a blend of 5- and 10-year Treasuries began the year at 145 basis points and reached 190 basis points in May and again in October, approximating levels that Agency RMBS spreads had previously reached since 2000 only during extreme financial market dislocations - the Great Financial Crisis and the peak of the Covid pandemic - before declining to 139 basis points at year end.</w:t>
      </w:r>
    </w:p>
    <w:p>
      <w:pPr>
        <w:spacing w:after="0" w:line="148"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Challenging fixed income environments underscore the importance of active portfolio management and prioritization of risk management. To that end, AGNC maintained a large interest rate hedge position, averaging over 115% of our repo funding and TBA position for 2023 and 2022, and a reduced leverage profile, averaging 7.4x and 7.8x of our tangible stockholders' equity for 2023 and 2022, respectively. In addition, our liquidity as a percentage of our stockholders' equity remained within normal operating levels despite the difficult environment, with unencumbered cash and Agency RMBS growing to $5.1 billion, or 66% of our tangible stockholders' equity, as of the end of 2023, up from $4.3 billion, or 59% of tangible stockholders’</w:t>
      </w:r>
    </w:p>
    <w:p>
      <w:pPr>
        <w:sectPr>
          <w:pgSz w:w="12240" w:h="15840" w:orient="portrait"/>
          <w:cols w:equalWidth="0" w:num="1">
            <w:col w:w="10260"/>
          </w:cols>
          <w:pgMar w:left="1000" w:top="784" w:right="980" w:bottom="0" w:gutter="0" w:footer="0" w:header="0"/>
        </w:sect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260"/>
          </w:cols>
          <w:pgMar w:left="1000" w:top="784" w:right="980" w:bottom="0" w:gutter="0" w:footer="0" w:header="0"/>
          <w:type w:val="continuous"/>
        </w:sectPr>
      </w:pPr>
    </w:p>
    <w:bookmarkStart w:id="35" w:name="page36"/>
    <w:bookmarkEnd w:id="35"/>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equity, the previous year-end. To capitalize on higher asset yields and wider spreads, in 2023, we continued to shift our asset portfolio away from TBA and lower coupon holdings toward a greater share of higher coupon, high-quality specified pools. As a result, the weighted average coupon on our fixed-rate Agency RMBS and TBA securities increased to 4.83% as of December 31, 2023 from 4.13% as of the previous year-end. Additionally, we opportunistically issued $1.1 billion and $0.5 billion in 2023 and 2022, respectively, of accretive common equity through our At-the-Market offering program to capitalize on our material price to book premium.</w:t>
      </w:r>
    </w:p>
    <w:p>
      <w:pPr>
        <w:spacing w:after="0" w:line="148"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20"/>
          <w:szCs w:val="20"/>
          <w:color w:val="auto"/>
        </w:rPr>
        <w:t>AGNC earned total comprehensive income of $0.30 per diluted common share for fiscal year 2023, versus a loss of $4.22 in fiscal year 2022. Our total economic return on tangible common equity was 3.0% for 2023, comprised of $1.44 dividends declared per common share and a $1.14 decline in tangible net book value per common share, compared to a loss of 28.4% for 2022. Net spread and dollar roll income (a non-GAAP measure) per diluted common share totaled $2.61 for fiscal year 2023, compared to $3.11 for 2022, as higher asset yields and our pay-fixed / receive-variable interest rate swap portfolio largely offset rising repo funding costs and declining TBA dollar roll income during the year.</w:t>
      </w:r>
    </w:p>
    <w:p>
      <w:pPr>
        <w:spacing w:after="0" w:line="148"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As a levered investor in Agency RMBS, AGNC's performance is primarily driven by changes in Agency RMBS spreads to benchmark interest rates and interest rate volatility. Looking ahead, although risk measures for volatility remain elevated by historical standards, we believe a more favorable investment environment for Agency RMBS is emerging, supported by three key developments. First, the Fed adopted a more neutral monetary policy stance in the fourth quarter and indicated that multiple rate cuts are possible in 2024 if inflation continues to improve as expected. Second, many of the factors that drove the high levels of interest rate volatility in 2023 have now largely subsided, which should, in turn, enhance the attractiveness of Agency RMBS and reduce the cost of our interest rate risk management activities. Third, Agency RMBS spreads appear to have settled into a new trading range, providing us additional confidence in our view that the secular spread widening associated with the Federal Reserve’s reduced presence in the Agency RMBS market has reached its conclusion. Importantly, the higher end of this recent trading range has held on several repeated occasions, as the nearly 2.0% yield benefit for Agency RMBS relative to Treasury securities at these wide spread levels led to strong incremental demand for Agency RMBS. These developments collectively position Agency RMBS as an attractive investment option, both on an absolute and relative basis, in our view, and form the basis for our positive investment outlook.</w:t>
      </w:r>
    </w:p>
    <w:p>
      <w:pPr>
        <w:spacing w:after="0" w:line="148" w:lineRule="exact"/>
        <w:rPr>
          <w:sz w:val="20"/>
          <w:szCs w:val="20"/>
          <w:color w:val="auto"/>
        </w:rPr>
      </w:pPr>
    </w:p>
    <w:p>
      <w:pPr>
        <w:jc w:val="both"/>
        <w:ind w:right="20" w:firstLine="450"/>
        <w:spacing w:after="0" w:line="261" w:lineRule="auto"/>
        <w:rPr>
          <w:sz w:val="20"/>
          <w:szCs w:val="20"/>
          <w:color w:val="auto"/>
        </w:rPr>
      </w:pPr>
      <w:r>
        <w:rPr>
          <w:rFonts w:ascii="Times New Roman" w:cs="Times New Roman" w:eastAsia="Times New Roman" w:hAnsi="Times New Roman"/>
          <w:sz w:val="20"/>
          <w:szCs w:val="20"/>
          <w:color w:val="auto"/>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7A. </w:t>
      </w:r>
      <w:r>
        <w:rPr>
          <w:rFonts w:ascii="Times New Roman" w:cs="Times New Roman" w:eastAsia="Times New Roman" w:hAnsi="Times New Roman"/>
          <w:sz w:val="20"/>
          <w:szCs w:val="20"/>
          <w:b w:val="1"/>
          <w:bCs w:val="1"/>
          <w:i w:val="1"/>
          <w:iCs w:val="1"/>
          <w:color w:val="auto"/>
        </w:rPr>
        <w:t xml:space="preserve">Quantitative and Qualitative Disclosures about Market Risk </w:t>
      </w:r>
      <w:r>
        <w:rPr>
          <w:rFonts w:ascii="Times New Roman" w:cs="Times New Roman" w:eastAsia="Times New Roman" w:hAnsi="Times New Roman"/>
          <w:sz w:val="20"/>
          <w:szCs w:val="20"/>
          <w:color w:val="auto"/>
        </w:rPr>
        <w:t>in this form 10-K.</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60"/>
          </w:cols>
          <w:pgMar w:left="1000" w:top="793" w:right="98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i w:val="1"/>
          <w:iCs w:val="1"/>
          <w:color w:val="auto"/>
        </w:rPr>
        <w:t>Market Information</w:t>
      </w:r>
    </w:p>
    <w:p>
      <w:pPr>
        <w:spacing w:after="0" w:line="199" w:lineRule="exact"/>
        <w:rPr>
          <w:sz w:val="20"/>
          <w:szCs w:val="20"/>
          <w:color w:val="auto"/>
        </w:rPr>
      </w:pPr>
    </w:p>
    <w:p>
      <w:pPr>
        <w:ind w:right="2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summarizes benchmark interest rates and prices of generic fixed rate Agency RMBS as of each date presented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2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 31,</w:t>
            </w:r>
          </w:p>
        </w:tc>
        <w:tc>
          <w:tcPr>
            <w:tcW w:w="12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2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Sept. 30,</w:t>
            </w:r>
          </w:p>
        </w:tc>
        <w:tc>
          <w:tcPr>
            <w:tcW w:w="12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 31, 2023</w:t>
            </w:r>
          </w:p>
        </w:tc>
        <w:tc>
          <w:tcPr>
            <w:tcW w:w="0" w:type="dxa"/>
            <w:vAlign w:val="bottom"/>
          </w:tcPr>
          <w:p>
            <w:pPr>
              <w:spacing w:after="0"/>
              <w:rPr>
                <w:sz w:val="1"/>
                <w:szCs w:val="1"/>
                <w:color w:val="auto"/>
              </w:rPr>
            </w:pPr>
          </w:p>
        </w:tc>
      </w:tr>
      <w:tr>
        <w:trPr>
          <w:trHeight w:val="160"/>
        </w:trPr>
        <w:tc>
          <w:tcPr>
            <w:tcW w:w="4960" w:type="dxa"/>
            <w:vAlign w:val="bottom"/>
            <w:vMerge w:val="restart"/>
          </w:tcPr>
          <w:p>
            <w:pPr>
              <w:ind w:left="1480"/>
              <w:spacing w:after="0"/>
              <w:rPr>
                <w:sz w:val="20"/>
                <w:szCs w:val="20"/>
                <w:color w:val="auto"/>
              </w:rPr>
            </w:pPr>
            <w:r>
              <w:rPr>
                <w:rFonts w:ascii="Times New Roman" w:cs="Times New Roman" w:eastAsia="Times New Roman" w:hAnsi="Times New Roman"/>
                <w:sz w:val="16"/>
                <w:szCs w:val="16"/>
                <w:b w:val="1"/>
                <w:bCs w:val="1"/>
                <w:color w:val="auto"/>
              </w:rPr>
              <w:t xml:space="preserve">Interest Rate/Security Price </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vs</w:t>
            </w:r>
          </w:p>
        </w:tc>
        <w:tc>
          <w:tcPr>
            <w:tcW w:w="0" w:type="dxa"/>
            <w:vAlign w:val="bottom"/>
          </w:tcPr>
          <w:p>
            <w:pPr>
              <w:spacing w:after="0"/>
              <w:rPr>
                <w:sz w:val="1"/>
                <w:szCs w:val="1"/>
                <w:color w:val="auto"/>
              </w:rPr>
            </w:pPr>
          </w:p>
        </w:tc>
      </w:tr>
      <w:tr>
        <w:trPr>
          <w:trHeight w:val="214"/>
        </w:trPr>
        <w:tc>
          <w:tcPr>
            <w:tcW w:w="4960" w:type="dxa"/>
            <w:vAlign w:val="bottom"/>
            <w:vMerge w:val="continue"/>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 31, 2022</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Target Federal Funds Rate:</w:t>
            </w: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Target Federal Funds Rate - Upper Band </w:t>
            </w:r>
            <w:r>
              <w:rPr>
                <w:rFonts w:ascii="Times New Roman" w:cs="Times New Roman" w:eastAsia="Times New Roman" w:hAnsi="Times New Roman"/>
                <w:sz w:val="16"/>
                <w:szCs w:val="16"/>
                <w:color w:val="B4B4B4"/>
              </w:rPr>
              <w:t>...................................................</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4.50%</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5.00%</w:t>
            </w:r>
          </w:p>
        </w:tc>
        <w:tc>
          <w:tcPr>
            <w:tcW w:w="8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rPr>
              <w:t>5.25%</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6"/>
              </w:rPr>
              <w:t>5.50%</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22"/>
                <w:szCs w:val="22"/>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+100 bps</w:t>
            </w:r>
          </w:p>
        </w:tc>
        <w:tc>
          <w:tcPr>
            <w:tcW w:w="0" w:type="dxa"/>
            <w:vAlign w:val="bottom"/>
          </w:tcPr>
          <w:p>
            <w:pPr>
              <w:spacing w:after="0"/>
              <w:rPr>
                <w:sz w:val="1"/>
                <w:szCs w:val="1"/>
                <w:color w:val="auto"/>
              </w:rPr>
            </w:pPr>
          </w:p>
        </w:tc>
      </w:tr>
      <w:tr>
        <w:trPr>
          <w:trHeight w:val="255"/>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SOFR:</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SOFR Rate </w:t>
            </w:r>
            <w:r>
              <w:rPr>
                <w:rFonts w:ascii="Times New Roman" w:cs="Times New Roman" w:eastAsia="Times New Roman" w:hAnsi="Times New Roman"/>
                <w:sz w:val="16"/>
                <w:szCs w:val="16"/>
                <w:color w:val="B4B4B4"/>
              </w:rPr>
              <w:t>..................................................................................................</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4.30%</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4.87%</w:t>
            </w:r>
          </w:p>
        </w:tc>
        <w:tc>
          <w:tcPr>
            <w:tcW w:w="8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rPr>
              <w:t>5.09%</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6"/>
              </w:rPr>
              <w:t>5.31%</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Pr>
          <w:p>
            <w:pPr>
              <w:spacing w:after="0"/>
              <w:rPr>
                <w:sz w:val="22"/>
                <w:szCs w:val="22"/>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+108 bps</w:t>
            </w:r>
          </w:p>
        </w:tc>
        <w:tc>
          <w:tcPr>
            <w:tcW w:w="0" w:type="dxa"/>
            <w:vAlign w:val="bottom"/>
          </w:tcPr>
          <w:p>
            <w:pPr>
              <w:spacing w:after="0"/>
              <w:rPr>
                <w:sz w:val="1"/>
                <w:szCs w:val="1"/>
                <w:color w:val="auto"/>
              </w:rPr>
            </w:pPr>
          </w:p>
        </w:tc>
      </w:tr>
      <w:tr>
        <w:trPr>
          <w:trHeight w:val="255"/>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SOFR Interest Rate Swap Rate: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2-Year Swap</w:t>
            </w:r>
            <w:r>
              <w:rPr>
                <w:rFonts w:ascii="Times New Roman" w:cs="Times New Roman" w:eastAsia="Times New Roman" w:hAnsi="Times New Roman"/>
                <w:sz w:val="16"/>
                <w:szCs w:val="16"/>
                <w:color w:val="B4B4B4"/>
              </w:rPr>
              <w:t>................................................................................................</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4.45%</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4.06%</w:t>
            </w:r>
          </w:p>
        </w:tc>
        <w:tc>
          <w:tcPr>
            <w:tcW w:w="8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rPr>
              <w:t>4.82%</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6"/>
              </w:rPr>
              <w:t>4.97%</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Pr>
          <w:p>
            <w:pPr>
              <w:spacing w:after="0"/>
              <w:rPr>
                <w:sz w:val="22"/>
                <w:szCs w:val="22"/>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-38 bps</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5-Year Swap</w:t>
            </w:r>
            <w:r>
              <w:rPr>
                <w:rFonts w:ascii="Times New Roman" w:cs="Times New Roman" w:eastAsia="Times New Roman" w:hAnsi="Times New Roman"/>
                <w:sz w:val="16"/>
                <w:szCs w:val="16"/>
                <w:color w:val="B4B4B4"/>
              </w:rPr>
              <w:t>................................................................................................</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3.75%</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3.34%</w:t>
            </w:r>
          </w:p>
        </w:tc>
        <w:tc>
          <w:tcPr>
            <w:tcW w:w="8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rPr>
              <w:t>3.94%</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6"/>
              </w:rPr>
              <w:t>4.38%</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Pr>
          <w:p>
            <w:pPr>
              <w:spacing w:after="0"/>
              <w:rPr>
                <w:sz w:val="22"/>
                <w:szCs w:val="22"/>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-22 bps</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10-Year Swap</w:t>
            </w:r>
            <w:r>
              <w:rPr>
                <w:rFonts w:ascii="Times New Roman" w:cs="Times New Roman" w:eastAsia="Times New Roman" w:hAnsi="Times New Roman"/>
                <w:sz w:val="16"/>
                <w:szCs w:val="16"/>
                <w:color w:val="B4B4B4"/>
              </w:rPr>
              <w:t>..............................................................................................</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3.56%</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3.17%</w:t>
            </w:r>
          </w:p>
        </w:tc>
        <w:tc>
          <w:tcPr>
            <w:tcW w:w="8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rPr>
              <w:t>3.58%</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6"/>
              </w:rPr>
              <w:t>4.27%</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tcPr>
          <w:p>
            <w:pPr>
              <w:spacing w:after="0"/>
              <w:rPr>
                <w:sz w:val="22"/>
                <w:szCs w:val="22"/>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-9 bps</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30-Year Swap</w:t>
            </w:r>
            <w:r>
              <w:rPr>
                <w:rFonts w:ascii="Times New Roman" w:cs="Times New Roman" w:eastAsia="Times New Roman" w:hAnsi="Times New Roman"/>
                <w:sz w:val="16"/>
                <w:szCs w:val="16"/>
                <w:color w:val="B4B4B4"/>
              </w:rPr>
              <w:t>..............................................................................................</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3.21%</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2.93%</w:t>
            </w:r>
          </w:p>
        </w:tc>
        <w:tc>
          <w:tcPr>
            <w:tcW w:w="8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rPr>
              <w:t>3.20%</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6"/>
              </w:rPr>
              <w:t>4.01%</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Pr>
          <w:p>
            <w:pPr>
              <w:spacing w:after="0"/>
              <w:rPr>
                <w:sz w:val="22"/>
                <w:szCs w:val="22"/>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+11 bps</w:t>
            </w:r>
          </w:p>
        </w:tc>
        <w:tc>
          <w:tcPr>
            <w:tcW w:w="0" w:type="dxa"/>
            <w:vAlign w:val="bottom"/>
          </w:tcPr>
          <w:p>
            <w:pPr>
              <w:spacing w:after="0"/>
              <w:rPr>
                <w:sz w:val="1"/>
                <w:szCs w:val="1"/>
                <w:color w:val="auto"/>
              </w:rPr>
            </w:pPr>
          </w:p>
        </w:tc>
      </w:tr>
      <w:tr>
        <w:trPr>
          <w:trHeight w:val="255"/>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U.S. Treasury Security Rate: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2-Year U.S. Treasury </w:t>
            </w:r>
            <w:r>
              <w:rPr>
                <w:rFonts w:ascii="Times New Roman" w:cs="Times New Roman" w:eastAsia="Times New Roman" w:hAnsi="Times New Roman"/>
                <w:sz w:val="16"/>
                <w:szCs w:val="16"/>
                <w:color w:val="B4B4B4"/>
              </w:rPr>
              <w:t>..................................................................................</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4.43%</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4.03%</w:t>
            </w:r>
          </w:p>
        </w:tc>
        <w:tc>
          <w:tcPr>
            <w:tcW w:w="8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rPr>
              <w:t>4.90%</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6"/>
              </w:rPr>
              <w:t>5.05%</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22"/>
                <w:szCs w:val="22"/>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-18 bps</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5-Year U.S. Treasury </w:t>
            </w:r>
            <w:r>
              <w:rPr>
                <w:rFonts w:ascii="Times New Roman" w:cs="Times New Roman" w:eastAsia="Times New Roman" w:hAnsi="Times New Roman"/>
                <w:sz w:val="16"/>
                <w:szCs w:val="16"/>
                <w:color w:val="B4B4B4"/>
              </w:rPr>
              <w:t>..................................................................................</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4.01%</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3.58%</w:t>
            </w:r>
          </w:p>
        </w:tc>
        <w:tc>
          <w:tcPr>
            <w:tcW w:w="8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rPr>
              <w:t>4.16%</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6"/>
              </w:rPr>
              <w:t>4.61%</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tcPr>
          <w:p>
            <w:pPr>
              <w:spacing w:after="0"/>
              <w:rPr>
                <w:sz w:val="22"/>
                <w:szCs w:val="22"/>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-16 bps</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10-Year U.S. Treasury </w:t>
            </w:r>
            <w:r>
              <w:rPr>
                <w:rFonts w:ascii="Times New Roman" w:cs="Times New Roman" w:eastAsia="Times New Roman" w:hAnsi="Times New Roman"/>
                <w:sz w:val="16"/>
                <w:szCs w:val="16"/>
                <w:color w:val="B4B4B4"/>
              </w:rPr>
              <w:t>................................................................................</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3.88%</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3.47%</w:t>
            </w:r>
          </w:p>
        </w:tc>
        <w:tc>
          <w:tcPr>
            <w:tcW w:w="8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rPr>
              <w:t>3.84%</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6"/>
              </w:rPr>
              <w:t>4.57%</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Pr>
          <w:p>
            <w:pPr>
              <w:spacing w:after="0"/>
              <w:rPr>
                <w:sz w:val="22"/>
                <w:szCs w:val="22"/>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 bps</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30-Year U.S. Treasury </w:t>
            </w:r>
            <w:r>
              <w:rPr>
                <w:rFonts w:ascii="Times New Roman" w:cs="Times New Roman" w:eastAsia="Times New Roman" w:hAnsi="Times New Roman"/>
                <w:sz w:val="16"/>
                <w:szCs w:val="16"/>
                <w:color w:val="B4B4B4"/>
              </w:rPr>
              <w:t>................................................................................</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3.97%</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3.65%</w:t>
            </w:r>
          </w:p>
        </w:tc>
        <w:tc>
          <w:tcPr>
            <w:tcW w:w="8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rPr>
              <w:t>3.86%</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6"/>
              </w:rPr>
              <w:t>4.70%</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Pr>
          <w:p>
            <w:pPr>
              <w:spacing w:after="0"/>
              <w:rPr>
                <w:sz w:val="22"/>
                <w:szCs w:val="22"/>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+6 bps</w:t>
            </w:r>
          </w:p>
        </w:tc>
        <w:tc>
          <w:tcPr>
            <w:tcW w:w="0" w:type="dxa"/>
            <w:vAlign w:val="bottom"/>
          </w:tcPr>
          <w:p>
            <w:pPr>
              <w:spacing w:after="0"/>
              <w:rPr>
                <w:sz w:val="1"/>
                <w:szCs w:val="1"/>
                <w:color w:val="auto"/>
              </w:rPr>
            </w:pPr>
          </w:p>
        </w:tc>
      </w:tr>
      <w:tr>
        <w:trPr>
          <w:trHeight w:val="255"/>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30-Year Fixed Rate Agency Price: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$84.96</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$86.16</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$84.77</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$79.39</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$85.24</w:t>
            </w:r>
          </w:p>
        </w:tc>
        <w:tc>
          <w:tcPr>
            <w:tcW w:w="118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7"/>
              </w:rPr>
              <w:t>+$0.28</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3.0%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$88.02</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$89.63</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$88.01</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$82.75</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$88.58</w:t>
            </w:r>
          </w:p>
        </w:tc>
        <w:tc>
          <w:tcPr>
            <w:tcW w:w="118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7"/>
              </w:rPr>
              <w:t>+$0.56</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$91.10</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$92.82</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$91.11</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$86.02</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$91.86</w:t>
            </w:r>
          </w:p>
        </w:tc>
        <w:tc>
          <w:tcPr>
            <w:tcW w:w="118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7"/>
              </w:rPr>
              <w:t>+$0.76</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4.0%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$94.03</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$95.59</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$93.84</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$89.09</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$94.69</w:t>
            </w:r>
          </w:p>
        </w:tc>
        <w:tc>
          <w:tcPr>
            <w:tcW w:w="118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7"/>
              </w:rPr>
              <w:t>+$0.66</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$96.59</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$97.92</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$96.14</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$91.85</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$97.04</w:t>
            </w:r>
          </w:p>
        </w:tc>
        <w:tc>
          <w:tcPr>
            <w:tcW w:w="118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7"/>
              </w:rPr>
              <w:t>+$0.45</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5.0%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$98.80</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$99.69</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$98.00</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$94.39</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$99.04</w:t>
            </w:r>
          </w:p>
        </w:tc>
        <w:tc>
          <w:tcPr>
            <w:tcW w:w="118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7"/>
              </w:rPr>
              <w:t>+$0.24</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$100.47</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$101.00</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$99.55</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$96.68</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$100.56</w:t>
            </w:r>
          </w:p>
        </w:tc>
        <w:tc>
          <w:tcPr>
            <w:tcW w:w="118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7"/>
              </w:rPr>
              <w:t>+$0.09</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6.0%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$101.69</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$102.08</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$100.88</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$98.74</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$101.63</w:t>
            </w:r>
          </w:p>
        </w:tc>
        <w:tc>
          <w:tcPr>
            <w:tcW w:w="118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$102.57</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$103.23</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$102.12</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$100.52</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$102.51</w:t>
            </w:r>
          </w:p>
        </w:tc>
        <w:tc>
          <w:tcPr>
            <w:tcW w:w="118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55"/>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15-Year Fixed Rate Agency Price: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1.5%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$86.84</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$87.95</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$86.30</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$83.27</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$86.86</w:t>
            </w:r>
          </w:p>
        </w:tc>
        <w:tc>
          <w:tcPr>
            <w:tcW w:w="118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7"/>
              </w:rPr>
              <w:t>+$0.02</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2.0%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$89.28</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$90.36</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$88.61</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$85.81</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$89.47</w:t>
            </w:r>
          </w:p>
        </w:tc>
        <w:tc>
          <w:tcPr>
            <w:tcW w:w="118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7"/>
              </w:rPr>
              <w:t>+$0.19</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$91.80</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$92.83</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$90.98</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$88.21</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$92.14</w:t>
            </w:r>
          </w:p>
        </w:tc>
        <w:tc>
          <w:tcPr>
            <w:tcW w:w="118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7"/>
              </w:rPr>
              <w:t>+$0.34</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3.0%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$93.85</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$94.83</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$93.32</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$90.54</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$94.30</w:t>
            </w:r>
          </w:p>
        </w:tc>
        <w:tc>
          <w:tcPr>
            <w:tcW w:w="118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7"/>
              </w:rPr>
              <w:t>+$0.45</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$95.93</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$96.68</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$95.14</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$92.52</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$96.39</w:t>
            </w:r>
          </w:p>
        </w:tc>
        <w:tc>
          <w:tcPr>
            <w:tcW w:w="118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7"/>
              </w:rPr>
              <w:t>+$0.46</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4.0%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$97.75</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$98.41</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$96.59</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$94.42</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$98.10</w:t>
            </w:r>
          </w:p>
        </w:tc>
        <w:tc>
          <w:tcPr>
            <w:tcW w:w="118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7"/>
              </w:rPr>
              <w:t>+$0.35</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7" w:lineRule="exact"/>
        <w:rPr>
          <w:sz w:val="20"/>
          <w:szCs w:val="20"/>
          <w:color w:val="auto"/>
        </w:rPr>
      </w:pPr>
    </w:p>
    <w:p>
      <w:pPr>
        <w:ind w:left="720" w:hanging="370"/>
        <w:spacing w:after="0" w:line="276" w:lineRule="auto"/>
        <w:tabs>
          <w:tab w:leader="none" w:pos="7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60"/>
          </w:cols>
          <w:pgMar w:left="1000" w:top="784" w:right="980" w:bottom="0" w:gutter="0" w:footer="0" w:header="0"/>
          <w:type w:val="continuous"/>
        </w:sectPr>
      </w:pPr>
    </w:p>
    <w:bookmarkStart w:id="37" w:name="page38"/>
    <w:bookmarkEnd w:id="37"/>
    <w:p>
      <w:pPr>
        <w:ind w:left="440"/>
        <w:spacing w:after="0"/>
        <w:rPr>
          <w:sz w:val="20"/>
          <w:szCs w:val="20"/>
          <w:color w:val="auto"/>
        </w:rPr>
      </w:pPr>
      <w:r>
        <w:rPr>
          <w:rFonts w:ascii="Times New Roman" w:cs="Times New Roman" w:eastAsia="Times New Roman" w:hAnsi="Times New Roman"/>
          <w:sz w:val="20"/>
          <w:szCs w:val="20"/>
          <w:color w:val="auto"/>
        </w:rPr>
        <w:t>The following table summarizes mortgage and credit spreads as of each date presented below: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2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 31,</w:t>
            </w:r>
          </w:p>
        </w:tc>
        <w:tc>
          <w:tcPr>
            <w:tcW w:w="12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2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Sept. 30,</w:t>
            </w:r>
          </w:p>
        </w:tc>
        <w:tc>
          <w:tcPr>
            <w:tcW w:w="12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 31, 2023</w:t>
            </w:r>
          </w:p>
        </w:tc>
        <w:tc>
          <w:tcPr>
            <w:tcW w:w="0" w:type="dxa"/>
            <w:vAlign w:val="bottom"/>
          </w:tcPr>
          <w:p>
            <w:pPr>
              <w:spacing w:after="0"/>
              <w:rPr>
                <w:sz w:val="1"/>
                <w:szCs w:val="1"/>
                <w:color w:val="auto"/>
              </w:rPr>
            </w:pPr>
          </w:p>
        </w:tc>
      </w:tr>
      <w:tr>
        <w:trPr>
          <w:trHeight w:val="160"/>
        </w:trPr>
        <w:tc>
          <w:tcPr>
            <w:tcW w:w="4960" w:type="dxa"/>
            <w:vAlign w:val="bottom"/>
            <w:vMerge w:val="restart"/>
          </w:tcPr>
          <w:p>
            <w:pPr>
              <w:ind w:left="1460"/>
              <w:spacing w:after="0"/>
              <w:rPr>
                <w:sz w:val="20"/>
                <w:szCs w:val="20"/>
                <w:color w:val="auto"/>
              </w:rPr>
            </w:pPr>
            <w:r>
              <w:rPr>
                <w:rFonts w:ascii="Times New Roman" w:cs="Times New Roman" w:eastAsia="Times New Roman" w:hAnsi="Times New Roman"/>
                <w:sz w:val="16"/>
                <w:szCs w:val="16"/>
                <w:b w:val="1"/>
                <w:bCs w:val="1"/>
                <w:color w:val="auto"/>
              </w:rPr>
              <w:t>Mortgage Rate/Credit Spread</w:t>
            </w: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vs</w:t>
            </w:r>
          </w:p>
        </w:tc>
        <w:tc>
          <w:tcPr>
            <w:tcW w:w="0" w:type="dxa"/>
            <w:vAlign w:val="bottom"/>
          </w:tcPr>
          <w:p>
            <w:pPr>
              <w:spacing w:after="0"/>
              <w:rPr>
                <w:sz w:val="1"/>
                <w:szCs w:val="1"/>
                <w:color w:val="auto"/>
              </w:rPr>
            </w:pPr>
          </w:p>
        </w:tc>
      </w:tr>
      <w:tr>
        <w:trPr>
          <w:trHeight w:val="214"/>
        </w:trPr>
        <w:tc>
          <w:tcPr>
            <w:tcW w:w="4960" w:type="dxa"/>
            <w:vAlign w:val="bottom"/>
            <w:vMerge w:val="continue"/>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 31, 2022</w:t>
            </w:r>
          </w:p>
        </w:tc>
        <w:tc>
          <w:tcPr>
            <w:tcW w:w="0" w:type="dxa"/>
            <w:vAlign w:val="bottom"/>
          </w:tcPr>
          <w:p>
            <w:pPr>
              <w:spacing w:after="0"/>
              <w:rPr>
                <w:sz w:val="1"/>
                <w:szCs w:val="1"/>
                <w:color w:val="auto"/>
              </w:rPr>
            </w:pPr>
          </w:p>
        </w:tc>
      </w:tr>
      <w:tr>
        <w:trPr>
          <w:trHeight w:val="278"/>
        </w:trPr>
        <w:tc>
          <w:tcPr>
            <w:tcW w:w="4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Mortgage Rate: </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30-Year Agency Current Coupon Yield to 5-Year U.S. Treasury Spread</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138</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147</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147</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175</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140</w:t>
            </w:r>
          </w:p>
        </w:tc>
        <w:tc>
          <w:tcPr>
            <w:tcW w:w="118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3"/>
              </w:rPr>
              <w:t>+2</w:t>
            </w:r>
          </w:p>
        </w:tc>
        <w:tc>
          <w:tcPr>
            <w:tcW w:w="0" w:type="dxa"/>
            <w:vAlign w:val="bottom"/>
          </w:tcPr>
          <w:p>
            <w:pPr>
              <w:spacing w:after="0"/>
              <w:rPr>
                <w:sz w:val="1"/>
                <w:szCs w:val="1"/>
                <w:color w:val="auto"/>
              </w:rPr>
            </w:pPr>
          </w:p>
        </w:tc>
      </w:tr>
      <w:tr>
        <w:trPr>
          <w:trHeight w:val="420"/>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30-Year Agency Current Coupon Yield to 10-Year U.S. Treasury Spread</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151</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158</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179</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179</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137</w:t>
            </w:r>
          </w:p>
        </w:tc>
        <w:tc>
          <w:tcPr>
            <w:tcW w:w="118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30-Year Agency Current Coupon Yield to 5/10-Year U.S. Treasury</w:t>
            </w:r>
          </w:p>
        </w:tc>
        <w:tc>
          <w:tcPr>
            <w:tcW w:w="820" w:type="dxa"/>
            <w:vAlign w:val="bottom"/>
            <w:gridSpan w:val="2"/>
            <w:vMerge w:val="restart"/>
          </w:tcPr>
          <w:p>
            <w:pPr>
              <w:jc w:val="center"/>
              <w:ind w:left="60"/>
              <w:spacing w:after="0"/>
              <w:rPr>
                <w:sz w:val="20"/>
                <w:szCs w:val="20"/>
                <w:color w:val="auto"/>
              </w:rPr>
            </w:pPr>
            <w:r>
              <w:rPr>
                <w:rFonts w:ascii="Times New Roman" w:cs="Times New Roman" w:eastAsia="Times New Roman" w:hAnsi="Times New Roman"/>
                <w:sz w:val="16"/>
                <w:szCs w:val="16"/>
                <w:color w:val="auto"/>
                <w:w w:val="99"/>
              </w:rPr>
              <w:t>145</w:t>
            </w:r>
          </w:p>
        </w:tc>
        <w:tc>
          <w:tcPr>
            <w:tcW w:w="820" w:type="dxa"/>
            <w:vAlign w:val="bottom"/>
            <w:gridSpan w:val="2"/>
            <w:vMerge w:val="restart"/>
          </w:tcPr>
          <w:p>
            <w:pPr>
              <w:jc w:val="center"/>
              <w:ind w:left="100"/>
              <w:spacing w:after="0"/>
              <w:rPr>
                <w:sz w:val="20"/>
                <w:szCs w:val="20"/>
                <w:color w:val="auto"/>
              </w:rPr>
            </w:pPr>
            <w:r>
              <w:rPr>
                <w:rFonts w:ascii="Times New Roman" w:cs="Times New Roman" w:eastAsia="Times New Roman" w:hAnsi="Times New Roman"/>
                <w:sz w:val="16"/>
                <w:szCs w:val="16"/>
                <w:color w:val="auto"/>
                <w:w w:val="99"/>
              </w:rPr>
              <w:t>152</w:t>
            </w:r>
          </w:p>
        </w:tc>
        <w:tc>
          <w:tcPr>
            <w:tcW w:w="840" w:type="dxa"/>
            <w:vAlign w:val="bottom"/>
            <w:gridSpan w:val="2"/>
            <w:vMerge w:val="restart"/>
          </w:tcPr>
          <w:p>
            <w:pPr>
              <w:jc w:val="center"/>
              <w:ind w:left="80"/>
              <w:spacing w:after="0"/>
              <w:rPr>
                <w:sz w:val="20"/>
                <w:szCs w:val="20"/>
                <w:color w:val="auto"/>
              </w:rPr>
            </w:pPr>
            <w:r>
              <w:rPr>
                <w:rFonts w:ascii="Times New Roman" w:cs="Times New Roman" w:eastAsia="Times New Roman" w:hAnsi="Times New Roman"/>
                <w:sz w:val="16"/>
                <w:szCs w:val="16"/>
                <w:color w:val="auto"/>
                <w:w w:val="99"/>
              </w:rPr>
              <w:t>163</w:t>
            </w:r>
          </w:p>
        </w:tc>
        <w:tc>
          <w:tcPr>
            <w:tcW w:w="820" w:type="dxa"/>
            <w:vAlign w:val="bottom"/>
            <w:gridSpan w:val="2"/>
            <w:vMerge w:val="restart"/>
          </w:tcPr>
          <w:p>
            <w:pPr>
              <w:jc w:val="center"/>
              <w:ind w:left="60"/>
              <w:spacing w:after="0"/>
              <w:rPr>
                <w:sz w:val="20"/>
                <w:szCs w:val="20"/>
                <w:color w:val="auto"/>
              </w:rPr>
            </w:pPr>
            <w:r>
              <w:rPr>
                <w:rFonts w:ascii="Times New Roman" w:cs="Times New Roman" w:eastAsia="Times New Roman" w:hAnsi="Times New Roman"/>
                <w:sz w:val="16"/>
                <w:szCs w:val="16"/>
                <w:color w:val="auto"/>
                <w:w w:val="99"/>
              </w:rPr>
              <w:t>177</w:t>
            </w:r>
          </w:p>
        </w:tc>
        <w:tc>
          <w:tcPr>
            <w:tcW w:w="820" w:type="dxa"/>
            <w:vAlign w:val="bottom"/>
            <w:gridSpan w:val="2"/>
            <w:vMerge w:val="restart"/>
          </w:tcPr>
          <w:p>
            <w:pPr>
              <w:jc w:val="center"/>
              <w:ind w:left="60"/>
              <w:spacing w:after="0"/>
              <w:rPr>
                <w:sz w:val="20"/>
                <w:szCs w:val="20"/>
                <w:color w:val="auto"/>
              </w:rPr>
            </w:pPr>
            <w:r>
              <w:rPr>
                <w:rFonts w:ascii="Times New Roman" w:cs="Times New Roman" w:eastAsia="Times New Roman" w:hAnsi="Times New Roman"/>
                <w:sz w:val="16"/>
                <w:szCs w:val="16"/>
                <w:color w:val="auto"/>
                <w:w w:val="99"/>
              </w:rPr>
              <w:t>139</w:t>
            </w:r>
          </w:p>
        </w:tc>
        <w:tc>
          <w:tcPr>
            <w:tcW w:w="1180" w:type="dxa"/>
            <w:vAlign w:val="bottom"/>
            <w:gridSpan w:val="2"/>
            <w:vMerge w:val="restart"/>
          </w:tcPr>
          <w:p>
            <w:pPr>
              <w:jc w:val="center"/>
              <w:ind w:left="8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Spread </w:t>
            </w:r>
            <w:r>
              <w:rPr>
                <w:rFonts w:ascii="Times New Roman" w:cs="Times New Roman" w:eastAsia="Times New Roman" w:hAnsi="Times New Roman"/>
                <w:sz w:val="16"/>
                <w:szCs w:val="16"/>
                <w:color w:val="B4B4B4"/>
              </w:rPr>
              <w:t>.........................................................................................................</w:t>
            </w:r>
          </w:p>
        </w:tc>
        <w:tc>
          <w:tcPr>
            <w:tcW w:w="82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30-Year Agency Current Coupon Yield </w:t>
            </w:r>
            <w:r>
              <w:rPr>
                <w:rFonts w:ascii="Times New Roman" w:cs="Times New Roman" w:eastAsia="Times New Roman" w:hAnsi="Times New Roman"/>
                <w:sz w:val="16"/>
                <w:szCs w:val="16"/>
                <w:color w:val="B4B4B4"/>
              </w:rPr>
              <w:t>.....................................................</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5.39%</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5.05%</w:t>
            </w:r>
          </w:p>
        </w:tc>
        <w:tc>
          <w:tcPr>
            <w:tcW w:w="8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rPr>
              <w:t>5.63%</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6"/>
              </w:rPr>
              <w:t>6.36%</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tcPr>
          <w:p>
            <w:pPr>
              <w:spacing w:after="0"/>
              <w:rPr>
                <w:sz w:val="22"/>
                <w:szCs w:val="22"/>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-14 bps</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30-Year Mortgage Rate</w:t>
            </w:r>
            <w:r>
              <w:rPr>
                <w:rFonts w:ascii="Times New Roman" w:cs="Times New Roman" w:eastAsia="Times New Roman" w:hAnsi="Times New Roman"/>
                <w:sz w:val="16"/>
                <w:szCs w:val="16"/>
                <w:color w:val="B4B4B4"/>
              </w:rPr>
              <w:t>...............................................................................</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6.52%</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6.40%</w:t>
            </w:r>
          </w:p>
        </w:tc>
        <w:tc>
          <w:tcPr>
            <w:tcW w:w="84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rPr>
              <w:t>6.78%</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6"/>
              </w:rPr>
              <w:t>7.41%</w:t>
            </w:r>
          </w:p>
        </w:tc>
        <w:tc>
          <w:tcPr>
            <w:tcW w:w="82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Pr>
          <w:p>
            <w:pPr>
              <w:spacing w:after="0"/>
              <w:rPr>
                <w:sz w:val="22"/>
                <w:szCs w:val="22"/>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+4 bps</w:t>
            </w:r>
          </w:p>
        </w:tc>
        <w:tc>
          <w:tcPr>
            <w:tcW w:w="0" w:type="dxa"/>
            <w:vAlign w:val="bottom"/>
          </w:tcPr>
          <w:p>
            <w:pPr>
              <w:spacing w:after="0"/>
              <w:rPr>
                <w:sz w:val="1"/>
                <w:szCs w:val="1"/>
                <w:color w:val="auto"/>
              </w:rPr>
            </w:pPr>
          </w:p>
        </w:tc>
      </w:tr>
      <w:tr>
        <w:trPr>
          <w:trHeight w:val="301"/>
        </w:trPr>
        <w:tc>
          <w:tcPr>
            <w:tcW w:w="4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Credit Spread (in bps): </w:t>
            </w:r>
            <w:r>
              <w:rPr>
                <w:rFonts w:ascii="Times New Roman" w:cs="Times New Roman" w:eastAsia="Times New Roman" w:hAnsi="Times New Roman"/>
                <w:sz w:val="20"/>
                <w:szCs w:val="20"/>
                <w:b w:val="1"/>
                <w:bCs w:val="1"/>
                <w:color w:val="auto"/>
                <w:vertAlign w:val="superscript"/>
              </w:rPr>
              <w:t>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CRT M2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514</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423</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360</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252</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206</w:t>
            </w:r>
          </w:p>
        </w:tc>
        <w:tc>
          <w:tcPr>
            <w:tcW w:w="118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CMBS AAA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125</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171</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151</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137</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118</w:t>
            </w:r>
          </w:p>
        </w:tc>
        <w:tc>
          <w:tcPr>
            <w:tcW w:w="118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55"/>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CDX IG </w:t>
            </w:r>
            <w:r>
              <w:rPr>
                <w:rFonts w:ascii="Times New Roman" w:cs="Times New Roman" w:eastAsia="Times New Roman" w:hAnsi="Times New Roman"/>
                <w:sz w:val="16"/>
                <w:szCs w:val="16"/>
                <w:color w:val="B4B4B4"/>
              </w:rPr>
              <w:t>.......................................................................................................</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82</w:t>
            </w:r>
          </w:p>
        </w:tc>
        <w:tc>
          <w:tcPr>
            <w:tcW w:w="82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76</w:t>
            </w:r>
          </w:p>
        </w:tc>
        <w:tc>
          <w:tcPr>
            <w:tcW w:w="8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66</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74</w:t>
            </w:r>
          </w:p>
        </w:tc>
        <w:tc>
          <w:tcPr>
            <w:tcW w:w="82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9"/>
              </w:rPr>
              <w:t>56</w:t>
            </w:r>
          </w:p>
        </w:tc>
        <w:tc>
          <w:tcPr>
            <w:tcW w:w="118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72" w:lineRule="exact"/>
        <w:rPr>
          <w:sz w:val="20"/>
          <w:szCs w:val="20"/>
          <w:color w:val="auto"/>
        </w:rPr>
      </w:pPr>
    </w:p>
    <w:p>
      <w:pPr>
        <w:ind w:left="720" w:hanging="370"/>
        <w:spacing w:after="0" w:line="261" w:lineRule="auto"/>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30-Year Current Coupon Yield represents yield on new production Agency RMBS. 30-Year Current Coupon Yields are sourced from Bloomberg and 30-Year Mortgage Rates are sourced from Clear Blue.</w:t>
      </w:r>
    </w:p>
    <w:p>
      <w:pPr>
        <w:ind w:left="720" w:right="20" w:hanging="370"/>
        <w:spacing w:after="0" w:line="260" w:lineRule="auto"/>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CRT and CDX spreads sourced from JP Morgan. CMBS spreads are the average of spreads sourced from Bank of America, JP Morgan and Wells Fargo.</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60"/>
          </w:cols>
          <w:pgMar w:left="1000" w:top="793" w:right="98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FINANCIAL CONDITION</w:t>
      </w:r>
    </w:p>
    <w:p>
      <w:pPr>
        <w:spacing w:after="0" w:line="197" w:lineRule="exact"/>
        <w:rPr>
          <w:sz w:val="20"/>
          <w:szCs w:val="20"/>
          <w:color w:val="auto"/>
        </w:rPr>
      </w:pPr>
    </w:p>
    <w:p>
      <w:pPr>
        <w:jc w:val="both"/>
        <w:ind w:right="20" w:firstLine="495"/>
        <w:spacing w:after="0" w:line="258" w:lineRule="auto"/>
        <w:rPr>
          <w:sz w:val="20"/>
          <w:szCs w:val="20"/>
          <w:color w:val="auto"/>
        </w:rPr>
      </w:pPr>
      <w:r>
        <w:rPr>
          <w:rFonts w:ascii="Times New Roman" w:cs="Times New Roman" w:eastAsia="Times New Roman" w:hAnsi="Times New Roman"/>
          <w:sz w:val="20"/>
          <w:szCs w:val="20"/>
          <w:color w:val="auto"/>
        </w:rPr>
        <w:t>As of December 31, 2023 and 2022, our investment portfolio totaled $60.2 billion and $59.5 billion, respectively, consisting of: $54.8 billion and $40.9 billion investment securities, at fair value, respectively; $5.4 billion and $18.6 billion net TBA securities, at fair value, respectively; and other mortgage credit investments of $44 million and $25 million, respectively, which we account for under the equity method of accounting. The following table is a summary of our investment securities as of December 31, 2023 and 2022 (dollars 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Investment Securities (Includes TBAs) </w:t>
            </w:r>
            <w:r>
              <w:rPr>
                <w:rFonts w:ascii="Times New Roman" w:cs="Times New Roman" w:eastAsia="Times New Roman" w:hAnsi="Times New Roman"/>
                <w:sz w:val="20"/>
                <w:szCs w:val="20"/>
                <w:b w:val="1"/>
                <w:bCs w:val="1"/>
                <w:color w:val="auto"/>
                <w:vertAlign w:val="superscript"/>
              </w:rPr>
              <w:t>1</w:t>
            </w:r>
          </w:p>
        </w:tc>
        <w:tc>
          <w:tcPr>
            <w:tcW w:w="120" w:type="dxa"/>
            <w:vAlign w:val="bottom"/>
            <w:vMerge w:val="restart"/>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Pr>
          <w:p>
            <w:pPr>
              <w:spacing w:after="0"/>
              <w:rPr>
                <w:sz w:val="22"/>
                <w:szCs w:val="22"/>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80" w:type="dxa"/>
            <w:vAlign w:val="bottom"/>
            <w:vMerge w:val="restart"/>
          </w:tcPr>
          <w:p>
            <w:pPr>
              <w:spacing w:after="0"/>
              <w:rPr>
                <w:sz w:val="22"/>
                <w:szCs w:val="22"/>
                <w:color w:val="auto"/>
              </w:rPr>
            </w:pPr>
          </w:p>
        </w:tc>
        <w:tc>
          <w:tcPr>
            <w:tcW w:w="52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Pr>
          <w:p>
            <w:pPr>
              <w:spacing w:after="0"/>
              <w:rPr>
                <w:sz w:val="22"/>
                <w:szCs w:val="22"/>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vMerge w:val="restart"/>
          </w:tcPr>
          <w:p>
            <w:pPr>
              <w:spacing w:after="0"/>
              <w:rPr>
                <w:sz w:val="22"/>
                <w:szCs w:val="22"/>
                <w:color w:val="auto"/>
              </w:rPr>
            </w:pPr>
          </w:p>
        </w:tc>
        <w:tc>
          <w:tcPr>
            <w:tcW w:w="5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3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Coupon</w:t>
            </w:r>
          </w:p>
        </w:tc>
        <w:tc>
          <w:tcPr>
            <w:tcW w:w="80" w:type="dxa"/>
            <w:vAlign w:val="bottom"/>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Coupon</w:t>
            </w:r>
          </w:p>
        </w:tc>
        <w:tc>
          <w:tcPr>
            <w:tcW w:w="60" w:type="dxa"/>
            <w:vAlign w:val="bottom"/>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Fixed rate Agency RMBS and TBA securities:</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15-year:</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 15-year RMBS </w:t>
            </w:r>
            <w:r>
              <w:rPr>
                <w:rFonts w:ascii="Times New Roman" w:cs="Times New Roman" w:eastAsia="Times New Roman" w:hAnsi="Times New Roman"/>
                <w:sz w:val="16"/>
                <w:szCs w:val="16"/>
                <w:color w:val="B4B4B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306"/>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15-year TBA securities</w:t>
            </w:r>
            <w:r>
              <w:rPr>
                <w:rFonts w:ascii="Times New Roman" w:cs="Times New Roman" w:eastAsia="Times New Roman" w:hAnsi="Times New Roman"/>
                <w:sz w:val="16"/>
                <w:szCs w:val="16"/>
                <w:color w:val="B4B4B4"/>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5.00 %   —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74"/>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Total ≤ 15-year</w:t>
            </w:r>
            <w:r>
              <w:rPr>
                <w:rFonts w:ascii="Times New Roman" w:cs="Times New Roman" w:eastAsia="Times New Roman" w:hAnsi="Times New Roman"/>
                <w:sz w:val="16"/>
                <w:szCs w:val="16"/>
                <w:color w:val="B4B4B4"/>
              </w:rPr>
              <w:t>..........................................................</w:t>
            </w:r>
          </w:p>
        </w:tc>
        <w:tc>
          <w:tcPr>
            <w:tcW w:w="2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8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80" w:type="dxa"/>
            <w:vAlign w:val="bottom"/>
          </w:tcPr>
          <w:p>
            <w:pPr>
              <w:spacing w:after="0"/>
              <w:rPr>
                <w:sz w:val="23"/>
                <w:szCs w:val="2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80" w:type="dxa"/>
            <w:vAlign w:val="bottom"/>
          </w:tcPr>
          <w:p>
            <w:pPr>
              <w:spacing w:after="0"/>
              <w:rPr>
                <w:sz w:val="23"/>
                <w:szCs w:val="2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6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80" w:type="dxa"/>
            <w:vAlign w:val="bottom"/>
          </w:tcPr>
          <w:p>
            <w:pPr>
              <w:spacing w:after="0"/>
              <w:rPr>
                <w:sz w:val="23"/>
                <w:szCs w:val="2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60" w:type="dxa"/>
            <w:vAlign w:val="bottom"/>
          </w:tcPr>
          <w:p>
            <w:pPr>
              <w:spacing w:after="0"/>
              <w:rPr>
                <w:sz w:val="23"/>
                <w:szCs w:val="2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300"/>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20-year RMBS </w:t>
            </w:r>
            <w:r>
              <w:rPr>
                <w:rFonts w:ascii="Times New Roman" w:cs="Times New Roman" w:eastAsia="Times New Roman" w:hAnsi="Times New Roman"/>
                <w:sz w:val="16"/>
                <w:szCs w:val="16"/>
                <w:color w:val="B4B4B4"/>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2.51 %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300"/>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30-year:</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30-year RMBS</w:t>
            </w:r>
            <w:r>
              <w:rPr>
                <w:rFonts w:ascii="Times New Roman" w:cs="Times New Roman" w:eastAsia="Times New Roman" w:hAnsi="Times New Roman"/>
                <w:sz w:val="16"/>
                <w:szCs w:val="16"/>
                <w:color w:val="B4B4B4"/>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51,675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4.82 %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3.89 %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306"/>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30-year TBA securities, net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18,574</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4.84 %</w:t>
            </w:r>
          </w:p>
        </w:tc>
        <w:tc>
          <w:tcPr>
            <w:tcW w:w="6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80"/>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Total 30-year </w:t>
            </w:r>
            <w:r>
              <w:rPr>
                <w:rFonts w:ascii="Times New Roman" w:cs="Times New Roman" w:eastAsia="Times New Roman" w:hAnsi="Times New Roman"/>
                <w:sz w:val="16"/>
                <w:szCs w:val="16"/>
                <w:color w:val="B4B4B4"/>
              </w:rPr>
              <w:t>.............................................................</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58,857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56,938</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58,134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54,781</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4.20 %</w:t>
            </w:r>
          </w:p>
        </w:tc>
        <w:tc>
          <w:tcPr>
            <w:tcW w:w="6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0" w:type="dxa"/>
            <w:vAlign w:val="bottom"/>
          </w:tcPr>
          <w:p>
            <w:pPr>
              <w:spacing w:after="0"/>
              <w:rPr>
                <w:sz w:val="1"/>
                <w:szCs w:val="1"/>
                <w:color w:val="auto"/>
              </w:rPr>
            </w:pPr>
          </w:p>
        </w:tc>
      </w:tr>
      <w:tr>
        <w:trPr>
          <w:trHeight w:val="280"/>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Total fixed rate Agency RMBS and TBA securities</w:t>
            </w:r>
            <w:r>
              <w:rPr>
                <w:rFonts w:ascii="Times New Roman" w:cs="Times New Roman" w:eastAsia="Times New Roman" w:hAnsi="Times New Roman"/>
                <w:sz w:val="16"/>
                <w:szCs w:val="16"/>
                <w:color w:val="B4B4B4"/>
              </w:rPr>
              <w:t>...</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60,577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58,515</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4.83 %</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61,453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57,743</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4.13 %</w:t>
            </w:r>
          </w:p>
        </w:tc>
        <w:tc>
          <w:tcPr>
            <w:tcW w:w="6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74"/>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 xml:space="preserve">Adjustable rate Agency RMBS </w:t>
            </w:r>
            <w:r>
              <w:rPr>
                <w:rFonts w:ascii="Times New Roman" w:cs="Times New Roman" w:eastAsia="Times New Roman" w:hAnsi="Times New Roman"/>
                <w:sz w:val="16"/>
                <w:szCs w:val="16"/>
                <w:color w:val="B4B4B4"/>
                <w:w w:val="99"/>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80" w:type="dxa"/>
            <w:vAlign w:val="bottom"/>
          </w:tcPr>
          <w:p>
            <w:pPr>
              <w:spacing w:after="0"/>
              <w:rPr>
                <w:sz w:val="23"/>
                <w:szCs w:val="2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4.67 %   — %</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23"/>
                <w:szCs w:val="2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3.72 %   — %</w:t>
            </w:r>
          </w:p>
        </w:tc>
        <w:tc>
          <w:tcPr>
            <w:tcW w:w="0" w:type="dxa"/>
            <w:vAlign w:val="bottom"/>
          </w:tcPr>
          <w:p>
            <w:pPr>
              <w:spacing w:after="0"/>
              <w:rPr>
                <w:sz w:val="1"/>
                <w:szCs w:val="1"/>
                <w:color w:val="auto"/>
              </w:rPr>
            </w:pPr>
          </w:p>
        </w:tc>
      </w:tr>
      <w:tr>
        <w:trPr>
          <w:trHeight w:val="300"/>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Multifamily </w:t>
            </w:r>
            <w:r>
              <w:rPr>
                <w:rFonts w:ascii="Times New Roman" w:cs="Times New Roman" w:eastAsia="Times New Roman" w:hAnsi="Times New Roman"/>
                <w:sz w:val="16"/>
                <w:szCs w:val="16"/>
                <w:color w:val="B4B4B4"/>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4.47 %</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00"/>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CMO Agency RMBS: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CMO </w:t>
            </w:r>
            <w:r>
              <w:rPr>
                <w:rFonts w:ascii="Times New Roman" w:cs="Times New Roman" w:eastAsia="Times New Roman" w:hAnsi="Times New Roman"/>
                <w:sz w:val="16"/>
                <w:szCs w:val="16"/>
                <w:color w:val="B4B4B4"/>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3.28 %   —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3.20 %   — %</w:t>
            </w:r>
          </w:p>
        </w:tc>
        <w:tc>
          <w:tcPr>
            <w:tcW w:w="0" w:type="dxa"/>
            <w:vAlign w:val="bottom"/>
          </w:tcPr>
          <w:p>
            <w:pPr>
              <w:spacing w:after="0"/>
              <w:rPr>
                <w:sz w:val="1"/>
                <w:szCs w:val="1"/>
                <w:color w:val="auto"/>
              </w:rPr>
            </w:pPr>
          </w:p>
        </w:tc>
      </w:tr>
      <w:tr>
        <w:trPr>
          <w:trHeight w:val="300"/>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Interest-only strips </w:t>
            </w:r>
            <w:r>
              <w:rPr>
                <w:rFonts w:ascii="Times New Roman" w:cs="Times New Roman" w:eastAsia="Times New Roman" w:hAnsi="Times New Roman"/>
                <w:sz w:val="16"/>
                <w:szCs w:val="16"/>
                <w:color w:val="B4B4B4"/>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1.77 %   —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2.15 %   — %</w:t>
            </w:r>
          </w:p>
        </w:tc>
        <w:tc>
          <w:tcPr>
            <w:tcW w:w="0" w:type="dxa"/>
            <w:vAlign w:val="bottom"/>
          </w:tcPr>
          <w:p>
            <w:pPr>
              <w:spacing w:after="0"/>
              <w:rPr>
                <w:sz w:val="1"/>
                <w:szCs w:val="1"/>
                <w:color w:val="auto"/>
              </w:rPr>
            </w:pPr>
          </w:p>
        </w:tc>
      </w:tr>
      <w:tr>
        <w:trPr>
          <w:trHeight w:val="306"/>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Principal-only strips </w:t>
            </w:r>
            <w:r>
              <w:rPr>
                <w:rFonts w:ascii="Times New Roman" w:cs="Times New Roman" w:eastAsia="Times New Roman" w:hAnsi="Times New Roman"/>
                <w:sz w:val="16"/>
                <w:szCs w:val="16"/>
                <w:color w:val="B4B4B4"/>
              </w:rPr>
              <w:t>.............................................</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80"/>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Total CMO Agency RMBS</w:t>
            </w:r>
            <w:r>
              <w:rPr>
                <w:rFonts w:ascii="Times New Roman" w:cs="Times New Roman" w:eastAsia="Times New Roman" w:hAnsi="Times New Roman"/>
                <w:sz w:val="16"/>
                <w:szCs w:val="16"/>
                <w:color w:val="B4B4B4"/>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2.03 %   —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80"/>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 xml:space="preserve">Total Agency RMBS and TBA securities </w:t>
            </w:r>
            <w:r>
              <w:rPr>
                <w:rFonts w:ascii="Times New Roman" w:cs="Times New Roman" w:eastAsia="Times New Roman" w:hAnsi="Times New Roman"/>
                <w:sz w:val="16"/>
                <w:szCs w:val="16"/>
                <w:color w:val="B4B4B4"/>
                <w:w w:val="99"/>
              </w:rPr>
              <w:t>...................</w:t>
            </w:r>
          </w:p>
        </w:tc>
        <w:tc>
          <w:tcPr>
            <w:tcW w:w="2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61,225</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59,148</w:t>
            </w:r>
          </w:p>
        </w:tc>
        <w:tc>
          <w:tcPr>
            <w:tcW w:w="80" w:type="dxa"/>
            <w:vAlign w:val="bottom"/>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4.80 %</w:t>
            </w:r>
          </w:p>
        </w:tc>
        <w:tc>
          <w:tcPr>
            <w:tcW w:w="8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61,792</w:t>
            </w:r>
          </w:p>
        </w:tc>
        <w:tc>
          <w:tcPr>
            <w:tcW w:w="6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58,064</w:t>
            </w:r>
          </w:p>
        </w:tc>
        <w:tc>
          <w:tcPr>
            <w:tcW w:w="80" w:type="dxa"/>
            <w:vAlign w:val="bottom"/>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4.12 %</w:t>
            </w:r>
          </w:p>
        </w:tc>
        <w:tc>
          <w:tcPr>
            <w:tcW w:w="60" w:type="dxa"/>
            <w:vAlign w:val="bottom"/>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r>
        <w:trPr>
          <w:trHeight w:val="323"/>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Non-Agency RMBS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B4B4B4"/>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5.10 %   — %</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4.52 %   — %</w:t>
            </w:r>
          </w:p>
        </w:tc>
        <w:tc>
          <w:tcPr>
            <w:tcW w:w="0" w:type="dxa"/>
            <w:vAlign w:val="bottom"/>
          </w:tcPr>
          <w:p>
            <w:pPr>
              <w:spacing w:after="0"/>
              <w:rPr>
                <w:sz w:val="1"/>
                <w:szCs w:val="1"/>
                <w:color w:val="auto"/>
              </w:rPr>
            </w:pPr>
          </w:p>
        </w:tc>
      </w:tr>
      <w:tr>
        <w:trPr>
          <w:trHeight w:val="250"/>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CMBS</w:t>
            </w:r>
            <w:r>
              <w:rPr>
                <w:rFonts w:ascii="Times New Roman" w:cs="Times New Roman" w:eastAsia="Times New Roman" w:hAnsi="Times New Roman"/>
                <w:sz w:val="16"/>
                <w:szCs w:val="16"/>
                <w:color w:val="B4B4B4"/>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7.27 %   —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6.06 %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306"/>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 xml:space="preserve">CRT </w:t>
            </w:r>
            <w:r>
              <w:rPr>
                <w:rFonts w:ascii="Times New Roman" w:cs="Times New Roman" w:eastAsia="Times New Roman" w:hAnsi="Times New Roman"/>
                <w:sz w:val="16"/>
                <w:szCs w:val="16"/>
                <w:color w:val="B4B4B4"/>
                <w:w w:val="99"/>
              </w:rPr>
              <w:t>.............................................................................</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10.45 %</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8.48 %</w:t>
            </w:r>
          </w:p>
        </w:tc>
        <w:tc>
          <w:tcPr>
            <w:tcW w:w="6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60"/>
        </w:trPr>
        <w:tc>
          <w:tcPr>
            <w:tcW w:w="3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Total investment securities</w:t>
            </w:r>
            <w:r>
              <w:rPr>
                <w:rFonts w:ascii="Times New Roman" w:cs="Times New Roman" w:eastAsia="Times New Roman" w:hAnsi="Times New Roman"/>
                <w:sz w:val="16"/>
                <w:szCs w:val="16"/>
                <w:color w:val="B4B4B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60,178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63,287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59,478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3500" w:type="dxa"/>
            <w:vAlign w:val="bottom"/>
            <w:vMerge w:val="restart"/>
          </w:tcPr>
          <w:p>
            <w:pPr>
              <w:jc w:val="right"/>
              <w:ind w:right="1501"/>
              <w:spacing w:after="0"/>
              <w:rPr>
                <w:sz w:val="20"/>
                <w:szCs w:val="20"/>
                <w:color w:val="auto"/>
              </w:rPr>
            </w:pPr>
            <w:r>
              <w:rPr>
                <w:rFonts w:ascii="Times New Roman" w:cs="Times New Roman" w:eastAsia="Times New Roman" w:hAnsi="Times New Roman"/>
                <w:sz w:val="12"/>
                <w:szCs w:val="12"/>
                <w:color w:val="auto"/>
                <w:w w:val="98"/>
              </w:rPr>
              <w:t>________________________________</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-184785</wp:posOffset>
            </wp:positionV>
            <wp:extent cx="4260850" cy="762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9">
                      <a:extLst>
                        <a:ext uri="{28A0092B-C50C-407E-A947-70E740481C1C}"/>
                      </a:extLst>
                    </a:blip>
                    <a:srcRect/>
                    <a:stretch>
                      <a:fillRect/>
                    </a:stretch>
                  </pic:blipFill>
                  <pic:spPr bwMode="auto">
                    <a:xfrm>
                      <a:off x="0" y="0"/>
                      <a:ext cx="4260850" cy="76200"/>
                    </a:xfrm>
                    <a:prstGeom prst="rect">
                      <a:avLst/>
                    </a:prstGeom>
                    <a:noFill/>
                  </pic:spPr>
                </pic:pic>
              </a:graphicData>
            </a:graphic>
          </wp:anchor>
        </w:drawing>
      </w:r>
    </w:p>
    <w:p>
      <w:pPr>
        <w:ind w:left="720" w:hanging="370"/>
        <w:spacing w:after="0"/>
        <w:tabs>
          <w:tab w:leader="none" w:pos="7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Table excludes other mortgage credit investments of $44 million and $25 million as of December 31, 2023 and 2022, respectively.</w:t>
      </w:r>
    </w:p>
    <w:p>
      <w:pPr>
        <w:spacing w:after="0" w:line="6" w:lineRule="exact"/>
        <w:rPr>
          <w:rFonts w:ascii="Times New Roman" w:cs="Times New Roman" w:eastAsia="Times New Roman" w:hAnsi="Times New Roman"/>
          <w:sz w:val="16"/>
          <w:szCs w:val="16"/>
          <w:color w:val="auto"/>
        </w:rPr>
      </w:pPr>
    </w:p>
    <w:p>
      <w:pPr>
        <w:ind w:left="720" w:hanging="370"/>
        <w:spacing w:after="0" w:line="260" w:lineRule="auto"/>
        <w:tabs>
          <w:tab w:leader="none" w:pos="7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TBA securities are presented net of long and short positions. For further details of our TBA securities refer to Note 5 of our Consolidated Financial Statements in this Form 10-K</w:t>
      </w:r>
    </w:p>
    <w:p>
      <w:pPr>
        <w:spacing w:after="0" w:line="137"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TBA securities are recorded as derivative instruments in our accompanying consolidated financial statements, and our TBA dollar roll transactions represent a form of off-balance sheet financing. As of December 31, 2023 and 2022, our TBA securities had a net carrying value of $66 million and $167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spacing w:after="0" w:line="144" w:lineRule="exact"/>
        <w:rPr>
          <w:sz w:val="20"/>
          <w:szCs w:val="20"/>
          <w:color w:val="auto"/>
        </w:rPr>
      </w:pPr>
    </w:p>
    <w:p>
      <w:pPr>
        <w:jc w:val="both"/>
        <w:ind w:right="20" w:firstLine="450"/>
        <w:spacing w:after="0" w:line="281" w:lineRule="auto"/>
        <w:rPr>
          <w:sz w:val="20"/>
          <w:szCs w:val="20"/>
          <w:color w:val="auto"/>
        </w:rPr>
      </w:pPr>
      <w:r>
        <w:rPr>
          <w:rFonts w:ascii="Times New Roman" w:cs="Times New Roman" w:eastAsia="Times New Roman" w:hAnsi="Times New Roman"/>
          <w:sz w:val="20"/>
          <w:szCs w:val="20"/>
          <w:color w:val="auto"/>
        </w:rPr>
        <w:t>As of December 31, 2023 and 2022, the weighted average yield on our investment securities (excluding TBA and forward settling securities) was 4.41% and 3.37%, respectively.</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260"/>
          </w:cols>
          <w:pgMar w:left="1000" w:top="786" w:right="980" w:bottom="0" w:gutter="0" w:footer="0" w:header="0"/>
          <w:type w:val="continuous"/>
        </w:sectPr>
      </w:pPr>
    </w:p>
    <w:bookmarkStart w:id="39" w:name="page40"/>
    <w:bookmarkEnd w:id="39"/>
    <w:p>
      <w:pPr>
        <w:ind w:firstLine="495"/>
        <w:spacing w:after="0" w:line="281" w:lineRule="auto"/>
        <w:rPr>
          <w:sz w:val="20"/>
          <w:szCs w:val="20"/>
          <w:color w:val="auto"/>
        </w:rPr>
      </w:pPr>
      <w:r>
        <w:rPr>
          <w:rFonts w:ascii="Times New Roman" w:cs="Times New Roman" w:eastAsia="Times New Roman" w:hAnsi="Times New Roman"/>
          <w:sz w:val="20"/>
          <w:szCs w:val="20"/>
          <w:color w:val="auto"/>
        </w:rPr>
        <w:t>The following tables summarize certain characteristics of our fixed rate Agency RMBS portfolio, inclusive of TBA securities, as of December 31, 2023 and 2022 (dollars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rPr>
              <w:t>Includes Net TBA Position</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Excludes Net TBA Position</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Fixed Rate Agency RMBS and</w:t>
            </w:r>
          </w:p>
        </w:tc>
        <w:tc>
          <w:tcPr>
            <w:tcW w:w="72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Par</w:t>
            </w:r>
          </w:p>
        </w:tc>
        <w:tc>
          <w:tcPr>
            <w:tcW w:w="80" w:type="dxa"/>
            <w:vAlign w:val="bottom"/>
          </w:tcPr>
          <w:p>
            <w:pPr>
              <w:spacing w:after="0"/>
              <w:rPr>
                <w:sz w:val="2"/>
                <w:szCs w:val="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2"/>
                <w:szCs w:val="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Pr>
          <w:p>
            <w:pPr>
              <w:spacing w:after="0"/>
              <w:rPr>
                <w:sz w:val="2"/>
                <w:szCs w:val="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Specified</w:t>
            </w: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Projected</w:t>
            </w:r>
          </w:p>
        </w:tc>
        <w:tc>
          <w:tcPr>
            <w:tcW w:w="0" w:type="dxa"/>
            <w:vAlign w:val="bottom"/>
          </w:tcPr>
          <w:p>
            <w:pPr>
              <w:spacing w:after="0" w:line="20" w:lineRule="exact"/>
              <w:rPr>
                <w:sz w:val="1"/>
                <w:szCs w:val="1"/>
                <w:color w:val="auto"/>
              </w:rPr>
            </w:pPr>
          </w:p>
        </w:tc>
      </w:tr>
      <w:tr>
        <w:trPr>
          <w:trHeight w:val="160"/>
        </w:trPr>
        <w:tc>
          <w:tcPr>
            <w:tcW w:w="228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 xml:space="preserve">Yield </w:t>
            </w:r>
            <w:r>
              <w:rPr>
                <w:rFonts w:ascii="Times New Roman" w:cs="Times New Roman" w:eastAsia="Times New Roman" w:hAnsi="Times New Roman"/>
                <w:sz w:val="20"/>
                <w:szCs w:val="20"/>
                <w:b w:val="1"/>
                <w:bCs w:val="1"/>
                <w:color w:val="auto"/>
                <w:vertAlign w:val="superscript"/>
              </w:rPr>
              <w:t>2</w:t>
            </w:r>
          </w:p>
        </w:tc>
        <w:tc>
          <w:tcPr>
            <w:tcW w:w="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TBA Securities</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80" w:type="dxa"/>
            <w:vAlign w:val="bottom"/>
          </w:tcPr>
          <w:p>
            <w:pPr>
              <w:spacing w:after="0"/>
              <w:rPr>
                <w:sz w:val="18"/>
                <w:szCs w:val="18"/>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w w:val="99"/>
              </w:rPr>
              <w:t>Pool %</w:t>
            </w: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1</w:t>
            </w: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Coupon</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Cost Basis</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60" w:type="dxa"/>
            <w:vAlign w:val="bottom"/>
          </w:tcPr>
          <w:p>
            <w:pPr>
              <w:spacing w:after="0"/>
              <w:rPr>
                <w:sz w:val="18"/>
                <w:szCs w:val="18"/>
                <w:color w:val="auto"/>
              </w:rPr>
            </w:pPr>
          </w:p>
        </w:tc>
        <w:tc>
          <w:tcPr>
            <w:tcW w:w="84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6"/>
              </w:rPr>
              <w:t xml:space="preserve">CPR </w:t>
            </w:r>
            <w:r>
              <w:rPr>
                <w:rFonts w:ascii="Times New Roman" w:cs="Times New Roman" w:eastAsia="Times New Roman" w:hAnsi="Times New Roman"/>
                <w:sz w:val="20"/>
                <w:szCs w:val="20"/>
                <w:b w:val="1"/>
                <w:bCs w:val="1"/>
                <w:color w:val="auto"/>
                <w:w w:val="96"/>
                <w:vertAlign w:val="superscript"/>
              </w:rPr>
              <w:t>2</w:t>
            </w:r>
          </w:p>
        </w:tc>
        <w:tc>
          <w:tcPr>
            <w:tcW w:w="0" w:type="dxa"/>
            <w:vAlign w:val="bottom"/>
          </w:tcPr>
          <w:p>
            <w:pPr>
              <w:spacing w:after="0"/>
              <w:rPr>
                <w:sz w:val="1"/>
                <w:szCs w:val="1"/>
                <w:color w:val="auto"/>
              </w:rPr>
            </w:pPr>
          </w:p>
        </w:tc>
      </w:tr>
      <w:tr>
        <w:trPr>
          <w:trHeight w:val="229"/>
        </w:trPr>
        <w:tc>
          <w:tcPr>
            <w:tcW w:w="2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2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15-year:</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2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2.5% </w:t>
            </w:r>
            <w:r>
              <w:rPr>
                <w:rFonts w:ascii="Times New Roman" w:cs="Times New Roman" w:eastAsia="Times New Roman" w:hAnsi="Times New Roman"/>
                <w:sz w:val="16"/>
                <w:szCs w:val="16"/>
                <w:color w:val="B4B4B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2.16%</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101.7%</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1.77%</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3.0%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3.00%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101.5%</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2.54%</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71</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3.50%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101.5%</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2.60%</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126</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4.0%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4.00%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102.8%</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2.98%</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4.50%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101.7%</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2.70%</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154</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61"/>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5.0%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22"/>
                <w:szCs w:val="22"/>
                <w:color w:val="auto"/>
              </w:rPr>
            </w:pPr>
          </w:p>
        </w:tc>
        <w:tc>
          <w:tcPr>
            <w:tcW w:w="640" w:type="dxa"/>
            <w:vAlign w:val="bottom"/>
            <w:tcBorders>
              <w:bottom w:val="single" w:sz="8" w:color="auto"/>
            </w:tcBorders>
          </w:tcPr>
          <w:p>
            <w:pPr>
              <w:jc w:val="cente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5.00%</w:t>
            </w:r>
          </w:p>
        </w:tc>
        <w:tc>
          <w:tcPr>
            <w:tcW w:w="180" w:type="dxa"/>
            <w:vAlign w:val="bottom"/>
          </w:tcPr>
          <w:p>
            <w:pPr>
              <w:spacing w:after="0"/>
              <w:rPr>
                <w:sz w:val="22"/>
                <w:szCs w:val="22"/>
                <w:color w:val="auto"/>
              </w:rPr>
            </w:pPr>
          </w:p>
        </w:tc>
        <w:tc>
          <w:tcPr>
            <w:tcW w:w="86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2.54%</w:t>
            </w:r>
          </w:p>
        </w:tc>
        <w:tc>
          <w:tcPr>
            <w:tcW w:w="6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168</w:t>
            </w:r>
          </w:p>
        </w:tc>
        <w:tc>
          <w:tcPr>
            <w:tcW w:w="60" w:type="dxa"/>
            <w:vAlign w:val="bottom"/>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35"/>
        </w:trPr>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 15-year</w:t>
            </w:r>
            <w:r>
              <w:rPr>
                <w:rFonts w:ascii="Times New Roman" w:cs="Times New Roman" w:eastAsia="Times New Roman" w:hAnsi="Times New Roman"/>
                <w:sz w:val="16"/>
                <w:szCs w:val="16"/>
                <w:color w:val="B4B4B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20"/>
                <w:szCs w:val="20"/>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3.44%</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101.9%</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2.62%</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71</w:t>
            </w:r>
          </w:p>
        </w:tc>
        <w:tc>
          <w:tcPr>
            <w:tcW w:w="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9"/>
        </w:trPr>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20-year:</w:t>
            </w: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2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2.0% </w:t>
            </w:r>
            <w:r>
              <w:rPr>
                <w:rFonts w:ascii="Times New Roman" w:cs="Times New Roman" w:eastAsia="Times New Roman" w:hAnsi="Times New Roman"/>
                <w:sz w:val="16"/>
                <w:szCs w:val="16"/>
                <w:color w:val="B4B4B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22"/>
                <w:szCs w:val="22"/>
                <w:color w:val="auto"/>
              </w:rPr>
            </w:pPr>
          </w:p>
        </w:tc>
        <w:tc>
          <w:tcPr>
            <w:tcW w:w="64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2.00%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102.6%</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1.58%</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Pr>
          <w:p>
            <w:pPr>
              <w:spacing w:after="0"/>
              <w:rPr>
                <w:sz w:val="22"/>
                <w:szCs w:val="22"/>
                <w:color w:val="auto"/>
              </w:rPr>
            </w:pPr>
          </w:p>
        </w:tc>
        <w:tc>
          <w:tcPr>
            <w:tcW w:w="64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2.50%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104.7%</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1.72%</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3.0%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3.00%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103.6%</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2.28%</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3.50%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101.7%</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2.96%</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125</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61"/>
        </w:trPr>
        <w:tc>
          <w:tcPr>
            <w:tcW w:w="22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4.0% </w:t>
            </w:r>
            <w:r>
              <w:rPr>
                <w:rFonts w:ascii="Times New Roman" w:cs="Times New Roman" w:eastAsia="Times New Roman" w:hAnsi="Times New Roman"/>
                <w:sz w:val="16"/>
                <w:szCs w:val="16"/>
                <w:color w:val="B4B4B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22"/>
                <w:szCs w:val="22"/>
                <w:color w:val="auto"/>
              </w:rPr>
            </w:pPr>
          </w:p>
        </w:tc>
        <w:tc>
          <w:tcPr>
            <w:tcW w:w="640" w:type="dxa"/>
            <w:vAlign w:val="bottom"/>
            <w:tcBorders>
              <w:bottom w:val="single" w:sz="8" w:color="auto"/>
            </w:tcBorders>
          </w:tcPr>
          <w:p>
            <w:pPr>
              <w:jc w:val="center"/>
              <w:ind w:left="140"/>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4.26%</w:t>
            </w:r>
          </w:p>
        </w:tc>
        <w:tc>
          <w:tcPr>
            <w:tcW w:w="180" w:type="dxa"/>
            <w:vAlign w:val="bottom"/>
          </w:tcPr>
          <w:p>
            <w:pPr>
              <w:spacing w:after="0"/>
              <w:rPr>
                <w:sz w:val="22"/>
                <w:szCs w:val="22"/>
                <w:color w:val="auto"/>
              </w:rPr>
            </w:pPr>
          </w:p>
        </w:tc>
        <w:tc>
          <w:tcPr>
            <w:tcW w:w="86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3.14%</w:t>
            </w:r>
          </w:p>
        </w:tc>
        <w:tc>
          <w:tcPr>
            <w:tcW w:w="6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83</w:t>
            </w:r>
          </w:p>
        </w:tc>
        <w:tc>
          <w:tcPr>
            <w:tcW w:w="60" w:type="dxa"/>
            <w:vAlign w:val="bottom"/>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5"/>
        </w:trPr>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20-year:</w:t>
            </w:r>
            <w:r>
              <w:rPr>
                <w:rFonts w:ascii="Times New Roman" w:cs="Times New Roman" w:eastAsia="Times New Roman" w:hAnsi="Times New Roman"/>
                <w:sz w:val="16"/>
                <w:szCs w:val="16"/>
                <w:color w:val="B4B4B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2.82%</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103.6%</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2.11%</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9"/>
        </w:trPr>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30-year:</w:t>
            </w: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2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3.0% </w:t>
            </w:r>
            <w:r>
              <w:rPr>
                <w:rFonts w:ascii="Times New Roman" w:cs="Times New Roman" w:eastAsia="Times New Roman" w:hAnsi="Times New Roman"/>
                <w:sz w:val="16"/>
                <w:szCs w:val="16"/>
                <w:color w:val="B4B4B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3,861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2.43%</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101.0%</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2.28%</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5,230</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3.50%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104.1%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2.84%</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97</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4.0%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6,960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6,358</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4.00%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105.7%</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3.08%</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80</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6,763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6,426</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4.50%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103.9%</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3.83%</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5.0%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9,719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9,657</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5.00%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100.5%</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4.91%</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12,391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12,486</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5.50%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100.6%</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5.39%</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6.0%</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9,384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9,507</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2"/>
                <w:szCs w:val="22"/>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6.00%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101.0%</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5.71%</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61"/>
        </w:trPr>
        <w:tc>
          <w:tcPr>
            <w:tcW w:w="22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6.5% </w:t>
            </w:r>
            <w:r>
              <w:rPr>
                <w:rFonts w:ascii="Times New Roman" w:cs="Times New Roman" w:eastAsia="Times New Roman" w:hAnsi="Times New Roman"/>
                <w:sz w:val="16"/>
                <w:szCs w:val="16"/>
                <w:color w:val="B4B4B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w:t>
            </w:r>
          </w:p>
        </w:tc>
        <w:tc>
          <w:tcPr>
            <w:tcW w:w="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8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80" w:type="dxa"/>
            <w:vAlign w:val="bottom"/>
          </w:tcPr>
          <w:p>
            <w:pPr>
              <w:spacing w:after="0"/>
              <w:rPr>
                <w:sz w:val="22"/>
                <w:szCs w:val="22"/>
                <w:color w:val="auto"/>
              </w:rPr>
            </w:pPr>
          </w:p>
        </w:tc>
        <w:tc>
          <w:tcPr>
            <w:tcW w:w="640" w:type="dxa"/>
            <w:vAlign w:val="bottom"/>
            <w:tcBorders>
              <w:bottom w:val="single" w:sz="8" w:color="auto"/>
            </w:tcBorders>
          </w:tcPr>
          <w:p>
            <w:pPr>
              <w:jc w:val="center"/>
              <w:ind w:left="140"/>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6.50%</w:t>
            </w:r>
          </w:p>
        </w:tc>
        <w:tc>
          <w:tcPr>
            <w:tcW w:w="180" w:type="dxa"/>
            <w:vAlign w:val="bottom"/>
          </w:tcPr>
          <w:p>
            <w:pPr>
              <w:spacing w:after="0"/>
              <w:rPr>
                <w:sz w:val="22"/>
                <w:szCs w:val="22"/>
                <w:color w:val="auto"/>
              </w:rPr>
            </w:pPr>
          </w:p>
        </w:tc>
        <w:tc>
          <w:tcPr>
            <w:tcW w:w="86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6"/>
                <w:szCs w:val="16"/>
                <w:color w:val="auto"/>
              </w:rPr>
              <w:t>102.3%</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5.78%</w:t>
            </w:r>
          </w:p>
        </w:tc>
        <w:tc>
          <w:tcPr>
            <w:tcW w:w="6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60" w:type="dxa"/>
            <w:vAlign w:val="bottom"/>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5"/>
        </w:trPr>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xml:space="preserve">Total 30-year </w:t>
            </w:r>
            <w:r>
              <w:rPr>
                <w:rFonts w:ascii="Times New Roman" w:cs="Times New Roman" w:eastAsia="Times New Roman" w:hAnsi="Times New Roman"/>
                <w:sz w:val="16"/>
                <w:szCs w:val="16"/>
                <w:color w:val="B4B4B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57,766</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58,857</w:t>
            </w:r>
          </w:p>
        </w:tc>
        <w:tc>
          <w:tcPr>
            <w:tcW w:w="8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56,938</w:t>
            </w:r>
          </w:p>
        </w:tc>
        <w:tc>
          <w:tcPr>
            <w:tcW w:w="80" w:type="dxa"/>
            <w:vAlign w:val="bottom"/>
          </w:tcPr>
          <w:p>
            <w:pPr>
              <w:spacing w:after="0"/>
              <w:rPr>
                <w:sz w:val="20"/>
                <w:szCs w:val="20"/>
                <w:color w:val="auto"/>
              </w:rPr>
            </w:pPr>
          </w:p>
        </w:tc>
        <w:tc>
          <w:tcPr>
            <w:tcW w:w="640" w:type="dxa"/>
            <w:vAlign w:val="bottom"/>
            <w:tcBorders>
              <w:bottom w:val="single" w:sz="8" w:color="auto"/>
            </w:tcBorders>
          </w:tcPr>
          <w:p>
            <w:pPr>
              <w:jc w:val="center"/>
              <w:ind w:left="14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4.88%</w:t>
            </w:r>
          </w:p>
        </w:tc>
        <w:tc>
          <w:tcPr>
            <w:tcW w:w="180" w:type="dxa"/>
            <w:vAlign w:val="bottom"/>
          </w:tcPr>
          <w:p>
            <w:pPr>
              <w:spacing w:after="0"/>
              <w:rPr>
                <w:sz w:val="20"/>
                <w:szCs w:val="20"/>
                <w:color w:val="auto"/>
              </w:rPr>
            </w:pPr>
          </w:p>
        </w:tc>
        <w:tc>
          <w:tcPr>
            <w:tcW w:w="86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4.41%</w:t>
            </w:r>
          </w:p>
        </w:tc>
        <w:tc>
          <w:tcPr>
            <w:tcW w:w="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6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5"/>
        </w:trPr>
        <w:tc>
          <w:tcPr>
            <w:tcW w:w="2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fixed rate</w:t>
            </w:r>
            <w:r>
              <w:rPr>
                <w:rFonts w:ascii="Times New Roman" w:cs="Times New Roman" w:eastAsia="Times New Roman" w:hAnsi="Times New Roman"/>
                <w:sz w:val="16"/>
                <w:szCs w:val="16"/>
                <w:b w:val="1"/>
                <w:bCs w:val="1"/>
                <w:color w:val="B4B4B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$ 59,442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60,577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$ 58,515</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920" w:type="dxa"/>
            <w:vAlign w:val="bottom"/>
            <w:gridSpan w:val="3"/>
          </w:tcPr>
          <w:p>
            <w:pPr>
              <w:jc w:val="center"/>
              <w:ind w:left="80"/>
              <w:spacing w:after="0"/>
              <w:rPr>
                <w:sz w:val="20"/>
                <w:szCs w:val="20"/>
                <w:color w:val="auto"/>
              </w:rPr>
            </w:pPr>
            <w:r>
              <w:rPr>
                <w:rFonts w:ascii="Times New Roman" w:cs="Times New Roman" w:eastAsia="Times New Roman" w:hAnsi="Times New Roman"/>
                <w:sz w:val="16"/>
                <w:szCs w:val="16"/>
                <w:color w:val="auto"/>
                <w:w w:val="96"/>
              </w:rPr>
              <w:t>4.83%</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102.2%</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4.34%</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1416050</wp:posOffset>
            </wp:positionH>
            <wp:positionV relativeFrom="paragraph">
              <wp:posOffset>-56515</wp:posOffset>
            </wp:positionV>
            <wp:extent cx="5118100" cy="762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0">
                      <a:extLst>
                        <a:ext uri="{28A0092B-C50C-407E-A947-70E740481C1C}"/>
                      </a:extLst>
                    </a:blip>
                    <a:srcRect/>
                    <a:stretch>
                      <a:fillRect/>
                    </a:stretch>
                  </pic:blipFill>
                  <pic:spPr bwMode="auto">
                    <a:xfrm>
                      <a:off x="0" y="0"/>
                      <a:ext cx="5118100"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jc w:val="both"/>
        <w:ind w:left="720" w:hanging="370"/>
        <w:spacing w:after="0" w:line="250" w:lineRule="auto"/>
        <w:tabs>
          <w:tab w:leader="none" w:pos="7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December 31, 2023, lower balance specified pools had a weighted average original loan balance of $132,000 and $153,000 for 15-year and 30-year securities, respectively, and HARP pools had a weighted average original LTV of 128% and 141% for 15-year and 30-year securities, respectively.</w:t>
      </w:r>
    </w:p>
    <w:p>
      <w:pPr>
        <w:ind w:left="720" w:hanging="370"/>
        <w:spacing w:after="0"/>
        <w:tabs>
          <w:tab w:leader="none" w:pos="7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Portfolio yield incorporates a projected life CPR based on forward rate assumptions as of December 31, 2023.</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260"/>
          </w:cols>
          <w:pgMar w:left="1000" w:top="793" w:right="980"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17"/>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Includes Net TBA Position</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Excludes Net TBA Position</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28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Fixed Rate Agency RMBS and</w:t>
            </w:r>
          </w:p>
        </w:tc>
        <w:tc>
          <w:tcPr>
            <w:tcW w:w="140" w:type="dxa"/>
            <w:vAlign w:val="bottom"/>
          </w:tcPr>
          <w:p>
            <w:pPr>
              <w:spacing w:after="0"/>
              <w:rPr>
                <w:sz w:val="10"/>
                <w:szCs w:val="10"/>
                <w:color w:val="auto"/>
              </w:rPr>
            </w:pPr>
          </w:p>
        </w:tc>
        <w:tc>
          <w:tcPr>
            <w:tcW w:w="580" w:type="dxa"/>
            <w:vAlign w:val="bottom"/>
          </w:tcPr>
          <w:p>
            <w:pPr>
              <w:jc w:val="right"/>
              <w:ind w:right="140"/>
              <w:spacing w:after="0" w:line="126" w:lineRule="exact"/>
              <w:rPr>
                <w:sz w:val="20"/>
                <w:szCs w:val="20"/>
                <w:color w:val="auto"/>
              </w:rPr>
            </w:pPr>
            <w:r>
              <w:rPr>
                <w:rFonts w:ascii="Times New Roman" w:cs="Times New Roman" w:eastAsia="Times New Roman" w:hAnsi="Times New Roman"/>
                <w:sz w:val="14"/>
                <w:szCs w:val="14"/>
                <w:b w:val="1"/>
                <w:bCs w:val="1"/>
                <w:color w:val="auto"/>
              </w:rPr>
              <w:t>Par</w:t>
            </w:r>
          </w:p>
        </w:tc>
        <w:tc>
          <w:tcPr>
            <w:tcW w:w="80" w:type="dxa"/>
            <w:vAlign w:val="bottom"/>
          </w:tcPr>
          <w:p>
            <w:pPr>
              <w:spacing w:after="0"/>
              <w:rPr>
                <w:sz w:val="10"/>
                <w:szCs w:val="10"/>
                <w:color w:val="auto"/>
              </w:rPr>
            </w:pPr>
          </w:p>
        </w:tc>
        <w:tc>
          <w:tcPr>
            <w:tcW w:w="8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ind w:right="120"/>
              <w:spacing w:after="0" w:line="126" w:lineRule="exact"/>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0"/>
                <w:szCs w:val="10"/>
                <w:color w:val="auto"/>
              </w:rPr>
            </w:pPr>
          </w:p>
        </w:tc>
        <w:tc>
          <w:tcPr>
            <w:tcW w:w="84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Specified</w:t>
            </w:r>
          </w:p>
        </w:tc>
        <w:tc>
          <w:tcPr>
            <w:tcW w:w="6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0"/>
                <w:szCs w:val="10"/>
                <w:color w:val="auto"/>
              </w:rPr>
            </w:pPr>
          </w:p>
        </w:tc>
        <w:tc>
          <w:tcPr>
            <w:tcW w:w="860" w:type="dxa"/>
            <w:vAlign w:val="bottom"/>
          </w:tcPr>
          <w:p>
            <w:pPr>
              <w:jc w:val="center"/>
              <w:ind w:left="2"/>
              <w:spacing w:after="0" w:line="12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 xml:space="preserve">Yield </w:t>
            </w:r>
            <w:r>
              <w:rPr>
                <w:rFonts w:ascii="Times New Roman" w:cs="Times New Roman" w:eastAsia="Times New Roman" w:hAnsi="Times New Roman"/>
                <w:sz w:val="20"/>
                <w:szCs w:val="20"/>
                <w:b w:val="1"/>
                <w:bCs w:val="1"/>
                <w:color w:val="auto"/>
                <w:vertAlign w:val="superscript"/>
              </w:rPr>
              <w:t>2</w:t>
            </w: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Age</w:t>
            </w:r>
          </w:p>
        </w:tc>
        <w:tc>
          <w:tcPr>
            <w:tcW w:w="6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Projected</w:t>
            </w:r>
          </w:p>
        </w:tc>
        <w:tc>
          <w:tcPr>
            <w:tcW w:w="0" w:type="dxa"/>
            <w:vAlign w:val="bottom"/>
          </w:tcPr>
          <w:p>
            <w:pPr>
              <w:spacing w:after="0"/>
              <w:rPr>
                <w:sz w:val="1"/>
                <w:szCs w:val="1"/>
                <w:color w:val="auto"/>
              </w:rPr>
            </w:pPr>
          </w:p>
        </w:tc>
      </w:tr>
      <w:tr>
        <w:trPr>
          <w:trHeight w:val="214"/>
        </w:trPr>
        <w:tc>
          <w:tcPr>
            <w:tcW w:w="2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TBA Securities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80" w:type="dxa"/>
            <w:vAlign w:val="bottom"/>
          </w:tcPr>
          <w:p>
            <w:pPr>
              <w:spacing w:after="0"/>
              <w:rPr>
                <w:sz w:val="18"/>
                <w:szCs w:val="18"/>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w w:val="99"/>
              </w:rPr>
              <w:t>Pool %</w:t>
            </w: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1</w:t>
            </w:r>
          </w:p>
        </w:tc>
        <w:tc>
          <w:tcPr>
            <w:tcW w:w="6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Coupon</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8"/>
              </w:rPr>
              <w:t>Cost Basis</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(Months)</w:t>
            </w:r>
          </w:p>
        </w:tc>
        <w:tc>
          <w:tcPr>
            <w:tcW w:w="60" w:type="dxa"/>
            <w:vAlign w:val="bottom"/>
          </w:tcPr>
          <w:p>
            <w:pPr>
              <w:spacing w:after="0"/>
              <w:rPr>
                <w:sz w:val="18"/>
                <w:szCs w:val="18"/>
                <w:color w:val="auto"/>
              </w:rPr>
            </w:pPr>
          </w:p>
        </w:tc>
        <w:tc>
          <w:tcPr>
            <w:tcW w:w="84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6"/>
              </w:rPr>
              <w:t xml:space="preserve">CPR </w:t>
            </w:r>
            <w:r>
              <w:rPr>
                <w:rFonts w:ascii="Times New Roman" w:cs="Times New Roman" w:eastAsia="Times New Roman" w:hAnsi="Times New Roman"/>
                <w:sz w:val="20"/>
                <w:szCs w:val="20"/>
                <w:b w:val="1"/>
                <w:bCs w:val="1"/>
                <w:color w:val="auto"/>
                <w:w w:val="96"/>
                <w:vertAlign w:val="superscript"/>
              </w:rPr>
              <w:t>2</w:t>
            </w:r>
          </w:p>
        </w:tc>
        <w:tc>
          <w:tcPr>
            <w:tcW w:w="0" w:type="dxa"/>
            <w:vAlign w:val="bottom"/>
          </w:tcPr>
          <w:p>
            <w:pPr>
              <w:spacing w:after="0"/>
              <w:rPr>
                <w:sz w:val="1"/>
                <w:szCs w:val="1"/>
                <w:color w:val="auto"/>
              </w:rPr>
            </w:pPr>
          </w:p>
        </w:tc>
      </w:tr>
      <w:tr>
        <w:trPr>
          <w:trHeight w:val="229"/>
        </w:trPr>
        <w:tc>
          <w:tcPr>
            <w:tcW w:w="2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15-year:</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2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2.0% </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2.00%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103.1%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1.35%</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2.50%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105.6%</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1.29%</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3.0%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99%</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101.6%</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2.54%</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102.2%</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2.83%</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4.0%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93%</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103.2%</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2.96%</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61"/>
        </w:trPr>
        <w:tc>
          <w:tcPr>
            <w:tcW w:w="22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4.5% </w:t>
            </w:r>
            <w:r>
              <w:rPr>
                <w:rFonts w:ascii="Times New Roman" w:cs="Times New Roman" w:eastAsia="Times New Roman" w:hAnsi="Times New Roman"/>
                <w:sz w:val="16"/>
                <w:szCs w:val="16"/>
                <w:color w:val="B4B4B4"/>
              </w:rPr>
              <w:t>...............................</w:t>
            </w: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72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4.55%</w:t>
            </w:r>
          </w:p>
        </w:tc>
        <w:tc>
          <w:tcPr>
            <w:tcW w:w="180" w:type="dxa"/>
            <w:vAlign w:val="bottom"/>
          </w:tcPr>
          <w:p>
            <w:pPr>
              <w:spacing w:after="0"/>
              <w:rPr>
                <w:sz w:val="22"/>
                <w:szCs w:val="22"/>
                <w:color w:val="auto"/>
              </w:rPr>
            </w:pPr>
          </w:p>
        </w:tc>
        <w:tc>
          <w:tcPr>
            <w:tcW w:w="86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color w:val="auto"/>
              </w:rPr>
              <w:t>102.8%</w:t>
            </w: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2.65%</w:t>
            </w: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144</w:t>
            </w:r>
          </w:p>
        </w:tc>
        <w:tc>
          <w:tcPr>
            <w:tcW w:w="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5"/>
        </w:trPr>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 15-year</w:t>
            </w:r>
            <w:r>
              <w:rPr>
                <w:rFonts w:ascii="Times New Roman" w:cs="Times New Roman" w:eastAsia="Times New Roman" w:hAnsi="Times New Roman"/>
                <w:sz w:val="16"/>
                <w:szCs w:val="16"/>
                <w:color w:val="B4B4B4"/>
              </w:rPr>
              <w:t>......................</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98%</w:t>
            </w:r>
          </w:p>
        </w:tc>
        <w:tc>
          <w:tcPr>
            <w:tcW w:w="20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102.7%</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2.47%</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9"/>
        </w:trPr>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20-year:</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2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2.0% </w:t>
            </w:r>
            <w:r>
              <w:rPr>
                <w:rFonts w:ascii="Times New Roman" w:cs="Times New Roman" w:eastAsia="Times New Roman" w:hAnsi="Times New Roman"/>
                <w:sz w:val="16"/>
                <w:szCs w:val="16"/>
                <w:color w:val="B4B4B4"/>
              </w:rPr>
              <w:t>................................</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tcPr>
          <w:p>
            <w:pPr>
              <w:spacing w:after="0"/>
              <w:rPr>
                <w:sz w:val="22"/>
                <w:szCs w:val="22"/>
                <w:color w:val="auto"/>
              </w:rPr>
            </w:pPr>
          </w:p>
        </w:tc>
        <w:tc>
          <w:tcPr>
            <w:tcW w:w="64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2.00%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103.1%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1.54%</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Pr>
          <w:p>
            <w:pPr>
              <w:spacing w:after="0"/>
              <w:rPr>
                <w:sz w:val="22"/>
                <w:szCs w:val="22"/>
                <w:color w:val="auto"/>
              </w:rPr>
            </w:pPr>
          </w:p>
        </w:tc>
        <w:tc>
          <w:tcPr>
            <w:tcW w:w="64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2.50%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105.0%</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1.73%</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3.0%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103.8%</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2.28%</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101.9%</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2.96%</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113</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61"/>
        </w:trPr>
        <w:tc>
          <w:tcPr>
            <w:tcW w:w="22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4.0% </w:t>
            </w:r>
            <w:r>
              <w:rPr>
                <w:rFonts w:ascii="Times New Roman" w:cs="Times New Roman" w:eastAsia="Times New Roman" w:hAnsi="Times New Roman"/>
                <w:sz w:val="16"/>
                <w:szCs w:val="16"/>
                <w:color w:val="B4B4B4"/>
              </w:rPr>
              <w:t>...............................</w:t>
            </w: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Pr>
          <w:p>
            <w:pPr>
              <w:spacing w:after="0"/>
              <w:rPr>
                <w:sz w:val="22"/>
                <w:szCs w:val="22"/>
                <w:color w:val="auto"/>
              </w:rPr>
            </w:pPr>
          </w:p>
        </w:tc>
        <w:tc>
          <w:tcPr>
            <w:tcW w:w="64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6"/>
                <w:szCs w:val="16"/>
                <w:color w:val="auto"/>
              </w:rPr>
              <w:t>96%</w:t>
            </w:r>
          </w:p>
        </w:tc>
        <w:tc>
          <w:tcPr>
            <w:tcW w:w="2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4.27%</w:t>
            </w:r>
          </w:p>
        </w:tc>
        <w:tc>
          <w:tcPr>
            <w:tcW w:w="180" w:type="dxa"/>
            <w:vAlign w:val="bottom"/>
          </w:tcPr>
          <w:p>
            <w:pPr>
              <w:spacing w:after="0"/>
              <w:rPr>
                <w:sz w:val="22"/>
                <w:szCs w:val="22"/>
                <w:color w:val="auto"/>
              </w:rPr>
            </w:pPr>
          </w:p>
        </w:tc>
        <w:tc>
          <w:tcPr>
            <w:tcW w:w="86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3.12%</w:t>
            </w:r>
          </w:p>
        </w:tc>
        <w:tc>
          <w:tcPr>
            <w:tcW w:w="6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72</w:t>
            </w:r>
          </w:p>
        </w:tc>
        <w:tc>
          <w:tcPr>
            <w:tcW w:w="60" w:type="dxa"/>
            <w:vAlign w:val="bottom"/>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5"/>
        </w:trPr>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20-year:</w:t>
            </w:r>
            <w:r>
              <w:rPr>
                <w:rFonts w:ascii="Times New Roman" w:cs="Times New Roman" w:eastAsia="Times New Roman" w:hAnsi="Times New Roman"/>
                <w:sz w:val="16"/>
                <w:szCs w:val="16"/>
                <w:color w:val="B4B4B4"/>
              </w:rPr>
              <w:t>........................</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2.51%</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103.6%</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1.89%</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9"/>
        </w:trPr>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30-year:</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2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3.0% </w:t>
            </w:r>
            <w:r>
              <w:rPr>
                <w:rFonts w:ascii="Times New Roman" w:cs="Times New Roman" w:eastAsia="Times New Roman" w:hAnsi="Times New Roman"/>
                <w:sz w:val="16"/>
                <w:szCs w:val="16"/>
                <w:color w:val="B4B4B4"/>
              </w:rPr>
              <w:t>...............................</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2.45%</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101.9%</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2.16%</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7,133</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82%</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104.0%</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2.84%</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83</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4.0%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8,243</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83%</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105.8%</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3.08%</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11,364</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103.5%</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3.94%</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5.0%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11,641</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5.00%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101.7%</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4.71%</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7,635</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5.50%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102.0%</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5.15%</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55"/>
        </w:trPr>
        <w:tc>
          <w:tcPr>
            <w:tcW w:w="22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6.0%</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22"/>
                <w:szCs w:val="2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6.00%</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103.8%</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5.22%</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61"/>
        </w:trPr>
        <w:tc>
          <w:tcPr>
            <w:tcW w:w="22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xml:space="preserve">≥ 6.5% </w:t>
            </w:r>
            <w:r>
              <w:rPr>
                <w:rFonts w:ascii="Times New Roman" w:cs="Times New Roman" w:eastAsia="Times New Roman" w:hAnsi="Times New Roman"/>
                <w:sz w:val="16"/>
                <w:szCs w:val="16"/>
                <w:color w:val="B4B4B4"/>
              </w:rPr>
              <w:t>................................</w:t>
            </w: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22"/>
                <w:szCs w:val="22"/>
                <w:color w:val="auto"/>
              </w:rPr>
            </w:pPr>
          </w:p>
        </w:tc>
        <w:tc>
          <w:tcPr>
            <w:tcW w:w="64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6.50%</w:t>
            </w:r>
          </w:p>
        </w:tc>
        <w:tc>
          <w:tcPr>
            <w:tcW w:w="180" w:type="dxa"/>
            <w:vAlign w:val="bottom"/>
          </w:tcPr>
          <w:p>
            <w:pPr>
              <w:spacing w:after="0"/>
              <w:rPr>
                <w:sz w:val="22"/>
                <w:szCs w:val="22"/>
                <w:color w:val="auto"/>
              </w:rPr>
            </w:pPr>
          </w:p>
        </w:tc>
        <w:tc>
          <w:tcPr>
            <w:tcW w:w="86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5.32%</w:t>
            </w:r>
          </w:p>
        </w:tc>
        <w:tc>
          <w:tcPr>
            <w:tcW w:w="6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60" w:type="dxa"/>
            <w:vAlign w:val="bottom"/>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5"/>
        </w:trPr>
        <w:tc>
          <w:tcPr>
            <w:tcW w:w="22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xml:space="preserve">Total 30-year </w:t>
            </w:r>
            <w:r>
              <w:rPr>
                <w:rFonts w:ascii="Times New Roman" w:cs="Times New Roman" w:eastAsia="Times New Roman" w:hAnsi="Times New Roman"/>
                <w:sz w:val="16"/>
                <w:szCs w:val="16"/>
                <w:color w:val="B4B4B4"/>
              </w:rPr>
              <w:t>.........................</w:t>
            </w: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57,441</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58,134</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54,781</w:t>
            </w:r>
          </w:p>
        </w:tc>
        <w:tc>
          <w:tcPr>
            <w:tcW w:w="80" w:type="dxa"/>
            <w:vAlign w:val="bottom"/>
          </w:tcPr>
          <w:p>
            <w:pPr>
              <w:spacing w:after="0"/>
              <w:rPr>
                <w:sz w:val="20"/>
                <w:szCs w:val="20"/>
                <w:color w:val="auto"/>
              </w:rPr>
            </w:pPr>
          </w:p>
        </w:tc>
        <w:tc>
          <w:tcPr>
            <w:tcW w:w="64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w:t>
            </w:r>
          </w:p>
        </w:tc>
        <w:tc>
          <w:tcPr>
            <w:tcW w:w="180" w:type="dxa"/>
            <w:vAlign w:val="bottom"/>
          </w:tcPr>
          <w:p>
            <w:pPr>
              <w:spacing w:after="0"/>
              <w:rPr>
                <w:sz w:val="20"/>
                <w:szCs w:val="20"/>
                <w:color w:val="auto"/>
              </w:rPr>
            </w:pPr>
          </w:p>
        </w:tc>
        <w:tc>
          <w:tcPr>
            <w:tcW w:w="86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color w:val="auto"/>
              </w:rPr>
              <w:t>103.5%</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3.33%</w:t>
            </w:r>
          </w:p>
        </w:tc>
        <w:tc>
          <w:tcPr>
            <w:tcW w:w="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6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5"/>
        </w:trPr>
        <w:tc>
          <w:tcPr>
            <w:tcW w:w="2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fixed rate</w:t>
            </w:r>
            <w:r>
              <w:rPr>
                <w:rFonts w:ascii="Times New Roman" w:cs="Times New Roman" w:eastAsia="Times New Roman" w:hAnsi="Times New Roman"/>
                <w:sz w:val="16"/>
                <w:szCs w:val="16"/>
                <w:b w:val="1"/>
                <w:bCs w:val="1"/>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60,660</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61,453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57,743</w:t>
            </w: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4.13%</w:t>
            </w:r>
          </w:p>
        </w:tc>
        <w:tc>
          <w:tcPr>
            <w:tcW w:w="104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rPr>
              <w:t>103.5%</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3.25%</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1416050</wp:posOffset>
            </wp:positionH>
            <wp:positionV relativeFrom="paragraph">
              <wp:posOffset>-56515</wp:posOffset>
            </wp:positionV>
            <wp:extent cx="5156200" cy="762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1">
                      <a:extLst>
                        <a:ext uri="{28A0092B-C50C-407E-A947-70E740481C1C}"/>
                      </a:extLst>
                    </a:blip>
                    <a:srcRect/>
                    <a:stretch>
                      <a:fillRect/>
                    </a:stretch>
                  </pic:blipFill>
                  <pic:spPr bwMode="auto">
                    <a:xfrm>
                      <a:off x="0" y="0"/>
                      <a:ext cx="5156200" cy="76200"/>
                    </a:xfrm>
                    <a:prstGeom prst="rect">
                      <a:avLst/>
                    </a:prstGeom>
                    <a:noFill/>
                  </pic:spPr>
                </pic:pic>
              </a:graphicData>
            </a:graphic>
          </wp:anchor>
        </w:drawing>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jc w:val="both"/>
        <w:ind w:left="720" w:right="60" w:hanging="370"/>
        <w:spacing w:after="0" w:line="249" w:lineRule="auto"/>
        <w:tabs>
          <w:tab w:leader="none" w:pos="7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 of preceding table for specified pool composition. As of December 31, 2022, lower balance specified pools had a weighted average original loan balance of $123,000 and $140,000 for 15-year and 30-year securities, respectively, and HARP pools had a weighted average original LTV of 128% and 138% for 15-year and 30-year securities, respectively.</w:t>
      </w:r>
    </w:p>
    <w:p>
      <w:pPr>
        <w:spacing w:after="0" w:line="1" w:lineRule="exact"/>
        <w:rPr>
          <w:rFonts w:ascii="Times New Roman" w:cs="Times New Roman" w:eastAsia="Times New Roman" w:hAnsi="Times New Roman"/>
          <w:sz w:val="16"/>
          <w:szCs w:val="16"/>
          <w:color w:val="auto"/>
        </w:rPr>
      </w:pPr>
    </w:p>
    <w:p>
      <w:pPr>
        <w:ind w:left="720" w:hanging="370"/>
        <w:spacing w:after="0"/>
        <w:tabs>
          <w:tab w:leader="none" w:pos="7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Portfolio yield incorporates a projected life CPR based on forward rate assumptions as of December 31, 2022.</w:t>
      </w:r>
    </w:p>
    <w:p>
      <w:pPr>
        <w:spacing w:after="0" w:line="160" w:lineRule="exact"/>
        <w:rPr>
          <w:sz w:val="20"/>
          <w:szCs w:val="20"/>
          <w:color w:val="auto"/>
        </w:rPr>
      </w:pPr>
    </w:p>
    <w:p>
      <w:pPr>
        <w:jc w:val="both"/>
        <w:ind w:right="80" w:firstLine="495"/>
        <w:spacing w:after="0" w:line="281" w:lineRule="auto"/>
        <w:rPr>
          <w:sz w:val="20"/>
          <w:szCs w:val="20"/>
          <w:color w:val="auto"/>
        </w:rPr>
      </w:pPr>
      <w:r>
        <w:rPr>
          <w:rFonts w:ascii="Times New Roman" w:cs="Times New Roman" w:eastAsia="Times New Roman" w:hAnsi="Times New Roman"/>
          <w:sz w:val="20"/>
          <w:szCs w:val="20"/>
          <w:color w:val="auto"/>
        </w:rPr>
        <w:t>For additional details regarding our CRT and non-Agency securities, including credit ratings, as of December 31, 2023 and 2022, please refer to Note 3 of our Consolidated Financial Statements included under Item 8 of this Form 10-K.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CRITICAL ACCOUNTING ESTIMATES</w:t>
      </w:r>
    </w:p>
    <w:p>
      <w:pPr>
        <w:spacing w:after="0" w:line="197" w:lineRule="exact"/>
        <w:rPr>
          <w:sz w:val="20"/>
          <w:szCs w:val="20"/>
          <w:color w:val="auto"/>
        </w:rPr>
      </w:pPr>
    </w:p>
    <w:p>
      <w:pPr>
        <w:jc w:val="both"/>
        <w:ind w:right="60" w:firstLine="450"/>
        <w:spacing w:after="0" w:line="258" w:lineRule="auto"/>
        <w:rPr>
          <w:sz w:val="20"/>
          <w:szCs w:val="20"/>
          <w:color w:val="auto"/>
        </w:rPr>
      </w:pPr>
      <w:r>
        <w:rPr>
          <w:rFonts w:ascii="Times New Roman" w:cs="Times New Roman" w:eastAsia="Times New Roman" w:hAnsi="Times New Roman"/>
          <w:sz w:val="20"/>
          <w:szCs w:val="20"/>
          <w:color w:val="auto"/>
        </w:rPr>
        <w:t>Our critical accounting estimates involve estimates that require management to make judgments that are subjective in nature. We rely on our experience and analysis of historical and current market data to arrive at what we believe to be reasonable estimates. Under different conditions, we could report materially different amounts based on such estimates. For additional information regarding our significant accounting policies please refer to Note 2 of our Consolidated Financial Statements included under Item 8 of this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199" w:lineRule="exact"/>
        <w:rPr>
          <w:sz w:val="20"/>
          <w:szCs w:val="20"/>
          <w:color w:val="auto"/>
        </w:rPr>
      </w:pPr>
    </w:p>
    <w:p>
      <w:pPr>
        <w:jc w:val="both"/>
        <w:ind w:right="80" w:firstLine="495"/>
        <w:spacing w:after="0" w:line="256" w:lineRule="auto"/>
        <w:rPr>
          <w:sz w:val="20"/>
          <w:szCs w:val="20"/>
          <w:color w:val="auto"/>
        </w:rPr>
      </w:pPr>
      <w:r>
        <w:rPr>
          <w:rFonts w:ascii="Times New Roman" w:cs="Times New Roman" w:eastAsia="Times New Roman" w:hAnsi="Times New Roman"/>
          <w:sz w:val="20"/>
          <w:szCs w:val="20"/>
          <w:color w:val="auto"/>
        </w:rPr>
        <w:t>The effective yield on our Agency RMBS and non-Agency securities of high credit quality is highly impacted by our estimate of future prepayments. We accrue interest income based on the outstanding principal amount and contractual terms of these securities, and we amortize or accrete premiums and discounts associated with our purchase of these securities into interest income over their projected lives, incorporating scheduled contractual payments and estimated prepayments, using the effective interest method. The weighted average cost basis of our securities as of December 31, 2023 was 102.2% of par value; therefore, changes in our actual or projected prepayments can significantly alter the effective yield on our assets.</w:t>
      </w:r>
    </w:p>
    <w:p>
      <w:pPr>
        <w:sectPr>
          <w:pgSz w:w="12240" w:h="15840" w:orient="portrait"/>
          <w:cols w:equalWidth="0" w:num="1">
            <w:col w:w="10320"/>
          </w:cols>
          <w:pgMar w:left="1000" w:top="88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320"/>
          </w:cols>
          <w:pgMar w:left="1000" w:top="883" w:right="920" w:bottom="0" w:gutter="0" w:footer="0" w:header="0"/>
          <w:type w:val="continuous"/>
        </w:sectPr>
      </w:pPr>
    </w:p>
    <w:bookmarkStart w:id="41" w:name="page42"/>
    <w:bookmarkEnd w:id="41"/>
    <w:p>
      <w:pPr>
        <w:jc w:val="both"/>
        <w:ind w:left="10" w:right="20" w:firstLine="495"/>
        <w:spacing w:after="0" w:line="255" w:lineRule="auto"/>
        <w:rPr>
          <w:sz w:val="20"/>
          <w:szCs w:val="20"/>
          <w:color w:val="auto"/>
        </w:rPr>
      </w:pPr>
      <w:r>
        <w:rPr>
          <w:rFonts w:ascii="Times New Roman" w:cs="Times New Roman" w:eastAsia="Times New Roman" w:hAnsi="Times New Roman"/>
          <w:sz w:val="20"/>
          <w:szCs w:val="20"/>
          <w:color w:val="auto"/>
        </w:rPr>
        <w:t>Future prepayment rates are difficult to predict, and we rely on a third-party service provider and our experience and analysis of historical and current market data to arrive at what we believe to be reasonable estimates. Our third-party service provider estimates prepayment rates over the remaining life of our securities using models that incorporate the forward yield curve, current mortgage rates, mortgage rates on the outstanding loans, age and size of the outstanding loans, loan-to-value ratios, interest rate volatility and other factors. We review the estimated prepayment rates for reasonableness, giving consideration to historical prepayment rates, current market conditions and other factors we believe are likely to impact the rate of prepayments on our portfolio, and based on our judgment we may adjust the third-party estimates.</w:t>
      </w:r>
    </w:p>
    <w:p>
      <w:pPr>
        <w:spacing w:after="0" w:line="150" w:lineRule="exact"/>
        <w:rPr>
          <w:sz w:val="20"/>
          <w:szCs w:val="20"/>
          <w:color w:val="auto"/>
        </w:rPr>
      </w:pPr>
    </w:p>
    <w:p>
      <w:pPr>
        <w:jc w:val="both"/>
        <w:ind w:left="10" w:firstLine="495"/>
        <w:spacing w:after="0" w:line="256" w:lineRule="auto"/>
        <w:rPr>
          <w:sz w:val="20"/>
          <w:szCs w:val="20"/>
          <w:color w:val="auto"/>
        </w:rPr>
      </w:pPr>
      <w:r>
        <w:rPr>
          <w:rFonts w:ascii="Times New Roman" w:cs="Times New Roman" w:eastAsia="Times New Roman" w:hAnsi="Times New Roman"/>
          <w:sz w:val="20"/>
          <w:szCs w:val="20"/>
          <w:color w:val="auto"/>
        </w:rPr>
        <w:t>We review our actual and anticipated prepayment experience on at least a quarterly basis, and effective yields are recalculated when differences arise between (i) our previous prepayment estimates and (ii) actual prepayments to date and current estimates of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from inception through the reporting date. We commonly refer to this adjustment as "catch-up" premium amortization cost/benefit.</w:t>
      </w:r>
    </w:p>
    <w:p>
      <w:pPr>
        <w:spacing w:after="0" w:line="148" w:lineRule="exact"/>
        <w:rPr>
          <w:sz w:val="20"/>
          <w:szCs w:val="20"/>
          <w:color w:val="auto"/>
        </w:rPr>
      </w:pPr>
    </w:p>
    <w:p>
      <w:pPr>
        <w:jc w:val="both"/>
        <w:ind w:left="10" w:right="20" w:firstLine="495"/>
        <w:spacing w:after="0" w:line="255" w:lineRule="auto"/>
        <w:rPr>
          <w:sz w:val="20"/>
          <w:szCs w:val="20"/>
          <w:color w:val="auto"/>
        </w:rPr>
      </w:pPr>
      <w:r>
        <w:rPr>
          <w:rFonts w:ascii="Times New Roman" w:cs="Times New Roman" w:eastAsia="Times New Roman" w:hAnsi="Times New Roman"/>
          <w:sz w:val="20"/>
          <w:szCs w:val="20"/>
          <w:color w:val="auto"/>
        </w:rPr>
        <w:t xml:space="preserve">The most significant factor impacting prepayment rates on our securities is changes to long-term interest rates. Prepayment rates generally increase when interest rates fall and decrease when interest rates rise. Item 7A. </w:t>
      </w:r>
      <w:r>
        <w:rPr>
          <w:rFonts w:ascii="Times New Roman" w:cs="Times New Roman" w:eastAsia="Times New Roman" w:hAnsi="Times New Roman"/>
          <w:sz w:val="20"/>
          <w:szCs w:val="20"/>
          <w:b w:val="1"/>
          <w:bCs w:val="1"/>
          <w:i w:val="1"/>
          <w:iCs w:val="1"/>
          <w:color w:val="auto"/>
        </w:rPr>
        <w:t>Quantitative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Qualitative Disclosures About Market Risk </w:t>
      </w:r>
      <w:r>
        <w:rPr>
          <w:rFonts w:ascii="Times New Roman" w:cs="Times New Roman" w:eastAsia="Times New Roman" w:hAnsi="Times New Roman"/>
          <w:sz w:val="20"/>
          <w:szCs w:val="20"/>
          <w:color w:val="auto"/>
        </w:rPr>
        <w:t>in this Form 10-K includes the estimated weighted average projected CPR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investments and the corresponding weighted average yield on our investments should interest rates instantaneously go up or down by 25, 50, and 75 basis points. However, there are a variety of other factors that may impact the rate of prepayments on our securities. Consequently, our actual experience and future estimates of prepayments could differ materially from our estimates.</w:t>
      </w:r>
    </w:p>
    <w:p>
      <w:pPr>
        <w:spacing w:after="0" w:line="150" w:lineRule="exact"/>
        <w:rPr>
          <w:sz w:val="20"/>
          <w:szCs w:val="20"/>
          <w:color w:val="auto"/>
        </w:rPr>
      </w:pPr>
    </w:p>
    <w:p>
      <w:pPr>
        <w:jc w:val="both"/>
        <w:ind w:left="10" w:right="20" w:firstLine="495"/>
        <w:spacing w:after="0" w:line="256" w:lineRule="auto"/>
        <w:rPr>
          <w:sz w:val="20"/>
          <w:szCs w:val="20"/>
          <w:color w:val="auto"/>
        </w:rPr>
      </w:pPr>
      <w:r>
        <w:rPr>
          <w:rFonts w:ascii="Times New Roman" w:cs="Times New Roman" w:eastAsia="Times New Roman" w:hAnsi="Times New Roman"/>
          <w:sz w:val="20"/>
          <w:szCs w:val="20"/>
          <w:color w:val="auto"/>
        </w:rPr>
        <w:t>At the time we purchase CRT and non-Agency securities that are not of high credit quality, we determine an effective interest rate based on our estimate of the timing and amount of cash flows and our cost basis. On at least a quarterly basis, we review the estimated cash flows and make appropriate adjustments based on input and analysis received from external sources, internal models, our judgment about interest rates, prepayment rates, including collateral call provisions, timing and amount of estimated credit losses, and other factors. Any resulting changes in effective yield are recognized prospectively based on the current amortized cost of the investment as adjusted for credit impairment, if any.</w:t>
      </w:r>
    </w:p>
    <w:p>
      <w:pPr>
        <w:spacing w:after="0" w:line="1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Non-GAAP Financial Measures</w:t>
      </w:r>
    </w:p>
    <w:p>
      <w:pPr>
        <w:spacing w:after="0" w:line="199" w:lineRule="exact"/>
        <w:rPr>
          <w:sz w:val="20"/>
          <w:szCs w:val="20"/>
          <w:color w:val="auto"/>
        </w:rPr>
      </w:pPr>
    </w:p>
    <w:p>
      <w:pPr>
        <w:jc w:val="both"/>
        <w:ind w:left="10" w:right="20" w:firstLine="540"/>
        <w:spacing w:after="0" w:line="237" w:lineRule="auto"/>
        <w:rPr>
          <w:sz w:val="20"/>
          <w:szCs w:val="20"/>
          <w:color w:val="auto"/>
        </w:rPr>
      </w:pPr>
      <w:r>
        <w:rPr>
          <w:rFonts w:ascii="Times New Roman" w:cs="Times New Roman" w:eastAsia="Times New Roman" w:hAnsi="Times New Roman"/>
          <w:sz w:val="20"/>
          <w:szCs w:val="20"/>
          <w:color w:val="auto"/>
        </w:rPr>
        <w:t>In addition to the results presented in accordance with GAAP, our results of operations discussed below include certain non-GAAP financial information, including "economic interest income," "economic interest expense," and "net spread and dollar roll income available to common stockholders"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and the related per common share measures and certain financial metrics derived from such non-GAAP information.</w:t>
      </w:r>
    </w:p>
    <w:p>
      <w:pPr>
        <w:spacing w:after="0" w:line="163" w:lineRule="exact"/>
        <w:rPr>
          <w:sz w:val="20"/>
          <w:szCs w:val="20"/>
          <w:color w:val="auto"/>
        </w:rPr>
      </w:pPr>
    </w:p>
    <w:p>
      <w:pPr>
        <w:jc w:val="both"/>
        <w:ind w:left="10" w:firstLine="540"/>
        <w:spacing w:after="0" w:line="253" w:lineRule="auto"/>
        <w:rPr>
          <w:sz w:val="20"/>
          <w:szCs w:val="20"/>
          <w:color w:val="auto"/>
        </w:rPr>
      </w:pPr>
      <w:r>
        <w:rPr>
          <w:rFonts w:ascii="Times New Roman" w:cs="Times New Roman" w:eastAsia="Times New Roman" w:hAnsi="Times New Roman"/>
          <w:sz w:val="20"/>
          <w:szCs w:val="20"/>
          <w:color w:val="auto"/>
        </w:rPr>
        <w:t>"Economic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(ii) exclude retrospective "catch-up" adjustments to premium amortization cost associated with changes in projected CPR estimates; and</w:t>
      </w:r>
    </w:p>
    <w:p>
      <w:pPr>
        <w:spacing w:after="0" w:line="1" w:lineRule="exact"/>
        <w:rPr>
          <w:sz w:val="20"/>
          <w:szCs w:val="20"/>
          <w:color w:val="auto"/>
        </w:rPr>
      </w:pPr>
    </w:p>
    <w:p>
      <w:pPr>
        <w:jc w:val="both"/>
        <w:ind w:left="10" w:hanging="10"/>
        <w:spacing w:after="0" w:line="253" w:lineRule="auto"/>
        <w:tabs>
          <w:tab w:leader="none" w:pos="3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 interest rate swap periodic income/cost, TBA dollar roll income and other interest income/expense. As defined "Net spread and dollar roll income available to common stockholders" includes (i) the components of "economic interest income" and "economic interest expense", plus (ii) other interest income/expense, and less (iii) total operating expenses and dividends on preferred stock (GAAP measures).</w:t>
      </w:r>
    </w:p>
    <w:p>
      <w:pPr>
        <w:spacing w:after="0" w:line="150" w:lineRule="exact"/>
        <w:rPr>
          <w:sz w:val="20"/>
          <w:szCs w:val="20"/>
          <w:color w:val="auto"/>
        </w:rPr>
      </w:pPr>
    </w:p>
    <w:p>
      <w:pPr>
        <w:jc w:val="both"/>
        <w:ind w:left="10" w:right="20" w:firstLine="540"/>
        <w:spacing w:after="0" w:line="258" w:lineRule="auto"/>
        <w:rPr>
          <w:sz w:val="20"/>
          <w:szCs w:val="20"/>
          <w:color w:val="auto"/>
        </w:rPr>
      </w:pPr>
      <w:r>
        <w:rPr>
          <w:rFonts w:ascii="Times New Roman" w:cs="Times New Roman" w:eastAsia="Times New Roman" w:hAnsi="Times New Roman"/>
          <w:sz w:val="20"/>
          <w:szCs w:val="20"/>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44" w:lineRule="exact"/>
        <w:rPr>
          <w:sz w:val="20"/>
          <w:szCs w:val="20"/>
          <w:color w:val="auto"/>
        </w:rPr>
      </w:pPr>
    </w:p>
    <w:p>
      <w:pPr>
        <w:jc w:val="both"/>
        <w:ind w:left="10" w:right="20" w:firstLine="540"/>
        <w:spacing w:after="0" w:line="266" w:lineRule="auto"/>
        <w:rPr>
          <w:sz w:val="20"/>
          <w:szCs w:val="20"/>
          <w:color w:val="auto"/>
        </w:rPr>
      </w:pPr>
      <w:r>
        <w:rPr>
          <w:rFonts w:ascii="Times New Roman" w:cs="Times New Roman" w:eastAsia="Times New Roman" w:hAnsi="Times New Roman"/>
          <w:sz w:val="20"/>
          <w:szCs w:val="20"/>
          <w:color w:val="auto"/>
        </w:rPr>
        <w:t>Specifically, in the case "net spread and dollar roll income available to common stockholders" and components of such measure, "economic interest income" and "economic interest expense," we believe the inclusion of TBA dollar roll income is meaningful as TBAs, which are accounted for under GAAP as derivative instruments with gains and losses recognized in other</w:t>
      </w:r>
    </w:p>
    <w:p>
      <w:pPr>
        <w:sectPr>
          <w:pgSz w:w="12240" w:h="15840" w:orient="portrait"/>
          <w:cols w:equalWidth="0" w:num="1">
            <w:col w:w="10270"/>
          </w:cols>
          <w:pgMar w:left="990" w:top="793" w:right="980" w:bottom="0" w:gutter="0" w:footer="0" w:header="0"/>
        </w:sectPr>
      </w:pPr>
    </w:p>
    <w:p>
      <w:pPr>
        <w:spacing w:after="0" w:line="38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270"/>
          </w:cols>
          <w:pgMar w:left="990" w:top="793" w:right="980" w:bottom="0" w:gutter="0" w:footer="0" w:header="0"/>
          <w:type w:val="continuous"/>
        </w:sectPr>
      </w:pPr>
    </w:p>
    <w:bookmarkStart w:id="42" w:name="page43"/>
    <w:bookmarkEnd w:id="42"/>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gain (loss) in our consolidated statement of comprehensive income, are economically equivalent to holding and financing generic Agency RMBS using short-term repurchase agreements. Similarly, we believe that the inclusion of periodic interest rate swap settlements is meaningful as interest rate swaps are the primary instrument we use to economically hedge against fluctuations in our borrowing costs and it is more indicative of our total cost of funds than interest expense alone. Additionally, we believe the exclusion of "catch-up" premium amortization adjustments is meaningful as it excludes the cumulative effect from prior reporting periods due to current changes in future prepayment expectations and, therefore, exclusion of such adjustments is more indicative of the current earnings potential of our investment portfolio.</w:t>
      </w:r>
    </w:p>
    <w:p>
      <w:pPr>
        <w:spacing w:after="0" w:line="150" w:lineRule="exact"/>
        <w:rPr>
          <w:sz w:val="20"/>
          <w:szCs w:val="20"/>
          <w:color w:val="auto"/>
        </w:rPr>
      </w:pPr>
    </w:p>
    <w:p>
      <w:pPr>
        <w:jc w:val="both"/>
        <w:ind w:right="20" w:firstLine="540"/>
        <w:spacing w:after="0" w:line="260" w:lineRule="auto"/>
        <w:rPr>
          <w:sz w:val="20"/>
          <w:szCs w:val="20"/>
          <w:color w:val="auto"/>
        </w:rPr>
      </w:pPr>
      <w:r>
        <w:rPr>
          <w:rFonts w:ascii="Times New Roman" w:cs="Times New Roman" w:eastAsia="Times New Roman" w:hAnsi="Times New Roman"/>
          <w:sz w:val="20"/>
          <w:szCs w:val="20"/>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52" w:lineRule="exact"/>
        <w:rPr>
          <w:sz w:val="20"/>
          <w:szCs w:val="20"/>
          <w:color w:val="auto"/>
        </w:rPr>
      </w:pPr>
    </w:p>
    <w:p>
      <w:pPr>
        <w:jc w:val="both"/>
        <w:ind w:left="720" w:hanging="370"/>
        <w:spacing w:after="0" w:line="266" w:lineRule="auto"/>
        <w:tabs>
          <w:tab w:leader="none" w:pos="7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spread and dollar roll income available to common stockholders" was previously referred to as "net spread and dollar roll income, excluding 'catch-up' premium amortization, available to common stockholders". "Net spread and dollar roll income available to common stockholders" continues to exclude "catch-up" premium amortization.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Selected Financial Data</w:t>
      </w:r>
    </w:p>
    <w:p>
      <w:pPr>
        <w:spacing w:after="0" w:line="259" w:lineRule="exact"/>
        <w:rPr>
          <w:sz w:val="20"/>
          <w:szCs w:val="20"/>
          <w:color w:val="auto"/>
        </w:rPr>
      </w:pPr>
    </w:p>
    <w:p>
      <w:pPr>
        <w:jc w:val="both"/>
        <w:ind w:firstLine="495"/>
        <w:spacing w:after="0" w:line="244" w:lineRule="auto"/>
        <w:rPr>
          <w:sz w:val="20"/>
          <w:szCs w:val="20"/>
          <w:color w:val="auto"/>
        </w:rPr>
      </w:pPr>
      <w:r>
        <w:rPr>
          <w:rFonts w:ascii="Times New Roman" w:cs="Times New Roman" w:eastAsia="Times New Roman" w:hAnsi="Times New Roman"/>
          <w:sz w:val="20"/>
          <w:szCs w:val="20"/>
          <w:color w:val="auto"/>
        </w:rPr>
        <w:t xml:space="preserve">The following selected financial data is derived from our annual financial statements for the three years ended December 31, 2023. The selected financial data should be read in conjunction with the more detailed information contained in Item 8. </w:t>
      </w:r>
      <w:r>
        <w:rPr>
          <w:rFonts w:ascii="Times New Roman" w:cs="Times New Roman" w:eastAsia="Times New Roman" w:hAnsi="Times New Roman"/>
          <w:sz w:val="20"/>
          <w:szCs w:val="20"/>
          <w:b w:val="1"/>
          <w:bCs w:val="1"/>
          <w:i w:val="1"/>
          <w:iCs w:val="1"/>
          <w:color w:val="auto"/>
        </w:rPr>
        <w:t xml:space="preserve">Financial Statements </w:t>
      </w:r>
      <w:r>
        <w:rPr>
          <w:rFonts w:ascii="Times New Roman" w:cs="Times New Roman" w:eastAsia="Times New Roman" w:hAnsi="Times New Roman"/>
          <w:sz w:val="20"/>
          <w:szCs w:val="20"/>
          <w:color w:val="auto"/>
        </w:rPr>
        <w:t>and in this Item 7.</w:t>
      </w:r>
      <w:r>
        <w:rPr>
          <w:rFonts w:ascii="Times New Roman" w:cs="Times New Roman" w:eastAsia="Times New Roman" w:hAnsi="Times New Roman"/>
          <w:sz w:val="20"/>
          <w:szCs w:val="20"/>
          <w:b w:val="1"/>
          <w:bCs w:val="1"/>
          <w:i w:val="1"/>
          <w:iCs w:val="1"/>
          <w:color w:val="auto"/>
        </w:rPr>
        <w:t xml:space="preserve"> Management's Discussion and Analysis of Financial Condition and Results of Operations </w:t>
      </w:r>
      <w:r>
        <w:rPr>
          <w:rFonts w:ascii="Times New Roman" w:cs="Times New Roman" w:eastAsia="Times New Roman" w:hAnsi="Times New Roman"/>
          <w:sz w:val="20"/>
          <w:szCs w:val="20"/>
          <w:color w:val="auto"/>
        </w:rPr>
        <w:t>(in millions, except per share amounts):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6"/>
        </w:trPr>
        <w:tc>
          <w:tcPr>
            <w:tcW w:w="6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Investment securities, at fair value of $54,824, $40,904 and $54,421, respectively, and</w:t>
            </w:r>
          </w:p>
        </w:tc>
        <w:tc>
          <w:tcPr>
            <w:tcW w:w="3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54,868</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54,421</w:t>
            </w:r>
          </w:p>
        </w:tc>
        <w:tc>
          <w:tcPr>
            <w:tcW w:w="0" w:type="dxa"/>
            <w:vAlign w:val="bottom"/>
          </w:tcPr>
          <w:p>
            <w:pPr>
              <w:spacing w:after="0"/>
              <w:rPr>
                <w:sz w:val="1"/>
                <w:szCs w:val="1"/>
                <w:color w:val="auto"/>
              </w:rPr>
            </w:pPr>
          </w:p>
        </w:tc>
      </w:tr>
      <w:tr>
        <w:trPr>
          <w:trHeight w:val="234"/>
        </w:trPr>
        <w:tc>
          <w:tcPr>
            <w:tcW w:w="6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other mortgage credit investments </w:t>
            </w:r>
            <w:r>
              <w:rPr>
                <w:rFonts w:ascii="Times New Roman" w:cs="Times New Roman" w:eastAsia="Times New Roman" w:hAnsi="Times New Roman"/>
                <w:sz w:val="18"/>
                <w:szCs w:val="18"/>
                <w:color w:val="B4B4B4"/>
              </w:rPr>
              <w:t>...................................................................................</w:t>
            </w:r>
          </w:p>
        </w:tc>
        <w:tc>
          <w:tcPr>
            <w:tcW w:w="3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6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Total assets </w:t>
            </w:r>
            <w:r>
              <w:rPr>
                <w:rFonts w:ascii="Times New Roman" w:cs="Times New Roman" w:eastAsia="Times New Roman" w:hAnsi="Times New Roman"/>
                <w:sz w:val="18"/>
                <w:szCs w:val="18"/>
                <w:color w:val="B4B4B4"/>
              </w:rPr>
              <w:t>.......................................................................................................................</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68,149</w:t>
            </w:r>
          </w:p>
        </w:tc>
        <w:tc>
          <w:tcPr>
            <w:tcW w:w="0" w:type="dxa"/>
            <w:vAlign w:val="bottom"/>
          </w:tcPr>
          <w:p>
            <w:pPr>
              <w:spacing w:after="0"/>
              <w:rPr>
                <w:sz w:val="1"/>
                <w:szCs w:val="1"/>
                <w:color w:val="auto"/>
              </w:rPr>
            </w:pPr>
          </w:p>
        </w:tc>
      </w:tr>
      <w:tr>
        <w:trPr>
          <w:trHeight w:val="285"/>
        </w:trPr>
        <w:tc>
          <w:tcPr>
            <w:tcW w:w="6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Repurchase agreements and other debt </w:t>
            </w:r>
            <w:r>
              <w:rPr>
                <w:rFonts w:ascii="Times New Roman" w:cs="Times New Roman" w:eastAsia="Times New Roman" w:hAnsi="Times New Roman"/>
                <w:sz w:val="18"/>
                <w:szCs w:val="18"/>
                <w:color w:val="B4B4B4"/>
              </w:rPr>
              <w:t>............................................................................</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47,507</w:t>
            </w:r>
          </w:p>
        </w:tc>
        <w:tc>
          <w:tcPr>
            <w:tcW w:w="0" w:type="dxa"/>
            <w:vAlign w:val="bottom"/>
          </w:tcPr>
          <w:p>
            <w:pPr>
              <w:spacing w:after="0"/>
              <w:rPr>
                <w:sz w:val="1"/>
                <w:szCs w:val="1"/>
                <w:color w:val="auto"/>
              </w:rPr>
            </w:pPr>
          </w:p>
        </w:tc>
      </w:tr>
      <w:tr>
        <w:trPr>
          <w:trHeight w:val="285"/>
        </w:trPr>
        <w:tc>
          <w:tcPr>
            <w:tcW w:w="6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liabilities</w:t>
            </w:r>
            <w:r>
              <w:rPr>
                <w:rFonts w:ascii="Times New Roman" w:cs="Times New Roman" w:eastAsia="Times New Roman" w:hAnsi="Times New Roman"/>
                <w:sz w:val="18"/>
                <w:szCs w:val="18"/>
                <w:color w:val="B4B4B4"/>
              </w:rPr>
              <w:t>..................................................................................................................</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57,858</w:t>
            </w:r>
          </w:p>
        </w:tc>
        <w:tc>
          <w:tcPr>
            <w:tcW w:w="0" w:type="dxa"/>
            <w:vAlign w:val="bottom"/>
          </w:tcPr>
          <w:p>
            <w:pPr>
              <w:spacing w:after="0"/>
              <w:rPr>
                <w:sz w:val="1"/>
                <w:szCs w:val="1"/>
                <w:color w:val="auto"/>
              </w:rPr>
            </w:pPr>
          </w:p>
        </w:tc>
      </w:tr>
      <w:tr>
        <w:trPr>
          <w:trHeight w:val="285"/>
        </w:trPr>
        <w:tc>
          <w:tcPr>
            <w:tcW w:w="6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Total stockholders' equity </w:t>
            </w:r>
            <w:r>
              <w:rPr>
                <w:rFonts w:ascii="Times New Roman" w:cs="Times New Roman" w:eastAsia="Times New Roman" w:hAnsi="Times New Roman"/>
                <w:sz w:val="18"/>
                <w:szCs w:val="18"/>
                <w:color w:val="B4B4B4"/>
              </w:rPr>
              <w:t>................................................................................................</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0" w:type="dxa"/>
            <w:vAlign w:val="bottom"/>
          </w:tcPr>
          <w:p>
            <w:pPr>
              <w:spacing w:after="0"/>
              <w:rPr>
                <w:sz w:val="1"/>
                <w:szCs w:val="1"/>
                <w:color w:val="auto"/>
              </w:rPr>
            </w:pPr>
          </w:p>
        </w:tc>
      </w:tr>
      <w:tr>
        <w:trPr>
          <w:trHeight w:val="320"/>
        </w:trPr>
        <w:tc>
          <w:tcPr>
            <w:tcW w:w="6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Net book value per common share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B4B4B4"/>
              </w:rPr>
              <w:t>.................................................................................</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307"/>
        </w:trPr>
        <w:tc>
          <w:tcPr>
            <w:tcW w:w="6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Tangible net book value per common share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260"/>
          </w:cols>
          <w:pgMar w:left="1000" w:top="793" w:right="980" w:bottom="0" w:gutter="0" w:footer="0" w:header="0"/>
          <w:type w:val="continuous"/>
        </w:sectPr>
      </w:pPr>
    </w:p>
    <w:bookmarkStart w:id="43" w:name="page44"/>
    <w:bookmarkEnd w:id="43"/>
    <w:tbl>
      <w:tblPr>
        <w:tblLayout w:type="fixed"/>
        <w:tblInd w:w="2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35"/>
        </w:trPr>
        <w:tc>
          <w:tcPr>
            <w:tcW w:w="40" w:type="dxa"/>
            <w:vAlign w:val="bottom"/>
            <w:tcBorders>
              <w:bottom w:val="single" w:sz="8" w:color="auto"/>
            </w:tcBorders>
          </w:tcPr>
          <w:p>
            <w:pPr>
              <w:spacing w:after="0"/>
              <w:rPr>
                <w:sz w:val="20"/>
                <w:szCs w:val="20"/>
                <w:color w:val="auto"/>
              </w:rPr>
            </w:pPr>
          </w:p>
        </w:tc>
        <w:tc>
          <w:tcPr>
            <w:tcW w:w="6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 of Comprehensive Income Data</w:t>
            </w:r>
          </w:p>
        </w:tc>
        <w:tc>
          <w:tcPr>
            <w:tcW w:w="60" w:type="dxa"/>
            <w:vAlign w:val="bottom"/>
            <w:gridSpan w:val="2"/>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auto"/>
            </w:tcBorders>
          </w:tcPr>
          <w:p>
            <w:pPr>
              <w:spacing w:after="0"/>
              <w:rPr>
                <w:sz w:val="20"/>
                <w:szCs w:val="20"/>
                <w:color w:val="auto"/>
              </w:rPr>
            </w:pPr>
          </w:p>
        </w:tc>
      </w:tr>
      <w:tr>
        <w:trPr>
          <w:trHeight w:val="260"/>
        </w:trPr>
        <w:tc>
          <w:tcPr>
            <w:tcW w:w="40" w:type="dxa"/>
            <w:vAlign w:val="bottom"/>
          </w:tcPr>
          <w:p>
            <w:pPr>
              <w:spacing w:after="0"/>
              <w:rPr>
                <w:sz w:val="22"/>
                <w:szCs w:val="22"/>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Interest income </w:t>
            </w:r>
            <w:r>
              <w:rPr>
                <w:rFonts w:ascii="Times New Roman" w:cs="Times New Roman" w:eastAsia="Times New Roman" w:hAnsi="Times New Roman"/>
                <w:sz w:val="16"/>
                <w:szCs w:val="16"/>
                <w:color w:val="B4B4B4"/>
                <w:w w:val="99"/>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40" w:type="dxa"/>
            <w:vAlign w:val="bottom"/>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0" w:type="dxa"/>
            <w:vAlign w:val="bottom"/>
          </w:tcPr>
          <w:p>
            <w:pPr>
              <w:spacing w:after="0"/>
              <w:rPr>
                <w:sz w:val="22"/>
                <w:szCs w:val="22"/>
                <w:color w:val="auto"/>
              </w:rPr>
            </w:pP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 w:type="dxa"/>
            <w:vAlign w:val="bottom"/>
          </w:tcPr>
          <w:p>
            <w:pPr>
              <w:spacing w:after="0"/>
              <w:rPr>
                <w:sz w:val="22"/>
                <w:szCs w:val="22"/>
                <w:color w:val="auto"/>
              </w:rPr>
            </w:pPr>
          </w:p>
        </w:tc>
      </w:tr>
      <w:tr>
        <w:trPr>
          <w:trHeight w:val="290"/>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Interest expense </w:t>
            </w:r>
            <w:r>
              <w:rPr>
                <w:rFonts w:ascii="Times New Roman" w:cs="Times New Roman" w:eastAsia="Times New Roman" w:hAnsi="Times New Roman"/>
                <w:sz w:val="16"/>
                <w:szCs w:val="16"/>
                <w:color w:val="B4B4B4"/>
                <w:w w:val="99"/>
              </w:rPr>
              <w:t>..................................................................................................................................</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bottom w:val="single" w:sz="8" w:color="auto"/>
            </w:tcBorders>
          </w:tcPr>
          <w:p>
            <w:pPr>
              <w:spacing w:after="0"/>
              <w:rPr>
                <w:sz w:val="24"/>
                <w:szCs w:val="24"/>
                <w:color w:val="auto"/>
              </w:rPr>
            </w:pPr>
          </w:p>
        </w:tc>
      </w:tr>
      <w:tr>
        <w:trPr>
          <w:trHeight w:val="265"/>
        </w:trPr>
        <w:tc>
          <w:tcPr>
            <w:tcW w:w="40" w:type="dxa"/>
            <w:vAlign w:val="bottom"/>
          </w:tcPr>
          <w:p>
            <w:pPr>
              <w:spacing w:after="0"/>
              <w:rPr>
                <w:sz w:val="23"/>
                <w:szCs w:val="23"/>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Net interest income </w:t>
            </w:r>
            <w:r>
              <w:rPr>
                <w:rFonts w:ascii="Times New Roman" w:cs="Times New Roman" w:eastAsia="Times New Roman" w:hAnsi="Times New Roman"/>
                <w:sz w:val="16"/>
                <w:szCs w:val="16"/>
                <w:color w:val="B4B4B4"/>
                <w:w w:val="99"/>
              </w:rPr>
              <w:t>.............................................................................................................................</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0" w:type="dxa"/>
            <w:vAlign w:val="bottom"/>
            <w:tcBorders>
              <w:bottom w:val="single" w:sz="8" w:color="auto"/>
            </w:tcBorders>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Other gain (loss), net </w:t>
            </w:r>
            <w:r>
              <w:rPr>
                <w:rFonts w:ascii="Times New Roman" w:cs="Times New Roman" w:eastAsia="Times New Roman" w:hAnsi="Times New Roman"/>
                <w:sz w:val="16"/>
                <w:szCs w:val="16"/>
                <w:color w:val="B4B4B4"/>
                <w:w w:val="99"/>
              </w:rPr>
              <w:t>..........................................................................................................................</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w:t>
            </w:r>
          </w:p>
        </w:tc>
      </w:tr>
      <w:tr>
        <w:trPr>
          <w:trHeight w:val="290"/>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Operating expenses </w:t>
            </w:r>
            <w:r>
              <w:rPr>
                <w:rFonts w:ascii="Times New Roman" w:cs="Times New Roman" w:eastAsia="Times New Roman" w:hAnsi="Times New Roman"/>
                <w:sz w:val="16"/>
                <w:szCs w:val="16"/>
                <w:color w:val="B4B4B4"/>
                <w:w w:val="99"/>
              </w:rPr>
              <w:t>.............................................................................................................................</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Borders>
              <w:bottom w:val="single" w:sz="8" w:color="auto"/>
            </w:tcBorders>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Net income (loss) </w:t>
            </w:r>
            <w:r>
              <w:rPr>
                <w:rFonts w:ascii="Times New Roman" w:cs="Times New Roman" w:eastAsia="Times New Roman" w:hAnsi="Times New Roman"/>
                <w:sz w:val="16"/>
                <w:szCs w:val="16"/>
                <w:color w:val="B4B4B4"/>
                <w:w w:val="99"/>
              </w:rPr>
              <w:t>................................................................................................................................</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tcPr>
          <w:p>
            <w:pPr>
              <w:spacing w:after="0"/>
              <w:rPr>
                <w:sz w:val="22"/>
                <w:szCs w:val="22"/>
                <w:color w:val="auto"/>
              </w:rPr>
            </w:pPr>
          </w:p>
        </w:tc>
      </w:tr>
      <w:tr>
        <w:trPr>
          <w:trHeight w:val="290"/>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Dividends on preferred stock </w:t>
            </w:r>
            <w:r>
              <w:rPr>
                <w:rFonts w:ascii="Times New Roman" w:cs="Times New Roman" w:eastAsia="Times New Roman" w:hAnsi="Times New Roman"/>
                <w:sz w:val="16"/>
                <w:szCs w:val="16"/>
                <w:color w:val="B4B4B4"/>
                <w:w w:val="99"/>
              </w:rPr>
              <w:t>..............................................................................................................</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tcPr>
          <w:p>
            <w:pPr>
              <w:spacing w:after="0"/>
              <w:rPr>
                <w:sz w:val="24"/>
                <w:szCs w:val="24"/>
                <w:color w:val="auto"/>
              </w:rPr>
            </w:pPr>
          </w:p>
        </w:tc>
      </w:tr>
      <w:tr>
        <w:trPr>
          <w:trHeight w:val="245"/>
        </w:trPr>
        <w:tc>
          <w:tcPr>
            <w:tcW w:w="40" w:type="dxa"/>
            <w:vAlign w:val="bottom"/>
          </w:tcPr>
          <w:p>
            <w:pPr>
              <w:spacing w:after="0"/>
              <w:rPr>
                <w:sz w:val="21"/>
                <w:szCs w:val="21"/>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Net income (loss) available (attributable) to common stockholders </w:t>
            </w:r>
            <w:r>
              <w:rPr>
                <w:rFonts w:ascii="Times New Roman" w:cs="Times New Roman" w:eastAsia="Times New Roman" w:hAnsi="Times New Roman"/>
                <w:sz w:val="16"/>
                <w:szCs w:val="16"/>
                <w:color w:val="B4B4B4"/>
                <w:w w:val="99"/>
              </w:rPr>
              <w:t>..................................................</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Borders>
              <w:bottom w:val="single" w:sz="8" w:color="auto"/>
            </w:tcBorders>
          </w:tcPr>
          <w:p>
            <w:pPr>
              <w:spacing w:after="0"/>
              <w:rPr>
                <w:sz w:val="21"/>
                <w:szCs w:val="21"/>
                <w:color w:val="auto"/>
              </w:rPr>
            </w:pPr>
          </w:p>
        </w:tc>
        <w:tc>
          <w:tcPr>
            <w:tcW w:w="60" w:type="dxa"/>
            <w:vAlign w:val="bottom"/>
            <w:gridSpan w:val="2"/>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60" w:type="dxa"/>
            <w:vAlign w:val="bottom"/>
            <w:gridSpan w:val="2"/>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tcBorders>
              <w:bottom w:val="single" w:sz="8" w:color="auto"/>
            </w:tcBorders>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55"/>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Net income (loss) </w:t>
            </w:r>
            <w:r>
              <w:rPr>
                <w:rFonts w:ascii="Times New Roman" w:cs="Times New Roman" w:eastAsia="Times New Roman" w:hAnsi="Times New Roman"/>
                <w:sz w:val="16"/>
                <w:szCs w:val="16"/>
                <w:color w:val="B4B4B4"/>
                <w:w w:val="99"/>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tcPr>
          <w:p>
            <w:pPr>
              <w:spacing w:after="0"/>
              <w:rPr>
                <w:sz w:val="24"/>
                <w:szCs w:val="24"/>
                <w:color w:val="auto"/>
              </w:rPr>
            </w:pPr>
          </w:p>
        </w:tc>
      </w:tr>
      <w:tr>
        <w:trPr>
          <w:trHeight w:val="290"/>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Other comprehensive income (loss), net </w:t>
            </w:r>
            <w:r>
              <w:rPr>
                <w:rFonts w:ascii="Times New Roman" w:cs="Times New Roman" w:eastAsia="Times New Roman" w:hAnsi="Times New Roman"/>
                <w:sz w:val="16"/>
                <w:szCs w:val="16"/>
                <w:color w:val="B4B4B4"/>
                <w:w w:val="99"/>
              </w:rPr>
              <w:t>............................................................................................</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r>
      <w:tr>
        <w:trPr>
          <w:trHeight w:val="260"/>
        </w:trPr>
        <w:tc>
          <w:tcPr>
            <w:tcW w:w="40" w:type="dxa"/>
            <w:vAlign w:val="bottom"/>
          </w:tcPr>
          <w:p>
            <w:pPr>
              <w:spacing w:after="0"/>
              <w:rPr>
                <w:sz w:val="22"/>
                <w:szCs w:val="22"/>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Comprehensive income (loss)</w:t>
            </w:r>
            <w:r>
              <w:rPr>
                <w:rFonts w:ascii="Times New Roman" w:cs="Times New Roman" w:eastAsia="Times New Roman" w:hAnsi="Times New Roman"/>
                <w:sz w:val="16"/>
                <w:szCs w:val="16"/>
                <w:color w:val="B4B4B4"/>
                <w:w w:val="99"/>
              </w:rPr>
              <w:t>.............................................................................................................</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22"/>
                <w:szCs w:val="22"/>
                <w:color w:val="auto"/>
              </w:rPr>
            </w:pPr>
          </w:p>
        </w:tc>
      </w:tr>
      <w:tr>
        <w:trPr>
          <w:trHeight w:val="290"/>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Dividends on preferred stock </w:t>
            </w:r>
            <w:r>
              <w:rPr>
                <w:rFonts w:ascii="Times New Roman" w:cs="Times New Roman" w:eastAsia="Times New Roman" w:hAnsi="Times New Roman"/>
                <w:sz w:val="16"/>
                <w:szCs w:val="16"/>
                <w:color w:val="B4B4B4"/>
                <w:w w:val="99"/>
              </w:rPr>
              <w:t>..............................................................................................................</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tcPr>
          <w:p>
            <w:pPr>
              <w:spacing w:after="0"/>
              <w:rPr>
                <w:sz w:val="24"/>
                <w:szCs w:val="24"/>
                <w:color w:val="auto"/>
              </w:rPr>
            </w:pPr>
          </w:p>
        </w:tc>
      </w:tr>
      <w:tr>
        <w:trPr>
          <w:trHeight w:val="245"/>
        </w:trPr>
        <w:tc>
          <w:tcPr>
            <w:tcW w:w="40" w:type="dxa"/>
            <w:vAlign w:val="bottom"/>
          </w:tcPr>
          <w:p>
            <w:pPr>
              <w:spacing w:after="0"/>
              <w:rPr>
                <w:sz w:val="21"/>
                <w:szCs w:val="21"/>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Comprehensive income (loss) available (attributable) to common stockholders </w:t>
            </w:r>
            <w:r>
              <w:rPr>
                <w:rFonts w:ascii="Times New Roman" w:cs="Times New Roman" w:eastAsia="Times New Roman" w:hAnsi="Times New Roman"/>
                <w:sz w:val="16"/>
                <w:szCs w:val="16"/>
                <w:color w:val="B4B4B4"/>
                <w:w w:val="99"/>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40"/>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Weighted average number of common shares outstanding - basic</w:t>
            </w:r>
            <w:r>
              <w:rPr>
                <w:rFonts w:ascii="Times New Roman" w:cs="Times New Roman" w:eastAsia="Times New Roman" w:hAnsi="Times New Roman"/>
                <w:sz w:val="16"/>
                <w:szCs w:val="16"/>
                <w:color w:val="B4B4B4"/>
                <w:w w:val="99"/>
              </w:rPr>
              <w:t>.....................................................</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20" w:type="dxa"/>
            <w:vAlign w:val="bottom"/>
            <w:tcBorders>
              <w:bottom w:val="single" w:sz="8" w:color="auto"/>
            </w:tcBorders>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Weighted average number of common shares outstanding - diluted</w:t>
            </w:r>
            <w:r>
              <w:rPr>
                <w:rFonts w:ascii="Times New Roman" w:cs="Times New Roman" w:eastAsia="Times New Roman" w:hAnsi="Times New Roman"/>
                <w:sz w:val="16"/>
                <w:szCs w:val="16"/>
                <w:color w:val="B4B4B4"/>
                <w:w w:val="99"/>
              </w:rPr>
              <w: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Net income (loss) per common share - basic </w:t>
            </w:r>
            <w:r>
              <w:rPr>
                <w:rFonts w:ascii="Times New Roman" w:cs="Times New Roman" w:eastAsia="Times New Roman" w:hAnsi="Times New Roman"/>
                <w:sz w:val="16"/>
                <w:szCs w:val="16"/>
                <w:color w:val="B4B4B4"/>
                <w:w w:val="99"/>
              </w:rPr>
              <w:t>......................................................................................</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0" w:type="dxa"/>
            <w:vAlign w:val="bottom"/>
            <w:tcBorders>
              <w:bottom w:val="single" w:sz="8" w:color="auto"/>
            </w:tcBorders>
          </w:tcPr>
          <w:p>
            <w:pPr>
              <w:spacing w:after="0"/>
              <w:rPr>
                <w:sz w:val="19"/>
                <w:szCs w:val="19"/>
                <w:color w:val="auto"/>
              </w:rPr>
            </w:pPr>
          </w:p>
        </w:tc>
        <w:tc>
          <w:tcPr>
            <w:tcW w:w="6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Net income (loss) per common share - diluted </w:t>
            </w:r>
            <w:r>
              <w:rPr>
                <w:rFonts w:ascii="Times New Roman" w:cs="Times New Roman" w:eastAsia="Times New Roman" w:hAnsi="Times New Roman"/>
                <w:sz w:val="16"/>
                <w:szCs w:val="16"/>
                <w:color w:val="B4B4B4"/>
                <w:w w:val="99"/>
              </w:rPr>
              <w:t>...................................................................................</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0" w:type="dxa"/>
            <w:vAlign w:val="bottom"/>
            <w:tcBorders>
              <w:bottom w:val="single" w:sz="8" w:color="auto"/>
            </w:tcBorders>
          </w:tcPr>
          <w:p>
            <w:pPr>
              <w:spacing w:after="0"/>
              <w:rPr>
                <w:sz w:val="19"/>
                <w:szCs w:val="19"/>
                <w:color w:val="auto"/>
              </w:rPr>
            </w:pPr>
          </w:p>
        </w:tc>
        <w:tc>
          <w:tcPr>
            <w:tcW w:w="6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Comprehensive income (loss) per common share - basic </w:t>
            </w:r>
            <w:r>
              <w:rPr>
                <w:rFonts w:ascii="Times New Roman" w:cs="Times New Roman" w:eastAsia="Times New Roman" w:hAnsi="Times New Roman"/>
                <w:sz w:val="16"/>
                <w:szCs w:val="16"/>
                <w:color w:val="B4B4B4"/>
                <w:w w:val="99"/>
              </w:rPr>
              <w:t>..................................................................</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0" w:type="dxa"/>
            <w:vAlign w:val="bottom"/>
            <w:tcBorders>
              <w:bottom w:val="single" w:sz="8" w:color="auto"/>
            </w:tcBorders>
          </w:tcPr>
          <w:p>
            <w:pPr>
              <w:spacing w:after="0"/>
              <w:rPr>
                <w:sz w:val="19"/>
                <w:szCs w:val="19"/>
                <w:color w:val="auto"/>
              </w:rPr>
            </w:pPr>
          </w:p>
        </w:tc>
        <w:tc>
          <w:tcPr>
            <w:tcW w:w="6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6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Comprehensive income (loss) per common share - diluted</w:t>
            </w:r>
            <w:r>
              <w:rPr>
                <w:rFonts w:ascii="Times New Roman" w:cs="Times New Roman" w:eastAsia="Times New Roman" w:hAnsi="Times New Roman"/>
                <w:sz w:val="16"/>
                <w:szCs w:val="16"/>
                <w:color w:val="B4B4B4"/>
                <w:w w:val="99"/>
              </w:rPr>
              <w:t>................................................................</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0" w:type="dxa"/>
            <w:vAlign w:val="bottom"/>
            <w:tcBorders>
              <w:bottom w:val="single" w:sz="8" w:color="auto"/>
            </w:tcBorders>
          </w:tcPr>
          <w:p>
            <w:pPr>
              <w:spacing w:after="0"/>
              <w:rPr>
                <w:sz w:val="19"/>
                <w:szCs w:val="19"/>
                <w:color w:val="auto"/>
              </w:rPr>
            </w:pPr>
          </w:p>
        </w:tc>
        <w:tc>
          <w:tcPr>
            <w:tcW w:w="6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6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Dividends declared per common share </w:t>
            </w:r>
            <w:r>
              <w:rPr>
                <w:rFonts w:ascii="Times New Roman" w:cs="Times New Roman" w:eastAsia="Times New Roman" w:hAnsi="Times New Roman"/>
                <w:sz w:val="16"/>
                <w:szCs w:val="16"/>
                <w:color w:val="B4B4B4"/>
                <w:w w:val="99"/>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35"/>
        </w:trPr>
        <w:tc>
          <w:tcPr>
            <w:tcW w:w="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40" w:type="dxa"/>
            <w:vAlign w:val="bottom"/>
          </w:tcPr>
          <w:p>
            <w:pPr>
              <w:spacing w:after="0"/>
              <w:rPr>
                <w:sz w:val="20"/>
                <w:szCs w:val="20"/>
                <w:color w:val="auto"/>
              </w:rPr>
            </w:pPr>
          </w:p>
        </w:tc>
        <w:tc>
          <w:tcPr>
            <w:tcW w:w="6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Other Data (Unaudited) *</w:t>
            </w:r>
          </w:p>
        </w:tc>
        <w:tc>
          <w:tcPr>
            <w:tcW w:w="60" w:type="dxa"/>
            <w:vAlign w:val="bottom"/>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r>
      <w:tr>
        <w:trPr>
          <w:trHeight w:val="260"/>
        </w:trPr>
        <w:tc>
          <w:tcPr>
            <w:tcW w:w="40" w:type="dxa"/>
            <w:vAlign w:val="bottom"/>
          </w:tcPr>
          <w:p>
            <w:pPr>
              <w:spacing w:after="0"/>
              <w:rPr>
                <w:sz w:val="22"/>
                <w:szCs w:val="22"/>
                <w:color w:val="auto"/>
              </w:rPr>
            </w:pPr>
          </w:p>
        </w:tc>
        <w:tc>
          <w:tcPr>
            <w:tcW w:w="64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w w:val="99"/>
              </w:rPr>
              <w:t xml:space="preserve">Average investment securities - at par </w:t>
            </w:r>
            <w:r>
              <w:rPr>
                <w:rFonts w:ascii="Times New Roman" w:cs="Times New Roman" w:eastAsia="Times New Roman" w:hAnsi="Times New Roman"/>
                <w:sz w:val="16"/>
                <w:szCs w:val="16"/>
                <w:color w:val="B4B4B4"/>
                <w:w w:val="99"/>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50,878</w:t>
            </w:r>
          </w:p>
        </w:tc>
        <w:tc>
          <w:tcPr>
            <w:tcW w:w="40" w:type="dxa"/>
            <w:vAlign w:val="bottom"/>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47,761</w:t>
            </w:r>
          </w:p>
        </w:tc>
        <w:tc>
          <w:tcPr>
            <w:tcW w:w="20" w:type="dxa"/>
            <w:vAlign w:val="bottom"/>
          </w:tcPr>
          <w:p>
            <w:pPr>
              <w:spacing w:after="0"/>
              <w:rPr>
                <w:sz w:val="22"/>
                <w:szCs w:val="22"/>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53,057</w:t>
            </w:r>
          </w:p>
        </w:tc>
        <w:tc>
          <w:tcPr>
            <w:tcW w:w="20" w:type="dxa"/>
            <w:vAlign w:val="bottom"/>
          </w:tcPr>
          <w:p>
            <w:pPr>
              <w:spacing w:after="0"/>
              <w:rPr>
                <w:sz w:val="22"/>
                <w:szCs w:val="22"/>
                <w:color w:val="auto"/>
              </w:rPr>
            </w:pPr>
          </w:p>
        </w:tc>
      </w:tr>
      <w:tr>
        <w:trPr>
          <w:trHeight w:val="285"/>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Average investment securities - at cost </w:t>
            </w:r>
            <w:r>
              <w:rPr>
                <w:rFonts w:ascii="Times New Roman" w:cs="Times New Roman" w:eastAsia="Times New Roman" w:hAnsi="Times New Roman"/>
                <w:sz w:val="16"/>
                <w:szCs w:val="16"/>
                <w:color w:val="B4B4B4"/>
                <w:w w:val="99"/>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52,262</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49,195</w:t>
            </w:r>
          </w:p>
        </w:tc>
        <w:tc>
          <w:tcPr>
            <w:tcW w:w="20" w:type="dxa"/>
            <w:vAlign w:val="bottom"/>
          </w:tcPr>
          <w:p>
            <w:pPr>
              <w:spacing w:after="0"/>
              <w:rPr>
                <w:sz w:val="24"/>
                <w:szCs w:val="24"/>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54,869</w:t>
            </w:r>
          </w:p>
        </w:tc>
        <w:tc>
          <w:tcPr>
            <w:tcW w:w="20" w:type="dxa"/>
            <w:vAlign w:val="bottom"/>
          </w:tcPr>
          <w:p>
            <w:pPr>
              <w:spacing w:after="0"/>
              <w:rPr>
                <w:sz w:val="24"/>
                <w:szCs w:val="24"/>
                <w:color w:val="auto"/>
              </w:rPr>
            </w:pPr>
          </w:p>
        </w:tc>
      </w:tr>
      <w:tr>
        <w:trPr>
          <w:trHeight w:val="333"/>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Net TBA portfolio - at par (as of period end) </w:t>
            </w:r>
            <w:r>
              <w:rPr>
                <w:rFonts w:ascii="Times New Roman" w:cs="Times New Roman" w:eastAsia="Times New Roman" w:hAnsi="Times New Roman"/>
                <w:sz w:val="20"/>
                <w:szCs w:val="20"/>
                <w:color w:val="auto"/>
                <w:w w:val="99"/>
                <w:vertAlign w:val="superscript"/>
              </w:rPr>
              <w:t>3</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5,331</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19,050</w:t>
            </w:r>
          </w:p>
        </w:tc>
        <w:tc>
          <w:tcPr>
            <w:tcW w:w="20" w:type="dxa"/>
            <w:vAlign w:val="bottom"/>
          </w:tcPr>
          <w:p>
            <w:pPr>
              <w:spacing w:after="0"/>
              <w:rPr>
                <w:sz w:val="24"/>
                <w:szCs w:val="24"/>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27,123</w:t>
            </w:r>
          </w:p>
        </w:tc>
        <w:tc>
          <w:tcPr>
            <w:tcW w:w="2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Net TBA portfolio - at cost (as of period end) </w:t>
            </w:r>
            <w:r>
              <w:rPr>
                <w:rFonts w:ascii="Times New Roman" w:cs="Times New Roman" w:eastAsia="Times New Roman" w:hAnsi="Times New Roman"/>
                <w:sz w:val="20"/>
                <w:szCs w:val="20"/>
                <w:color w:val="auto"/>
                <w:w w:val="99"/>
                <w:vertAlign w:val="superscript"/>
              </w:rPr>
              <w:t>3</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5,288</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18,407</w:t>
            </w:r>
          </w:p>
        </w:tc>
        <w:tc>
          <w:tcPr>
            <w:tcW w:w="20" w:type="dxa"/>
            <w:vAlign w:val="bottom"/>
          </w:tcPr>
          <w:p>
            <w:pPr>
              <w:spacing w:after="0"/>
              <w:rPr>
                <w:sz w:val="24"/>
                <w:szCs w:val="24"/>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27,622</w:t>
            </w:r>
          </w:p>
        </w:tc>
        <w:tc>
          <w:tcPr>
            <w:tcW w:w="2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w w:val="99"/>
              </w:rPr>
              <w:t xml:space="preserve">Net TBA portfolio - at market value (as of period end) </w:t>
            </w:r>
            <w:r>
              <w:rPr>
                <w:rFonts w:ascii="Times New Roman" w:cs="Times New Roman" w:eastAsia="Times New Roman" w:hAnsi="Times New Roman"/>
                <w:sz w:val="20"/>
                <w:szCs w:val="20"/>
                <w:color w:val="auto"/>
                <w:w w:val="99"/>
                <w:vertAlign w:val="superscript"/>
              </w:rPr>
              <w:t>3</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5,354</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18,574</w:t>
            </w:r>
          </w:p>
        </w:tc>
        <w:tc>
          <w:tcPr>
            <w:tcW w:w="20" w:type="dxa"/>
            <w:vAlign w:val="bottom"/>
          </w:tcPr>
          <w:p>
            <w:pPr>
              <w:spacing w:after="0"/>
              <w:rPr>
                <w:sz w:val="24"/>
                <w:szCs w:val="24"/>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27,578</w:t>
            </w:r>
          </w:p>
        </w:tc>
        <w:tc>
          <w:tcPr>
            <w:tcW w:w="2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w w:val="99"/>
              </w:rPr>
              <w:t xml:space="preserve">Net TBA portfolio - at carrying value (as of period end) </w:t>
            </w:r>
            <w:r>
              <w:rPr>
                <w:rFonts w:ascii="Times New Roman" w:cs="Times New Roman" w:eastAsia="Times New Roman" w:hAnsi="Times New Roman"/>
                <w:sz w:val="20"/>
                <w:szCs w:val="20"/>
                <w:color w:val="auto"/>
                <w:w w:val="99"/>
                <w:vertAlign w:val="superscript"/>
              </w:rPr>
              <w:t>3,4</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24"/>
                <w:szCs w:val="24"/>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Average net TBA dollar roll position - at cost </w:t>
            </w:r>
            <w:r>
              <w:rPr>
                <w:rFonts w:ascii="Times New Roman" w:cs="Times New Roman" w:eastAsia="Times New Roman" w:hAnsi="Times New Roman"/>
                <w:sz w:val="16"/>
                <w:szCs w:val="16"/>
                <w:color w:val="B4B4B4"/>
                <w:w w:val="99"/>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20,631</w:t>
            </w:r>
          </w:p>
        </w:tc>
        <w:tc>
          <w:tcPr>
            <w:tcW w:w="20" w:type="dxa"/>
            <w:vAlign w:val="bottom"/>
          </w:tcPr>
          <w:p>
            <w:pPr>
              <w:spacing w:after="0"/>
              <w:rPr>
                <w:sz w:val="20"/>
                <w:szCs w:val="20"/>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29,851</w:t>
            </w:r>
          </w:p>
        </w:tc>
        <w:tc>
          <w:tcPr>
            <w:tcW w:w="20" w:type="dxa"/>
            <w:vAlign w:val="bottom"/>
          </w:tcPr>
          <w:p>
            <w:pPr>
              <w:spacing w:after="0"/>
              <w:rPr>
                <w:sz w:val="20"/>
                <w:szCs w:val="20"/>
                <w:color w:val="auto"/>
              </w:rPr>
            </w:pPr>
          </w:p>
        </w:tc>
      </w:tr>
      <w:tr>
        <w:trPr>
          <w:trHeight w:val="285"/>
        </w:trPr>
        <w:tc>
          <w:tcPr>
            <w:tcW w:w="40" w:type="dxa"/>
            <w:vAlign w:val="bottom"/>
          </w:tcPr>
          <w:p>
            <w:pPr>
              <w:spacing w:after="0"/>
              <w:rPr>
                <w:sz w:val="24"/>
                <w:szCs w:val="24"/>
                <w:color w:val="auto"/>
              </w:rPr>
            </w:pPr>
          </w:p>
        </w:tc>
        <w:tc>
          <w:tcPr>
            <w:tcW w:w="64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w w:val="99"/>
              </w:rPr>
              <w:t xml:space="preserve">Average total assets - at fair value </w:t>
            </w:r>
            <w:r>
              <w:rPr>
                <w:rFonts w:ascii="Times New Roman" w:cs="Times New Roman" w:eastAsia="Times New Roman" w:hAnsi="Times New Roman"/>
                <w:sz w:val="16"/>
                <w:szCs w:val="16"/>
                <w:color w:val="B4B4B4"/>
                <w:w w:val="99"/>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63,409</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61,028</w:t>
            </w:r>
          </w:p>
        </w:tc>
        <w:tc>
          <w:tcPr>
            <w:tcW w:w="20" w:type="dxa"/>
            <w:vAlign w:val="bottom"/>
          </w:tcPr>
          <w:p>
            <w:pPr>
              <w:spacing w:after="0"/>
              <w:rPr>
                <w:sz w:val="24"/>
                <w:szCs w:val="24"/>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72,908</w:t>
            </w:r>
          </w:p>
        </w:tc>
        <w:tc>
          <w:tcPr>
            <w:tcW w:w="20" w:type="dxa"/>
            <w:vAlign w:val="bottom"/>
          </w:tcPr>
          <w:p>
            <w:pPr>
              <w:spacing w:after="0"/>
              <w:rPr>
                <w:sz w:val="24"/>
                <w:szCs w:val="24"/>
                <w:color w:val="auto"/>
              </w:rPr>
            </w:pPr>
          </w:p>
        </w:tc>
      </w:tr>
      <w:tr>
        <w:trPr>
          <w:trHeight w:val="333"/>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Average repurchase agreements and other debt outstanding </w:t>
            </w:r>
            <w:r>
              <w:rPr>
                <w:rFonts w:ascii="Times New Roman" w:cs="Times New Roman" w:eastAsia="Times New Roman" w:hAnsi="Times New Roman"/>
                <w:sz w:val="20"/>
                <w:szCs w:val="20"/>
                <w:color w:val="auto"/>
                <w:w w:val="99"/>
                <w:vertAlign w:val="superscript"/>
              </w:rPr>
              <w:t>5</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44,027</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41,363</w:t>
            </w:r>
          </w:p>
        </w:tc>
        <w:tc>
          <w:tcPr>
            <w:tcW w:w="20" w:type="dxa"/>
            <w:vAlign w:val="bottom"/>
          </w:tcPr>
          <w:p>
            <w:pPr>
              <w:spacing w:after="0"/>
              <w:rPr>
                <w:sz w:val="24"/>
                <w:szCs w:val="24"/>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49,923</w:t>
            </w:r>
          </w:p>
        </w:tc>
        <w:tc>
          <w:tcPr>
            <w:tcW w:w="2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Average stockholders' equity </w:t>
            </w:r>
            <w:r>
              <w:rPr>
                <w:rFonts w:ascii="Times New Roman" w:cs="Times New Roman" w:eastAsia="Times New Roman" w:hAnsi="Times New Roman"/>
                <w:sz w:val="20"/>
                <w:szCs w:val="20"/>
                <w:color w:val="auto"/>
                <w:w w:val="99"/>
                <w:vertAlign w:val="superscript"/>
              </w:rPr>
              <w:t>6</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7,817</w:t>
            </w: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8,475</w:t>
            </w:r>
          </w:p>
        </w:tc>
        <w:tc>
          <w:tcPr>
            <w:tcW w:w="20" w:type="dxa"/>
            <w:vAlign w:val="bottom"/>
          </w:tcPr>
          <w:p>
            <w:pPr>
              <w:spacing w:after="0"/>
              <w:rPr>
                <w:sz w:val="24"/>
                <w:szCs w:val="24"/>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10,885</w:t>
            </w:r>
          </w:p>
        </w:tc>
        <w:tc>
          <w:tcPr>
            <w:tcW w:w="2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Average tangible net book value "at risk" leverage </w:t>
            </w:r>
            <w:r>
              <w:rPr>
                <w:rFonts w:ascii="Times New Roman" w:cs="Times New Roman" w:eastAsia="Times New Roman" w:hAnsi="Times New Roman"/>
                <w:sz w:val="20"/>
                <w:szCs w:val="20"/>
                <w:color w:val="auto"/>
                <w:w w:val="99"/>
                <w:vertAlign w:val="superscript"/>
              </w:rPr>
              <w:t>7</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color w:val="auto"/>
                <w:w w:val="99"/>
              </w:rPr>
              <w:t xml:space="preserve">Tangible net book value "at risk" leverage </w:t>
            </w:r>
            <w:r>
              <w:rPr>
                <w:rFonts w:ascii="Times New Roman" w:cs="Times New Roman" w:eastAsia="Times New Roman" w:hAnsi="Times New Roman"/>
                <w:sz w:val="16"/>
                <w:szCs w:val="16"/>
                <w:b w:val="1"/>
                <w:bCs w:val="1"/>
                <w:i w:val="1"/>
                <w:iCs w:val="1"/>
                <w:color w:val="auto"/>
                <w:w w:val="99"/>
              </w:rPr>
              <w:t>(as of period end)</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20"/>
                <w:szCs w:val="20"/>
                <w:color w:val="auto"/>
                <w:w w:val="99"/>
                <w:vertAlign w:val="superscript"/>
              </w:rPr>
              <w:t>8</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w w:val="99"/>
              </w:rPr>
              <w:t xml:space="preserve">Economic return on tangible common equity </w:t>
            </w:r>
            <w:r>
              <w:rPr>
                <w:rFonts w:ascii="Times New Roman" w:cs="Times New Roman" w:eastAsia="Times New Roman" w:hAnsi="Times New Roman"/>
                <w:sz w:val="20"/>
                <w:szCs w:val="20"/>
                <w:color w:val="auto"/>
                <w:w w:val="99"/>
                <w:vertAlign w:val="superscript"/>
              </w:rPr>
              <w:t>9</w:t>
            </w:r>
            <w:r>
              <w:rPr>
                <w:rFonts w:ascii="Times New Roman" w:cs="Times New Roman" w:eastAsia="Times New Roman" w:hAnsi="Times New Roman"/>
                <w:sz w:val="16"/>
                <w:szCs w:val="16"/>
                <w:color w:val="auto"/>
                <w:w w:val="99"/>
              </w:rPr>
              <w:t xml:space="preserve"> </w:t>
            </w:r>
            <w:r>
              <w:rPr>
                <w:rFonts w:ascii="Times New Roman" w:cs="Times New Roman" w:eastAsia="Times New Roman" w:hAnsi="Times New Roman"/>
                <w:sz w:val="16"/>
                <w:szCs w:val="16"/>
                <w:color w:val="B4B4B4"/>
                <w:w w:val="99"/>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rPr>
              <w:t xml:space="preserve">Expenses % of average total assets </w:t>
            </w:r>
            <w:r>
              <w:rPr>
                <w:rFonts w:ascii="Times New Roman" w:cs="Times New Roman" w:eastAsia="Times New Roman" w:hAnsi="Times New Roman"/>
                <w:sz w:val="16"/>
                <w:szCs w:val="16"/>
                <w:color w:val="B4B4B4"/>
              </w:rPr>
              <w: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20" w:type="dxa"/>
            <w:vAlign w:val="bottom"/>
          </w:tcPr>
          <w:p>
            <w:pPr>
              <w:spacing w:after="0"/>
              <w:rPr>
                <w:sz w:val="20"/>
                <w:szCs w:val="20"/>
                <w:color w:val="auto"/>
              </w:rPr>
            </w:pPr>
          </w:p>
        </w:tc>
      </w:tr>
      <w:tr>
        <w:trPr>
          <w:trHeight w:val="285"/>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rPr>
              <w:t xml:space="preserve">Expenses % of average assets, including average net TBA position </w:t>
            </w:r>
            <w:r>
              <w:rPr>
                <w:rFonts w:ascii="Times New Roman" w:cs="Times New Roman" w:eastAsia="Times New Roman" w:hAnsi="Times New Roman"/>
                <w:sz w:val="16"/>
                <w:szCs w:val="16"/>
                <w:color w:val="B4B4B4"/>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20" w:type="dxa"/>
            <w:vAlign w:val="bottom"/>
          </w:tcPr>
          <w:p>
            <w:pPr>
              <w:spacing w:after="0"/>
              <w:rPr>
                <w:sz w:val="24"/>
                <w:szCs w:val="24"/>
                <w:color w:val="auto"/>
              </w:rPr>
            </w:pPr>
          </w:p>
        </w:tc>
      </w:tr>
      <w:tr>
        <w:trPr>
          <w:trHeight w:val="285"/>
        </w:trPr>
        <w:tc>
          <w:tcPr>
            <w:tcW w:w="40" w:type="dxa"/>
            <w:vAlign w:val="bottom"/>
          </w:tcPr>
          <w:p>
            <w:pPr>
              <w:spacing w:after="0"/>
              <w:rPr>
                <w:sz w:val="24"/>
                <w:szCs w:val="24"/>
                <w:color w:val="auto"/>
              </w:rPr>
            </w:pPr>
          </w:p>
        </w:tc>
        <w:tc>
          <w:tcPr>
            <w:tcW w:w="64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color w:val="auto"/>
              </w:rPr>
              <w:t xml:space="preserve">Expenses % of average stockholders' equity </w:t>
            </w:r>
            <w:r>
              <w:rPr>
                <w:rFonts w:ascii="Times New Roman" w:cs="Times New Roman" w:eastAsia="Times New Roman" w:hAnsi="Times New Roman"/>
                <w:sz w:val="16"/>
                <w:szCs w:val="16"/>
                <w:color w:val="B4B4B4"/>
              </w:rPr>
              <w: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-5895340</wp:posOffset>
            </wp:positionV>
            <wp:extent cx="2441575" cy="762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2">
                      <a:extLst>
                        <a:ext uri="{28A0092B-C50C-407E-A947-70E740481C1C}"/>
                      </a:extLst>
                    </a:blip>
                    <a:srcRect/>
                    <a:stretch>
                      <a:fillRect/>
                    </a:stretch>
                  </pic:blipFill>
                  <pic:spPr bwMode="auto">
                    <a:xfrm>
                      <a:off x="0" y="0"/>
                      <a:ext cx="2441575" cy="762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-4790440</wp:posOffset>
            </wp:positionV>
            <wp:extent cx="2441575" cy="762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3">
                      <a:extLst>
                        <a:ext uri="{28A0092B-C50C-407E-A947-70E740481C1C}"/>
                      </a:extLst>
                    </a:blip>
                    <a:srcRect/>
                    <a:stretch>
                      <a:fillRect/>
                    </a:stretch>
                  </pic:blipFill>
                  <pic:spPr bwMode="auto">
                    <a:xfrm>
                      <a:off x="0" y="0"/>
                      <a:ext cx="2441575" cy="762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-4409440</wp:posOffset>
            </wp:positionV>
            <wp:extent cx="2441575" cy="762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4">
                      <a:extLst>
                        <a:ext uri="{28A0092B-C50C-407E-A947-70E740481C1C}"/>
                      </a:extLst>
                    </a:blip>
                    <a:srcRect/>
                    <a:stretch>
                      <a:fillRect/>
                    </a:stretch>
                  </pic:blipFill>
                  <pic:spPr bwMode="auto">
                    <a:xfrm>
                      <a:off x="0" y="0"/>
                      <a:ext cx="2441575" cy="762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-4228465</wp:posOffset>
            </wp:positionV>
            <wp:extent cx="2441575" cy="762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5">
                      <a:extLst>
                        <a:ext uri="{28A0092B-C50C-407E-A947-70E740481C1C}"/>
                      </a:extLst>
                    </a:blip>
                    <a:srcRect/>
                    <a:stretch>
                      <a:fillRect/>
                    </a:stretch>
                  </pic:blipFill>
                  <pic:spPr bwMode="auto">
                    <a:xfrm>
                      <a:off x="0" y="0"/>
                      <a:ext cx="2441575" cy="762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-4047490</wp:posOffset>
            </wp:positionV>
            <wp:extent cx="2441575" cy="762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6">
                      <a:extLst>
                        <a:ext uri="{28A0092B-C50C-407E-A947-70E740481C1C}"/>
                      </a:extLst>
                    </a:blip>
                    <a:srcRect/>
                    <a:stretch>
                      <a:fillRect/>
                    </a:stretch>
                  </pic:blipFill>
                  <pic:spPr bwMode="auto">
                    <a:xfrm>
                      <a:off x="0" y="0"/>
                      <a:ext cx="2441575" cy="762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-3866515</wp:posOffset>
            </wp:positionV>
            <wp:extent cx="2441575" cy="762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7">
                      <a:extLst>
                        <a:ext uri="{28A0092B-C50C-407E-A947-70E740481C1C}"/>
                      </a:extLst>
                    </a:blip>
                    <a:srcRect/>
                    <a:stretch>
                      <a:fillRect/>
                    </a:stretch>
                  </pic:blipFill>
                  <pic:spPr bwMode="auto">
                    <a:xfrm>
                      <a:off x="0" y="0"/>
                      <a:ext cx="2441575" cy="762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-3685540</wp:posOffset>
            </wp:positionV>
            <wp:extent cx="2441575" cy="762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8">
                      <a:extLst>
                        <a:ext uri="{28A0092B-C50C-407E-A947-70E740481C1C}"/>
                      </a:extLst>
                    </a:blip>
                    <a:srcRect/>
                    <a:stretch>
                      <a:fillRect/>
                    </a:stretch>
                  </pic:blipFill>
                  <pic:spPr bwMode="auto">
                    <a:xfrm>
                      <a:off x="0" y="0"/>
                      <a:ext cx="2441575" cy="762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-3504565</wp:posOffset>
            </wp:positionV>
            <wp:extent cx="2441575" cy="762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9">
                      <a:extLst>
                        <a:ext uri="{28A0092B-C50C-407E-A947-70E740481C1C}"/>
                      </a:extLst>
                    </a:blip>
                    <a:srcRect/>
                    <a:stretch>
                      <a:fillRect/>
                    </a:stretch>
                  </pic:blipFill>
                  <pic:spPr bwMode="auto">
                    <a:xfrm>
                      <a:off x="0" y="0"/>
                      <a:ext cx="2441575" cy="76200"/>
                    </a:xfrm>
                    <a:prstGeom prst="rect">
                      <a:avLst/>
                    </a:prstGeom>
                    <a:noFill/>
                  </pic:spPr>
                </pic:pic>
              </a:graphicData>
            </a:graphic>
          </wp:anchor>
        </w:drawing>
        <w:drawing>
          <wp:anchor simplePos="0" relativeHeight="251657728" behindDoc="1" locked="0" layoutInCell="0" allowOverlap="1">
            <wp:simplePos x="0" y="0"/>
            <wp:positionH relativeFrom="column">
              <wp:posOffset>4073525</wp:posOffset>
            </wp:positionH>
            <wp:positionV relativeFrom="paragraph">
              <wp:posOffset>-3323590</wp:posOffset>
            </wp:positionV>
            <wp:extent cx="2441575" cy="762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0">
                      <a:extLst>
                        <a:ext uri="{28A0092B-C50C-407E-A947-70E740481C1C}"/>
                      </a:extLst>
                    </a:blip>
                    <a:srcRect/>
                    <a:stretch>
                      <a:fillRect/>
                    </a:stretch>
                  </pic:blipFill>
                  <pic:spPr bwMode="auto">
                    <a:xfrm>
                      <a:off x="0" y="0"/>
                      <a:ext cx="2441575" cy="7620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Except as noted below, average numbers for each period are weighted based on days on our books and records.</w:t>
      </w:r>
    </w:p>
    <w:p>
      <w:pPr>
        <w:spacing w:after="0" w:line="7" w:lineRule="exact"/>
        <w:rPr>
          <w:sz w:val="20"/>
          <w:szCs w:val="20"/>
          <w:color w:val="auto"/>
        </w:rPr>
      </w:pPr>
    </w:p>
    <w:p>
      <w:pPr>
        <w:ind w:left="720" w:right="20" w:hanging="370"/>
        <w:spacing w:after="0" w:line="250" w:lineRule="auto"/>
        <w:tabs>
          <w:tab w:leader="none" w:pos="7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book value per common share is calculated as total stockholders' equity, less preferred stock liquidation preference, divided by number of common shares outstanding as of period end.</w:t>
      </w:r>
    </w:p>
    <w:p>
      <w:pPr>
        <w:ind w:left="720" w:hanging="370"/>
        <w:spacing w:after="0"/>
        <w:tabs>
          <w:tab w:leader="none" w:pos="7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Tangible net book value per common share excludes goodwill.</w:t>
      </w:r>
    </w:p>
    <w:p>
      <w:pPr>
        <w:spacing w:after="0" w:line="8" w:lineRule="exact"/>
        <w:rPr>
          <w:rFonts w:ascii="Times New Roman" w:cs="Times New Roman" w:eastAsia="Times New Roman" w:hAnsi="Times New Roman"/>
          <w:sz w:val="16"/>
          <w:szCs w:val="16"/>
          <w:color w:val="auto"/>
        </w:rPr>
      </w:pPr>
    </w:p>
    <w:p>
      <w:pPr>
        <w:ind w:left="720" w:hanging="370"/>
        <w:spacing w:after="0"/>
        <w:tabs>
          <w:tab w:leader="none" w:pos="7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TBA dollar roll position and, if applicable, forward settling securities.</w:t>
      </w:r>
    </w:p>
    <w:p>
      <w:pPr>
        <w:spacing w:after="0" w:line="8" w:lineRule="exact"/>
        <w:rPr>
          <w:rFonts w:ascii="Times New Roman" w:cs="Times New Roman" w:eastAsia="Times New Roman" w:hAnsi="Times New Roman"/>
          <w:sz w:val="16"/>
          <w:szCs w:val="16"/>
          <w:color w:val="auto"/>
        </w:rPr>
      </w:pPr>
    </w:p>
    <w:p>
      <w:pPr>
        <w:ind w:left="720" w:hanging="370"/>
        <w:spacing w:after="0" w:line="250" w:lineRule="auto"/>
        <w:tabs>
          <w:tab w:leader="none" w:pos="7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 of our net TBA position represents the difference between the market value and the cost basis of the TBA contract as of period-end and is reported in derivative assets/(liabilities), at fair value on our accompanying consolidated balances sheets.</w:t>
      </w:r>
    </w:p>
    <w:p>
      <w:pPr>
        <w:ind w:left="720" w:hanging="370"/>
        <w:spacing w:after="0" w:line="260" w:lineRule="auto"/>
        <w:tabs>
          <w:tab w:leader="none" w:pos="7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the daily weighted average repurchase agreements outstanding for the period used to fund our investment securities and other debt. Amount excludes U.S. Treasury repurchase agreements and TBA contracts. Other debt includes debt of consolidated VIEs.</w:t>
      </w:r>
    </w:p>
    <w:p>
      <w:pPr>
        <w:sectPr>
          <w:pgSz w:w="12240" w:h="15840" w:orient="portrait"/>
          <w:cols w:equalWidth="0" w:num="1">
            <w:col w:w="10260"/>
          </w:cols>
          <w:pgMar w:left="1000" w:top="883" w:right="98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260"/>
          </w:cols>
          <w:pgMar w:left="1000" w:top="883" w:right="980" w:bottom="0" w:gutter="0" w:footer="0" w:header="0"/>
          <w:type w:val="continuous"/>
        </w:sectPr>
      </w:pPr>
    </w:p>
    <w:bookmarkStart w:id="44" w:name="page45"/>
    <w:bookmarkEnd w:id="44"/>
    <w:p>
      <w:pPr>
        <w:ind w:left="720" w:hanging="370"/>
        <w:spacing w:after="0"/>
        <w:tabs>
          <w:tab w:leader="none" w:pos="7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stockholders' equity calculated as average month-ended stockholders' equity during the period.</w:t>
      </w:r>
    </w:p>
    <w:p>
      <w:pPr>
        <w:spacing w:after="0" w:line="24" w:lineRule="exact"/>
        <w:rPr>
          <w:rFonts w:ascii="Times New Roman" w:cs="Times New Roman" w:eastAsia="Times New Roman" w:hAnsi="Times New Roman"/>
          <w:sz w:val="16"/>
          <w:szCs w:val="16"/>
          <w:color w:val="auto"/>
        </w:rPr>
      </w:pPr>
    </w:p>
    <w:p>
      <w:pPr>
        <w:jc w:val="both"/>
        <w:ind w:left="720" w:hanging="370"/>
        <w:spacing w:after="0" w:line="250" w:lineRule="auto"/>
        <w:tabs>
          <w:tab w:leader="none" w:pos="7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spacing w:after="0" w:line="1" w:lineRule="exact"/>
        <w:rPr>
          <w:rFonts w:ascii="Times New Roman" w:cs="Times New Roman" w:eastAsia="Times New Roman" w:hAnsi="Times New Roman"/>
          <w:sz w:val="16"/>
          <w:szCs w:val="16"/>
          <w:color w:val="auto"/>
        </w:rPr>
      </w:pPr>
    </w:p>
    <w:p>
      <w:pPr>
        <w:jc w:val="both"/>
        <w:ind w:left="720" w:hanging="370"/>
        <w:spacing w:after="0" w:line="250" w:lineRule="auto"/>
        <w:tabs>
          <w:tab w:leader="none" w:pos="7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Tangible net book value "at risk" leverage as of period end is calculated by dividing the sum of mortgage borrowings outstanding and receivable/ payable for unsettled investment securities as of period end by the sum of total stockholders' equity adjusted to exclude goodwill as of period end. Leverage excludes U.S. Treasury repurchase agreements.</w:t>
      </w:r>
    </w:p>
    <w:p>
      <w:pPr>
        <w:spacing w:after="0" w:line="1" w:lineRule="exact"/>
        <w:rPr>
          <w:rFonts w:ascii="Times New Roman" w:cs="Times New Roman" w:eastAsia="Times New Roman" w:hAnsi="Times New Roman"/>
          <w:sz w:val="16"/>
          <w:szCs w:val="16"/>
          <w:color w:val="auto"/>
        </w:rPr>
      </w:pPr>
    </w:p>
    <w:p>
      <w:pPr>
        <w:ind w:left="720" w:hanging="370"/>
        <w:spacing w:after="0" w:line="260" w:lineRule="auto"/>
        <w:tabs>
          <w:tab w:leader="none" w:pos="7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Economic Interest Income and Asset Yields</w:t>
      </w:r>
    </w:p>
    <w:p>
      <w:pPr>
        <w:spacing w:after="0" w:line="199" w:lineRule="exact"/>
        <w:rPr>
          <w:sz w:val="20"/>
          <w:szCs w:val="20"/>
          <w:color w:val="auto"/>
        </w:rPr>
      </w:pPr>
    </w:p>
    <w:p>
      <w:pPr>
        <w:jc w:val="both"/>
        <w:ind w:right="20" w:firstLine="495"/>
        <w:spacing w:after="0" w:line="258" w:lineRule="auto"/>
        <w:rPr>
          <w:sz w:val="20"/>
          <w:szCs w:val="20"/>
          <w:color w:val="auto"/>
        </w:rPr>
      </w:pPr>
      <w:r>
        <w:rPr>
          <w:rFonts w:ascii="Times New Roman" w:cs="Times New Roman" w:eastAsia="Times New Roman" w:hAnsi="Times New Roman"/>
          <w:sz w:val="20"/>
          <w:szCs w:val="20"/>
          <w:color w:val="auto"/>
        </w:rPr>
        <w:t>The following table summarizes our economic interest income (a non-GAAP measure) for fiscal years 2023, 2022 and 2021,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w:t>
      </w:r>
    </w:p>
    <w:p>
      <w:pPr>
        <w:spacing w:after="0" w:line="154"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50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0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Pr>
          <w:p>
            <w:pPr>
              <w:spacing w:after="0"/>
              <w:rPr>
                <w:sz w:val="20"/>
                <w:szCs w:val="20"/>
                <w:color w:val="auto"/>
              </w:rPr>
            </w:pP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Pr>
          <w:p>
            <w:pPr>
              <w:spacing w:after="0"/>
              <w:rPr>
                <w:sz w:val="20"/>
                <w:szCs w:val="20"/>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000" w:type="dxa"/>
            <w:vAlign w:val="bottom"/>
          </w:tcPr>
          <w:p>
            <w:pPr>
              <w:spacing w:after="0"/>
              <w:rPr>
                <w:sz w:val="24"/>
                <w:szCs w:val="24"/>
                <w:color w:val="auto"/>
              </w:rPr>
            </w:pPr>
          </w:p>
        </w:tc>
        <w:tc>
          <w:tcPr>
            <w:tcW w:w="1000" w:type="dxa"/>
            <w:vAlign w:val="bottom"/>
            <w:tcBorders>
              <w:top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Yield</w:t>
            </w:r>
          </w:p>
        </w:tc>
        <w:tc>
          <w:tcPr>
            <w:tcW w:w="80" w:type="dxa"/>
            <w:vAlign w:val="bottom"/>
          </w:tcPr>
          <w:p>
            <w:pPr>
              <w:spacing w:after="0"/>
              <w:rPr>
                <w:sz w:val="24"/>
                <w:szCs w:val="24"/>
                <w:color w:val="auto"/>
              </w:rPr>
            </w:pPr>
          </w:p>
        </w:tc>
        <w:tc>
          <w:tcPr>
            <w:tcW w:w="10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Yield</w:t>
            </w:r>
          </w:p>
        </w:tc>
        <w:tc>
          <w:tcPr>
            <w:tcW w:w="60" w:type="dxa"/>
            <w:vAlign w:val="bottom"/>
          </w:tcPr>
          <w:p>
            <w:pPr>
              <w:spacing w:after="0"/>
              <w:rPr>
                <w:sz w:val="24"/>
                <w:szCs w:val="24"/>
                <w:color w:val="auto"/>
              </w:rPr>
            </w:pPr>
          </w:p>
        </w:tc>
        <w:tc>
          <w:tcPr>
            <w:tcW w:w="1000" w:type="dxa"/>
            <w:vAlign w:val="bottom"/>
            <w:tcBorders>
              <w:top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Yield</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Cash/coupon interest income </w:t>
            </w:r>
            <w:r>
              <w:rPr>
                <w:rFonts w:ascii="Times New Roman" w:cs="Times New Roman" w:eastAsia="Times New Roman" w:hAnsi="Times New Roman"/>
                <w:sz w:val="16"/>
                <w:szCs w:val="16"/>
                <w:color w:val="B4B4B4"/>
              </w:rPr>
              <w:t>.........................................................................</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$ 2,242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$ 1,603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$ 1,730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3.26 %</w:t>
            </w:r>
          </w:p>
        </w:tc>
        <w:tc>
          <w:tcPr>
            <w:tcW w:w="0" w:type="dxa"/>
            <w:vAlign w:val="bottom"/>
          </w:tcPr>
          <w:p>
            <w:pPr>
              <w:spacing w:after="0"/>
              <w:rPr>
                <w:sz w:val="1"/>
                <w:szCs w:val="1"/>
                <w:color w:val="auto"/>
              </w:rPr>
            </w:pPr>
          </w:p>
        </w:tc>
      </w:tr>
      <w:tr>
        <w:trPr>
          <w:trHeight w:val="261"/>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Net premium amortization benefit (cost) </w:t>
            </w:r>
            <w:r>
              <w:rPr>
                <w:rFonts w:ascii="Times New Roman" w:cs="Times New Roman" w:eastAsia="Times New Roman" w:hAnsi="Times New Roman"/>
                <w:sz w:val="16"/>
                <w:szCs w:val="16"/>
                <w:color w:val="B4B4B4"/>
              </w:rPr>
              <w:t>.......................................................</w:t>
            </w:r>
          </w:p>
        </w:tc>
        <w:tc>
          <w:tcPr>
            <w:tcW w:w="7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80" w:type="dxa"/>
            <w:vAlign w:val="bottom"/>
          </w:tcPr>
          <w:p>
            <w:pPr>
              <w:spacing w:after="0"/>
              <w:rPr>
                <w:sz w:val="22"/>
                <w:szCs w:val="22"/>
                <w:color w:val="auto"/>
              </w:rPr>
            </w:pPr>
          </w:p>
        </w:tc>
        <w:tc>
          <w:tcPr>
            <w:tcW w:w="7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(369)</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0" w:type="dxa"/>
            <w:vAlign w:val="bottom"/>
          </w:tcPr>
          <w:p>
            <w:pPr>
              <w:spacing w:after="0"/>
              <w:rPr>
                <w:sz w:val="1"/>
                <w:szCs w:val="1"/>
                <w:color w:val="auto"/>
              </w:rPr>
            </w:pPr>
          </w:p>
        </w:tc>
      </w:tr>
      <w:tr>
        <w:trPr>
          <w:trHeight w:val="229"/>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 xml:space="preserve">Interest income (GAAP measure) </w:t>
            </w:r>
            <w:r>
              <w:rPr>
                <w:rFonts w:ascii="Times New Roman" w:cs="Times New Roman" w:eastAsia="Times New Roman" w:hAnsi="Times New Roman"/>
                <w:sz w:val="16"/>
                <w:szCs w:val="16"/>
                <w:color w:val="B4B4B4"/>
                <w:w w:val="99"/>
              </w:rPr>
              <w:t>....................................................................</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3.91 %</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1,361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0" w:type="dxa"/>
            <w:vAlign w:val="bottom"/>
          </w:tcPr>
          <w:p>
            <w:pPr>
              <w:spacing w:after="0"/>
              <w:rPr>
                <w:sz w:val="1"/>
                <w:szCs w:val="1"/>
                <w:color w:val="auto"/>
              </w:rPr>
            </w:pPr>
          </w:p>
        </w:tc>
      </w:tr>
      <w:tr>
        <w:trPr>
          <w:trHeight w:val="212"/>
        </w:trPr>
        <w:tc>
          <w:tcPr>
            <w:tcW w:w="500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Estimated "catch-up" premium amortization cost (benefit) due to change</w:t>
            </w:r>
          </w:p>
        </w:tc>
        <w:tc>
          <w:tcPr>
            <w:tcW w:w="76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vMerge w:val="restart"/>
          </w:tcPr>
          <w:p>
            <w:pPr>
              <w:spacing w:after="0"/>
              <w:rPr>
                <w:sz w:val="18"/>
                <w:szCs w:val="18"/>
                <w:color w:val="auto"/>
              </w:rPr>
            </w:pPr>
          </w:p>
        </w:tc>
        <w:tc>
          <w:tcPr>
            <w:tcW w:w="76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60" w:type="dxa"/>
            <w:vAlign w:val="bottom"/>
            <w:vMerge w:val="restart"/>
          </w:tcPr>
          <w:p>
            <w:pPr>
              <w:spacing w:after="0"/>
              <w:rPr>
                <w:sz w:val="18"/>
                <w:szCs w:val="18"/>
                <w:color w:val="auto"/>
              </w:rPr>
            </w:pPr>
          </w:p>
        </w:tc>
        <w:tc>
          <w:tcPr>
            <w:tcW w:w="78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14"/>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in CPR forecast </w:t>
            </w:r>
            <w:r>
              <w:rPr>
                <w:rFonts w:ascii="Times New Roman" w:cs="Times New Roman" w:eastAsia="Times New Roman" w:hAnsi="Times New Roman"/>
                <w:sz w:val="16"/>
                <w:szCs w:val="16"/>
                <w:color w:val="B4B4B4"/>
              </w:rPr>
              <w:t>.............................................................................................</w:t>
            </w: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Interest income, excluding "catch-up" premium amortization</w:t>
            </w:r>
            <w:r>
              <w:rPr>
                <w:rFonts w:ascii="Times New Roman" w:cs="Times New Roman" w:eastAsia="Times New Roman" w:hAnsi="Times New Roman"/>
                <w:sz w:val="16"/>
                <w:szCs w:val="16"/>
                <w:color w:val="B4B4B4"/>
                <w:w w:val="99"/>
              </w:rPr>
              <w:t>.........................</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1,265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0" w:type="dxa"/>
            <w:vAlign w:val="bottom"/>
          </w:tcPr>
          <w:p>
            <w:pPr>
              <w:spacing w:after="0"/>
              <w:rPr>
                <w:sz w:val="1"/>
                <w:szCs w:val="1"/>
                <w:color w:val="auto"/>
              </w:rPr>
            </w:pPr>
          </w:p>
        </w:tc>
      </w:tr>
      <w:tr>
        <w:trPr>
          <w:trHeight w:val="261"/>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TBA dollar roll income - implied interest income </w:t>
            </w:r>
            <w:r>
              <w:rPr>
                <w:rFonts w:ascii="Times New Roman" w:cs="Times New Roman" w:eastAsia="Times New Roman" w:hAnsi="Times New Roman"/>
                <w:sz w:val="20"/>
                <w:szCs w:val="20"/>
                <w:color w:val="auto"/>
                <w:vertAlign w:val="superscript"/>
              </w:rPr>
              <w:t>1,2</w:t>
            </w:r>
            <w:r>
              <w:rPr>
                <w:rFonts w:ascii="Times New Roman" w:cs="Times New Roman" w:eastAsia="Times New Roman" w:hAnsi="Times New Roman"/>
                <w:sz w:val="16"/>
                <w:szCs w:val="16"/>
                <w:color w:val="B4B4B4"/>
              </w:rPr>
              <w:t>.....................................</w:t>
            </w:r>
          </w:p>
        </w:tc>
        <w:tc>
          <w:tcPr>
            <w:tcW w:w="7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524</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5.24 %</w:t>
            </w:r>
          </w:p>
        </w:tc>
        <w:tc>
          <w:tcPr>
            <w:tcW w:w="80" w:type="dxa"/>
            <w:vAlign w:val="bottom"/>
          </w:tcPr>
          <w:p>
            <w:pPr>
              <w:spacing w:after="0"/>
              <w:rPr>
                <w:sz w:val="22"/>
                <w:szCs w:val="22"/>
                <w:color w:val="auto"/>
              </w:rPr>
            </w:pPr>
          </w:p>
        </w:tc>
        <w:tc>
          <w:tcPr>
            <w:tcW w:w="7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746</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3.60 %</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528</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0" w:type="dxa"/>
            <w:vAlign w:val="bottom"/>
          </w:tcPr>
          <w:p>
            <w:pPr>
              <w:spacing w:after="0"/>
              <w:rPr>
                <w:sz w:val="1"/>
                <w:szCs w:val="1"/>
                <w:color w:val="auto"/>
              </w:rPr>
            </w:pPr>
          </w:p>
        </w:tc>
      </w:tr>
      <w:tr>
        <w:trPr>
          <w:trHeight w:val="186"/>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Economic interest income, excluding "catch-up" amortization (non-GAAP</w:t>
            </w:r>
          </w:p>
        </w:tc>
        <w:tc>
          <w:tcPr>
            <w:tcW w:w="76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$ 2,560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$ 2,098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$ 1,793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0" w:type="dxa"/>
            <w:vAlign w:val="bottom"/>
          </w:tcPr>
          <w:p>
            <w:pPr>
              <w:spacing w:after="0"/>
              <w:rPr>
                <w:sz w:val="1"/>
                <w:szCs w:val="1"/>
                <w:color w:val="auto"/>
              </w:rPr>
            </w:pPr>
          </w:p>
        </w:tc>
      </w:tr>
      <w:tr>
        <w:trPr>
          <w:trHeight w:val="194"/>
        </w:trPr>
        <w:tc>
          <w:tcPr>
            <w:tcW w:w="5000" w:type="dxa"/>
            <w:vAlign w:val="bottom"/>
          </w:tcPr>
          <w:p>
            <w:pPr>
              <w:jc w:val="right"/>
              <w:ind w:right="40"/>
              <w:spacing w:after="0" w:line="194" w:lineRule="exact"/>
              <w:rPr>
                <w:sz w:val="20"/>
                <w:szCs w:val="20"/>
                <w:color w:val="auto"/>
              </w:rPr>
            </w:pPr>
            <w:r>
              <w:rPr>
                <w:rFonts w:ascii="Times New Roman" w:cs="Times New Roman" w:eastAsia="Times New Roman" w:hAnsi="Times New Roman"/>
                <w:sz w:val="16"/>
                <w:szCs w:val="16"/>
                <w:color w:val="auto"/>
                <w:w w:val="98"/>
              </w:rPr>
              <w:t xml:space="preserve">measure) </w:t>
            </w:r>
            <w:r>
              <w:rPr>
                <w:rFonts w:ascii="Times New Roman" w:cs="Times New Roman" w:eastAsia="Times New Roman" w:hAnsi="Times New Roman"/>
                <w:sz w:val="20"/>
                <w:szCs w:val="20"/>
                <w:color w:val="auto"/>
                <w:w w:val="98"/>
                <w:vertAlign w:val="superscript"/>
              </w:rPr>
              <w:t>3</w:t>
            </w:r>
            <w:r>
              <w:rPr>
                <w:rFonts w:ascii="Times New Roman" w:cs="Times New Roman" w:eastAsia="Times New Roman" w:hAnsi="Times New Roman"/>
                <w:sz w:val="16"/>
                <w:szCs w:val="16"/>
                <w:color w:val="auto"/>
                <w:w w:val="98"/>
              </w:rPr>
              <w:t xml:space="preserve"> </w:t>
            </w:r>
            <w:r>
              <w:rPr>
                <w:rFonts w:ascii="Times New Roman" w:cs="Times New Roman" w:eastAsia="Times New Roman" w:hAnsi="Times New Roman"/>
                <w:sz w:val="16"/>
                <w:szCs w:val="16"/>
                <w:color w:val="B4B4B4"/>
                <w:w w:val="98"/>
              </w:rPr>
              <w:t>.........................................................................................................</w:t>
            </w: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actual portfolio CPR for investment securities held</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000" w:type="dxa"/>
            <w:vAlign w:val="bottom"/>
            <w:vMerge w:val="continue"/>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 xml:space="preserve">during the period </w:t>
            </w:r>
            <w:r>
              <w:rPr>
                <w:rFonts w:ascii="Times New Roman" w:cs="Times New Roman" w:eastAsia="Times New Roman" w:hAnsi="Times New Roman"/>
                <w:sz w:val="16"/>
                <w:szCs w:val="16"/>
                <w:color w:val="B4B4B4"/>
                <w:w w:val="99"/>
              </w:rPr>
              <w:t>..............................................................................................</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projected CPR for the remaining life of investment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 xml:space="preserve">securities held as of period end </w:t>
            </w:r>
            <w:r>
              <w:rPr>
                <w:rFonts w:ascii="Times New Roman" w:cs="Times New Roman" w:eastAsia="Times New Roman" w:hAnsi="Times New Roman"/>
                <w:sz w:val="16"/>
                <w:szCs w:val="16"/>
                <w:color w:val="B4B4B4"/>
                <w:w w:val="99"/>
              </w:rPr>
              <w:t>........................................................................</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8"/>
              </w:rPr>
              <w:t xml:space="preserve">30-year fixed rate mortgage rate as of period end </w:t>
            </w:r>
            <w:r>
              <w:rPr>
                <w:rFonts w:ascii="Times New Roman" w:cs="Times New Roman" w:eastAsia="Times New Roman" w:hAnsi="Times New Roman"/>
                <w:sz w:val="20"/>
                <w:szCs w:val="20"/>
                <w:color w:val="auto"/>
                <w:w w:val="98"/>
                <w:vertAlign w:val="superscript"/>
              </w:rPr>
              <w:t>4</w:t>
            </w:r>
            <w:r>
              <w:rPr>
                <w:rFonts w:ascii="Times New Roman" w:cs="Times New Roman" w:eastAsia="Times New Roman" w:hAnsi="Times New Roman"/>
                <w:sz w:val="16"/>
                <w:szCs w:val="16"/>
                <w:color w:val="auto"/>
                <w:w w:val="98"/>
              </w:rPr>
              <w:t xml:space="preserve"> </w:t>
            </w:r>
            <w:r>
              <w:rPr>
                <w:rFonts w:ascii="Times New Roman" w:cs="Times New Roman" w:eastAsia="Times New Roman" w:hAnsi="Times New Roman"/>
                <w:sz w:val="16"/>
                <w:szCs w:val="16"/>
                <w:color w:val="B4B4B4"/>
                <w:w w:val="9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6.52 %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8"/>
              </w:rPr>
              <w:t xml:space="preserve">10-year U.S. Treasury rate as of period end </w:t>
            </w:r>
            <w:r>
              <w:rPr>
                <w:rFonts w:ascii="Times New Roman" w:cs="Times New Roman" w:eastAsia="Times New Roman" w:hAnsi="Times New Roman"/>
                <w:sz w:val="20"/>
                <w:szCs w:val="20"/>
                <w:color w:val="auto"/>
                <w:w w:val="98"/>
                <w:vertAlign w:val="superscript"/>
              </w:rPr>
              <w:t>4</w:t>
            </w:r>
            <w:r>
              <w:rPr>
                <w:rFonts w:ascii="Times New Roman" w:cs="Times New Roman" w:eastAsia="Times New Roman" w:hAnsi="Times New Roman"/>
                <w:sz w:val="16"/>
                <w:szCs w:val="16"/>
                <w:color w:val="auto"/>
                <w:w w:val="98"/>
              </w:rPr>
              <w:t xml:space="preserve"> </w:t>
            </w:r>
            <w:r>
              <w:rPr>
                <w:rFonts w:ascii="Times New Roman" w:cs="Times New Roman" w:eastAsia="Times New Roman" w:hAnsi="Times New Roman"/>
                <w:sz w:val="16"/>
                <w:szCs w:val="16"/>
                <w:color w:val="B4B4B4"/>
                <w:w w:val="9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3.88 %</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-1077595</wp:posOffset>
            </wp:positionV>
            <wp:extent cx="3184525" cy="762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1">
                      <a:extLst>
                        <a:ext uri="{28A0092B-C50C-407E-A947-70E740481C1C}"/>
                      </a:extLst>
                    </a:blip>
                    <a:srcRect/>
                    <a:stretch>
                      <a:fillRect/>
                    </a:stretch>
                  </pic:blipFill>
                  <pic:spPr bwMode="auto">
                    <a:xfrm>
                      <a:off x="0" y="0"/>
                      <a:ext cx="3184525" cy="7620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hanging="370"/>
        <w:spacing w:after="0"/>
        <w:tabs>
          <w:tab w:leader="none" w:pos="7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in gain (loss) on derivatives instruments and other securities, net in the accompanying consolidated statements of operations.</w:t>
      </w:r>
    </w:p>
    <w:p>
      <w:pPr>
        <w:spacing w:after="0" w:line="6" w:lineRule="exact"/>
        <w:rPr>
          <w:rFonts w:ascii="Times New Roman" w:cs="Times New Roman" w:eastAsia="Times New Roman" w:hAnsi="Times New Roman"/>
          <w:sz w:val="16"/>
          <w:szCs w:val="16"/>
          <w:color w:val="auto"/>
        </w:rPr>
      </w:pPr>
    </w:p>
    <w:p>
      <w:pPr>
        <w:jc w:val="both"/>
        <w:ind w:left="720" w:hanging="370"/>
        <w:spacing w:after="0" w:line="250" w:lineRule="auto"/>
        <w:tabs>
          <w:tab w:leader="none" w:pos="7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Implied interest income from TBA dollar roll transactions is computed as the sum of (i) TBA dollar roll income and (ii) estimated TBA implied funding cost (see </w:t>
      </w:r>
      <w:r>
        <w:rPr>
          <w:rFonts w:ascii="Times New Roman" w:cs="Times New Roman" w:eastAsia="Times New Roman" w:hAnsi="Times New Roman"/>
          <w:sz w:val="16"/>
          <w:szCs w:val="16"/>
          <w:b w:val="1"/>
          <w:bCs w:val="1"/>
          <w:i w:val="1"/>
          <w:iCs w:val="1"/>
          <w:color w:val="auto"/>
        </w:rPr>
        <w:t>Economic Interest Expense and Aggregate Cost of Funds</w:t>
      </w:r>
      <w:r>
        <w:rPr>
          <w:rFonts w:ascii="Times New Roman" w:cs="Times New Roman" w:eastAsia="Times New Roman" w:hAnsi="Times New Roman"/>
          <w:sz w:val="16"/>
          <w:szCs w:val="16"/>
          <w:color w:val="auto"/>
        </w:rPr>
        <w:t xml:space="preserve"> below). TBA dollar roll income represents the price differential, or "price drop," between the TBA price for current month settlement versus the 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Times New Roman" w:cs="Times New Roman" w:eastAsia="Times New Roman" w:hAnsi="Times New Roman"/>
          <w:sz w:val="16"/>
          <w:szCs w:val="16"/>
          <w:color w:val="auto"/>
        </w:rPr>
      </w:pPr>
    </w:p>
    <w:p>
      <w:pPr>
        <w:ind w:left="720" w:hanging="370"/>
        <w:spacing w:after="0" w:line="250" w:lineRule="auto"/>
        <w:tabs>
          <w:tab w:leader="none" w:pos="7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combined asset yield is calculated on a weighted average basis based on our average investment and TBA balances outstanding during the period and their respective yields.</w:t>
      </w:r>
    </w:p>
    <w:p>
      <w:pPr>
        <w:ind w:left="720" w:hanging="370"/>
        <w:spacing w:after="0"/>
        <w:tabs>
          <w:tab w:leader="none" w:pos="7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30-year fixed rate mortgage rates are sourced from Optimal Blue. 10-year U.S. Treasury rates are sourced from Bloomberg.</w:t>
      </w:r>
    </w:p>
    <w:p>
      <w:pPr>
        <w:spacing w:after="0" w:line="160" w:lineRule="exact"/>
        <w:rPr>
          <w:sz w:val="20"/>
          <w:szCs w:val="20"/>
          <w:color w:val="auto"/>
        </w:rPr>
      </w:pPr>
    </w:p>
    <w:p>
      <w:pPr>
        <w:jc w:val="both"/>
        <w:ind w:right="20" w:firstLine="495"/>
        <w:spacing w:after="0" w:line="266" w:lineRule="auto"/>
        <w:rPr>
          <w:sz w:val="20"/>
          <w:szCs w:val="20"/>
          <w:color w:val="auto"/>
        </w:rPr>
      </w:pPr>
      <w:r>
        <w:rPr>
          <w:rFonts w:ascii="Times New Roman" w:cs="Times New Roman" w:eastAsia="Times New Roman" w:hAnsi="Times New Roman"/>
          <w:sz w:val="20"/>
          <w:szCs w:val="20"/>
          <w:color w:val="auto"/>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fiscal years 2023 and 2022 compared to the prior year period (in millions):</w:t>
      </w:r>
    </w:p>
    <w:p>
      <w:pPr>
        <w:sectPr>
          <w:pgSz w:w="12240" w:h="15840" w:orient="portrait"/>
          <w:cols w:equalWidth="0" w:num="1">
            <w:col w:w="10260"/>
          </w:cols>
          <w:pgMar w:left="1000" w:top="80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260"/>
          </w:cols>
          <w:pgMar w:left="1000" w:top="805" w:right="980" w:bottom="0" w:gutter="0" w:footer="0" w:header="0"/>
          <w:type w:val="continuous"/>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29210</wp:posOffset>
                </wp:positionV>
                <wp:extent cx="649605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3pt" to="511pt,2.3pt" o:allowincell="f" strokecolor="#000000" strokeweight="1pt"/>
            </w:pict>
          </mc:Fallback>
        </mc:AlternateConten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Due to Change in Average</w:t>
            </w:r>
          </w:p>
        </w:tc>
        <w:tc>
          <w:tcPr>
            <w:tcW w:w="0" w:type="dxa"/>
            <w:vAlign w:val="bottom"/>
          </w:tcPr>
          <w:p>
            <w:pPr>
              <w:spacing w:after="0"/>
              <w:rPr>
                <w:sz w:val="1"/>
                <w:szCs w:val="1"/>
                <w:color w:val="auto"/>
              </w:rPr>
            </w:pPr>
          </w:p>
        </w:tc>
      </w:tr>
      <w:tr>
        <w:trPr>
          <w:trHeight w:val="186"/>
        </w:trPr>
        <w:tc>
          <w:tcPr>
            <w:tcW w:w="61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2023 vs 2022</w:t>
            </w:r>
          </w:p>
        </w:tc>
        <w:tc>
          <w:tcPr>
            <w:tcW w:w="60" w:type="dxa"/>
            <w:vAlign w:val="bottom"/>
          </w:tcPr>
          <w:p>
            <w:pPr>
              <w:spacing w:after="0"/>
              <w:rPr>
                <w:sz w:val="16"/>
                <w:szCs w:val="16"/>
                <w:color w:val="auto"/>
              </w:rPr>
            </w:pP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Total Increase /</w:t>
            </w:r>
          </w:p>
        </w:tc>
        <w:tc>
          <w:tcPr>
            <w:tcW w:w="240" w:type="dxa"/>
            <w:vAlign w:val="bottom"/>
          </w:tcPr>
          <w:p>
            <w:pPr>
              <w:spacing w:after="0"/>
              <w:rPr>
                <w:sz w:val="16"/>
                <w:szCs w:val="16"/>
                <w:color w:val="auto"/>
              </w:rPr>
            </w:pPr>
          </w:p>
        </w:tc>
        <w:tc>
          <w:tcPr>
            <w:tcW w:w="104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0" w:type="dxa"/>
            <w:vAlign w:val="bottom"/>
          </w:tcPr>
          <w:p>
            <w:pPr>
              <w:spacing w:after="0"/>
              <w:rPr>
                <w:sz w:val="1"/>
                <w:szCs w:val="1"/>
                <w:color w:val="auto"/>
              </w:rPr>
            </w:pPr>
          </w:p>
        </w:tc>
      </w:tr>
      <w:tr>
        <w:trPr>
          <w:trHeight w:val="214"/>
        </w:trPr>
        <w:tc>
          <w:tcPr>
            <w:tcW w:w="61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Size</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Yield</w:t>
            </w:r>
          </w:p>
        </w:tc>
        <w:tc>
          <w:tcPr>
            <w:tcW w:w="0" w:type="dxa"/>
            <w:vAlign w:val="bottom"/>
          </w:tcPr>
          <w:p>
            <w:pPr>
              <w:spacing w:after="0"/>
              <w:rPr>
                <w:sz w:val="1"/>
                <w:szCs w:val="1"/>
                <w:color w:val="auto"/>
              </w:rPr>
            </w:pPr>
          </w:p>
        </w:tc>
      </w:tr>
      <w:tr>
        <w:trPr>
          <w:trHeight w:val="229"/>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Interest Income (GAAP measure) </w:t>
            </w:r>
            <w:r>
              <w:rPr>
                <w:rFonts w:ascii="Times New Roman" w:cs="Times New Roman" w:eastAsia="Times New Roman" w:hAnsi="Times New Roman"/>
                <w:sz w:val="16"/>
                <w:szCs w:val="16"/>
                <w:color w:val="B4B4B4"/>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60" w:type="dxa"/>
            <w:vAlign w:val="bottom"/>
          </w:tcPr>
          <w:p>
            <w:pPr>
              <w:spacing w:after="0"/>
              <w:rPr>
                <w:sz w:val="19"/>
                <w:szCs w:val="19"/>
                <w:color w:val="auto"/>
              </w:rPr>
            </w:pP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61"/>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Estimated "catch-up" premium amortization due to change in CPR forecast </w:t>
            </w:r>
            <w:r>
              <w:rPr>
                <w:rFonts w:ascii="Times New Roman" w:cs="Times New Roman" w:eastAsia="Times New Roman" w:hAnsi="Times New Roman"/>
                <w:sz w:val="16"/>
                <w:szCs w:val="16"/>
                <w:color w:val="B4B4B4"/>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29"/>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Interest income, excluding "catch-up" premium amortization </w:t>
            </w:r>
            <w:r>
              <w:rPr>
                <w:rFonts w:ascii="Times New Roman" w:cs="Times New Roman" w:eastAsia="Times New Roman" w:hAnsi="Times New Roman"/>
                <w:sz w:val="16"/>
                <w:szCs w:val="16"/>
                <w:color w:val="B4B4B4"/>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61"/>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TBA dollar roll income - implied interest income </w:t>
            </w:r>
            <w:r>
              <w:rPr>
                <w:rFonts w:ascii="Times New Roman" w:cs="Times New Roman" w:eastAsia="Times New Roman" w:hAnsi="Times New Roman"/>
                <w:sz w:val="16"/>
                <w:szCs w:val="16"/>
                <w:color w:val="B4B4B4"/>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5"/>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Economic interest income, excluding "catch-up" amortization (non-GAAP measure) </w:t>
            </w:r>
            <w:r>
              <w:rPr>
                <w:rFonts w:ascii="Times New Roman" w:cs="Times New Roman" w:eastAsia="Times New Roman" w:hAnsi="Times New Roman"/>
                <w:sz w:val="16"/>
                <w:szCs w:val="16"/>
                <w:color w:val="B4B4B4"/>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60" w:type="dxa"/>
            <w:vAlign w:val="bottom"/>
          </w:tcPr>
          <w:p>
            <w:pPr>
              <w:spacing w:after="0"/>
              <w:rPr>
                <w:sz w:val="18"/>
                <w:szCs w:val="18"/>
                <w:color w:val="auto"/>
              </w:rPr>
            </w:pP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-56515</wp:posOffset>
            </wp:positionV>
            <wp:extent cx="2613025" cy="762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2">
                      <a:extLst>
                        <a:ext uri="{28A0092B-C50C-407E-A947-70E740481C1C}"/>
                      </a:extLst>
                    </a:blip>
                    <a:srcRect/>
                    <a:stretch>
                      <a:fillRect/>
                    </a:stretch>
                  </pic:blipFill>
                  <pic:spPr bwMode="auto">
                    <a:xfrm>
                      <a:off x="0" y="0"/>
                      <a:ext cx="2613025" cy="7620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Due to Change in Average</w:t>
            </w:r>
          </w:p>
        </w:tc>
        <w:tc>
          <w:tcPr>
            <w:tcW w:w="0" w:type="dxa"/>
            <w:vAlign w:val="bottom"/>
          </w:tcPr>
          <w:p>
            <w:pPr>
              <w:spacing w:after="0"/>
              <w:rPr>
                <w:sz w:val="1"/>
                <w:szCs w:val="1"/>
                <w:color w:val="auto"/>
              </w:rPr>
            </w:pPr>
          </w:p>
        </w:tc>
      </w:tr>
      <w:tr>
        <w:trPr>
          <w:trHeight w:val="186"/>
        </w:trPr>
        <w:tc>
          <w:tcPr>
            <w:tcW w:w="61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2022 vs 2021</w:t>
            </w:r>
          </w:p>
        </w:tc>
        <w:tc>
          <w:tcPr>
            <w:tcW w:w="60" w:type="dxa"/>
            <w:vAlign w:val="bottom"/>
          </w:tcPr>
          <w:p>
            <w:pPr>
              <w:spacing w:after="0"/>
              <w:rPr>
                <w:sz w:val="16"/>
                <w:szCs w:val="16"/>
                <w:color w:val="auto"/>
              </w:rPr>
            </w:pP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Total Increase /</w:t>
            </w:r>
          </w:p>
        </w:tc>
        <w:tc>
          <w:tcPr>
            <w:tcW w:w="240" w:type="dxa"/>
            <w:vAlign w:val="bottom"/>
          </w:tcPr>
          <w:p>
            <w:pPr>
              <w:spacing w:after="0"/>
              <w:rPr>
                <w:sz w:val="16"/>
                <w:szCs w:val="16"/>
                <w:color w:val="auto"/>
              </w:rPr>
            </w:pPr>
          </w:p>
        </w:tc>
        <w:tc>
          <w:tcPr>
            <w:tcW w:w="104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0" w:type="dxa"/>
            <w:vAlign w:val="bottom"/>
          </w:tcPr>
          <w:p>
            <w:pPr>
              <w:spacing w:after="0"/>
              <w:rPr>
                <w:sz w:val="1"/>
                <w:szCs w:val="1"/>
                <w:color w:val="auto"/>
              </w:rPr>
            </w:pPr>
          </w:p>
        </w:tc>
      </w:tr>
      <w:tr>
        <w:trPr>
          <w:trHeight w:val="214"/>
        </w:trPr>
        <w:tc>
          <w:tcPr>
            <w:tcW w:w="61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Size</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Yield</w:t>
            </w:r>
          </w:p>
        </w:tc>
        <w:tc>
          <w:tcPr>
            <w:tcW w:w="0" w:type="dxa"/>
            <w:vAlign w:val="bottom"/>
          </w:tcPr>
          <w:p>
            <w:pPr>
              <w:spacing w:after="0"/>
              <w:rPr>
                <w:sz w:val="1"/>
                <w:szCs w:val="1"/>
                <w:color w:val="auto"/>
              </w:rPr>
            </w:pPr>
          </w:p>
        </w:tc>
      </w:tr>
      <w:tr>
        <w:trPr>
          <w:trHeight w:val="229"/>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Interest Income (GAAP measure) </w:t>
            </w:r>
            <w:r>
              <w:rPr>
                <w:rFonts w:ascii="Times New Roman" w:cs="Times New Roman" w:eastAsia="Times New Roman" w:hAnsi="Times New Roman"/>
                <w:sz w:val="16"/>
                <w:szCs w:val="16"/>
                <w:color w:val="B4B4B4"/>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60" w:type="dxa"/>
            <w:vAlign w:val="bottom"/>
          </w:tcPr>
          <w:p>
            <w:pPr>
              <w:spacing w:after="0"/>
              <w:rPr>
                <w:sz w:val="19"/>
                <w:szCs w:val="19"/>
                <w:color w:val="auto"/>
              </w:rPr>
            </w:pP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61"/>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Estimated "catch-up" premium amortization due to change in CPR forecast </w:t>
            </w:r>
            <w:r>
              <w:rPr>
                <w:rFonts w:ascii="Times New Roman" w:cs="Times New Roman" w:eastAsia="Times New Roman" w:hAnsi="Times New Roman"/>
                <w:sz w:val="16"/>
                <w:szCs w:val="16"/>
                <w:color w:val="B4B4B4"/>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29"/>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Interest income, excluding "catch-up" premium amortization </w:t>
            </w:r>
            <w:r>
              <w:rPr>
                <w:rFonts w:ascii="Times New Roman" w:cs="Times New Roman" w:eastAsia="Times New Roman" w:hAnsi="Times New Roman"/>
                <w:sz w:val="16"/>
                <w:szCs w:val="16"/>
                <w:color w:val="B4B4B4"/>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61"/>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TBA dollar roll income - implied interest income </w:t>
            </w:r>
            <w:r>
              <w:rPr>
                <w:rFonts w:ascii="Times New Roman" w:cs="Times New Roman" w:eastAsia="Times New Roman" w:hAnsi="Times New Roman"/>
                <w:sz w:val="16"/>
                <w:szCs w:val="16"/>
                <w:color w:val="B4B4B4"/>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5"/>
        </w:trPr>
        <w:tc>
          <w:tcPr>
            <w:tcW w:w="6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Economic interest income, excluding "catch-up" amortization (non-GAAP measure) </w:t>
            </w:r>
            <w:r>
              <w:rPr>
                <w:rFonts w:ascii="Times New Roman" w:cs="Times New Roman" w:eastAsia="Times New Roman" w:hAnsi="Times New Roman"/>
                <w:sz w:val="16"/>
                <w:szCs w:val="16"/>
                <w:color w:val="B4B4B4"/>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60" w:type="dxa"/>
            <w:vAlign w:val="bottom"/>
          </w:tcPr>
          <w:p>
            <w:pPr>
              <w:spacing w:after="0"/>
              <w:rPr>
                <w:sz w:val="18"/>
                <w:szCs w:val="18"/>
                <w:color w:val="auto"/>
              </w:rPr>
            </w:pP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-56515</wp:posOffset>
            </wp:positionV>
            <wp:extent cx="2613025" cy="762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3">
                      <a:extLst>
                        <a:ext uri="{28A0092B-C50C-407E-A947-70E740481C1C}"/>
                      </a:extLst>
                    </a:blip>
                    <a:srcRect/>
                    <a:stretch>
                      <a:fillRect/>
                    </a:stretch>
                  </pic:blipFill>
                  <pic:spPr bwMode="auto">
                    <a:xfrm>
                      <a:off x="0" y="0"/>
                      <a:ext cx="2613025" cy="76200"/>
                    </a:xfrm>
                    <a:prstGeom prst="rect">
                      <a:avLst/>
                    </a:prstGeom>
                    <a:noFill/>
                  </pic:spPr>
                </pic:pic>
              </a:graphicData>
            </a:graphic>
          </wp:anchor>
        </w:drawing>
      </w:r>
    </w:p>
    <w:p>
      <w:pPr>
        <w:spacing w:after="0" w:line="188"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20"/>
          <w:szCs w:val="20"/>
          <w:color w:val="auto"/>
        </w:rPr>
        <w:t>Our average investment portfolio, inclusive of TBAs (at cost), decreased 11% and 18% for fiscal years 2023 and 2022, respectively, primarily due to a decline in our average stockholders' equity and lower "at risk" leverage. The average yield on our investment portfolio, including TBA implied asset yields and excluding "catch-up" premium amortization, increased 111 and 88 basis points for fiscal years 2023 and 2022, respectively, largely as a result of shifting our asset portfolio away from TBA and lower coupon holdings toward a greater share of higher coupon, high-quality specified pools to capitalize on higher asset yields and wider spreads.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Leverage</w:t>
      </w:r>
    </w:p>
    <w:p>
      <w:pPr>
        <w:spacing w:after="0" w:line="199" w:lineRule="exact"/>
        <w:rPr>
          <w:sz w:val="20"/>
          <w:szCs w:val="20"/>
          <w:color w:val="auto"/>
        </w:rPr>
      </w:pPr>
    </w:p>
    <w:p>
      <w:pPr>
        <w:jc w:val="both"/>
        <w:ind w:firstLine="495"/>
        <w:spacing w:after="0" w:line="260" w:lineRule="auto"/>
        <w:rPr>
          <w:sz w:val="20"/>
          <w:szCs w:val="20"/>
          <w:color w:val="auto"/>
        </w:rPr>
      </w:pPr>
      <w:r>
        <w:rPr>
          <w:rFonts w:ascii="Times New Roman" w:cs="Times New Roman" w:eastAsia="Times New Roman" w:hAnsi="Times New Roman"/>
          <w:sz w:val="20"/>
          <w:szCs w:val="20"/>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143"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20"/>
          <w:szCs w:val="20"/>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 w:cs="Times New Roman" w:eastAsia="Times New Roman" w:hAnsi="Times New Roman"/>
          <w:sz w:val="20"/>
          <w:szCs w:val="20"/>
          <w:b w:val="1"/>
          <w:bCs w:val="1"/>
          <w:i w:val="1"/>
          <w:iCs w:val="1"/>
          <w:color w:val="auto"/>
        </w:rPr>
        <w:t>Liquidity and Capital Resources</w:t>
      </w:r>
      <w:r>
        <w:rPr>
          <w:rFonts w:ascii="Times New Roman" w:cs="Times New Roman" w:eastAsia="Times New Roman" w:hAnsi="Times New Roman"/>
          <w:sz w:val="20"/>
          <w:szCs w:val="20"/>
          <w:color w:val="auto"/>
        </w:rPr>
        <w:t xml:space="preserve"> in this Form 10-K for further discussion of TBA securities and dollar roll transactions). Repurchase agreements used to fund short-term investments in U.S. Treasury securities ("U.S. Treasury repo") are excluded from our measure of leverage due to the temporary and highly liquid nature of these investments. The following table presents a summary of our leverage ratios for the periods listed (dollars in millions):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gridSpan w:val="7"/>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Investment Securities Repurchase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4"/>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Net TBA Position</w:t>
            </w:r>
          </w:p>
        </w:tc>
        <w:tc>
          <w:tcPr>
            <w:tcW w:w="80" w:type="dxa"/>
            <w:vAlign w:val="bottom"/>
          </w:tcPr>
          <w:p>
            <w:pPr>
              <w:spacing w:after="0"/>
              <w:rPr>
                <w:sz w:val="13"/>
                <w:szCs w:val="13"/>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 Tangible</w:t>
            </w:r>
          </w:p>
        </w:tc>
        <w:tc>
          <w:tcPr>
            <w:tcW w:w="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Tangible Net</w:t>
            </w:r>
          </w:p>
        </w:tc>
        <w:tc>
          <w:tcPr>
            <w:tcW w:w="0" w:type="dxa"/>
            <w:vAlign w:val="bottom"/>
          </w:tcPr>
          <w:p>
            <w:pPr>
              <w:spacing w:after="0"/>
              <w:rPr>
                <w:sz w:val="1"/>
                <w:szCs w:val="1"/>
                <w:color w:val="auto"/>
              </w:rPr>
            </w:pPr>
          </w:p>
        </w:tc>
      </w:tr>
      <w:tr>
        <w:trPr>
          <w:trHeight w:val="140"/>
        </w:trPr>
        <w:tc>
          <w:tcPr>
            <w:tcW w:w="3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gridSpan w:val="7"/>
          </w:tcPr>
          <w:p>
            <w:pPr>
              <w:jc w:val="center"/>
              <w:ind w:right="61"/>
              <w:spacing w:after="0" w:line="140" w:lineRule="exact"/>
              <w:rPr>
                <w:sz w:val="20"/>
                <w:szCs w:val="20"/>
                <w:color w:val="auto"/>
              </w:rPr>
            </w:pPr>
            <w:r>
              <w:rPr>
                <w:rFonts w:ascii="Times New Roman" w:cs="Times New Roman" w:eastAsia="Times New Roman" w:hAnsi="Times New Roman"/>
                <w:sz w:val="13"/>
                <w:szCs w:val="13"/>
                <w:b w:val="1"/>
                <w:bCs w:val="1"/>
                <w:color w:val="auto"/>
              </w:rPr>
              <w:t xml:space="preserve">Agreements and Other Debt </w:t>
            </w:r>
            <w:r>
              <w:rPr>
                <w:rFonts w:ascii="Times New Roman" w:cs="Times New Roman" w:eastAsia="Times New Roman" w:hAnsi="Times New Roman"/>
                <w:sz w:val="16"/>
                <w:szCs w:val="16"/>
                <w:b w:val="1"/>
                <w:bCs w:val="1"/>
                <w:color w:val="auto"/>
                <w:vertAlign w:val="superscript"/>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4"/>
          </w:tcPr>
          <w:p>
            <w:pPr>
              <w:jc w:val="right"/>
              <w:ind w:right="321"/>
              <w:spacing w:after="0" w:line="140" w:lineRule="exact"/>
              <w:rPr>
                <w:sz w:val="20"/>
                <w:szCs w:val="20"/>
                <w:color w:val="auto"/>
              </w:rPr>
            </w:pPr>
            <w:r>
              <w:rPr>
                <w:rFonts w:ascii="Times New Roman" w:cs="Times New Roman" w:eastAsia="Times New Roman" w:hAnsi="Times New Roman"/>
                <w:sz w:val="13"/>
                <w:szCs w:val="13"/>
                <w:b w:val="1"/>
                <w:bCs w:val="1"/>
                <w:color w:val="auto"/>
              </w:rPr>
              <w:t xml:space="preserve">Long/(Short) </w:t>
            </w:r>
            <w:r>
              <w:rPr>
                <w:rFonts w:ascii="Times New Roman" w:cs="Times New Roman" w:eastAsia="Times New Roman" w:hAnsi="Times New Roman"/>
                <w:sz w:val="16"/>
                <w:szCs w:val="16"/>
                <w:b w:val="1"/>
                <w:bCs w:val="1"/>
                <w:color w:val="auto"/>
                <w:vertAlign w:val="superscript"/>
              </w:rPr>
              <w:t>2</w:t>
            </w: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200" w:type="dxa"/>
            <w:vAlign w:val="bottom"/>
            <w:gridSpan w:val="2"/>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Net Book Value</w:t>
            </w:r>
          </w:p>
        </w:tc>
        <w:tc>
          <w:tcPr>
            <w:tcW w:w="80" w:type="dxa"/>
            <w:vAlign w:val="bottom"/>
            <w:vMerge w:val="restart"/>
          </w:tcPr>
          <w:p>
            <w:pPr>
              <w:spacing w:after="0"/>
              <w:rPr>
                <w:sz w:val="4"/>
                <w:szCs w:val="4"/>
                <w:color w:val="auto"/>
              </w:rPr>
            </w:pPr>
          </w:p>
        </w:tc>
        <w:tc>
          <w:tcPr>
            <w:tcW w:w="120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Book Value "At</w:t>
            </w:r>
          </w:p>
        </w:tc>
        <w:tc>
          <w:tcPr>
            <w:tcW w:w="0" w:type="dxa"/>
            <w:vAlign w:val="bottom"/>
          </w:tcPr>
          <w:p>
            <w:pPr>
              <w:spacing w:after="0"/>
              <w:rPr>
                <w:sz w:val="1"/>
                <w:szCs w:val="1"/>
                <w:color w:val="auto"/>
              </w:rPr>
            </w:pPr>
          </w:p>
        </w:tc>
      </w:tr>
      <w:tr>
        <w:trPr>
          <w:trHeight w:val="35"/>
        </w:trPr>
        <w:tc>
          <w:tcPr>
            <w:tcW w:w="3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3"/>
                <w:szCs w:val="3"/>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0"/>
        </w:trPr>
        <w:tc>
          <w:tcPr>
            <w:tcW w:w="3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80" w:type="dxa"/>
            <w:vAlign w:val="bottom"/>
          </w:tcPr>
          <w:p>
            <w:pPr>
              <w:spacing w:after="0"/>
              <w:rPr>
                <w:sz w:val="12"/>
                <w:szCs w:val="12"/>
                <w:color w:val="auto"/>
              </w:rPr>
            </w:pPr>
          </w:p>
        </w:tc>
        <w:tc>
          <w:tcPr>
            <w:tcW w:w="900" w:type="dxa"/>
            <w:vAlign w:val="bottom"/>
          </w:tcPr>
          <w:p>
            <w:pPr>
              <w:jc w:val="center"/>
              <w:ind w:left="232"/>
              <w:spacing w:after="0" w:line="140" w:lineRule="exact"/>
              <w:rPr>
                <w:sz w:val="20"/>
                <w:szCs w:val="20"/>
                <w:color w:val="auto"/>
              </w:rPr>
            </w:pPr>
            <w:r>
              <w:rPr>
                <w:rFonts w:ascii="Times New Roman" w:cs="Times New Roman" w:eastAsia="Times New Roman" w:hAnsi="Times New Roman"/>
                <w:sz w:val="14"/>
                <w:szCs w:val="14"/>
                <w:b w:val="1"/>
                <w:bCs w:val="1"/>
                <w:color w:val="auto"/>
                <w:w w:val="98"/>
              </w:rPr>
              <w:t>"At Risk"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Risk" Leverage</w:t>
            </w:r>
          </w:p>
        </w:tc>
        <w:tc>
          <w:tcPr>
            <w:tcW w:w="0" w:type="dxa"/>
            <w:vAlign w:val="bottom"/>
          </w:tcPr>
          <w:p>
            <w:pPr>
              <w:spacing w:after="0"/>
              <w:rPr>
                <w:sz w:val="1"/>
                <w:szCs w:val="1"/>
                <w:color w:val="auto"/>
              </w:rPr>
            </w:pPr>
          </w:p>
        </w:tc>
      </w:tr>
      <w:tr>
        <w:trPr>
          <w:trHeight w:val="140"/>
        </w:trPr>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3"/>
              <w:spacing w:after="0" w:line="140" w:lineRule="exact"/>
              <w:rPr>
                <w:sz w:val="20"/>
                <w:szCs w:val="20"/>
                <w:color w:val="auto"/>
              </w:rPr>
            </w:pPr>
            <w:r>
              <w:rPr>
                <w:rFonts w:ascii="Times New Roman" w:cs="Times New Roman" w:eastAsia="Times New Roman" w:hAnsi="Times New Roman"/>
                <w:sz w:val="14"/>
                <w:szCs w:val="14"/>
                <w:b w:val="1"/>
                <w:bCs w:val="1"/>
                <w:color w:val="auto"/>
              </w:rPr>
              <w:t>Daily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1"/>
              <w:spacing w:after="0" w:line="140" w:lineRule="exact"/>
              <w:rPr>
                <w:sz w:val="20"/>
                <w:szCs w:val="20"/>
                <w:color w:val="auto"/>
              </w:rPr>
            </w:pPr>
            <w:r>
              <w:rPr>
                <w:rFonts w:ascii="Times New Roman" w:cs="Times New Roman" w:eastAsia="Times New Roman" w:hAnsi="Times New Roman"/>
                <w:sz w:val="14"/>
                <w:szCs w:val="14"/>
                <w:b w:val="1"/>
                <w:bCs w:val="1"/>
                <w:color w:val="auto"/>
              </w:rPr>
              <w:t>Daily</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3"/>
              <w:spacing w:after="0" w:line="140" w:lineRule="exact"/>
              <w:rPr>
                <w:sz w:val="20"/>
                <w:szCs w:val="20"/>
                <w:color w:val="auto"/>
              </w:rPr>
            </w:pPr>
            <w:r>
              <w:rPr>
                <w:rFonts w:ascii="Times New Roman" w:cs="Times New Roman" w:eastAsia="Times New Roman" w:hAnsi="Times New Roman"/>
                <w:sz w:val="14"/>
                <w:szCs w:val="14"/>
                <w:b w:val="1"/>
                <w:bCs w:val="1"/>
                <w:color w:val="auto"/>
              </w:rPr>
              <w:t>Daily</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Leverage during</w:t>
            </w:r>
          </w:p>
        </w:tc>
        <w:tc>
          <w:tcPr>
            <w:tcW w:w="80" w:type="dxa"/>
            <w:vAlign w:val="bottom"/>
          </w:tcPr>
          <w:p>
            <w:pPr>
              <w:spacing w:after="0"/>
              <w:rPr>
                <w:sz w:val="12"/>
                <w:szCs w:val="12"/>
                <w:color w:val="auto"/>
              </w:rPr>
            </w:pPr>
          </w:p>
        </w:tc>
        <w:tc>
          <w:tcPr>
            <w:tcW w:w="12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0"/>
        </w:trPr>
        <w:tc>
          <w:tcPr>
            <w:tcW w:w="330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6"/>
                <w:szCs w:val="16"/>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the Period</w:t>
            </w:r>
          </w:p>
        </w:tc>
        <w:tc>
          <w:tcPr>
            <w:tcW w:w="3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5"/>
                <w:szCs w:val="5"/>
                <w:b w:val="1"/>
                <w:bCs w:val="1"/>
                <w:color w:val="auto"/>
                <w:w w:val="78"/>
              </w:rPr>
              <w:t>3</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4"/>
                <w:szCs w:val="14"/>
                <w:b w:val="1"/>
                <w:bCs w:val="1"/>
                <w:color w:val="auto"/>
                <w:w w:val="97"/>
              </w:rPr>
              <w:t xml:space="preserve">Period End </w:t>
            </w:r>
            <w:r>
              <w:rPr>
                <w:rFonts w:ascii="Times New Roman" w:cs="Times New Roman" w:eastAsia="Times New Roman" w:hAnsi="Times New Roman"/>
                <w:sz w:val="18"/>
                <w:szCs w:val="18"/>
                <w:b w:val="1"/>
                <w:bCs w:val="1"/>
                <w:color w:val="auto"/>
                <w:w w:val="97"/>
                <w:vertAlign w:val="superscript"/>
              </w:rPr>
              <w:t>4</w:t>
            </w:r>
          </w:p>
        </w:tc>
        <w:tc>
          <w:tcPr>
            <w:tcW w:w="0" w:type="dxa"/>
            <w:vAlign w:val="bottom"/>
          </w:tcPr>
          <w:p>
            <w:pPr>
              <w:spacing w:after="0"/>
              <w:rPr>
                <w:sz w:val="1"/>
                <w:szCs w:val="1"/>
                <w:color w:val="auto"/>
              </w:rPr>
            </w:pPr>
          </w:p>
        </w:tc>
      </w:tr>
      <w:tr>
        <w:trPr>
          <w:trHeight w:val="229"/>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December 31, 2023</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52,643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4,993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5,288</w:t>
            </w:r>
          </w:p>
        </w:tc>
        <w:tc>
          <w:tcPr>
            <w:tcW w:w="980" w:type="dxa"/>
            <w:vAlign w:val="bottom"/>
            <w:gridSpan w:val="2"/>
          </w:tcPr>
          <w:p>
            <w:pPr>
              <w:jc w:val="center"/>
              <w:ind w:left="300"/>
              <w:spacing w:after="0"/>
              <w:rPr>
                <w:sz w:val="20"/>
                <w:szCs w:val="20"/>
                <w:color w:val="auto"/>
              </w:rPr>
            </w:pPr>
            <w:r>
              <w:rPr>
                <w:rFonts w:ascii="Times New Roman" w:cs="Times New Roman" w:eastAsia="Times New Roman" w:hAnsi="Times New Roman"/>
                <w:sz w:val="16"/>
                <w:szCs w:val="16"/>
                <w:color w:val="auto"/>
                <w:w w:val="98"/>
              </w:rPr>
              <w:t>7.4:1</w:t>
            </w:r>
          </w:p>
        </w:tc>
        <w:tc>
          <w:tcPr>
            <w:tcW w:w="300" w:type="dxa"/>
            <w:vAlign w:val="bottom"/>
          </w:tcPr>
          <w:p>
            <w:pPr>
              <w:spacing w:after="0"/>
              <w:rPr>
                <w:sz w:val="19"/>
                <w:szCs w:val="19"/>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7.0:1</w:t>
            </w:r>
          </w:p>
        </w:tc>
        <w:tc>
          <w:tcPr>
            <w:tcW w:w="0" w:type="dxa"/>
            <w:vAlign w:val="bottom"/>
          </w:tcPr>
          <w:p>
            <w:pPr>
              <w:spacing w:after="0"/>
              <w:rPr>
                <w:sz w:val="1"/>
                <w:szCs w:val="1"/>
                <w:color w:val="auto"/>
              </w:rPr>
            </w:pPr>
          </w:p>
        </w:tc>
      </w:tr>
      <w:tr>
        <w:trPr>
          <w:trHeight w:val="255"/>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September 30, 2023 </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52,888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7,340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980" w:type="dxa"/>
            <w:vAlign w:val="bottom"/>
            <w:gridSpan w:val="2"/>
          </w:tcPr>
          <w:p>
            <w:pPr>
              <w:jc w:val="center"/>
              <w:ind w:left="300"/>
              <w:spacing w:after="0"/>
              <w:rPr>
                <w:sz w:val="20"/>
                <w:szCs w:val="20"/>
                <w:color w:val="auto"/>
              </w:rPr>
            </w:pPr>
            <w:r>
              <w:rPr>
                <w:rFonts w:ascii="Times New Roman" w:cs="Times New Roman" w:eastAsia="Times New Roman" w:hAnsi="Times New Roman"/>
                <w:sz w:val="16"/>
                <w:szCs w:val="16"/>
                <w:color w:val="auto"/>
                <w:w w:val="98"/>
              </w:rPr>
              <w:t>7.5:1</w:t>
            </w:r>
          </w:p>
        </w:tc>
        <w:tc>
          <w:tcPr>
            <w:tcW w:w="30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7.9:1</w:t>
            </w:r>
          </w:p>
        </w:tc>
        <w:tc>
          <w:tcPr>
            <w:tcW w:w="0" w:type="dxa"/>
            <w:vAlign w:val="bottom"/>
          </w:tcPr>
          <w:p>
            <w:pPr>
              <w:spacing w:after="0"/>
              <w:rPr>
                <w:sz w:val="1"/>
                <w:szCs w:val="1"/>
                <w:color w:val="auto"/>
              </w:rPr>
            </w:pPr>
          </w:p>
        </w:tc>
      </w:tr>
      <w:tr>
        <w:trPr>
          <w:trHeight w:val="255"/>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June 30, 2023 </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42,408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9,985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10,320</w:t>
            </w:r>
          </w:p>
        </w:tc>
        <w:tc>
          <w:tcPr>
            <w:tcW w:w="980" w:type="dxa"/>
            <w:vAlign w:val="bottom"/>
            <w:gridSpan w:val="2"/>
          </w:tcPr>
          <w:p>
            <w:pPr>
              <w:jc w:val="center"/>
              <w:ind w:left="300"/>
              <w:spacing w:after="0"/>
              <w:rPr>
                <w:sz w:val="20"/>
                <w:szCs w:val="20"/>
                <w:color w:val="auto"/>
              </w:rPr>
            </w:pPr>
            <w:r>
              <w:rPr>
                <w:rFonts w:ascii="Times New Roman" w:cs="Times New Roman" w:eastAsia="Times New Roman" w:hAnsi="Times New Roman"/>
                <w:sz w:val="16"/>
                <w:szCs w:val="16"/>
                <w:color w:val="auto"/>
                <w:w w:val="98"/>
              </w:rPr>
              <w:t>7.2:1</w:t>
            </w:r>
          </w:p>
        </w:tc>
        <w:tc>
          <w:tcPr>
            <w:tcW w:w="30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7.2:1</w:t>
            </w:r>
          </w:p>
        </w:tc>
        <w:tc>
          <w:tcPr>
            <w:tcW w:w="0" w:type="dxa"/>
            <w:vAlign w:val="bottom"/>
          </w:tcPr>
          <w:p>
            <w:pPr>
              <w:spacing w:after="0"/>
              <w:rPr>
                <w:sz w:val="1"/>
                <w:szCs w:val="1"/>
                <w:color w:val="auto"/>
              </w:rPr>
            </w:pPr>
          </w:p>
        </w:tc>
      </w:tr>
      <w:tr>
        <w:trPr>
          <w:trHeight w:val="255"/>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March 31, 2023</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42,919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17,851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10,385</w:t>
            </w:r>
          </w:p>
        </w:tc>
        <w:tc>
          <w:tcPr>
            <w:tcW w:w="980" w:type="dxa"/>
            <w:vAlign w:val="bottom"/>
            <w:gridSpan w:val="2"/>
          </w:tcPr>
          <w:p>
            <w:pPr>
              <w:jc w:val="center"/>
              <w:ind w:left="300"/>
              <w:spacing w:after="0"/>
              <w:rPr>
                <w:sz w:val="20"/>
                <w:szCs w:val="20"/>
                <w:color w:val="auto"/>
              </w:rPr>
            </w:pPr>
            <w:r>
              <w:rPr>
                <w:rFonts w:ascii="Times New Roman" w:cs="Times New Roman" w:eastAsia="Times New Roman" w:hAnsi="Times New Roman"/>
                <w:sz w:val="16"/>
                <w:szCs w:val="16"/>
                <w:color w:val="auto"/>
                <w:w w:val="98"/>
              </w:rPr>
              <w:t>7.7:1</w:t>
            </w:r>
          </w:p>
        </w:tc>
        <w:tc>
          <w:tcPr>
            <w:tcW w:w="30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7.2:1</w:t>
            </w:r>
          </w:p>
        </w:tc>
        <w:tc>
          <w:tcPr>
            <w:tcW w:w="0" w:type="dxa"/>
            <w:vAlign w:val="bottom"/>
          </w:tcPr>
          <w:p>
            <w:pPr>
              <w:spacing w:after="0"/>
              <w:rPr>
                <w:sz w:val="1"/>
                <w:szCs w:val="1"/>
                <w:color w:val="auto"/>
              </w:rPr>
            </w:pPr>
          </w:p>
        </w:tc>
      </w:tr>
      <w:tr>
        <w:trPr>
          <w:trHeight w:val="255"/>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December 31, 2022</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39,399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18,988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18,407</w:t>
            </w:r>
          </w:p>
        </w:tc>
        <w:tc>
          <w:tcPr>
            <w:tcW w:w="980" w:type="dxa"/>
            <w:vAlign w:val="bottom"/>
            <w:gridSpan w:val="2"/>
          </w:tcPr>
          <w:p>
            <w:pPr>
              <w:jc w:val="center"/>
              <w:ind w:left="300"/>
              <w:spacing w:after="0"/>
              <w:rPr>
                <w:sz w:val="20"/>
                <w:szCs w:val="20"/>
                <w:color w:val="auto"/>
              </w:rPr>
            </w:pPr>
            <w:r>
              <w:rPr>
                <w:rFonts w:ascii="Times New Roman" w:cs="Times New Roman" w:eastAsia="Times New Roman" w:hAnsi="Times New Roman"/>
                <w:sz w:val="16"/>
                <w:szCs w:val="16"/>
                <w:color w:val="auto"/>
                <w:w w:val="98"/>
              </w:rPr>
              <w:t>7.8:1</w:t>
            </w:r>
          </w:p>
        </w:tc>
        <w:tc>
          <w:tcPr>
            <w:tcW w:w="30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7.4:1</w:t>
            </w:r>
          </w:p>
        </w:tc>
        <w:tc>
          <w:tcPr>
            <w:tcW w:w="0" w:type="dxa"/>
            <w:vAlign w:val="bottom"/>
          </w:tcPr>
          <w:p>
            <w:pPr>
              <w:spacing w:after="0"/>
              <w:rPr>
                <w:sz w:val="1"/>
                <w:szCs w:val="1"/>
                <w:color w:val="auto"/>
              </w:rPr>
            </w:pPr>
          </w:p>
        </w:tc>
      </w:tr>
      <w:tr>
        <w:trPr>
          <w:trHeight w:val="255"/>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September 30, 2022 </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41,834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20,331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19,116</w:t>
            </w:r>
          </w:p>
        </w:tc>
        <w:tc>
          <w:tcPr>
            <w:tcW w:w="980" w:type="dxa"/>
            <w:vAlign w:val="bottom"/>
            <w:gridSpan w:val="2"/>
          </w:tcPr>
          <w:p>
            <w:pPr>
              <w:jc w:val="center"/>
              <w:ind w:left="300"/>
              <w:spacing w:after="0"/>
              <w:rPr>
                <w:sz w:val="20"/>
                <w:szCs w:val="20"/>
                <w:color w:val="auto"/>
              </w:rPr>
            </w:pPr>
            <w:r>
              <w:rPr>
                <w:rFonts w:ascii="Times New Roman" w:cs="Times New Roman" w:eastAsia="Times New Roman" w:hAnsi="Times New Roman"/>
                <w:sz w:val="16"/>
                <w:szCs w:val="16"/>
                <w:color w:val="auto"/>
                <w:w w:val="98"/>
              </w:rPr>
              <w:t>8.1:1</w:t>
            </w:r>
          </w:p>
        </w:tc>
        <w:tc>
          <w:tcPr>
            <w:tcW w:w="30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8.7:1</w:t>
            </w:r>
          </w:p>
        </w:tc>
        <w:tc>
          <w:tcPr>
            <w:tcW w:w="0" w:type="dxa"/>
            <w:vAlign w:val="bottom"/>
          </w:tcPr>
          <w:p>
            <w:pPr>
              <w:spacing w:after="0"/>
              <w:rPr>
                <w:sz w:val="1"/>
                <w:szCs w:val="1"/>
                <w:color w:val="auto"/>
              </w:rPr>
            </w:pPr>
          </w:p>
        </w:tc>
      </w:tr>
      <w:tr>
        <w:trPr>
          <w:trHeight w:val="255"/>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June 30, 2022 </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44,243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19,653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16,001</w:t>
            </w:r>
          </w:p>
        </w:tc>
        <w:tc>
          <w:tcPr>
            <w:tcW w:w="980" w:type="dxa"/>
            <w:vAlign w:val="bottom"/>
            <w:gridSpan w:val="2"/>
          </w:tcPr>
          <w:p>
            <w:pPr>
              <w:jc w:val="center"/>
              <w:ind w:left="300"/>
              <w:spacing w:after="0"/>
              <w:rPr>
                <w:sz w:val="20"/>
                <w:szCs w:val="20"/>
                <w:color w:val="auto"/>
              </w:rPr>
            </w:pPr>
            <w:r>
              <w:rPr>
                <w:rFonts w:ascii="Times New Roman" w:cs="Times New Roman" w:eastAsia="Times New Roman" w:hAnsi="Times New Roman"/>
                <w:sz w:val="16"/>
                <w:szCs w:val="16"/>
                <w:color w:val="auto"/>
                <w:w w:val="98"/>
              </w:rPr>
              <w:t>7.8:1</w:t>
            </w:r>
          </w:p>
        </w:tc>
        <w:tc>
          <w:tcPr>
            <w:tcW w:w="30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7.4:1</w:t>
            </w:r>
          </w:p>
        </w:tc>
        <w:tc>
          <w:tcPr>
            <w:tcW w:w="0" w:type="dxa"/>
            <w:vAlign w:val="bottom"/>
          </w:tcPr>
          <w:p>
            <w:pPr>
              <w:spacing w:after="0"/>
              <w:rPr>
                <w:sz w:val="1"/>
                <w:szCs w:val="1"/>
                <w:color w:val="auto"/>
              </w:rPr>
            </w:pPr>
          </w:p>
        </w:tc>
      </w:tr>
      <w:tr>
        <w:trPr>
          <w:trHeight w:val="255"/>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March 31, 2022</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47,940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23,605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20,152</w:t>
            </w:r>
          </w:p>
        </w:tc>
        <w:tc>
          <w:tcPr>
            <w:tcW w:w="980" w:type="dxa"/>
            <w:vAlign w:val="bottom"/>
            <w:gridSpan w:val="2"/>
          </w:tcPr>
          <w:p>
            <w:pPr>
              <w:jc w:val="center"/>
              <w:ind w:left="300"/>
              <w:spacing w:after="0"/>
              <w:rPr>
                <w:sz w:val="20"/>
                <w:szCs w:val="20"/>
                <w:color w:val="auto"/>
              </w:rPr>
            </w:pPr>
            <w:r>
              <w:rPr>
                <w:rFonts w:ascii="Times New Roman" w:cs="Times New Roman" w:eastAsia="Times New Roman" w:hAnsi="Times New Roman"/>
                <w:sz w:val="16"/>
                <w:szCs w:val="16"/>
                <w:color w:val="auto"/>
                <w:w w:val="98"/>
              </w:rPr>
              <w:t>7.8:1</w:t>
            </w:r>
          </w:p>
        </w:tc>
        <w:tc>
          <w:tcPr>
            <w:tcW w:w="30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7.5:1</w:t>
            </w:r>
          </w:p>
        </w:tc>
        <w:tc>
          <w:tcPr>
            <w:tcW w:w="0" w:type="dxa"/>
            <w:vAlign w:val="bottom"/>
          </w:tcPr>
          <w:p>
            <w:pPr>
              <w:spacing w:after="0"/>
              <w:rPr>
                <w:sz w:val="1"/>
                <w:szCs w:val="1"/>
                <w:color w:val="auto"/>
              </w:rPr>
            </w:pPr>
          </w:p>
        </w:tc>
      </w:tr>
      <w:tr>
        <w:trPr>
          <w:trHeight w:val="255"/>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December 31, 2021</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48,524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29,014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27,622</w:t>
            </w:r>
          </w:p>
        </w:tc>
        <w:tc>
          <w:tcPr>
            <w:tcW w:w="980" w:type="dxa"/>
            <w:vAlign w:val="bottom"/>
            <w:gridSpan w:val="2"/>
          </w:tcPr>
          <w:p>
            <w:pPr>
              <w:jc w:val="center"/>
              <w:ind w:left="300"/>
              <w:spacing w:after="0"/>
              <w:rPr>
                <w:sz w:val="20"/>
                <w:szCs w:val="20"/>
                <w:color w:val="auto"/>
              </w:rPr>
            </w:pPr>
            <w:r>
              <w:rPr>
                <w:rFonts w:ascii="Times New Roman" w:cs="Times New Roman" w:eastAsia="Times New Roman" w:hAnsi="Times New Roman"/>
                <w:sz w:val="16"/>
                <w:szCs w:val="16"/>
                <w:color w:val="auto"/>
                <w:w w:val="98"/>
              </w:rPr>
              <w:t>7.6:1</w:t>
            </w:r>
          </w:p>
        </w:tc>
        <w:tc>
          <w:tcPr>
            <w:tcW w:w="30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7.7:1</w:t>
            </w:r>
          </w:p>
        </w:tc>
        <w:tc>
          <w:tcPr>
            <w:tcW w:w="0" w:type="dxa"/>
            <w:vAlign w:val="bottom"/>
          </w:tcPr>
          <w:p>
            <w:pPr>
              <w:spacing w:after="0"/>
              <w:rPr>
                <w:sz w:val="1"/>
                <w:szCs w:val="1"/>
                <w:color w:val="auto"/>
              </w:rPr>
            </w:pPr>
          </w:p>
        </w:tc>
      </w:tr>
      <w:tr>
        <w:trPr>
          <w:trHeight w:val="255"/>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September 30, 2021 </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49,021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30,312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28,912</w:t>
            </w:r>
          </w:p>
        </w:tc>
        <w:tc>
          <w:tcPr>
            <w:tcW w:w="980" w:type="dxa"/>
            <w:vAlign w:val="bottom"/>
            <w:gridSpan w:val="2"/>
          </w:tcPr>
          <w:p>
            <w:pPr>
              <w:jc w:val="center"/>
              <w:ind w:left="300"/>
              <w:spacing w:after="0"/>
              <w:rPr>
                <w:sz w:val="20"/>
                <w:szCs w:val="20"/>
                <w:color w:val="auto"/>
              </w:rPr>
            </w:pPr>
            <w:r>
              <w:rPr>
                <w:rFonts w:ascii="Times New Roman" w:cs="Times New Roman" w:eastAsia="Times New Roman" w:hAnsi="Times New Roman"/>
                <w:sz w:val="16"/>
                <w:szCs w:val="16"/>
                <w:color w:val="auto"/>
                <w:w w:val="98"/>
              </w:rPr>
              <w:t>7.5:1</w:t>
            </w:r>
          </w:p>
        </w:tc>
        <w:tc>
          <w:tcPr>
            <w:tcW w:w="30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7.5:1</w:t>
            </w:r>
          </w:p>
        </w:tc>
        <w:tc>
          <w:tcPr>
            <w:tcW w:w="0" w:type="dxa"/>
            <w:vAlign w:val="bottom"/>
          </w:tcPr>
          <w:p>
            <w:pPr>
              <w:spacing w:after="0"/>
              <w:rPr>
                <w:sz w:val="1"/>
                <w:szCs w:val="1"/>
                <w:color w:val="auto"/>
              </w:rPr>
            </w:pPr>
          </w:p>
        </w:tc>
      </w:tr>
      <w:tr>
        <w:trPr>
          <w:trHeight w:val="255"/>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June 30, 2021 </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60,186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28,082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27,611</w:t>
            </w:r>
          </w:p>
        </w:tc>
        <w:tc>
          <w:tcPr>
            <w:tcW w:w="980" w:type="dxa"/>
            <w:vAlign w:val="bottom"/>
            <w:gridSpan w:val="2"/>
          </w:tcPr>
          <w:p>
            <w:pPr>
              <w:jc w:val="center"/>
              <w:ind w:left="300"/>
              <w:spacing w:after="0"/>
              <w:rPr>
                <w:sz w:val="20"/>
                <w:szCs w:val="20"/>
                <w:color w:val="auto"/>
              </w:rPr>
            </w:pPr>
            <w:r>
              <w:rPr>
                <w:rFonts w:ascii="Times New Roman" w:cs="Times New Roman" w:eastAsia="Times New Roman" w:hAnsi="Times New Roman"/>
                <w:sz w:val="16"/>
                <w:szCs w:val="16"/>
                <w:color w:val="auto"/>
                <w:w w:val="98"/>
              </w:rPr>
              <w:t>7.6:1</w:t>
            </w:r>
          </w:p>
        </w:tc>
        <w:tc>
          <w:tcPr>
            <w:tcW w:w="30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7.9:1</w:t>
            </w:r>
          </w:p>
        </w:tc>
        <w:tc>
          <w:tcPr>
            <w:tcW w:w="0" w:type="dxa"/>
            <w:vAlign w:val="bottom"/>
          </w:tcPr>
          <w:p>
            <w:pPr>
              <w:spacing w:after="0"/>
              <w:rPr>
                <w:sz w:val="1"/>
                <w:szCs w:val="1"/>
                <w:color w:val="auto"/>
              </w:rPr>
            </w:pPr>
          </w:p>
        </w:tc>
      </w:tr>
      <w:tr>
        <w:trPr>
          <w:trHeight w:val="255"/>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March 31, 2021</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57,153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32,022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25,355</w:t>
            </w:r>
          </w:p>
        </w:tc>
        <w:tc>
          <w:tcPr>
            <w:tcW w:w="980" w:type="dxa"/>
            <w:vAlign w:val="bottom"/>
            <w:gridSpan w:val="2"/>
          </w:tcPr>
          <w:p>
            <w:pPr>
              <w:jc w:val="center"/>
              <w:ind w:left="300"/>
              <w:spacing w:after="0"/>
              <w:rPr>
                <w:sz w:val="20"/>
                <w:szCs w:val="20"/>
                <w:color w:val="auto"/>
              </w:rPr>
            </w:pPr>
            <w:r>
              <w:rPr>
                <w:rFonts w:ascii="Times New Roman" w:cs="Times New Roman" w:eastAsia="Times New Roman" w:hAnsi="Times New Roman"/>
                <w:sz w:val="16"/>
                <w:szCs w:val="16"/>
                <w:color w:val="auto"/>
                <w:w w:val="98"/>
              </w:rPr>
              <w:t>8.0:1</w:t>
            </w:r>
          </w:p>
        </w:tc>
        <w:tc>
          <w:tcPr>
            <w:tcW w:w="30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7.7:1</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ectPr>
          <w:pgSz w:w="12240" w:h="15840" w:orient="portrait"/>
          <w:cols w:equalWidth="0" w:num="1">
            <w:col w:w="10240"/>
          </w:cols>
          <w:pgMar w:left="1000" w:top="879" w:right="1000" w:bottom="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240"/>
          </w:cols>
          <w:pgMar w:left="1000" w:top="879" w:right="1000" w:bottom="0" w:gutter="0" w:footer="0" w:header="0"/>
          <w:type w:val="continuous"/>
        </w:sectPr>
      </w:pPr>
    </w:p>
    <w:bookmarkStart w:id="46" w:name="page47"/>
    <w:bookmarkEnd w:id="46"/>
    <w:p>
      <w:pPr>
        <w:ind w:left="720" w:hanging="370"/>
        <w:spacing w:after="0"/>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debt includes debt of consolidated VIEs. Amounts exclude U.S. Treasury repo agreements.</w:t>
      </w:r>
    </w:p>
    <w:p>
      <w:pPr>
        <w:spacing w:after="0" w:line="24" w:lineRule="exact"/>
        <w:rPr>
          <w:rFonts w:ascii="Times New Roman" w:cs="Times New Roman" w:eastAsia="Times New Roman" w:hAnsi="Times New Roman"/>
          <w:sz w:val="16"/>
          <w:szCs w:val="16"/>
          <w:color w:val="auto"/>
        </w:rPr>
      </w:pPr>
    </w:p>
    <w:p>
      <w:pPr>
        <w:ind w:left="720" w:hanging="370"/>
        <w:spacing w:after="0"/>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Daily average and ending net TBA position outstanding measured at cost. Includes forward settling non-Agency securities.</w:t>
      </w:r>
    </w:p>
    <w:p>
      <w:pPr>
        <w:spacing w:after="0" w:line="8" w:lineRule="exact"/>
        <w:rPr>
          <w:rFonts w:ascii="Times New Roman" w:cs="Times New Roman" w:eastAsia="Times New Roman" w:hAnsi="Times New Roman"/>
          <w:sz w:val="16"/>
          <w:szCs w:val="16"/>
          <w:color w:val="auto"/>
        </w:rPr>
      </w:pPr>
    </w:p>
    <w:p>
      <w:pPr>
        <w:jc w:val="both"/>
        <w:ind w:left="720" w:hanging="370"/>
        <w:spacing w:after="0" w:line="250" w:lineRule="auto"/>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spacing w:after="0" w:line="1" w:lineRule="exact"/>
        <w:rPr>
          <w:rFonts w:ascii="Times New Roman" w:cs="Times New Roman" w:eastAsia="Times New Roman" w:hAnsi="Times New Roman"/>
          <w:sz w:val="16"/>
          <w:szCs w:val="16"/>
          <w:color w:val="auto"/>
        </w:rPr>
      </w:pPr>
    </w:p>
    <w:p>
      <w:pPr>
        <w:jc w:val="both"/>
        <w:ind w:left="720" w:hanging="370"/>
        <w:spacing w:after="0" w:line="255" w:lineRule="auto"/>
        <w:tabs>
          <w:tab w:leader="none" w:pos="7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Economic Interest Expense and Aggregate Cost of Funds</w:t>
      </w:r>
    </w:p>
    <w:p>
      <w:pPr>
        <w:spacing w:after="0" w:line="199" w:lineRule="exact"/>
        <w:rPr>
          <w:sz w:val="20"/>
          <w:szCs w:val="20"/>
          <w:color w:val="auto"/>
        </w:rPr>
      </w:pPr>
    </w:p>
    <w:p>
      <w:pPr>
        <w:jc w:val="both"/>
        <w:ind w:right="20" w:firstLine="450"/>
        <w:spacing w:after="0" w:line="260" w:lineRule="auto"/>
        <w:rPr>
          <w:sz w:val="20"/>
          <w:szCs w:val="20"/>
          <w:color w:val="auto"/>
        </w:rPr>
      </w:pPr>
      <w:r>
        <w:rPr>
          <w:rFonts w:ascii="Times New Roman" w:cs="Times New Roman" w:eastAsia="Times New Roman" w:hAnsi="Times New Roman"/>
          <w:sz w:val="20"/>
          <w:szCs w:val="20"/>
          <w:color w:val="auto"/>
        </w:rPr>
        <w:t>The following table summarizes our economic interest expense and aggregate cost of funds (non-GAAP measures) for fiscal years 2023, 2022 and 2021 (dollars in millions), which includes the combination of interest expense on repurchase agreements and other debt used to fund acquisitions of investment securities (GAAP measure), implied financing cost (benefit) of our TBA securities and interest rate swap periodic cost (benefit):</w:t>
      </w:r>
    </w:p>
    <w:p>
      <w:pPr>
        <w:spacing w:after="0" w:line="53"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5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86"/>
        </w:trPr>
        <w:tc>
          <w:tcPr>
            <w:tcW w:w="5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Economic Interest Expense and Aggregate Cost of Funds </w:t>
            </w:r>
            <w:r>
              <w:rPr>
                <w:rFonts w:ascii="Times New Roman" w:cs="Times New Roman" w:eastAsia="Times New Roman" w:hAnsi="Times New Roman"/>
                <w:sz w:val="20"/>
                <w:szCs w:val="20"/>
                <w:b w:val="1"/>
                <w:bCs w:val="1"/>
                <w:color w:val="auto"/>
                <w:vertAlign w:val="superscript"/>
              </w:rPr>
              <w:t>1</w:t>
            </w:r>
          </w:p>
        </w:tc>
        <w:tc>
          <w:tcPr>
            <w:tcW w:w="80" w:type="dxa"/>
            <w:vAlign w:val="bottom"/>
            <w:vMerge w:val="restart"/>
          </w:tcPr>
          <w:p>
            <w:pPr>
              <w:spacing w:after="0"/>
              <w:rPr>
                <w:sz w:val="16"/>
                <w:szCs w:val="16"/>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4"/>
              </w:rPr>
              <w:t>Cost of</w:t>
            </w:r>
          </w:p>
        </w:tc>
        <w:tc>
          <w:tcPr>
            <w:tcW w:w="60" w:type="dxa"/>
            <w:vAlign w:val="bottom"/>
          </w:tcPr>
          <w:p>
            <w:pPr>
              <w:spacing w:after="0"/>
              <w:rPr>
                <w:sz w:val="16"/>
                <w:szCs w:val="16"/>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4"/>
              </w:rPr>
              <w:t>Cost of</w:t>
            </w:r>
          </w:p>
        </w:tc>
        <w:tc>
          <w:tcPr>
            <w:tcW w:w="60" w:type="dxa"/>
            <w:vAlign w:val="bottom"/>
          </w:tcPr>
          <w:p>
            <w:pPr>
              <w:spacing w:after="0"/>
              <w:rPr>
                <w:sz w:val="16"/>
                <w:szCs w:val="16"/>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6"/>
                <w:szCs w:val="16"/>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Cost of</w:t>
            </w:r>
          </w:p>
        </w:tc>
        <w:tc>
          <w:tcPr>
            <w:tcW w:w="0" w:type="dxa"/>
            <w:vAlign w:val="bottom"/>
          </w:tcPr>
          <w:p>
            <w:pPr>
              <w:spacing w:after="0"/>
              <w:rPr>
                <w:sz w:val="1"/>
                <w:szCs w:val="1"/>
                <w:color w:val="auto"/>
              </w:rPr>
            </w:pPr>
          </w:p>
        </w:tc>
      </w:tr>
      <w:tr>
        <w:trPr>
          <w:trHeight w:val="214"/>
        </w:trPr>
        <w:tc>
          <w:tcPr>
            <w:tcW w:w="52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Funds</w:t>
            </w:r>
          </w:p>
        </w:tc>
        <w:tc>
          <w:tcPr>
            <w:tcW w:w="60" w:type="dxa"/>
            <w:vAlign w:val="bottom"/>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Funds</w:t>
            </w:r>
          </w:p>
        </w:tc>
        <w:tc>
          <w:tcPr>
            <w:tcW w:w="60" w:type="dxa"/>
            <w:vAlign w:val="bottom"/>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Funds</w:t>
            </w:r>
          </w:p>
        </w:tc>
        <w:tc>
          <w:tcPr>
            <w:tcW w:w="0" w:type="dxa"/>
            <w:vAlign w:val="bottom"/>
          </w:tcPr>
          <w:p>
            <w:pPr>
              <w:spacing w:after="0"/>
              <w:rPr>
                <w:sz w:val="1"/>
                <w:szCs w:val="1"/>
                <w:color w:val="auto"/>
              </w:rPr>
            </w:pPr>
          </w:p>
        </w:tc>
      </w:tr>
      <w:tr>
        <w:trPr>
          <w:trHeight w:val="186"/>
        </w:trPr>
        <w:tc>
          <w:tcPr>
            <w:tcW w:w="5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Investment securities repurchase agreement and other debt - interest expense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5.12 %</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0.15 %</w:t>
            </w:r>
          </w:p>
        </w:tc>
        <w:tc>
          <w:tcPr>
            <w:tcW w:w="0" w:type="dxa"/>
            <w:vAlign w:val="bottom"/>
          </w:tcPr>
          <w:p>
            <w:pPr>
              <w:spacing w:after="0"/>
              <w:rPr>
                <w:sz w:val="1"/>
                <w:szCs w:val="1"/>
                <w:color w:val="auto"/>
              </w:rPr>
            </w:pPr>
          </w:p>
        </w:tc>
      </w:tr>
      <w:tr>
        <w:trPr>
          <w:trHeight w:val="209"/>
        </w:trPr>
        <w:tc>
          <w:tcPr>
            <w:tcW w:w="5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(GAAP measure)</w:t>
            </w:r>
            <w:r>
              <w:rPr>
                <w:rFonts w:ascii="Times New Roman" w:cs="Times New Roman" w:eastAsia="Times New Roman" w:hAnsi="Times New Roman"/>
                <w:sz w:val="16"/>
                <w:szCs w:val="16"/>
                <w:color w:val="B4B4B4"/>
              </w:rPr>
              <w:t>....................................................................................................</w:t>
            </w:r>
          </w:p>
        </w:tc>
        <w:tc>
          <w:tcPr>
            <w:tcW w:w="20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 xml:space="preserve">TBA dollar roll income - implied interest expense (benefit) </w:t>
            </w:r>
            <w:r>
              <w:rPr>
                <w:rFonts w:ascii="Times New Roman" w:cs="Times New Roman" w:eastAsia="Times New Roman" w:hAnsi="Times New Roman"/>
                <w:sz w:val="20"/>
                <w:szCs w:val="20"/>
                <w:color w:val="auto"/>
                <w:w w:val="99"/>
                <w:vertAlign w:val="superscript"/>
              </w:rPr>
              <w:t>2,3</w:t>
            </w:r>
            <w:r>
              <w:rPr>
                <w:rFonts w:ascii="Times New Roman" w:cs="Times New Roman" w:eastAsia="Times New Roman" w:hAnsi="Times New Roman"/>
                <w:sz w:val="16"/>
                <w:szCs w:val="16"/>
                <w:color w:val="B4B4B4"/>
                <w:w w:val="99"/>
              </w:rPr>
              <w:t>.............................</w:t>
            </w: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4.86 %</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6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186"/>
        </w:trPr>
        <w:tc>
          <w:tcPr>
            <w:tcW w:w="5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Economic interest expense - before interest rate swap periodic cost (income),</w:t>
            </w:r>
          </w:p>
        </w:tc>
        <w:tc>
          <w:tcPr>
            <w:tcW w:w="20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5.07 %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39"/>
        </w:trPr>
        <w:tc>
          <w:tcPr>
            <w:tcW w:w="5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net </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20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8"/>
              </w:rPr>
              <w:t xml:space="preserve">Interest rate swap periodic cost (benefit), net </w:t>
            </w:r>
            <w:r>
              <w:rPr>
                <w:rFonts w:ascii="Times New Roman" w:cs="Times New Roman" w:eastAsia="Times New Roman" w:hAnsi="Times New Roman"/>
                <w:sz w:val="20"/>
                <w:szCs w:val="20"/>
                <w:color w:val="auto"/>
                <w:w w:val="98"/>
                <w:vertAlign w:val="superscript"/>
              </w:rPr>
              <w:t>2,5,6</w:t>
            </w:r>
            <w:r>
              <w:rPr>
                <w:rFonts w:ascii="Times New Roman" w:cs="Times New Roman" w:eastAsia="Times New Roman" w:hAnsi="Times New Roman"/>
                <w:sz w:val="16"/>
                <w:szCs w:val="16"/>
                <w:color w:val="auto"/>
                <w:w w:val="98"/>
              </w:rPr>
              <w:t xml:space="preserve"> </w:t>
            </w:r>
            <w:r>
              <w:rPr>
                <w:rFonts w:ascii="Times New Roman" w:cs="Times New Roman" w:eastAsia="Times New Roman" w:hAnsi="Times New Roman"/>
                <w:sz w:val="16"/>
                <w:szCs w:val="16"/>
                <w:color w:val="B4B4B4"/>
                <w:w w:val="98"/>
              </w:rPr>
              <w:t>..................................................</w:t>
            </w: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0.07 %</w:t>
            </w:r>
          </w:p>
        </w:tc>
        <w:tc>
          <w:tcPr>
            <w:tcW w:w="0" w:type="dxa"/>
            <w:vAlign w:val="bottom"/>
          </w:tcPr>
          <w:p>
            <w:pPr>
              <w:spacing w:after="0"/>
              <w:rPr>
                <w:sz w:val="1"/>
                <w:szCs w:val="1"/>
                <w:color w:val="auto"/>
              </w:rPr>
            </w:pPr>
          </w:p>
        </w:tc>
      </w:tr>
      <w:tr>
        <w:trPr>
          <w:trHeight w:val="215"/>
        </w:trPr>
        <w:tc>
          <w:tcPr>
            <w:tcW w:w="5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Total economic interest expense (non-GAAP measure) </w:t>
            </w:r>
            <w:r>
              <w:rPr>
                <w:rFonts w:ascii="Times New Roman" w:cs="Times New Roman" w:eastAsia="Times New Roman" w:hAnsi="Times New Roman"/>
                <w:sz w:val="16"/>
                <w:szCs w:val="16"/>
                <w:color w:val="B4B4B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3401695</wp:posOffset>
            </wp:positionH>
            <wp:positionV relativeFrom="paragraph">
              <wp:posOffset>-56515</wp:posOffset>
            </wp:positionV>
            <wp:extent cx="3060700" cy="762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4">
                      <a:extLst>
                        <a:ext uri="{28A0092B-C50C-407E-A947-70E740481C1C}"/>
                      </a:extLst>
                    </a:blip>
                    <a:srcRect/>
                    <a:stretch>
                      <a:fillRect/>
                    </a:stretch>
                  </pic:blipFill>
                  <pic:spPr bwMode="auto">
                    <a:xfrm>
                      <a:off x="0" y="0"/>
                      <a:ext cx="3060700" cy="7620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hanging="370"/>
        <w:spacing w:after="0" w:line="249" w:lineRule="auto"/>
        <w:tabs>
          <w:tab w:leader="none" w:pos="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interest rate swap termination fees and variation margin settlements paid or received, forward starting swaps and the impact of other supplemental hedges, such as swaptions and U.S. Treasury positions.</w:t>
      </w:r>
    </w:p>
    <w:p>
      <w:pPr>
        <w:ind w:left="720" w:hanging="370"/>
        <w:spacing w:after="0"/>
        <w:tabs>
          <w:tab w:leader="none" w:pos="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in gain (loss) on derivative instruments and other securities, net in our consolidated statements of comprehensive income.</w:t>
      </w:r>
    </w:p>
    <w:p>
      <w:pPr>
        <w:spacing w:after="0" w:line="8" w:lineRule="exact"/>
        <w:rPr>
          <w:rFonts w:ascii="Times New Roman" w:cs="Times New Roman" w:eastAsia="Times New Roman" w:hAnsi="Times New Roman"/>
          <w:sz w:val="16"/>
          <w:szCs w:val="16"/>
          <w:color w:val="auto"/>
        </w:rPr>
      </w:pPr>
    </w:p>
    <w:p>
      <w:pPr>
        <w:jc w:val="both"/>
        <w:ind w:left="720" w:hanging="370"/>
        <w:spacing w:after="0" w:line="250" w:lineRule="auto"/>
        <w:tabs>
          <w:tab w:leader="none" w:pos="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Times New Roman" w:cs="Times New Roman" w:eastAsia="Times New Roman" w:hAnsi="Times New Roman"/>
          <w:sz w:val="16"/>
          <w:szCs w:val="16"/>
          <w:color w:val="auto"/>
        </w:rPr>
      </w:pPr>
    </w:p>
    <w:p>
      <w:pPr>
        <w:jc w:val="both"/>
        <w:ind w:left="720" w:hanging="370"/>
        <w:spacing w:after="0" w:line="250" w:lineRule="auto"/>
        <w:tabs>
          <w:tab w:leader="none" w:pos="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combined cost of funds for total mortgage borrowings outstanding, before interest rate swap costs, is calculated on a weighted average basis based on average investment securities repurchase agreements, other debt and TBA securities outstanding during the period and their respective cost of funds.</w:t>
      </w:r>
    </w:p>
    <w:p>
      <w:pPr>
        <w:spacing w:after="0" w:line="1" w:lineRule="exact"/>
        <w:rPr>
          <w:rFonts w:ascii="Times New Roman" w:cs="Times New Roman" w:eastAsia="Times New Roman" w:hAnsi="Times New Roman"/>
          <w:sz w:val="16"/>
          <w:szCs w:val="16"/>
          <w:color w:val="auto"/>
        </w:rPr>
      </w:pPr>
    </w:p>
    <w:p>
      <w:pPr>
        <w:ind w:left="720" w:hanging="370"/>
        <w:spacing w:after="0"/>
        <w:tabs>
          <w:tab w:leader="none" w:pos="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swap periodic cost (benefit) is measured as a percent of average mortgage borrowings outstanding for the period.</w:t>
      </w:r>
    </w:p>
    <w:p>
      <w:pPr>
        <w:spacing w:after="0" w:line="8" w:lineRule="exact"/>
        <w:rPr>
          <w:rFonts w:ascii="Times New Roman" w:cs="Times New Roman" w:eastAsia="Times New Roman" w:hAnsi="Times New Roman"/>
          <w:sz w:val="16"/>
          <w:szCs w:val="16"/>
          <w:color w:val="auto"/>
        </w:rPr>
      </w:pPr>
    </w:p>
    <w:p>
      <w:pPr>
        <w:jc w:val="both"/>
        <w:ind w:left="720" w:hanging="370"/>
        <w:spacing w:after="0" w:line="253" w:lineRule="auto"/>
        <w:tabs>
          <w:tab w:leader="none" w:pos="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2023, we began reporting price alignment interest income (expense) ("PAI") on interest swap margin deposits posted by or (to) us in other interest income (expense), net. PAI was previously reported in interest rate swap periodic cost (benefit). Both current and former categorizations are components of net spread and dollar roll income. Prior year amounts have been reclassified and our economic interest expense and cost of funds have been restated to conform to the current period's presentation.</w:t>
      </w:r>
    </w:p>
    <w:p>
      <w:pPr>
        <w:spacing w:after="0" w:line="204" w:lineRule="exact"/>
        <w:rPr>
          <w:sz w:val="20"/>
          <w:szCs w:val="20"/>
          <w:color w:val="auto"/>
        </w:rPr>
      </w:pPr>
    </w:p>
    <w:p>
      <w:pPr>
        <w:jc w:val="both"/>
        <w:ind w:right="20" w:firstLine="495"/>
        <w:spacing w:after="0" w:line="258" w:lineRule="auto"/>
        <w:rPr>
          <w:sz w:val="20"/>
          <w:szCs w:val="20"/>
          <w:color w:val="auto"/>
        </w:rPr>
      </w:pPr>
      <w:r>
        <w:rPr>
          <w:rFonts w:ascii="Times New Roman" w:cs="Times New Roman" w:eastAsia="Times New Roman" w:hAnsi="Times New Roman"/>
          <w:sz w:val="20"/>
          <w:szCs w:val="20"/>
          <w:color w:val="auto"/>
        </w:rPr>
        <w:t>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fiscal years 2023 and 2022 compared to the prior year period (in millions):</w:t>
      </w:r>
    </w:p>
    <w:p>
      <w:pPr>
        <w:sectPr>
          <w:pgSz w:w="12240" w:h="15840" w:orient="portrait"/>
          <w:cols w:equalWidth="0" w:num="1">
            <w:col w:w="10260"/>
          </w:cols>
          <w:pgMar w:left="1000" w:top="80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260"/>
          </w:cols>
          <w:pgMar w:left="1000" w:top="805" w:right="980" w:bottom="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16"/>
          <w:szCs w:val="16"/>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29210</wp:posOffset>
                </wp:positionV>
                <wp:extent cx="642937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9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5pt,2.3pt" to="509.1pt,2.3pt" o:allowincell="f" strokecolor="#000000" strokeweight="1pt"/>
            </w:pict>
          </mc:Fallback>
        </mc:AlternateConten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Due to Change in Average</w:t>
            </w:r>
          </w:p>
        </w:tc>
        <w:tc>
          <w:tcPr>
            <w:tcW w:w="0" w:type="dxa"/>
            <w:vAlign w:val="bottom"/>
          </w:tcPr>
          <w:p>
            <w:pPr>
              <w:spacing w:after="0"/>
              <w:rPr>
                <w:sz w:val="1"/>
                <w:szCs w:val="1"/>
                <w:color w:val="auto"/>
              </w:rPr>
            </w:pPr>
          </w:p>
        </w:tc>
      </w:tr>
      <w:tr>
        <w:trPr>
          <w:trHeight w:val="186"/>
        </w:trPr>
        <w:tc>
          <w:tcPr>
            <w:tcW w:w="61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 2023 vs 2022</w:t>
            </w:r>
          </w:p>
        </w:tc>
        <w:tc>
          <w:tcPr>
            <w:tcW w:w="8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Total Increase /</w:t>
            </w:r>
          </w:p>
        </w:tc>
        <w:tc>
          <w:tcPr>
            <w:tcW w:w="160" w:type="dxa"/>
            <w:vAlign w:val="bottom"/>
          </w:tcPr>
          <w:p>
            <w:pPr>
              <w:spacing w:after="0"/>
              <w:rPr>
                <w:sz w:val="16"/>
                <w:szCs w:val="16"/>
                <w:color w:val="auto"/>
              </w:rPr>
            </w:pPr>
          </w:p>
        </w:tc>
        <w:tc>
          <w:tcPr>
            <w:tcW w:w="11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Borrowing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Borrowing /</w:t>
            </w:r>
          </w:p>
        </w:tc>
        <w:tc>
          <w:tcPr>
            <w:tcW w:w="0" w:type="dxa"/>
            <w:vAlign w:val="bottom"/>
          </w:tcPr>
          <w:p>
            <w:pPr>
              <w:spacing w:after="0"/>
              <w:rPr>
                <w:sz w:val="1"/>
                <w:szCs w:val="1"/>
                <w:color w:val="auto"/>
              </w:rPr>
            </w:pPr>
          </w:p>
        </w:tc>
      </w:tr>
      <w:tr>
        <w:trPr>
          <w:trHeight w:val="214"/>
        </w:trPr>
        <w:tc>
          <w:tcPr>
            <w:tcW w:w="6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Swap Balance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Swap Rate</w:t>
            </w:r>
          </w:p>
        </w:tc>
        <w:tc>
          <w:tcPr>
            <w:tcW w:w="0" w:type="dxa"/>
            <w:vAlign w:val="bottom"/>
          </w:tcPr>
          <w:p>
            <w:pPr>
              <w:spacing w:after="0"/>
              <w:rPr>
                <w:sz w:val="1"/>
                <w:szCs w:val="1"/>
                <w:color w:val="auto"/>
              </w:rPr>
            </w:pPr>
          </w:p>
        </w:tc>
      </w:tr>
      <w:tr>
        <w:trPr>
          <w:trHeight w:val="229"/>
        </w:trPr>
        <w:tc>
          <w:tcPr>
            <w:tcW w:w="6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 securities repurchase agreement and other debt interest expense</w:t>
            </w:r>
            <w:r>
              <w:rPr>
                <w:rFonts w:ascii="Times New Roman" w:cs="Times New Roman" w:eastAsia="Times New Roman" w:hAnsi="Times New Roman"/>
                <w:sz w:val="16"/>
                <w:szCs w:val="16"/>
                <w:color w:val="B4B4B4"/>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0" w:type="dxa"/>
            <w:vAlign w:val="bottom"/>
          </w:tcPr>
          <w:p>
            <w:pPr>
              <w:spacing w:after="0"/>
              <w:rPr>
                <w:sz w:val="1"/>
                <w:szCs w:val="1"/>
                <w:color w:val="auto"/>
              </w:rPr>
            </w:pPr>
          </w:p>
        </w:tc>
      </w:tr>
      <w:tr>
        <w:trPr>
          <w:trHeight w:val="255"/>
        </w:trPr>
        <w:tc>
          <w:tcPr>
            <w:tcW w:w="61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 xml:space="preserve">TBA dollar roll income - implied interest benefit/expense </w:t>
            </w:r>
            <w:r>
              <w:rPr>
                <w:rFonts w:ascii="Times New Roman" w:cs="Times New Roman" w:eastAsia="Times New Roman" w:hAnsi="Times New Roman"/>
                <w:sz w:val="16"/>
                <w:szCs w:val="16"/>
                <w:color w:val="B4B4B4"/>
                <w:w w:val="99"/>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61"/>
        </w:trPr>
        <w:tc>
          <w:tcPr>
            <w:tcW w:w="6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Interest rate swap periodic income/cost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0" w:type="dxa"/>
            <w:vAlign w:val="bottom"/>
          </w:tcPr>
          <w:p>
            <w:pPr>
              <w:spacing w:after="0"/>
              <w:rPr>
                <w:sz w:val="1"/>
                <w:szCs w:val="1"/>
                <w:color w:val="auto"/>
              </w:rPr>
            </w:pPr>
          </w:p>
        </w:tc>
      </w:tr>
      <w:tr>
        <w:trPr>
          <w:trHeight w:val="215"/>
        </w:trPr>
        <w:tc>
          <w:tcPr>
            <w:tcW w:w="6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change in economic interest benefit/expense</w:t>
            </w:r>
            <w:r>
              <w:rPr>
                <w:rFonts w:ascii="Times New Roman" w:cs="Times New Roman" w:eastAsia="Times New Roman" w:hAnsi="Times New Roman"/>
                <w:sz w:val="16"/>
                <w:szCs w:val="16"/>
                <w:color w:val="B4B4B4"/>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-56515</wp:posOffset>
            </wp:positionV>
            <wp:extent cx="2546350" cy="762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5">
                      <a:extLst>
                        <a:ext uri="{28A0092B-C50C-407E-A947-70E740481C1C}"/>
                      </a:extLst>
                    </a:blip>
                    <a:srcRect/>
                    <a:stretch>
                      <a:fillRect/>
                    </a:stretch>
                  </pic:blipFill>
                  <pic:spPr bwMode="auto">
                    <a:xfrm>
                      <a:off x="0" y="0"/>
                      <a:ext cx="2546350" cy="76200"/>
                    </a:xfrm>
                    <a:prstGeom prst="rect">
                      <a:avLst/>
                    </a:prstGeom>
                    <a:noFill/>
                  </pic:spPr>
                </pic:pic>
              </a:graphicData>
            </a:graphic>
          </wp:anchor>
        </w:drawing>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Due to Change in Average</w:t>
            </w:r>
          </w:p>
        </w:tc>
        <w:tc>
          <w:tcPr>
            <w:tcW w:w="0" w:type="dxa"/>
            <w:vAlign w:val="bottom"/>
          </w:tcPr>
          <w:p>
            <w:pPr>
              <w:spacing w:after="0"/>
              <w:rPr>
                <w:sz w:val="1"/>
                <w:szCs w:val="1"/>
                <w:color w:val="auto"/>
              </w:rPr>
            </w:pPr>
          </w:p>
        </w:tc>
      </w:tr>
      <w:tr>
        <w:trPr>
          <w:trHeight w:val="186"/>
        </w:trPr>
        <w:tc>
          <w:tcPr>
            <w:tcW w:w="61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 2022 vs 2021</w:t>
            </w:r>
          </w:p>
        </w:tc>
        <w:tc>
          <w:tcPr>
            <w:tcW w:w="8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Total Increase /</w:t>
            </w:r>
          </w:p>
        </w:tc>
        <w:tc>
          <w:tcPr>
            <w:tcW w:w="160" w:type="dxa"/>
            <w:vAlign w:val="bottom"/>
          </w:tcPr>
          <w:p>
            <w:pPr>
              <w:spacing w:after="0"/>
              <w:rPr>
                <w:sz w:val="16"/>
                <w:szCs w:val="16"/>
                <w:color w:val="auto"/>
              </w:rPr>
            </w:pPr>
          </w:p>
        </w:tc>
        <w:tc>
          <w:tcPr>
            <w:tcW w:w="11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Borrowing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Borrowing /</w:t>
            </w:r>
          </w:p>
        </w:tc>
        <w:tc>
          <w:tcPr>
            <w:tcW w:w="0" w:type="dxa"/>
            <w:vAlign w:val="bottom"/>
          </w:tcPr>
          <w:p>
            <w:pPr>
              <w:spacing w:after="0"/>
              <w:rPr>
                <w:sz w:val="1"/>
                <w:szCs w:val="1"/>
                <w:color w:val="auto"/>
              </w:rPr>
            </w:pPr>
          </w:p>
        </w:tc>
      </w:tr>
      <w:tr>
        <w:trPr>
          <w:trHeight w:val="214"/>
        </w:trPr>
        <w:tc>
          <w:tcPr>
            <w:tcW w:w="6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Swap Balance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Swap Rate</w:t>
            </w:r>
          </w:p>
        </w:tc>
        <w:tc>
          <w:tcPr>
            <w:tcW w:w="0" w:type="dxa"/>
            <w:vAlign w:val="bottom"/>
          </w:tcPr>
          <w:p>
            <w:pPr>
              <w:spacing w:after="0"/>
              <w:rPr>
                <w:sz w:val="1"/>
                <w:szCs w:val="1"/>
                <w:color w:val="auto"/>
              </w:rPr>
            </w:pPr>
          </w:p>
        </w:tc>
      </w:tr>
      <w:tr>
        <w:trPr>
          <w:trHeight w:val="229"/>
        </w:trPr>
        <w:tc>
          <w:tcPr>
            <w:tcW w:w="6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 securities repurchase agreement and other debt interest expense</w:t>
            </w:r>
            <w:r>
              <w:rPr>
                <w:rFonts w:ascii="Times New Roman" w:cs="Times New Roman" w:eastAsia="Times New Roman" w:hAnsi="Times New Roman"/>
                <w:sz w:val="16"/>
                <w:szCs w:val="16"/>
                <w:color w:val="B4B4B4"/>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0" w:type="dxa"/>
            <w:vAlign w:val="bottom"/>
          </w:tcPr>
          <w:p>
            <w:pPr>
              <w:spacing w:after="0"/>
              <w:rPr>
                <w:sz w:val="1"/>
                <w:szCs w:val="1"/>
                <w:color w:val="auto"/>
              </w:rPr>
            </w:pPr>
          </w:p>
        </w:tc>
      </w:tr>
      <w:tr>
        <w:trPr>
          <w:trHeight w:val="255"/>
        </w:trPr>
        <w:tc>
          <w:tcPr>
            <w:tcW w:w="61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 xml:space="preserve">TBA dollar roll income - implied interest benefit/expense </w:t>
            </w:r>
            <w:r>
              <w:rPr>
                <w:rFonts w:ascii="Times New Roman" w:cs="Times New Roman" w:eastAsia="Times New Roman" w:hAnsi="Times New Roman"/>
                <w:sz w:val="16"/>
                <w:szCs w:val="16"/>
                <w:color w:val="B4B4B4"/>
                <w:w w:val="99"/>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61"/>
        </w:trPr>
        <w:tc>
          <w:tcPr>
            <w:tcW w:w="6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Interest rate swap periodic income/cost </w:t>
            </w:r>
            <w:r>
              <w:rPr>
                <w:rFonts w:ascii="Times New Roman" w:cs="Times New Roman" w:eastAsia="Times New Roman" w:hAnsi="Times New Roman"/>
                <w:sz w:val="16"/>
                <w:szCs w:val="16"/>
                <w:color w:val="B4B4B4"/>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15"/>
        </w:trPr>
        <w:tc>
          <w:tcPr>
            <w:tcW w:w="6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change in economic interest benefit/expense</w:t>
            </w:r>
            <w:r>
              <w:rPr>
                <w:rFonts w:ascii="Times New Roman" w:cs="Times New Roman" w:eastAsia="Times New Roman" w:hAnsi="Times New Roman"/>
                <w:sz w:val="16"/>
                <w:szCs w:val="16"/>
                <w:color w:val="B4B4B4"/>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-56515</wp:posOffset>
            </wp:positionV>
            <wp:extent cx="2546350" cy="762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6">
                      <a:extLst>
                        <a:ext uri="{28A0092B-C50C-407E-A947-70E740481C1C}"/>
                      </a:extLst>
                    </a:blip>
                    <a:srcRect/>
                    <a:stretch>
                      <a:fillRect/>
                    </a:stretch>
                  </pic:blipFill>
                  <pic:spPr bwMode="auto">
                    <a:xfrm>
                      <a:off x="0" y="0"/>
                      <a:ext cx="2546350" cy="76200"/>
                    </a:xfrm>
                    <a:prstGeom prst="rect">
                      <a:avLst/>
                    </a:prstGeom>
                    <a:noFill/>
                  </pic:spPr>
                </pic:pic>
              </a:graphicData>
            </a:graphic>
          </wp:anchor>
        </w:drawing>
      </w:r>
    </w:p>
    <w:p>
      <w:pPr>
        <w:spacing w:after="0" w:line="188" w:lineRule="exact"/>
        <w:rPr>
          <w:sz w:val="20"/>
          <w:szCs w:val="20"/>
          <w:color w:val="auto"/>
        </w:rPr>
      </w:pPr>
    </w:p>
    <w:p>
      <w:pPr>
        <w:jc w:val="both"/>
        <w:ind w:firstLine="495"/>
        <w:spacing w:after="0" w:line="260" w:lineRule="auto"/>
        <w:rPr>
          <w:sz w:val="20"/>
          <w:szCs w:val="20"/>
          <w:color w:val="auto"/>
        </w:rPr>
      </w:pPr>
      <w:r>
        <w:rPr>
          <w:rFonts w:ascii="Times New Roman" w:cs="Times New Roman" w:eastAsia="Times New Roman" w:hAnsi="Times New Roman"/>
          <w:sz w:val="20"/>
          <w:szCs w:val="20"/>
          <w:color w:val="auto"/>
        </w:rPr>
        <w:t>Our average mortgage borrowings, inclusive of TBAs, decreased 13% and 22% for fiscal years 2023 and 2022, respectively, due to a decline in our asset base. The average interest rate on our mortgage borrowings, excluding the impact interest rate swap period income/cost, increased 372 and 141 basis points for fiscal years 2023 and 2022, respectively, due to higher short-term interest rates.</w:t>
      </w:r>
    </w:p>
    <w:p>
      <w:pPr>
        <w:spacing w:after="0" w:line="163"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20"/>
          <w:szCs w:val="20"/>
          <w:color w:val="auto"/>
        </w:rPr>
        <w:t>Interest rate swap periodic income increased for fiscal years 2023 and 2022 primarily due to higher receive rates on our pay-fixed swaps, as the average pay rate on our swaps increased marginally and the average notional balance remained largely unchanged despite the decline in our average mortgage borrowings. The following is a summary of our average interest rate swaps outstanding and the related average swap pay and receive rates for fiscal years 2023, 2022 and 2021 (dollars in millions). Amounts exclude forward starting swaps not yet in effect.</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Average Ratio of Interest Rate Swaps (Excluding Forward Starting Swaps) to Mortgage Borrowings</w:t>
            </w:r>
          </w:p>
        </w:tc>
        <w:tc>
          <w:tcPr>
            <w:tcW w:w="240" w:type="dxa"/>
            <w:vAlign w:val="bottom"/>
          </w:tcPr>
          <w:p>
            <w:pPr>
              <w:spacing w:after="0"/>
              <w:rPr>
                <w:sz w:val="16"/>
                <w:szCs w:val="16"/>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4"/>
        </w:trPr>
        <w:tc>
          <w:tcPr>
            <w:tcW w:w="7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Average investment securities repo and other debt outstanding </w:t>
            </w:r>
            <w:r>
              <w:rPr>
                <w:rFonts w:ascii="Times New Roman" w:cs="Times New Roman" w:eastAsia="Times New Roman" w:hAnsi="Times New Roman"/>
                <w:sz w:val="16"/>
                <w:szCs w:val="16"/>
                <w:color w:val="B4B4B4"/>
              </w:rPr>
              <w:t>........................................................................</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44,027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41,363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49,923</w:t>
            </w:r>
          </w:p>
        </w:tc>
        <w:tc>
          <w:tcPr>
            <w:tcW w:w="0" w:type="dxa"/>
            <w:vAlign w:val="bottom"/>
          </w:tcPr>
          <w:p>
            <w:pPr>
              <w:spacing w:after="0"/>
              <w:rPr>
                <w:sz w:val="1"/>
                <w:szCs w:val="1"/>
                <w:color w:val="auto"/>
              </w:rPr>
            </w:pPr>
          </w:p>
        </w:tc>
      </w:tr>
      <w:tr>
        <w:trPr>
          <w:trHeight w:val="261"/>
        </w:trPr>
        <w:tc>
          <w:tcPr>
            <w:tcW w:w="7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Average net TBA dollar roll position outstanding - at cost</w:t>
            </w:r>
            <w:r>
              <w:rPr>
                <w:rFonts w:ascii="Times New Roman" w:cs="Times New Roman" w:eastAsia="Times New Roman" w:hAnsi="Times New Roman"/>
                <w:sz w:val="16"/>
                <w:szCs w:val="16"/>
                <w:color w:val="B4B4B4"/>
              </w:rPr>
              <w:t>................................................................................</w:t>
            </w:r>
          </w:p>
        </w:tc>
        <w:tc>
          <w:tcPr>
            <w:tcW w:w="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20,631</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29,851</w:t>
            </w:r>
          </w:p>
        </w:tc>
        <w:tc>
          <w:tcPr>
            <w:tcW w:w="0" w:type="dxa"/>
            <w:vAlign w:val="bottom"/>
          </w:tcPr>
          <w:p>
            <w:pPr>
              <w:spacing w:after="0"/>
              <w:rPr>
                <w:sz w:val="1"/>
                <w:szCs w:val="1"/>
                <w:color w:val="auto"/>
              </w:rPr>
            </w:pPr>
          </w:p>
        </w:tc>
      </w:tr>
      <w:tr>
        <w:trPr>
          <w:trHeight w:val="229"/>
        </w:trPr>
        <w:tc>
          <w:tcPr>
            <w:tcW w:w="7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Average mortgage borrowings outstanding </w:t>
            </w:r>
            <w:r>
              <w:rPr>
                <w:rFonts w:ascii="Times New Roman" w:cs="Times New Roman" w:eastAsia="Times New Roman" w:hAnsi="Times New Roman"/>
                <w:sz w:val="16"/>
                <w:szCs w:val="16"/>
                <w:color w:val="B4B4B4"/>
              </w:rPr>
              <w:t>.......................................................................................................</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54,027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61,994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79,774</w:t>
            </w:r>
          </w:p>
        </w:tc>
        <w:tc>
          <w:tcPr>
            <w:tcW w:w="0" w:type="dxa"/>
            <w:vAlign w:val="bottom"/>
          </w:tcPr>
          <w:p>
            <w:pPr>
              <w:spacing w:after="0"/>
              <w:rPr>
                <w:sz w:val="1"/>
                <w:szCs w:val="1"/>
                <w:color w:val="auto"/>
              </w:rPr>
            </w:pPr>
          </w:p>
        </w:tc>
      </w:tr>
      <w:tr>
        <w:trPr>
          <w:trHeight w:val="261"/>
        </w:trPr>
        <w:tc>
          <w:tcPr>
            <w:tcW w:w="7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Average notional amount of interest rate swaps outstanding (excluding forward starting swaps), net </w:t>
            </w:r>
            <w:r>
              <w:rPr>
                <w:rFonts w:ascii="Times New Roman" w:cs="Times New Roman" w:eastAsia="Times New Roman" w:hAnsi="Times New Roman"/>
                <w:sz w:val="16"/>
                <w:szCs w:val="16"/>
                <w:color w:val="B4B4B4"/>
              </w:rPr>
              <w:t>.............</w:t>
            </w:r>
          </w:p>
        </w:tc>
        <w:tc>
          <w:tcPr>
            <w:tcW w:w="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47,012</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49,334</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48,634</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Ratio of average interest rate swaps to mortgage borrowings outstanding </w:t>
            </w:r>
            <w:r>
              <w:rPr>
                <w:rFonts w:ascii="Times New Roman" w:cs="Times New Roman" w:eastAsia="Times New Roman" w:hAnsi="Times New Roman"/>
                <w:sz w:val="16"/>
                <w:szCs w:val="16"/>
                <w:color w:val="B4B4B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61 %</w:t>
            </w:r>
          </w:p>
        </w:tc>
      </w:tr>
      <w:tr>
        <w:trPr>
          <w:trHeight w:val="20"/>
        </w:trPr>
        <w:tc>
          <w:tcPr>
            <w:tcW w:w="70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524"/>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Average interest rate swap pay-fixed rate (excluding forward starting swaps) </w:t>
            </w:r>
            <w:r>
              <w:rPr>
                <w:rFonts w:ascii="Times New Roman" w:cs="Times New Roman" w:eastAsia="Times New Roman" w:hAnsi="Times New Roman"/>
                <w:sz w:val="16"/>
                <w:szCs w:val="16"/>
                <w:color w:val="B4B4B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0.25 %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1"/>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Average interest rate swap receive-floating rate </w:t>
            </w:r>
            <w:r>
              <w:rPr>
                <w:rFonts w:ascii="Times New Roman" w:cs="Times New Roman" w:eastAsia="Times New Roman" w:hAnsi="Times New Roman"/>
                <w:sz w:val="16"/>
                <w:szCs w:val="16"/>
                <w:color w:val="B4B4B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6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15"/>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Average interest rate swap net pay/(receive) rate</w:t>
            </w:r>
            <w:r>
              <w:rPr>
                <w:rFonts w:ascii="Times New Roman" w:cs="Times New Roman" w:eastAsia="Times New Roman" w:hAnsi="Times New Roman"/>
                <w:sz w:val="16"/>
                <w:szCs w:val="16"/>
                <w:color w:val="B4B4B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0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4487545</wp:posOffset>
            </wp:positionH>
            <wp:positionV relativeFrom="paragraph">
              <wp:posOffset>-742315</wp:posOffset>
            </wp:positionV>
            <wp:extent cx="2022475" cy="762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7">
                      <a:extLst>
                        <a:ext uri="{28A0092B-C50C-407E-A947-70E740481C1C}"/>
                      </a:extLst>
                    </a:blip>
                    <a:srcRect/>
                    <a:stretch>
                      <a:fillRect/>
                    </a:stretch>
                  </pic:blipFill>
                  <pic:spPr bwMode="auto">
                    <a:xfrm>
                      <a:off x="0" y="0"/>
                      <a:ext cx="2022475" cy="76200"/>
                    </a:xfrm>
                    <a:prstGeom prst="rect">
                      <a:avLst/>
                    </a:prstGeom>
                    <a:noFill/>
                  </pic:spPr>
                </pic:pic>
              </a:graphicData>
            </a:graphic>
          </wp:anchor>
        </w:drawing>
        <w:drawing>
          <wp:anchor simplePos="0" relativeHeight="251657728" behindDoc="1" locked="0" layoutInCell="0" allowOverlap="1">
            <wp:simplePos x="0" y="0"/>
            <wp:positionH relativeFrom="column">
              <wp:posOffset>4487545</wp:posOffset>
            </wp:positionH>
            <wp:positionV relativeFrom="paragraph">
              <wp:posOffset>-56515</wp:posOffset>
            </wp:positionV>
            <wp:extent cx="2022475" cy="762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8">
                      <a:extLst>
                        <a:ext uri="{28A0092B-C50C-407E-A947-70E740481C1C}"/>
                      </a:extLst>
                    </a:blip>
                    <a:srcRect/>
                    <a:stretch>
                      <a:fillRect/>
                    </a:stretch>
                  </pic:blipFill>
                  <pic:spPr bwMode="auto">
                    <a:xfrm>
                      <a:off x="0" y="0"/>
                      <a:ext cx="2022475" cy="76200"/>
                    </a:xfrm>
                    <a:prstGeom prst="rect">
                      <a:avLst/>
                    </a:prstGeom>
                    <a:noFill/>
                  </pic:spPr>
                </pic:pic>
              </a:graphicData>
            </a:graphic>
          </wp:anchor>
        </w:drawing>
      </w:r>
    </w:p>
    <w:p>
      <w:pPr>
        <w:spacing w:after="0" w:line="188"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20"/>
          <w:szCs w:val="20"/>
          <w:color w:val="auto"/>
        </w:rPr>
        <w:t>For fiscal years 2023, 2022 and 2021, we had an average forward starting net pay and (receive) fixed rate swap balance of $(0.5) billion, $48 million and $149 million, respectively. Forward starting interest rate swaps do not impact our economic interest expense and aggregate cost of funds until they commence accruing net interest settlements on their forward start dates.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Interest Spread</w:t>
      </w:r>
    </w:p>
    <w:p>
      <w:pPr>
        <w:spacing w:after="0" w:line="199"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presents a summary of our net interest spread (including the impact of TBA dollar roll income, interest rate swaps and excluding "catch-up" premium amortization) for fiscal years 2023, 2022 and 2021: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35"/>
        </w:trPr>
        <w:tc>
          <w:tcPr>
            <w:tcW w:w="7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Investment and TBA Securities - Net Interest Spread</w:t>
            </w:r>
          </w:p>
        </w:tc>
        <w:tc>
          <w:tcPr>
            <w:tcW w:w="60" w:type="dxa"/>
            <w:vAlign w:val="bottom"/>
          </w:tcPr>
          <w:p>
            <w:pPr>
              <w:spacing w:after="0"/>
              <w:rPr>
                <w:sz w:val="20"/>
                <w:szCs w:val="20"/>
                <w:color w:val="auto"/>
              </w:rPr>
            </w:pPr>
          </w:p>
        </w:tc>
        <w:tc>
          <w:tcPr>
            <w:tcW w:w="10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9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10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9"/>
        </w:trPr>
        <w:tc>
          <w:tcPr>
            <w:tcW w:w="7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Average asset yield </w:t>
            </w:r>
            <w:r>
              <w:rPr>
                <w:rFonts w:ascii="Times New Roman" w:cs="Times New Roman" w:eastAsia="Times New Roman" w:hAnsi="Times New Roman"/>
                <w:sz w:val="16"/>
                <w:szCs w:val="16"/>
                <w:color w:val="B4B4B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2.12 %</w:t>
            </w:r>
          </w:p>
        </w:tc>
      </w:tr>
      <w:tr>
        <w:trPr>
          <w:trHeight w:val="261"/>
        </w:trPr>
        <w:tc>
          <w:tcPr>
            <w:tcW w:w="7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Average aggregate cost of funds </w:t>
            </w:r>
            <w:r>
              <w:rPr>
                <w:rFonts w:ascii="Times New Roman" w:cs="Times New Roman" w:eastAsia="Times New Roman" w:hAnsi="Times New Roman"/>
                <w:sz w:val="16"/>
                <w:szCs w:val="16"/>
                <w:color w:val="B4B4B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5"/>
        </w:trPr>
        <w:tc>
          <w:tcPr>
            <w:tcW w:w="7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Average net interest spread </w:t>
            </w:r>
            <w:r>
              <w:rPr>
                <w:rFonts w:ascii="Times New Roman" w:cs="Times New Roman" w:eastAsia="Times New Roman" w:hAnsi="Times New Roman"/>
                <w:sz w:val="16"/>
                <w:szCs w:val="16"/>
                <w:color w:val="B4B4B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2.11 %</w:t>
            </w:r>
          </w:p>
        </w:tc>
      </w:tr>
      <w:tr>
        <w:trPr>
          <w:trHeight w:val="20"/>
        </w:trPr>
        <w:tc>
          <w:tcPr>
            <w:tcW w:w="7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4487545</wp:posOffset>
            </wp:positionH>
            <wp:positionV relativeFrom="paragraph">
              <wp:posOffset>-56515</wp:posOffset>
            </wp:positionV>
            <wp:extent cx="2022475" cy="762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9">
                      <a:extLst>
                        <a:ext uri="{28A0092B-C50C-407E-A947-70E740481C1C}"/>
                      </a:extLst>
                    </a:blip>
                    <a:srcRect/>
                    <a:stretch>
                      <a:fillRect/>
                    </a:stretch>
                  </pic:blipFill>
                  <pic:spPr bwMode="auto">
                    <a:xfrm>
                      <a:off x="0" y="0"/>
                      <a:ext cx="2022475" cy="76200"/>
                    </a:xfrm>
                    <a:prstGeom prst="rect">
                      <a:avLst/>
                    </a:prstGeom>
                    <a:noFill/>
                  </pic:spPr>
                </pic:pic>
              </a:graphicData>
            </a:graphic>
          </wp:anchor>
        </w:drawing>
      </w:r>
    </w:p>
    <w:p>
      <w:pPr>
        <w:sectPr>
          <w:pgSz w:w="12240" w:h="15840" w:orient="portrait"/>
          <w:cols w:equalWidth="0" w:num="1">
            <w:col w:w="10240"/>
          </w:cols>
          <w:pgMar w:left="1000" w:top="87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240"/>
          </w:cols>
          <w:pgMar w:left="1000" w:top="879" w:right="100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i w:val="1"/>
          <w:iCs w:val="1"/>
          <w:color w:val="auto"/>
        </w:rPr>
        <w:t>Net Spread and Dollar Roll Income</w:t>
      </w:r>
    </w:p>
    <w:p>
      <w:pPr>
        <w:spacing w:after="0" w:line="199"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The following table presents a reconciliation of net spread and dollar roll income available to common stockholders (non-GAAP measure) from comprehensive income (loss) available (attributable) to common stockholders (the most comparable GAAP financial measure) for fiscal years 2023, 2022 and 2021 (dollars in millions):</w:t>
      </w:r>
    </w:p>
    <w:p>
      <w:pPr>
        <w:spacing w:after="0" w:line="14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4518025</wp:posOffset>
                </wp:positionH>
                <wp:positionV relativeFrom="paragraph">
                  <wp:posOffset>26670</wp:posOffset>
                </wp:positionV>
                <wp:extent cx="196215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21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75pt,2.1pt" to="510.25pt,2.1pt" o:allowincell="f" strokecolor="#000000" strokeweight="1pt"/>
            </w:pict>
          </mc:Fallback>
        </mc:AlternateContent>
      </w:r>
    </w:p>
    <w:p>
      <w:pPr>
        <w:spacing w:after="0" w:line="51"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7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9"/>
        </w:trPr>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 available (attributable) to common stockholders</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55"/>
        </w:trPr>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Adjustments to exclude realized and unrealized (gains) losses reported through net income:</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Realized loss on sale of investment securities, net </w:t>
            </w:r>
            <w:r>
              <w:rPr>
                <w:rFonts w:ascii="Times New Roman" w:cs="Times New Roman" w:eastAsia="Times New Roman" w:hAnsi="Times New Roman"/>
                <w:sz w:val="16"/>
                <w:szCs w:val="16"/>
                <w:color w:val="B4B4B4"/>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55"/>
        </w:trPr>
        <w:tc>
          <w:tcPr>
            <w:tcW w:w="7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Unrealized (gain) loss on investment securities measured at fair value through net income, net </w:t>
            </w:r>
            <w:r>
              <w:rPr>
                <w:rFonts w:ascii="Times New Roman" w:cs="Times New Roman" w:eastAsia="Times New Roman" w:hAnsi="Times New Roman"/>
                <w:sz w:val="16"/>
                <w:szCs w:val="16"/>
                <w:color w:val="B4B4B4"/>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0" w:type="dxa"/>
            <w:vAlign w:val="bottom"/>
          </w:tcPr>
          <w:p>
            <w:pPr>
              <w:spacing w:after="0"/>
              <w:rPr>
                <w:sz w:val="1"/>
                <w:szCs w:val="1"/>
                <w:color w:val="auto"/>
              </w:rPr>
            </w:pPr>
          </w:p>
        </w:tc>
      </w:tr>
      <w:tr>
        <w:trPr>
          <w:trHeight w:val="255"/>
        </w:trPr>
        <w:tc>
          <w:tcPr>
            <w:tcW w:w="7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Gain on derivative instruments and other securities, net </w:t>
            </w:r>
            <w:r>
              <w:rPr>
                <w:rFonts w:ascii="Times New Roman" w:cs="Times New Roman" w:eastAsia="Times New Roman" w:hAnsi="Times New Roman"/>
                <w:sz w:val="16"/>
                <w:szCs w:val="16"/>
                <w:color w:val="B4B4B4"/>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0" w:type="dxa"/>
            <w:vAlign w:val="bottom"/>
          </w:tcPr>
          <w:p>
            <w:pPr>
              <w:spacing w:after="0"/>
              <w:rPr>
                <w:sz w:val="1"/>
                <w:szCs w:val="1"/>
                <w:color w:val="auto"/>
              </w:rPr>
            </w:pPr>
          </w:p>
        </w:tc>
      </w:tr>
      <w:tr>
        <w:trPr>
          <w:trHeight w:val="255"/>
        </w:trPr>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 to exclude unrealized (gain) loss reported through other comprehensive income:</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0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Unrealized (gain) loss on available-for-sale securities measure at fair value through other comprehensive</w:t>
            </w:r>
          </w:p>
        </w:tc>
        <w:tc>
          <w:tcPr>
            <w:tcW w:w="2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09"/>
        </w:trPr>
        <w:tc>
          <w:tcPr>
            <w:tcW w:w="7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income, net </w:t>
            </w:r>
            <w:r>
              <w:rPr>
                <w:rFonts w:ascii="Times New Roman" w:cs="Times New Roman" w:eastAsia="Times New Roman" w:hAnsi="Times New Roman"/>
                <w:sz w:val="16"/>
                <w:szCs w:val="16"/>
                <w:color w:val="B4B4B4"/>
              </w:rPr>
              <w:t>......................................................................................................................................................</w:t>
            </w: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7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adjustments:</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7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Estimated "catch-up" premium amortization benefit due to change in CPR forecast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55"/>
        </w:trPr>
        <w:tc>
          <w:tcPr>
            <w:tcW w:w="7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TBA dollar roll income, net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55"/>
        </w:trPr>
        <w:tc>
          <w:tcPr>
            <w:tcW w:w="7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Interest rate swap periodic income (cost), net </w:t>
            </w:r>
            <w:r>
              <w:rPr>
                <w:rFonts w:ascii="Times New Roman" w:cs="Times New Roman" w:eastAsia="Times New Roman" w:hAnsi="Times New Roman"/>
                <w:sz w:val="20"/>
                <w:szCs w:val="20"/>
                <w:color w:val="auto"/>
                <w:vertAlign w:val="superscript"/>
              </w:rPr>
              <w:t>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30"/>
        </w:trPr>
        <w:tc>
          <w:tcPr>
            <w:tcW w:w="7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 xml:space="preserve">Other interest income (expense), net </w:t>
            </w:r>
            <w:r>
              <w:rPr>
                <w:rFonts w:ascii="Times New Roman" w:cs="Times New Roman" w:eastAsia="Times New Roman" w:hAnsi="Times New Roman"/>
                <w:sz w:val="20"/>
                <w:szCs w:val="20"/>
                <w:color w:val="auto"/>
                <w:vertAlign w:val="superscript"/>
              </w:rPr>
              <w:t>2,3,4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7040" w:type="dxa"/>
            <w:vAlign w:val="bottom"/>
          </w:tcPr>
          <w:p>
            <w:pPr>
              <w:jc w:val="right"/>
              <w:ind w:right="60"/>
              <w:spacing w:after="0" w:line="215" w:lineRule="exact"/>
              <w:rPr>
                <w:sz w:val="20"/>
                <w:szCs w:val="20"/>
                <w:color w:val="auto"/>
              </w:rPr>
            </w:pPr>
            <w:r>
              <w:rPr>
                <w:rFonts w:ascii="Times New Roman" w:cs="Times New Roman" w:eastAsia="Times New Roman" w:hAnsi="Times New Roman"/>
                <w:sz w:val="16"/>
                <w:szCs w:val="16"/>
                <w:b w:val="1"/>
                <w:bCs w:val="1"/>
                <w:color w:val="auto"/>
                <w:w w:val="99"/>
              </w:rPr>
              <w:t xml:space="preserve">Net spread and dollar roll income available to common stockholders (non-GAAP measure) </w:t>
            </w:r>
            <w:r>
              <w:rPr>
                <w:rFonts w:ascii="Times New Roman" w:cs="Times New Roman" w:eastAsia="Times New Roman" w:hAnsi="Times New Roman"/>
                <w:sz w:val="20"/>
                <w:szCs w:val="20"/>
                <w:b w:val="1"/>
                <w:bCs w:val="1"/>
                <w:color w:val="auto"/>
                <w:w w:val="99"/>
                <w:vertAlign w:val="superscript"/>
              </w:rPr>
              <w:t>5</w:t>
            </w:r>
            <w:r>
              <w:rPr>
                <w:rFonts w:ascii="Times New Roman" w:cs="Times New Roman" w:eastAsia="Times New Roman" w:hAnsi="Times New Roman"/>
                <w:sz w:val="16"/>
                <w:szCs w:val="16"/>
                <w:b w:val="1"/>
                <w:bCs w:val="1"/>
                <w:color w:val="auto"/>
                <w:w w:val="99"/>
              </w:rPr>
              <w:t xml:space="preserve"> </w:t>
            </w:r>
            <w:r>
              <w:rPr>
                <w:rFonts w:ascii="Times New Roman" w:cs="Times New Roman" w:eastAsia="Times New Roman" w:hAnsi="Times New Roman"/>
                <w:sz w:val="16"/>
                <w:szCs w:val="16"/>
                <w:b w:val="1"/>
                <w:bCs w:val="1"/>
                <w:color w:val="B4B4B4"/>
                <w:w w:val="99"/>
              </w:rPr>
              <w: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70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Weighted average number of common shares outstanding - basic </w:t>
            </w:r>
            <w:r>
              <w:rPr>
                <w:rFonts w:ascii="Times New Roman" w:cs="Times New Roman" w:eastAsia="Times New Roman" w:hAnsi="Times New Roman"/>
                <w:sz w:val="16"/>
                <w:szCs w:val="16"/>
                <w:color w:val="B4B4B4"/>
                <w:w w:val="99"/>
              </w:rPr>
              <w:t>....................................................................</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528.1</w:t>
            </w:r>
          </w:p>
        </w:tc>
        <w:tc>
          <w:tcPr>
            <w:tcW w:w="0" w:type="dxa"/>
            <w:vAlign w:val="bottom"/>
          </w:tcPr>
          <w:p>
            <w:pPr>
              <w:spacing w:after="0"/>
              <w:rPr>
                <w:sz w:val="1"/>
                <w:szCs w:val="1"/>
                <w:color w:val="auto"/>
              </w:rPr>
            </w:pPr>
          </w:p>
        </w:tc>
      </w:tr>
      <w:tr>
        <w:trPr>
          <w:trHeight w:val="20"/>
        </w:trPr>
        <w:tc>
          <w:tcPr>
            <w:tcW w:w="704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Weighted average number of common shares outstanding - diluted </w:t>
            </w:r>
            <w:r>
              <w:rPr>
                <w:rFonts w:ascii="Times New Roman" w:cs="Times New Roman" w:eastAsia="Times New Roman" w:hAnsi="Times New Roman"/>
                <w:sz w:val="16"/>
                <w:szCs w:val="16"/>
                <w:color w:val="B4B4B4"/>
                <w:w w:val="99"/>
              </w:rPr>
              <w:t>.................................................................</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w:t>
            </w: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538.1</w:t>
            </w: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530.0</w:t>
            </w:r>
          </w:p>
        </w:tc>
        <w:tc>
          <w:tcPr>
            <w:tcW w:w="0" w:type="dxa"/>
            <w:vAlign w:val="bottom"/>
          </w:tcPr>
          <w:p>
            <w:pPr>
              <w:spacing w:after="0"/>
              <w:rPr>
                <w:sz w:val="1"/>
                <w:szCs w:val="1"/>
                <w:color w:val="auto"/>
              </w:rPr>
            </w:pPr>
          </w:p>
        </w:tc>
      </w:tr>
      <w:tr>
        <w:trPr>
          <w:trHeight w:val="20"/>
        </w:trPr>
        <w:tc>
          <w:tcPr>
            <w:tcW w:w="704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Net spread and dollar roll income per common share - basic </w:t>
            </w:r>
            <w:r>
              <w:rPr>
                <w:rFonts w:ascii="Times New Roman" w:cs="Times New Roman" w:eastAsia="Times New Roman" w:hAnsi="Times New Roman"/>
                <w:sz w:val="16"/>
                <w:szCs w:val="16"/>
                <w:color w:val="B4B4B4"/>
                <w:w w:val="99"/>
              </w:rPr>
              <w:t>............................................................................</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4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60" w:type="dxa"/>
            <w:vAlign w:val="bottom"/>
          </w:tcPr>
          <w:p>
            <w:pPr>
              <w:spacing w:after="0"/>
              <w:rPr>
                <w:sz w:val="16"/>
                <w:szCs w:val="16"/>
                <w:color w:val="auto"/>
              </w:rPr>
            </w:pPr>
          </w:p>
        </w:tc>
        <w:tc>
          <w:tcPr>
            <w:tcW w:w="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60" w:type="dxa"/>
            <w:vAlign w:val="bottom"/>
          </w:tcPr>
          <w:p>
            <w:pPr>
              <w:spacing w:after="0"/>
              <w:rPr>
                <w:sz w:val="16"/>
                <w:szCs w:val="16"/>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0"/>
        </w:trPr>
        <w:tc>
          <w:tcPr>
            <w:tcW w:w="704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99"/>
              </w:rPr>
              <w:t xml:space="preserve">Net spread and dollar roll income per common share - diluted </w:t>
            </w:r>
            <w:r>
              <w:rPr>
                <w:rFonts w:ascii="Times New Roman" w:cs="Times New Roman" w:eastAsia="Times New Roman" w:hAnsi="Times New Roman"/>
                <w:sz w:val="16"/>
                <w:szCs w:val="16"/>
                <w:color w:val="B4B4B4"/>
                <w:w w:val="99"/>
              </w:rPr>
              <w:t>.........................................................................</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40" w:type="dxa"/>
            <w:vAlign w:val="bottom"/>
            <w:vMerge w:val="continue"/>
          </w:tcPr>
          <w:p>
            <w:pPr>
              <w:spacing w:after="0"/>
              <w:rPr>
                <w:sz w:val="16"/>
                <w:szCs w:val="16"/>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-866140</wp:posOffset>
            </wp:positionV>
            <wp:extent cx="2012950" cy="762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0">
                      <a:extLst>
                        <a:ext uri="{28A0092B-C50C-407E-A947-70E740481C1C}"/>
                      </a:extLst>
                    </a:blip>
                    <a:srcRect/>
                    <a:stretch>
                      <a:fillRect/>
                    </a:stretch>
                  </pic:blipFill>
                  <pic:spPr bwMode="auto">
                    <a:xfrm>
                      <a:off x="0" y="0"/>
                      <a:ext cx="2012950" cy="7620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-542290</wp:posOffset>
            </wp:positionV>
            <wp:extent cx="2012950" cy="762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1">
                      <a:extLst>
                        <a:ext uri="{28A0092B-C50C-407E-A947-70E740481C1C}"/>
                      </a:extLst>
                    </a:blip>
                    <a:srcRect/>
                    <a:stretch>
                      <a:fillRect/>
                    </a:stretch>
                  </pic:blipFill>
                  <pic:spPr bwMode="auto">
                    <a:xfrm>
                      <a:off x="0" y="0"/>
                      <a:ext cx="2012950" cy="7620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-380365</wp:posOffset>
            </wp:positionV>
            <wp:extent cx="2012950" cy="762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2">
                      <a:extLst>
                        <a:ext uri="{28A0092B-C50C-407E-A947-70E740481C1C}"/>
                      </a:extLst>
                    </a:blip>
                    <a:srcRect/>
                    <a:stretch>
                      <a:fillRect/>
                    </a:stretch>
                  </pic:blipFill>
                  <pic:spPr bwMode="auto">
                    <a:xfrm>
                      <a:off x="0" y="0"/>
                      <a:ext cx="2012950" cy="7620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-218440</wp:posOffset>
            </wp:positionV>
            <wp:extent cx="2012950" cy="762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3">
                      <a:extLst>
                        <a:ext uri="{28A0092B-C50C-407E-A947-70E740481C1C}"/>
                      </a:extLst>
                    </a:blip>
                    <a:srcRect/>
                    <a:stretch>
                      <a:fillRect/>
                    </a:stretch>
                  </pic:blipFill>
                  <pic:spPr bwMode="auto">
                    <a:xfrm>
                      <a:off x="0" y="0"/>
                      <a:ext cx="2012950" cy="76200"/>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-56515</wp:posOffset>
            </wp:positionV>
            <wp:extent cx="2012950" cy="762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4">
                      <a:extLst>
                        <a:ext uri="{28A0092B-C50C-407E-A947-70E740481C1C}"/>
                      </a:extLst>
                    </a:blip>
                    <a:srcRect/>
                    <a:stretch>
                      <a:fillRect/>
                    </a:stretch>
                  </pic:blipFill>
                  <pic:spPr bwMode="auto">
                    <a:xfrm>
                      <a:off x="0" y="0"/>
                      <a:ext cx="2012950"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hanging="370"/>
        <w:spacing w:after="0"/>
        <w:tabs>
          <w:tab w:leader="none" w:pos="7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in interest income in our consolidated statements of comprehensive income.</w:t>
      </w:r>
    </w:p>
    <w:p>
      <w:pPr>
        <w:spacing w:after="0" w:line="6" w:lineRule="exact"/>
        <w:rPr>
          <w:rFonts w:ascii="Times New Roman" w:cs="Times New Roman" w:eastAsia="Times New Roman" w:hAnsi="Times New Roman"/>
          <w:sz w:val="16"/>
          <w:szCs w:val="16"/>
          <w:color w:val="auto"/>
        </w:rPr>
      </w:pPr>
    </w:p>
    <w:p>
      <w:pPr>
        <w:ind w:left="720" w:hanging="370"/>
        <w:spacing w:after="0"/>
        <w:tabs>
          <w:tab w:leader="none" w:pos="7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in gain (loss) on derivative instruments and other securities, net in our consolidated statements of comprehensive income.</w:t>
      </w:r>
    </w:p>
    <w:p>
      <w:pPr>
        <w:spacing w:after="0" w:line="8" w:lineRule="exact"/>
        <w:rPr>
          <w:rFonts w:ascii="Times New Roman" w:cs="Times New Roman" w:eastAsia="Times New Roman" w:hAnsi="Times New Roman"/>
          <w:sz w:val="16"/>
          <w:szCs w:val="16"/>
          <w:color w:val="auto"/>
        </w:rPr>
      </w:pPr>
    </w:p>
    <w:p>
      <w:pPr>
        <w:ind w:left="720" w:hanging="370"/>
        <w:spacing w:after="0" w:line="250" w:lineRule="auto"/>
        <w:tabs>
          <w:tab w:leader="none" w:pos="7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interest income (expense), net includes interest income on cash and cash equivalents; price alignment interest income (expense) ("PAI") on interest rate swap margin deposits posted by or (to) the Company; and other miscellaneous interest income (expense).</w:t>
      </w:r>
    </w:p>
    <w:p>
      <w:pPr>
        <w:ind w:left="720" w:hanging="370"/>
        <w:spacing w:after="0" w:line="250" w:lineRule="auto"/>
        <w:tabs>
          <w:tab w:leader="none" w:pos="7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2023, we began reporting PAI in other interest income (expense), net. PAI was previously reported in interest rate swap periodic income (cost). Prior year amounts have been reclassified to conform to the current period's presentation.</w:t>
      </w:r>
    </w:p>
    <w:p>
      <w:pPr>
        <w:jc w:val="both"/>
        <w:ind w:left="720" w:hanging="370"/>
        <w:spacing w:after="0" w:line="255" w:lineRule="auto"/>
        <w:tabs>
          <w:tab w:leader="none" w:pos="7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measure was previously referred to as "net spread and dollar roll income, excluding 'catch-up' premium amortization cost/benefit, per common share." Though it continues to exclude "catch-up" premium amortization cost/benefit, its title has been condensed to its revised title in the table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Gain (Loss) on Investment Securities, Net</w:t>
      </w:r>
    </w:p>
    <w:p>
      <w:pPr>
        <w:spacing w:after="0" w:line="199" w:lineRule="exact"/>
        <w:rPr>
          <w:sz w:val="20"/>
          <w:szCs w:val="20"/>
          <w:color w:val="auto"/>
        </w:rPr>
      </w:pPr>
    </w:p>
    <w:p>
      <w:pPr>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is a summary of our net gain (loss) on investment securities for fiscal years 2023, 2022 and 2021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Gain (Loss) on Investment Securities, Net </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9"/>
        </w:trPr>
        <w:tc>
          <w:tcPr>
            <w:tcW w:w="69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Loss on sale of investment securities, net </w:t>
            </w:r>
            <w:r>
              <w:rPr>
                <w:rFonts w:ascii="Times New Roman" w:cs="Times New Roman" w:eastAsia="Times New Roman" w:hAnsi="Times New Roman"/>
                <w:sz w:val="16"/>
                <w:szCs w:val="16"/>
                <w:color w:val="B4B4B4"/>
              </w:rPr>
              <w:t>........................................................................................................</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305"/>
        </w:trPr>
        <w:tc>
          <w:tcPr>
            <w:tcW w:w="69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Unrealized (loss) gain on investment securities measured at fair value through net income, net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0" w:type="dxa"/>
            <w:vAlign w:val="bottom"/>
          </w:tcPr>
          <w:p>
            <w:pPr>
              <w:spacing w:after="0"/>
              <w:rPr>
                <w:sz w:val="1"/>
                <w:szCs w:val="1"/>
                <w:color w:val="auto"/>
              </w:rPr>
            </w:pPr>
          </w:p>
        </w:tc>
      </w:tr>
      <w:tr>
        <w:trPr>
          <w:trHeight w:val="177"/>
        </w:trPr>
        <w:tc>
          <w:tcPr>
            <w:tcW w:w="6980" w:type="dxa"/>
            <w:vAlign w:val="bottom"/>
            <w:gridSpan w:val="2"/>
          </w:tcPr>
          <w:p>
            <w:pPr>
              <w:ind w:left="60"/>
              <w:spacing w:after="0" w:line="178" w:lineRule="exact"/>
              <w:rPr>
                <w:sz w:val="20"/>
                <w:szCs w:val="20"/>
                <w:color w:val="auto"/>
              </w:rPr>
            </w:pPr>
            <w:r>
              <w:rPr>
                <w:rFonts w:ascii="Times New Roman" w:cs="Times New Roman" w:eastAsia="Times New Roman" w:hAnsi="Times New Roman"/>
                <w:sz w:val="16"/>
                <w:szCs w:val="16"/>
                <w:color w:val="auto"/>
              </w:rPr>
              <w:t>Unrealized (loss) gain on investment securities measured at fair value through other comprehensive</w:t>
            </w:r>
          </w:p>
        </w:tc>
        <w:tc>
          <w:tcPr>
            <w:tcW w:w="2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4"/>
        </w:trPr>
        <w:tc>
          <w:tcPr>
            <w:tcW w:w="69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income, net </w:t>
            </w:r>
            <w:r>
              <w:rPr>
                <w:rFonts w:ascii="Times New Roman" w:cs="Times New Roman" w:eastAsia="Times New Roman" w:hAnsi="Times New Roman"/>
                <w:sz w:val="16"/>
                <w:szCs w:val="16"/>
                <w:color w:val="B4B4B4"/>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Total loss on investment securities, net </w:t>
            </w:r>
            <w:r>
              <w:rPr>
                <w:rFonts w:ascii="Times New Roman" w:cs="Times New Roman" w:eastAsia="Times New Roman" w:hAnsi="Times New Roman"/>
                <w:sz w:val="16"/>
                <w:szCs w:val="16"/>
                <w:color w:val="B4B4B4"/>
              </w:rPr>
              <w:t>...........................................................................................................</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-56515</wp:posOffset>
            </wp:positionV>
            <wp:extent cx="2117725" cy="762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5">
                      <a:extLst>
                        <a:ext uri="{28A0092B-C50C-407E-A947-70E740481C1C}"/>
                      </a:extLst>
                    </a:blip>
                    <a:srcRect/>
                    <a:stretch>
                      <a:fillRect/>
                    </a:stretch>
                  </pic:blipFill>
                  <pic:spPr bwMode="auto">
                    <a:xfrm>
                      <a:off x="0" y="0"/>
                      <a:ext cx="2117725"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hanging="370"/>
        <w:spacing w:after="0" w:line="249" w:lineRule="auto"/>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gain (loss) on TBA securities, which are reported in gain (loss) on derivative instruments and other securities, net in our Consolidated Statements of Comprehensive Income.</w:t>
      </w:r>
    </w:p>
    <w:p>
      <w:pPr>
        <w:ind w:left="720" w:hanging="370"/>
        <w:spacing w:after="0" w:line="260" w:lineRule="auto"/>
        <w:tabs>
          <w:tab w:leader="none" w:pos="7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securities acquired after fiscal year 2016 are measured at fair value through net income (see Note 2 of our Consolidated Financial Statements in this Form 10-K).</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260"/>
          </w:cols>
          <w:pgMar w:left="1000" w:top="784" w:right="9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i w:val="1"/>
          <w:iCs w:val="1"/>
          <w:color w:val="auto"/>
        </w:rPr>
        <w:t>Gain (Loss) on Derivative Instruments and Other Securities, Net</w:t>
      </w:r>
    </w:p>
    <w:p>
      <w:pPr>
        <w:spacing w:after="0" w:line="199" w:lineRule="exact"/>
        <w:rPr>
          <w:sz w:val="20"/>
          <w:szCs w:val="20"/>
          <w:color w:val="auto"/>
        </w:rPr>
      </w:pPr>
    </w:p>
    <w:p>
      <w:pPr>
        <w:ind w:right="20" w:firstLine="495"/>
        <w:spacing w:after="0" w:line="281" w:lineRule="auto"/>
        <w:rPr>
          <w:sz w:val="20"/>
          <w:szCs w:val="20"/>
          <w:color w:val="auto"/>
        </w:rPr>
      </w:pPr>
      <w:r>
        <w:rPr>
          <w:rFonts w:ascii="Times New Roman" w:cs="Times New Roman" w:eastAsia="Times New Roman" w:hAnsi="Times New Roman"/>
          <w:sz w:val="20"/>
          <w:szCs w:val="20"/>
          <w:color w:val="auto"/>
        </w:rPr>
        <w:t>The following table is a summary of our gain (loss) on derivative instruments and other securities, net for fiscal years 2023, 2022 and 2021 (in millions):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35"/>
        </w:trPr>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9"/>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TBA securities, dollar roll income </w:t>
            </w:r>
            <w:r>
              <w:rPr>
                <w:rFonts w:ascii="Times New Roman" w:cs="Times New Roman" w:eastAsia="Times New Roman" w:hAnsi="Times New Roman"/>
                <w:sz w:val="16"/>
                <w:szCs w:val="16"/>
                <w:color w:val="B4B4B4"/>
              </w:rPr>
              <w:t>...............................................................................................................</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r>
      <w:tr>
        <w:trPr>
          <w:trHeight w:val="255"/>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TBA securities, mark-to-market loss</w:t>
            </w:r>
            <w:r>
              <w:rPr>
                <w:rFonts w:ascii="Times New Roman" w:cs="Times New Roman" w:eastAsia="Times New Roman" w:hAnsi="Times New Roman"/>
                <w:sz w:val="16"/>
                <w:szCs w:val="16"/>
                <w:color w:val="B4B4B4"/>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w:t>
            </w:r>
          </w:p>
        </w:tc>
      </w:tr>
      <w:tr>
        <w:trPr>
          <w:trHeight w:val="255"/>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Forward settling non-Agency securities, mark-to-market gain/(loss) </w:t>
            </w:r>
            <w:r>
              <w:rPr>
                <w:rFonts w:ascii="Times New Roman" w:cs="Times New Roman" w:eastAsia="Times New Roman" w:hAnsi="Times New Roman"/>
                <w:sz w:val="16"/>
                <w:szCs w:val="16"/>
                <w:color w:val="B4B4B4"/>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01"/>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Interest rate swaps, periodic income (cost)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Interest rate swaps, mark-to-market gain (loss) </w:t>
            </w:r>
            <w:r>
              <w:rPr>
                <w:rFonts w:ascii="Times New Roman" w:cs="Times New Roman" w:eastAsia="Times New Roman" w:hAnsi="Times New Roman"/>
                <w:sz w:val="16"/>
                <w:szCs w:val="16"/>
                <w:color w:val="B4B4B4"/>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r>
      <w:tr>
        <w:trPr>
          <w:trHeight w:val="255"/>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Credit default swaps - buy protection</w:t>
            </w:r>
            <w:r>
              <w:rPr>
                <w:rFonts w:ascii="Times New Roman" w:cs="Times New Roman" w:eastAsia="Times New Roman" w:hAnsi="Times New Roman"/>
                <w:sz w:val="16"/>
                <w:szCs w:val="16"/>
                <w:color w:val="B4B4B4"/>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5"/>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Payer swaptions </w:t>
            </w:r>
            <w:r>
              <w:rPr>
                <w:rFonts w:ascii="Times New Roman" w:cs="Times New Roman" w:eastAsia="Times New Roman" w:hAnsi="Times New Roman"/>
                <w:sz w:val="16"/>
                <w:szCs w:val="16"/>
                <w:color w:val="B4B4B4"/>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55"/>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U.S. Treasury securities - short position </w:t>
            </w:r>
            <w:r>
              <w:rPr>
                <w:rFonts w:ascii="Times New Roman" w:cs="Times New Roman" w:eastAsia="Times New Roman" w:hAnsi="Times New Roman"/>
                <w:sz w:val="16"/>
                <w:szCs w:val="16"/>
                <w:color w:val="B4B4B4"/>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55"/>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U.S. Treasury securities - long position </w:t>
            </w:r>
            <w:r>
              <w:rPr>
                <w:rFonts w:ascii="Times New Roman" w:cs="Times New Roman" w:eastAsia="Times New Roman" w:hAnsi="Times New Roman"/>
                <w:sz w:val="16"/>
                <w:szCs w:val="16"/>
                <w:color w:val="B4B4B4"/>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55"/>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U.S. Treasury futures contracts - short position </w:t>
            </w:r>
            <w:r>
              <w:rPr>
                <w:rFonts w:ascii="Times New Roman" w:cs="Times New Roman" w:eastAsia="Times New Roman" w:hAnsi="Times New Roman"/>
                <w:sz w:val="16"/>
                <w:szCs w:val="16"/>
                <w:color w:val="B4B4B4"/>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55"/>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SOFR futures contracts - long position </w:t>
            </w:r>
            <w:r>
              <w:rPr>
                <w:rFonts w:ascii="Times New Roman" w:cs="Times New Roman" w:eastAsia="Times New Roman" w:hAnsi="Times New Roman"/>
                <w:sz w:val="16"/>
                <w:szCs w:val="16"/>
                <w:color w:val="B4B4B4"/>
              </w:rPr>
              <w: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01"/>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Other interest income (expense), net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2"/>
                <w:szCs w:val="12"/>
                <w:color w:val="B4B4B4"/>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Other gain (loss), net </w:t>
            </w:r>
            <w:r>
              <w:rPr>
                <w:rFonts w:ascii="Times New Roman" w:cs="Times New Roman" w:eastAsia="Times New Roman" w:hAnsi="Times New Roman"/>
                <w:sz w:val="16"/>
                <w:szCs w:val="16"/>
                <w:color w:val="B4B4B4"/>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5"/>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Total gain (loss) on derivative instruments and other securities, net </w:t>
            </w:r>
            <w:r>
              <w:rPr>
                <w:rFonts w:ascii="Times New Roman" w:cs="Times New Roman" w:eastAsia="Times New Roman" w:hAnsi="Times New Roman"/>
                <w:sz w:val="16"/>
                <w:szCs w:val="16"/>
                <w:color w:val="B4B4B4"/>
              </w:rPr>
              <w:t>...........................................................</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w:t>
            </w:r>
          </w:p>
        </w:tc>
      </w:tr>
      <w:tr>
        <w:trPr>
          <w:trHeight w:val="20"/>
        </w:trPr>
        <w:tc>
          <w:tcPr>
            <w:tcW w:w="6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-56515</wp:posOffset>
            </wp:positionV>
            <wp:extent cx="2212975" cy="762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6">
                      <a:extLst>
                        <a:ext uri="{28A0092B-C50C-407E-A947-70E740481C1C}"/>
                      </a:extLst>
                    </a:blip>
                    <a:srcRect/>
                    <a:stretch>
                      <a:fillRect/>
                    </a:stretch>
                  </pic:blipFill>
                  <pic:spPr bwMode="auto">
                    <a:xfrm>
                      <a:off x="0" y="0"/>
                      <a:ext cx="2212975" cy="762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72" w:lineRule="exact"/>
        <w:rPr>
          <w:sz w:val="20"/>
          <w:szCs w:val="20"/>
          <w:color w:val="auto"/>
        </w:rPr>
      </w:pPr>
    </w:p>
    <w:p>
      <w:pPr>
        <w:ind w:left="720" w:hanging="370"/>
        <w:spacing w:after="0" w:line="282" w:lineRule="auto"/>
        <w:tabs>
          <w:tab w:leader="none" w:pos="7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2023, we began reporting PAI in other interest income (expense), net. PAI was previously reported in interest rate swap periodic income (cost). Prior year amounts have been reclassified to conform to the current period's presentation.</w:t>
      </w:r>
    </w:p>
    <w:p>
      <w:pPr>
        <w:spacing w:after="0" w:line="20" w:lineRule="exact"/>
        <w:rPr>
          <w:sz w:val="20"/>
          <w:szCs w:val="20"/>
          <w:color w:val="auto"/>
        </w:rPr>
      </w:pPr>
    </w:p>
    <w:p>
      <w:pPr>
        <w:ind w:right="20" w:firstLine="495"/>
        <w:spacing w:after="0" w:line="281" w:lineRule="auto"/>
        <w:rPr>
          <w:sz w:val="20"/>
          <w:szCs w:val="20"/>
          <w:color w:val="auto"/>
        </w:rPr>
      </w:pPr>
      <w:r>
        <w:rPr>
          <w:rFonts w:ascii="Times New Roman" w:cs="Times New Roman" w:eastAsia="Times New Roman" w:hAnsi="Times New Roman"/>
          <w:sz w:val="20"/>
          <w:szCs w:val="20"/>
          <w:color w:val="auto"/>
        </w:rPr>
        <w:t>For further details regarding our use of derivative instruments and related activity refer to Notes 2 and 5 of our Consolidated Financial Statements in this Form 10-K.</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260"/>
          </w:cols>
          <w:pgMar w:left="1000" w:top="784" w:right="98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97" w:lineRule="exact"/>
        <w:rPr>
          <w:sz w:val="20"/>
          <w:szCs w:val="20"/>
          <w:color w:val="auto"/>
        </w:rPr>
      </w:pPr>
    </w:p>
    <w:p>
      <w:pPr>
        <w:jc w:val="both"/>
        <w:ind w:right="20" w:firstLine="495"/>
        <w:spacing w:after="0" w:line="253" w:lineRule="auto"/>
        <w:rPr>
          <w:sz w:val="20"/>
          <w:szCs w:val="20"/>
          <w:color w:val="auto"/>
        </w:rPr>
      </w:pPr>
      <w:r>
        <w:rPr>
          <w:rFonts w:ascii="Times New Roman" w:cs="Times New Roman" w:eastAsia="Times New Roman" w:hAnsi="Times New Roman"/>
          <w:sz w:val="20"/>
          <w:szCs w:val="20"/>
          <w:color w:val="auto"/>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 xml:space="preserve"> and Item 7A. </w:t>
      </w:r>
      <w:r>
        <w:rPr>
          <w:rFonts w:ascii="Times New Roman" w:cs="Times New Roman" w:eastAsia="Times New Roman" w:hAnsi="Times New Roman"/>
          <w:sz w:val="20"/>
          <w:szCs w:val="20"/>
          <w:b w:val="1"/>
          <w:bCs w:val="1"/>
          <w:i w:val="1"/>
          <w:iCs w:val="1"/>
          <w:color w:val="auto"/>
        </w:rPr>
        <w:t>Quantitative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Qualitative Disclosures of Market Risks </w:t>
      </w:r>
      <w:r>
        <w:rPr>
          <w:rFonts w:ascii="Times New Roman" w:cs="Times New Roman" w:eastAsia="Times New Roman" w:hAnsi="Times New Roman"/>
          <w:sz w:val="20"/>
          <w:szCs w:val="20"/>
          <w:color w:val="auto"/>
        </w:rPr>
        <w:t>in this Form 10-K. In assessing our liquidity, we consider a number of factors,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including our 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Leverage and Financing Sources</w:t>
      </w:r>
    </w:p>
    <w:p>
      <w:pPr>
        <w:spacing w:after="0" w:line="199" w:lineRule="exact"/>
        <w:rPr>
          <w:sz w:val="20"/>
          <w:szCs w:val="20"/>
          <w:color w:val="auto"/>
        </w:rPr>
      </w:pPr>
    </w:p>
    <w:p>
      <w:pPr>
        <w:jc w:val="both"/>
        <w:ind w:right="20" w:firstLine="495"/>
        <w:spacing w:after="0" w:line="255" w:lineRule="auto"/>
        <w:rPr>
          <w:sz w:val="20"/>
          <w:szCs w:val="20"/>
          <w:color w:val="auto"/>
        </w:rPr>
      </w:pPr>
      <w:r>
        <w:rPr>
          <w:rFonts w:ascii="Times New Roman" w:cs="Times New Roman" w:eastAsia="Times New Roman" w:hAnsi="Times New Roman"/>
          <w:sz w:val="20"/>
          <w:szCs w:val="20"/>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7.0x and 7.4x as of December 31, 2023 and 2022, respectively. The following table includes a summary of our mortgage borrowings outstanding as of December 31, 2023 and 2022 (dollars in millions). For additional details of our mortgage borrowings refer to Notes 2, 4 and 5 to our Consolidated Financial Statements in this Form 10-K.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65"/>
        </w:trPr>
        <w:tc>
          <w:tcPr>
            <w:tcW w:w="5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Mortgage Borrowings</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23"/>
        </w:trPr>
        <w:tc>
          <w:tcPr>
            <w:tcW w:w="5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Investment securities repurchase agreements </w:t>
            </w:r>
            <w:r>
              <w:rPr>
                <w:rFonts w:ascii="Times New Roman" w:cs="Times New Roman" w:eastAsia="Times New Roman" w:hAnsi="Times New Roman"/>
                <w:sz w:val="20"/>
                <w:szCs w:val="20"/>
                <w:color w:val="auto"/>
                <w:vertAlign w:val="superscript"/>
              </w:rPr>
              <w:t>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48,879</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57"/>
        </w:trPr>
        <w:tc>
          <w:tcPr>
            <w:tcW w:w="5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Debt of consolidated variable interest entities, at fair value </w:t>
            </w:r>
            <w:r>
              <w:rPr>
                <w:rFonts w:ascii="Times New Roman" w:cs="Times New Roman" w:eastAsia="Times New Roman" w:hAnsi="Times New Roman"/>
                <w:sz w:val="16"/>
                <w:szCs w:val="16"/>
                <w:color w:val="B4B4B4"/>
              </w:rPr>
              <w:t>.......................................</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74"/>
        </w:trPr>
        <w:tc>
          <w:tcPr>
            <w:tcW w:w="5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16"/>
                <w:szCs w:val="16"/>
                <w:color w:val="B4B4B4"/>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48,959</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306"/>
        </w:trPr>
        <w:tc>
          <w:tcPr>
            <w:tcW w:w="5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TBA and forward settling non-Agency securities, at cost</w:t>
            </w:r>
            <w:r>
              <w:rPr>
                <w:rFonts w:ascii="Times New Roman" w:cs="Times New Roman" w:eastAsia="Times New Roman" w:hAnsi="Times New Roman"/>
                <w:sz w:val="16"/>
                <w:szCs w:val="16"/>
                <w:color w:val="B4B4B4"/>
              </w:rPr>
              <w:t>...........................................</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5,288</w:t>
            </w: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18,407</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60"/>
        </w:trPr>
        <w:tc>
          <w:tcPr>
            <w:tcW w:w="5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Total mortgage borrowings </w:t>
            </w:r>
            <w:r>
              <w:rPr>
                <w:rFonts w:ascii="Times New Roman" w:cs="Times New Roman" w:eastAsia="Times New Roman" w:hAnsi="Times New Roman"/>
                <w:sz w:val="16"/>
                <w:szCs w:val="16"/>
                <w:color w:val="B4B4B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54,247</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54,409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________________________________</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-175895</wp:posOffset>
            </wp:positionV>
            <wp:extent cx="3051175" cy="762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7">
                      <a:extLst>
                        <a:ext uri="{28A0092B-C50C-407E-A947-70E740481C1C}"/>
                      </a:extLst>
                    </a:blip>
                    <a:srcRect/>
                    <a:stretch>
                      <a:fillRect/>
                    </a:stretch>
                  </pic:blipFill>
                  <pic:spPr bwMode="auto">
                    <a:xfrm>
                      <a:off x="0" y="0"/>
                      <a:ext cx="3051175" cy="76200"/>
                    </a:xfrm>
                    <a:prstGeom prst="rect">
                      <a:avLst/>
                    </a:prstGeom>
                    <a:noFill/>
                  </pic:spPr>
                </pic:pic>
              </a:graphicData>
            </a:graphic>
          </wp:anchor>
        </w:drawing>
      </w:r>
    </w:p>
    <w:p>
      <w:pPr>
        <w:ind w:left="720" w:right="20" w:hanging="370"/>
        <w:spacing w:after="0" w:line="199" w:lineRule="exact"/>
        <w:tabs>
          <w:tab w:leader="none" w:pos="720" w:val="left"/>
        </w:tabs>
        <w:numPr>
          <w:ilvl w:val="0"/>
          <w:numId w:val="49"/>
        </w:numPr>
        <w:rPr>
          <w:rFonts w:ascii="Malgun Gothic" w:cs="Malgun Gothic" w:eastAsia="Malgun Gothic" w:hAnsi="Malgun Gothic"/>
          <w:sz w:val="16"/>
          <w:szCs w:val="16"/>
          <w:b w:val="1"/>
          <w:bCs w:val="1"/>
          <w:color w:val="auto"/>
        </w:rPr>
      </w:pPr>
      <w:r>
        <w:rPr>
          <w:rFonts w:ascii="Times New Roman" w:cs="Times New Roman" w:eastAsia="Times New Roman" w:hAnsi="Times New Roman"/>
          <w:sz w:val="16"/>
          <w:szCs w:val="16"/>
          <w:color w:val="auto"/>
        </w:rPr>
        <w:t xml:space="preserve">Includes Agency RMBS, CRT and non-Agency MBS repurchase agreements. </w:t>
      </w:r>
      <w:r>
        <w:rPr>
          <w:rFonts w:ascii="Malgun Gothic" w:cs="Malgun Gothic" w:eastAsia="Malgun Gothic" w:hAnsi="Malgun Gothic"/>
          <w:sz w:val="16"/>
          <w:szCs w:val="16"/>
          <w:b w:val="1"/>
          <w:bCs w:val="1"/>
          <w:color w:val="auto"/>
        </w:rPr>
        <w:t>E</w:t>
      </w:r>
      <w:r>
        <w:rPr>
          <w:rFonts w:ascii="Times New Roman" w:cs="Times New Roman" w:eastAsia="Times New Roman" w:hAnsi="Times New Roman"/>
          <w:sz w:val="16"/>
          <w:szCs w:val="16"/>
          <w:color w:val="auto"/>
        </w:rPr>
        <w:t>xcludes U.S. Treasury repurchase agreements totaling $1,547 million and $355 million as of December 31, 2023 and 2022, respectively.</w:t>
      </w:r>
    </w:p>
    <w:p>
      <w:pPr>
        <w:spacing w:after="0" w:line="1" w:lineRule="exact"/>
        <w:rPr>
          <w:rFonts w:ascii="Malgun Gothic" w:cs="Malgun Gothic" w:eastAsia="Malgun Gothic" w:hAnsi="Malgun Gothic"/>
          <w:sz w:val="16"/>
          <w:szCs w:val="16"/>
          <w:b w:val="1"/>
          <w:bCs w:val="1"/>
          <w:color w:val="auto"/>
        </w:rPr>
      </w:pPr>
    </w:p>
    <w:p>
      <w:pPr>
        <w:ind w:left="720" w:right="20" w:hanging="370"/>
        <w:spacing w:after="0" w:line="259" w:lineRule="auto"/>
        <w:tabs>
          <w:tab w:leader="none" w:pos="7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and 2022, 43% and 48%, respectively, of our total repurchase agreements, including 45% and 48% or our investment securities repurchase agreements, respectively, were funded through the Fixed Income Clearing Corporation's GCF Repo service.</w:t>
      </w:r>
    </w:p>
    <w:p>
      <w:pPr>
        <w:spacing w:after="0" w:line="137"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suitable maturity profile and utilization of interest rate hedging strategies. We also use TBA dollar roll transactions as a means of synthetically financing Agency RMBS.</w:t>
      </w:r>
    </w:p>
    <w:p>
      <w:pPr>
        <w:spacing w:after="0" w:line="150" w:lineRule="exact"/>
        <w:rPr>
          <w:sz w:val="20"/>
          <w:szCs w:val="20"/>
          <w:color w:val="auto"/>
        </w:rPr>
      </w:pPr>
    </w:p>
    <w:p>
      <w:pPr>
        <w:jc w:val="both"/>
        <w:ind w:right="20" w:firstLine="495"/>
        <w:spacing w:after="0" w:line="255" w:lineRule="auto"/>
        <w:rPr>
          <w:sz w:val="20"/>
          <w:szCs w:val="20"/>
          <w:color w:val="auto"/>
        </w:rPr>
      </w:pPr>
      <w:r>
        <w:rPr>
          <w:rFonts w:ascii="Times New Roman" w:cs="Times New Roman" w:eastAsia="Times New Roman" w:hAnsi="Times New Roman"/>
          <w:sz w:val="20"/>
          <w:szCs w:val="20"/>
          <w:color w:val="auto"/>
        </w:rPr>
        <w:t>The terms and conditions of our repurchase agreements are determined on a transaction-by-transaction basis when each such borrowing is initiated or renewed and, in the case of GCF Repo, by the prevailing margin requirements calculated by the FICC, which acts as the central counterparty. The amount borrowed is generally equal to the fair value of the securities pledged, as determined by the lending counterparty, less an assessed discount, referred to as a "haircut," that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50" w:lineRule="exact"/>
        <w:rPr>
          <w:sz w:val="20"/>
          <w:szCs w:val="20"/>
          <w:color w:val="auto"/>
        </w:rPr>
      </w:pPr>
    </w:p>
    <w:p>
      <w:pPr>
        <w:jc w:val="both"/>
        <w:ind w:right="20" w:firstLine="495"/>
        <w:spacing w:after="0" w:line="256" w:lineRule="auto"/>
        <w:rPr>
          <w:sz w:val="20"/>
          <w:szCs w:val="20"/>
          <w:color w:val="auto"/>
        </w:rPr>
      </w:pPr>
      <w:r>
        <w:rPr>
          <w:rFonts w:ascii="Times New Roman" w:cs="Times New Roman" w:eastAsia="Times New Roman" w:hAnsi="Times New Roman"/>
          <w:sz w:val="20"/>
          <w:szCs w:val="20"/>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TBA dollar roll transactions may also have a lower implied cost of funds than comparable repo funded transactions (referred to as "dollar roll specialness") offering incremental return potential.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260"/>
          </w:cols>
          <w:pgMar w:left="1000" w:top="786" w:right="98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i w:val="1"/>
          <w:iCs w:val="1"/>
          <w:color w:val="auto"/>
        </w:rPr>
        <w:t>Collateral Requirements and Unencumbered Assets</w:t>
      </w:r>
    </w:p>
    <w:p>
      <w:pPr>
        <w:spacing w:after="0" w:line="199"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20"/>
          <w:szCs w:val="20"/>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48" w:lineRule="exact"/>
        <w:rPr>
          <w:sz w:val="20"/>
          <w:szCs w:val="20"/>
          <w:color w:val="auto"/>
        </w:rPr>
      </w:pPr>
    </w:p>
    <w:p>
      <w:pPr>
        <w:jc w:val="both"/>
        <w:ind w:right="20" w:firstLine="495"/>
        <w:spacing w:after="0" w:line="254" w:lineRule="auto"/>
        <w:rPr>
          <w:sz w:val="20"/>
          <w:szCs w:val="20"/>
          <w:color w:val="auto"/>
        </w:rPr>
      </w:pPr>
      <w:r>
        <w:rPr>
          <w:rFonts w:ascii="Times New Roman" w:cs="Times New Roman" w:eastAsia="Times New Roman" w:hAnsi="Times New Roman"/>
          <w:sz w:val="20"/>
          <w:szCs w:val="20"/>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December 31, 2023, we had met all our margin requirements.</w:t>
      </w:r>
    </w:p>
    <w:p>
      <w:pPr>
        <w:spacing w:after="0" w:line="149"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20"/>
          <w:szCs w:val="20"/>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December 31, 2023, approximately 9% of our investment portfolio consisted of TBA securities, which are not subject to monthly principal pay-downs. The remainder of our portfolio primarily consisted of Agency RMBS, which had an average one-year CPR forecast of 9%.</w:t>
      </w:r>
    </w:p>
    <w:p>
      <w:pPr>
        <w:spacing w:after="0" w:line="151" w:lineRule="exact"/>
        <w:rPr>
          <w:sz w:val="20"/>
          <w:szCs w:val="20"/>
          <w:color w:val="auto"/>
        </w:rPr>
      </w:pPr>
    </w:p>
    <w:p>
      <w:pPr>
        <w:jc w:val="both"/>
        <w:ind w:right="20" w:firstLine="495"/>
        <w:spacing w:after="0" w:line="253" w:lineRule="auto"/>
        <w:rPr>
          <w:sz w:val="20"/>
          <w:szCs w:val="20"/>
          <w:color w:val="auto"/>
        </w:rPr>
      </w:pPr>
      <w:r>
        <w:rPr>
          <w:rFonts w:ascii="Times New Roman" w:cs="Times New Roman" w:eastAsia="Times New Roman" w:hAnsi="Times New Roman"/>
          <w:sz w:val="20"/>
          <w:szCs w:val="20"/>
          <w:color w:val="auto"/>
        </w:rPr>
        <w:t>Collateral requirements under our derivative agreements are subject to our counterparties' assessment of their maximum risk of loss associated with the derivative instrument, referred to as the initial or minimum margin requirement, and may be adjusted based on changes in market volatility and other factors.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56" w:lineRule="exact"/>
        <w:rPr>
          <w:sz w:val="20"/>
          <w:szCs w:val="20"/>
          <w:color w:val="auto"/>
        </w:rPr>
      </w:pPr>
    </w:p>
    <w:p>
      <w:pPr>
        <w:jc w:val="both"/>
        <w:ind w:right="20" w:firstLine="495"/>
        <w:spacing w:after="0" w:line="260" w:lineRule="auto"/>
        <w:rPr>
          <w:sz w:val="20"/>
          <w:szCs w:val="20"/>
          <w:color w:val="auto"/>
        </w:rPr>
      </w:pPr>
      <w:r>
        <w:rPr>
          <w:rFonts w:ascii="Times New Roman" w:cs="Times New Roman" w:eastAsia="Times New Roman" w:hAnsi="Times New Roman"/>
          <w:sz w:val="20"/>
          <w:szCs w:val="20"/>
          <w:color w:val="auto"/>
        </w:rPr>
        <w:t>Haircut levels and minimum margin requirements imposed by our counterparties reduce the amount of our unencumbered assets and limit the amount we can borrow against our investment securities. During the fiscal year 2023, haircuts on our repo funding arrangements remained stable. As of December 31, 2023, the weighted average haircut on our repurchase agreements was approximately 3.1% of the value of our collateral, compared to 3.7% as of December 31, 2022.</w:t>
      </w:r>
    </w:p>
    <w:p>
      <w:pPr>
        <w:spacing w:after="0" w:line="143" w:lineRule="exact"/>
        <w:rPr>
          <w:sz w:val="20"/>
          <w:szCs w:val="20"/>
          <w:color w:val="auto"/>
        </w:rPr>
      </w:pPr>
    </w:p>
    <w:p>
      <w:pPr>
        <w:jc w:val="both"/>
        <w:ind w:right="20" w:firstLine="495"/>
        <w:spacing w:after="0" w:line="256" w:lineRule="auto"/>
        <w:rPr>
          <w:sz w:val="20"/>
          <w:szCs w:val="20"/>
          <w:color w:val="auto"/>
        </w:rPr>
      </w:pPr>
      <w:r>
        <w:rPr>
          <w:rFonts w:ascii="Times New Roman" w:cs="Times New Roman" w:eastAsia="Times New Roman" w:hAnsi="Times New Roman"/>
          <w:sz w:val="20"/>
          <w:szCs w:val="20"/>
          <w:color w:val="auto"/>
        </w:rPr>
        <w:t>To mitigate the risk of margins calls, we seek to maintain excess liquidity by holding unencumbered liquid assets that can be used to satisfy collateral requirements, collateralize additional borrowings or sold for cash. As of December 31, 2023, our unencumbered assets totaled approximately $5.2 billion, or 67% of tangible equity, consisting of $5.1 billion of unencumbered cash and Agency RMBS and $0.1 billion of unencumbered credit assets. This compares to $4.4 billion of unencumbered assets, or 60% of tangible equity, as of December 31, 2022, consisting of $4.3 billion of unencumbered cash and Agency RMBS and $0.1 billion of unencumbered credit assets.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Counterparty Risk</w:t>
      </w:r>
    </w:p>
    <w:p>
      <w:pPr>
        <w:spacing w:after="0" w:line="199" w:lineRule="exact"/>
        <w:rPr>
          <w:sz w:val="20"/>
          <w:szCs w:val="20"/>
          <w:color w:val="auto"/>
        </w:rPr>
      </w:pPr>
    </w:p>
    <w:p>
      <w:pPr>
        <w:jc w:val="both"/>
        <w:ind w:right="20" w:firstLine="495"/>
        <w:spacing w:after="0" w:line="260" w:lineRule="auto"/>
        <w:rPr>
          <w:sz w:val="20"/>
          <w:szCs w:val="20"/>
          <w:color w:val="auto"/>
        </w:rPr>
      </w:pPr>
      <w:r>
        <w:rPr>
          <w:rFonts w:ascii="Times New Roman" w:cs="Times New Roman" w:eastAsia="Times New Roman" w:hAnsi="Times New Roman"/>
          <w:sz w:val="20"/>
          <w:szCs w:val="20"/>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ectPr>
          <w:pgSz w:w="12240" w:h="15840" w:orient="portrait"/>
          <w:cols w:equalWidth="0" w:num="1">
            <w:col w:w="10260"/>
          </w:cols>
          <w:pgMar w:left="1000" w:top="784" w:right="980" w:bottom="0" w:gutter="0" w:footer="0" w:header="0"/>
        </w:sect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260"/>
          </w:cols>
          <w:pgMar w:left="1000" w:top="784" w:right="980" w:bottom="0" w:gutter="0" w:footer="0" w:header="0"/>
          <w:type w:val="continuous"/>
        </w:sectPr>
      </w:pPr>
    </w:p>
    <w:bookmarkStart w:id="52" w:name="page53"/>
    <w:bookmarkEnd w:id="52"/>
    <w:p>
      <w:pPr>
        <w:jc w:val="both"/>
        <w:ind w:right="20" w:firstLine="495"/>
        <w:spacing w:after="0" w:line="255" w:lineRule="auto"/>
        <w:rPr>
          <w:sz w:val="20"/>
          <w:szCs w:val="20"/>
          <w:color w:val="auto"/>
        </w:rPr>
      </w:pPr>
      <w:r>
        <w:rPr>
          <w:rFonts w:ascii="Times New Roman" w:cs="Times New Roman" w:eastAsia="Times New Roman" w:hAnsi="Times New Roman"/>
          <w:sz w:val="20"/>
          <w:szCs w:val="20"/>
          <w:color w:val="auto"/>
        </w:rPr>
        <w:t>As of December 31, 2023, our maximum amount at risk (or the excess/shortfall of the value of collateral pledged/ received over our repurchase agreement liabilities/reverse repurchase agreement receivables) with any of our repurchase agreement counterparties, excluding the FICC, was less than 3% of our tangible stockholders' equity, with our top five repo counterparties, excluding the FICC, representing approximately 7% of our tangible stockholders' equity. As of December 31, 2023, less than 7% of our tangible stockholder's equity was at risk with the FICC. Excluding central clearing exchanges, as of December 31, 2023, our amount at risk with any counterparty to our derivative agreements was less than 1% of our stockholders' equity.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Sales</w:t>
      </w:r>
    </w:p>
    <w:p>
      <w:pPr>
        <w:spacing w:after="0" w:line="199" w:lineRule="exact"/>
        <w:rPr>
          <w:sz w:val="20"/>
          <w:szCs w:val="20"/>
          <w:color w:val="auto"/>
        </w:rPr>
      </w:pPr>
    </w:p>
    <w:p>
      <w:pPr>
        <w:jc w:val="both"/>
        <w:ind w:right="20" w:firstLine="495"/>
        <w:spacing w:after="0" w:line="254" w:lineRule="auto"/>
        <w:rPr>
          <w:sz w:val="20"/>
          <w:szCs w:val="20"/>
          <w:color w:val="auto"/>
        </w:rPr>
      </w:pPr>
      <w:r>
        <w:rPr>
          <w:rFonts w:ascii="Times New Roman" w:cs="Times New Roman" w:eastAsia="Times New Roman" w:hAnsi="Times New Roman"/>
          <w:sz w:val="20"/>
          <w:szCs w:val="20"/>
          <w:color w:val="auto"/>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Times New Roman" w:cs="Times New Roman" w:eastAsia="Times New Roman" w:hAnsi="Times New Roman"/>
          <w:sz w:val="20"/>
          <w:szCs w:val="20"/>
          <w:b w:val="1"/>
          <w:bCs w:val="1"/>
          <w:i w:val="1"/>
          <w:iCs w:val="1"/>
          <w:color w:val="auto"/>
        </w:rPr>
        <w:t>Trends and Recent Market Impacts</w:t>
      </w:r>
      <w:r>
        <w:rPr>
          <w:rFonts w:ascii="Times New Roman" w:cs="Times New Roman" w:eastAsia="Times New Roman" w:hAnsi="Times New Roman"/>
          <w:sz w:val="20"/>
          <w:szCs w:val="20"/>
          <w:color w:val="auto"/>
        </w:rPr>
        <w:t xml:space="preserve"> of this Management Discussion and Analysis for further information regarding Agency RMBS and TBA market conditions.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Markets</w:t>
      </w:r>
    </w:p>
    <w:p>
      <w:pPr>
        <w:spacing w:after="0" w:line="199" w:lineRule="exact"/>
        <w:rPr>
          <w:sz w:val="20"/>
          <w:szCs w:val="20"/>
          <w:color w:val="auto"/>
        </w:rPr>
      </w:pPr>
    </w:p>
    <w:p>
      <w:pPr>
        <w:jc w:val="both"/>
        <w:ind w:right="20" w:firstLine="495"/>
        <w:spacing w:after="0" w:line="254" w:lineRule="auto"/>
        <w:rPr>
          <w:sz w:val="20"/>
          <w:szCs w:val="20"/>
          <w:color w:val="auto"/>
        </w:rPr>
      </w:pPr>
      <w:r>
        <w:rPr>
          <w:rFonts w:ascii="Times New Roman" w:cs="Times New Roman" w:eastAsia="Times New Roman" w:hAnsi="Times New Roman"/>
          <w:sz w:val="20"/>
          <w:szCs w:val="20"/>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Furthermore, when the trading price of our common stock is less than our estimate of our current tangible net book value per common share, among other conditions, we may repurchase shares of our common stock. Please refer to Note 9 of our Consolidated Financial Statements in this Form 10-K for further details regarding our recent equity capital transactions, if 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197" w:lineRule="exact"/>
        <w:rPr>
          <w:sz w:val="20"/>
          <w:szCs w:val="20"/>
          <w:color w:val="auto"/>
        </w:rPr>
      </w:pPr>
    </w:p>
    <w:p>
      <w:pPr>
        <w:jc w:val="both"/>
        <w:ind w:right="20" w:firstLine="495"/>
        <w:spacing w:after="0" w:line="260" w:lineRule="auto"/>
        <w:rPr>
          <w:sz w:val="20"/>
          <w:szCs w:val="20"/>
          <w:color w:val="auto"/>
        </w:rPr>
      </w:pPr>
      <w:r>
        <w:rPr>
          <w:rFonts w:ascii="Times New Roman" w:cs="Times New Roman" w:eastAsia="Times New Roman" w:hAnsi="Times New Roman"/>
          <w:sz w:val="20"/>
          <w:szCs w:val="20"/>
          <w:color w:val="auto"/>
        </w:rPr>
        <w:t>As of December 31, 2023,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December 31, 2023, we had not guaranteed obligations of unconsolidated entities or entered into a commitment or intent to provide funding to such entities.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97"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The statements contained in this Annual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148"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Forward-looking statements are based on management’s assumptions, projections and beliefs as of the date of this Annual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83" w:lineRule="exact"/>
        <w:rPr>
          <w:sz w:val="20"/>
          <w:szCs w:val="20"/>
          <w:color w:val="auto"/>
        </w:rPr>
      </w:pPr>
    </w:p>
    <w:p>
      <w:pPr>
        <w:ind w:left="720" w:right="20" w:hanging="280"/>
        <w:spacing w:after="0" w:line="281"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U.S. monetary policy or interest rates, including actions taken by the Federal Reserve to normalize monetary policy and to reduce the size of its U.S. Treasury and Agency RMBS bond portfolio;</w:t>
      </w:r>
    </w:p>
    <w:p>
      <w:pPr>
        <w:spacing w:after="0" w:line="1"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yield curve;</w:t>
      </w:r>
    </w:p>
    <w:p>
      <w:pPr>
        <w:spacing w:after="0" w:line="3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50"/>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the level, degree and extent of volatility in interest rates or the yield on our assets relative to interest rate benchmarks;</w:t>
      </w:r>
    </w:p>
    <w:p>
      <w:pPr>
        <w:spacing w:after="0" w:line="32" w:lineRule="exact"/>
        <w:rPr>
          <w:rFonts w:ascii="Arial" w:cs="Arial" w:eastAsia="Arial" w:hAnsi="Arial"/>
          <w:sz w:val="24"/>
          <w:szCs w:val="24"/>
          <w:b w:val="1"/>
          <w:bCs w:val="1"/>
          <w:color w:val="auto"/>
        </w:rPr>
      </w:pPr>
    </w:p>
    <w:p>
      <w:pPr>
        <w:ind w:left="720" w:hanging="28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mortgage prepayment rates on the loans underlying our Agency RMBS;</w:t>
      </w:r>
    </w:p>
    <w:p>
      <w:pPr>
        <w:spacing w:after="0" w:line="70"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and terms of financing and our hedge positions;</w:t>
      </w:r>
    </w:p>
    <w:p>
      <w:pPr>
        <w:spacing w:after="0" w:line="70" w:lineRule="exact"/>
        <w:rPr>
          <w:rFonts w:ascii="Times New Roman" w:cs="Times New Roman" w:eastAsia="Times New Roman" w:hAnsi="Times New Roman"/>
          <w:sz w:val="20"/>
          <w:szCs w:val="20"/>
          <w:color w:val="auto"/>
        </w:rPr>
      </w:pPr>
    </w:p>
    <w:p>
      <w:pPr>
        <w:ind w:left="720" w:right="20" w:hanging="280"/>
        <w:spacing w:after="0" w:line="281"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 value of our assets, including from changes in net interest spreads, market liquidity or depth, and changes in our "at risk" leverage or hedge positions;</w:t>
      </w:r>
    </w:p>
    <w:p>
      <w:pPr>
        <w:spacing w:after="0" w:line="1" w:lineRule="exact"/>
        <w:rPr>
          <w:rFonts w:ascii="Times New Roman" w:cs="Times New Roman" w:eastAsia="Times New Roman" w:hAnsi="Times New Roman"/>
          <w:sz w:val="20"/>
          <w:szCs w:val="20"/>
          <w:color w:val="auto"/>
        </w:rPr>
      </w:pPr>
    </w:p>
    <w:p>
      <w:pPr>
        <w:ind w:left="720" w:hanging="280"/>
        <w:spacing w:after="0"/>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our risk mitigation strategies;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260"/>
          </w:cols>
          <w:pgMar w:left="1000" w:top="793" w:right="980" w:bottom="0" w:gutter="0" w:footer="0" w:header="0"/>
          <w:type w:val="continuous"/>
        </w:sectPr>
      </w:pPr>
    </w:p>
    <w:bookmarkStart w:id="53" w:name="page54"/>
    <w:bookmarkEnd w:id="53"/>
    <w:p>
      <w:pPr>
        <w:ind w:left="720" w:right="20" w:hanging="280"/>
        <w:spacing w:after="0" w:line="265"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in the market for Agency RMBS and other mortgage securities, including changes in the available supply of such securities or investor appetite therefor;</w:t>
      </w:r>
    </w:p>
    <w:p>
      <w:pPr>
        <w:ind w:left="720" w:hanging="280"/>
        <w:spacing w:after="0"/>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by the federal, state, or local governments that affect the economy, the housing sector or financial markets;</w:t>
      </w:r>
    </w:p>
    <w:p>
      <w:pPr>
        <w:spacing w:after="0" w:line="70" w:lineRule="exact"/>
        <w:rPr>
          <w:rFonts w:ascii="Times New Roman" w:cs="Times New Roman" w:eastAsia="Times New Roman" w:hAnsi="Times New Roman"/>
          <w:sz w:val="20"/>
          <w:szCs w:val="20"/>
          <w:color w:val="auto"/>
        </w:rPr>
      </w:pPr>
    </w:p>
    <w:p>
      <w:pPr>
        <w:jc w:val="both"/>
        <w:ind w:left="720" w:hanging="280"/>
        <w:spacing w:after="0" w:line="257"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or indirect effects of geopolitical events, including war, terrorism, civil discord, embargos, trade or other disputes, or natural disasters, on conditions in the markets for Agency RMBS or other mortgage securities, the terms or availability of funding for our business, or our ongoing business operations;</w:t>
      </w:r>
    </w:p>
    <w:p>
      <w:pPr>
        <w:spacing w:after="0" w:line="1" w:lineRule="exact"/>
        <w:rPr>
          <w:rFonts w:ascii="Times New Roman" w:cs="Times New Roman" w:eastAsia="Times New Roman" w:hAnsi="Times New Roman"/>
          <w:sz w:val="20"/>
          <w:szCs w:val="20"/>
          <w:color w:val="auto"/>
        </w:rPr>
      </w:pPr>
    </w:p>
    <w:p>
      <w:pPr>
        <w:ind w:left="720" w:right="840" w:hanging="280"/>
        <w:spacing w:after="0" w:line="244"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personnel, operational resources, information technology and other systems to conduct our operations;</w:t>
      </w:r>
    </w:p>
    <w:p>
      <w:pPr>
        <w:spacing w:after="0" w:line="20" w:lineRule="exact"/>
        <w:rPr>
          <w:rFonts w:ascii="Times New Roman" w:cs="Times New Roman" w:eastAsia="Times New Roman" w:hAnsi="Times New Roman"/>
          <w:sz w:val="20"/>
          <w:szCs w:val="20"/>
          <w:color w:val="auto"/>
        </w:rPr>
      </w:pPr>
    </w:p>
    <w:p>
      <w:pPr>
        <w:ind w:left="720" w:right="20" w:hanging="280"/>
        <w:spacing w:after="0" w:line="281"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laws, regulations, rules or policies that affect U.S. housing finance activity, the GSE's or the markets for Agency RMBS; and</w:t>
      </w:r>
    </w:p>
    <w:p>
      <w:pPr>
        <w:spacing w:after="0" w:line="1" w:lineRule="exact"/>
        <w:rPr>
          <w:rFonts w:ascii="Times New Roman" w:cs="Times New Roman" w:eastAsia="Times New Roman" w:hAnsi="Times New Roman"/>
          <w:sz w:val="20"/>
          <w:szCs w:val="20"/>
          <w:color w:val="auto"/>
        </w:rPr>
      </w:pPr>
    </w:p>
    <w:p>
      <w:pPr>
        <w:ind w:left="720" w:right="20" w:hanging="280"/>
        <w:spacing w:after="0" w:line="281"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legislative or regulatory changes that affect our status as a REIT, our exemption from the Investment Company Act of 1940 or the mortgage markets in which we participate.</w:t>
      </w:r>
    </w:p>
    <w:p>
      <w:pPr>
        <w:spacing w:after="0" w:line="121" w:lineRule="exact"/>
        <w:rPr>
          <w:sz w:val="20"/>
          <w:szCs w:val="20"/>
          <w:color w:val="auto"/>
        </w:rPr>
      </w:pPr>
    </w:p>
    <w:p>
      <w:pPr>
        <w:jc w:val="both"/>
        <w:ind w:right="20" w:firstLine="450"/>
        <w:spacing w:after="0" w:line="260" w:lineRule="auto"/>
        <w:rPr>
          <w:sz w:val="20"/>
          <w:szCs w:val="20"/>
          <w:color w:val="auto"/>
        </w:rPr>
      </w:pPr>
      <w:r>
        <w:rPr>
          <w:rFonts w:ascii="Times New Roman" w:cs="Times New Roman" w:eastAsia="Times New Roman" w:hAnsi="Times New Roman"/>
          <w:sz w:val="20"/>
          <w:szCs w:val="20"/>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this document under Item 1A.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 We caution readers not to place undue reliance on our forward-looking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7A. </w:t>
      </w:r>
      <w:r>
        <w:rPr>
          <w:rFonts w:ascii="Times New Roman" w:cs="Times New Roman" w:eastAsia="Times New Roman" w:hAnsi="Times New Roman"/>
          <w:sz w:val="20"/>
          <w:szCs w:val="20"/>
          <w:b w:val="1"/>
          <w:bCs w:val="1"/>
          <w:i w:val="1"/>
          <w:iCs w:val="1"/>
          <w:color w:val="auto"/>
        </w:rPr>
        <w:t>Quantitative and Qualitative Disclosures about Market Risk</w:t>
      </w:r>
    </w:p>
    <w:p>
      <w:pPr>
        <w:spacing w:after="0" w:line="199" w:lineRule="exact"/>
        <w:rPr>
          <w:sz w:val="20"/>
          <w:szCs w:val="20"/>
          <w:color w:val="auto"/>
        </w:rPr>
      </w:pPr>
    </w:p>
    <w:p>
      <w:pPr>
        <w:jc w:val="both"/>
        <w:ind w:right="20" w:firstLine="495"/>
        <w:spacing w:after="0" w:line="266" w:lineRule="auto"/>
        <w:rPr>
          <w:sz w:val="20"/>
          <w:szCs w:val="20"/>
          <w:color w:val="auto"/>
        </w:rPr>
      </w:pPr>
      <w:r>
        <w:rPr>
          <w:rFonts w:ascii="Times New Roman" w:cs="Times New Roman" w:eastAsia="Times New Roman" w:hAnsi="Times New Roman"/>
          <w:sz w:val="20"/>
          <w:szCs w:val="20"/>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99" w:lineRule="exact"/>
        <w:rPr>
          <w:sz w:val="20"/>
          <w:szCs w:val="20"/>
          <w:color w:val="auto"/>
        </w:rPr>
      </w:pPr>
    </w:p>
    <w:p>
      <w:pPr>
        <w:jc w:val="both"/>
        <w:ind w:right="20" w:firstLine="495"/>
        <w:spacing w:after="0" w:line="255" w:lineRule="auto"/>
        <w:rPr>
          <w:sz w:val="20"/>
          <w:szCs w:val="20"/>
          <w:color w:val="auto"/>
        </w:rPr>
      </w:pPr>
      <w:r>
        <w:rPr>
          <w:rFonts w:ascii="Times New Roman" w:cs="Times New Roman" w:eastAsia="Times New Roman" w:hAnsi="Times New Roman"/>
          <w:sz w:val="20"/>
          <w:szCs w:val="20"/>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50" w:lineRule="exact"/>
        <w:rPr>
          <w:sz w:val="20"/>
          <w:szCs w:val="20"/>
          <w:color w:val="auto"/>
        </w:rPr>
      </w:pPr>
    </w:p>
    <w:p>
      <w:pPr>
        <w:jc w:val="both"/>
        <w:ind w:right="20" w:firstLine="495"/>
        <w:spacing w:after="0" w:line="254" w:lineRule="auto"/>
        <w:rPr>
          <w:sz w:val="20"/>
          <w:szCs w:val="20"/>
          <w:color w:val="auto"/>
        </w:rPr>
      </w:pPr>
      <w:r>
        <w:rPr>
          <w:rFonts w:ascii="Times New Roman" w:cs="Times New Roman" w:eastAsia="Times New Roman" w:hAnsi="Times New Roman"/>
          <w:sz w:val="20"/>
          <w:szCs w:val="20"/>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53"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50"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20"/>
          <w:szCs w:val="20"/>
          <w:color w:val="auto"/>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 Our estimated duration gap, which is a measure of the difference between the interest rate sensitivity of our assets and our liabilities, inclusive of interest rate hedges, was -0.5 years as of December 31, 2023, compared to 0.4 years as of 2022.</w:t>
      </w:r>
    </w:p>
    <w:p>
      <w:pPr>
        <w:spacing w:after="0" w:line="144"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20"/>
          <w:szCs w:val="20"/>
          <w:color w:val="auto"/>
        </w:rPr>
        <w:t>The table below quantifies the estimated changes in the fair value of our investment portfolio (including derivatives and other securities used for hedging purposes) and in our tangible net book value per common share as of December 31, 2023 and 2022 should interest rates go up or down by 25, 50 and 75 basis points, assuming instantaneous parallel shifts in the yield curve</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260"/>
          </w:cols>
          <w:pgMar w:left="1000" w:top="793" w:right="980" w:bottom="0" w:gutter="0" w:footer="0" w:header="0"/>
          <w:type w:val="continuous"/>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20"/>
          <w:szCs w:val="20"/>
          <w:color w:val="auto"/>
        </w:rPr>
        <w:t>and including the impact of both duration and convexity. All values in the table below are measured as percentage changes from the base interest rate scenario. The base interest rate scenario assumes interest rates and prepayment projections as of December 31, 2023 and 2022.</w:t>
      </w:r>
    </w:p>
    <w:p>
      <w:pPr>
        <w:spacing w:after="0" w:line="135" w:lineRule="exact"/>
        <w:rPr>
          <w:sz w:val="20"/>
          <w:szCs w:val="20"/>
          <w:color w:val="auto"/>
        </w:rPr>
      </w:pPr>
    </w:p>
    <w:p>
      <w:pPr>
        <w:jc w:val="both"/>
        <w:ind w:right="20" w:firstLine="495"/>
        <w:spacing w:after="0" w:line="258" w:lineRule="auto"/>
        <w:rPr>
          <w:sz w:val="20"/>
          <w:szCs w:val="20"/>
          <w:color w:val="auto"/>
        </w:rPr>
      </w:pPr>
      <w:r>
        <w:rPr>
          <w:rFonts w:ascii="Times New Roman" w:cs="Times New Roman" w:eastAsia="Times New Roman" w:hAnsi="Times New Roman"/>
          <w:sz w:val="20"/>
          <w:szCs w:val="20"/>
          <w:color w:val="auto"/>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 xml:space="preserve">Interest Rate Sensitivity </w:t>
      </w:r>
      <w:r>
        <w:rPr>
          <w:rFonts w:ascii="Times New Roman" w:cs="Times New Roman" w:eastAsia="Times New Roman" w:hAnsi="Times New Roman"/>
          <w:sz w:val="20"/>
          <w:szCs w:val="20"/>
          <w:b w:val="1"/>
          <w:bCs w:val="1"/>
          <w:color w:val="auto"/>
          <w:vertAlign w:val="superscript"/>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712470</wp:posOffset>
                </wp:positionH>
                <wp:positionV relativeFrom="paragraph">
                  <wp:posOffset>7620</wp:posOffset>
                </wp:positionV>
                <wp:extent cx="507682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76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1pt,0.6pt" to="455.85pt,0.6pt" o:allowincell="f" strokecolor="#000000" strokeweight="1pt"/>
            </w:pict>
          </mc:Fallback>
        </mc:AlternateContent>
      </w:r>
    </w:p>
    <w:p>
      <w:pPr>
        <w:spacing w:after="0" w:line="26"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8"/>
                <w:szCs w:val="18"/>
                <w:color w:val="auto"/>
              </w:rPr>
            </w:pPr>
          </w:p>
        </w:tc>
        <w:tc>
          <w:tcPr>
            <w:tcW w:w="25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2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Change in</w:t>
            </w:r>
          </w:p>
        </w:tc>
        <w:tc>
          <w:tcPr>
            <w:tcW w:w="1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Change in</w:t>
            </w: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Change in</w:t>
            </w:r>
          </w:p>
        </w:tc>
        <w:tc>
          <w:tcPr>
            <w:tcW w:w="6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Tangible Net</w:t>
            </w:r>
          </w:p>
        </w:tc>
        <w:tc>
          <w:tcPr>
            <w:tcW w:w="12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Change in</w:t>
            </w:r>
          </w:p>
        </w:tc>
        <w:tc>
          <w:tcPr>
            <w:tcW w:w="8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Tangible Net</w:t>
            </w:r>
          </w:p>
        </w:tc>
        <w:tc>
          <w:tcPr>
            <w:tcW w:w="0" w:type="dxa"/>
            <w:vAlign w:val="bottom"/>
          </w:tcPr>
          <w:p>
            <w:pPr>
              <w:spacing w:after="0"/>
              <w:rPr>
                <w:sz w:val="1"/>
                <w:szCs w:val="1"/>
                <w:color w:val="auto"/>
              </w:rPr>
            </w:pPr>
          </w:p>
        </w:tc>
      </w:tr>
      <w:tr>
        <w:trPr>
          <w:trHeight w:val="160"/>
        </w:trPr>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 in Interest Rate</w:t>
            </w:r>
          </w:p>
        </w:tc>
        <w:tc>
          <w:tcPr>
            <w:tcW w:w="120" w:type="dxa"/>
            <w:vAlign w:val="bottom"/>
            <w:vMerge w:val="restart"/>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Portfolio</w:t>
            </w:r>
          </w:p>
        </w:tc>
        <w:tc>
          <w:tcPr>
            <w:tcW w:w="6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Book Value Per</w:t>
            </w:r>
          </w:p>
        </w:tc>
        <w:tc>
          <w:tcPr>
            <w:tcW w:w="12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Portfolio</w:t>
            </w:r>
          </w:p>
        </w:tc>
        <w:tc>
          <w:tcPr>
            <w:tcW w:w="8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Book Value Per</w:t>
            </w:r>
          </w:p>
        </w:tc>
        <w:tc>
          <w:tcPr>
            <w:tcW w:w="0" w:type="dxa"/>
            <w:vAlign w:val="bottom"/>
          </w:tcPr>
          <w:p>
            <w:pPr>
              <w:spacing w:after="0"/>
              <w:rPr>
                <w:sz w:val="1"/>
                <w:szCs w:val="1"/>
                <w:color w:val="auto"/>
              </w:rPr>
            </w:pPr>
          </w:p>
        </w:tc>
      </w:tr>
      <w:tr>
        <w:trPr>
          <w:trHeight w:val="214"/>
        </w:trPr>
        <w:tc>
          <w:tcPr>
            <w:tcW w:w="27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Value</w:t>
            </w:r>
          </w:p>
        </w:tc>
        <w:tc>
          <w:tcPr>
            <w:tcW w:w="6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Market Value</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0" w:type="dxa"/>
            <w:vAlign w:val="bottom"/>
          </w:tcPr>
          <w:p>
            <w:pPr>
              <w:spacing w:after="0"/>
              <w:rPr>
                <w:sz w:val="1"/>
                <w:szCs w:val="1"/>
                <w:color w:val="auto"/>
              </w:rPr>
            </w:pPr>
          </w:p>
        </w:tc>
      </w:tr>
      <w:tr>
        <w:trPr>
          <w:trHeight w:val="274"/>
        </w:trPr>
        <w:tc>
          <w:tcPr>
            <w:tcW w:w="28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-75 Basis Points</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w:t>
            </w:r>
          </w:p>
        </w:tc>
        <w:tc>
          <w:tcPr>
            <w:tcW w:w="12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8"/>
              </w:rPr>
              <w:t>-7.0%</w:t>
            </w:r>
          </w:p>
        </w:tc>
        <w:tc>
          <w:tcPr>
            <w:tcW w:w="13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+0.1%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300"/>
        </w:trPr>
        <w:tc>
          <w:tcPr>
            <w:tcW w:w="28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-50 Basis Points</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-0.4%</w:t>
            </w:r>
          </w:p>
        </w:tc>
        <w:tc>
          <w:tcPr>
            <w:tcW w:w="12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8"/>
              </w:rPr>
              <w:t>-3.8%</w:t>
            </w:r>
          </w:p>
        </w:tc>
        <w:tc>
          <w:tcPr>
            <w:tcW w:w="13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+0.1%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300"/>
        </w:trPr>
        <w:tc>
          <w:tcPr>
            <w:tcW w:w="28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-25 Basis Points</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w:t>
            </w:r>
          </w:p>
        </w:tc>
        <w:tc>
          <w:tcPr>
            <w:tcW w:w="12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8"/>
              </w:rPr>
              <w:t>-1.5%</w:t>
            </w:r>
          </w:p>
        </w:tc>
        <w:tc>
          <w:tcPr>
            <w:tcW w:w="13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+0.1%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300"/>
        </w:trPr>
        <w:tc>
          <w:tcPr>
            <w:tcW w:w="28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+25 Basis Points</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0.1%</w:t>
            </w:r>
          </w:p>
        </w:tc>
        <w:tc>
          <w:tcPr>
            <w:tcW w:w="12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+0.7%</w:t>
            </w:r>
          </w:p>
        </w:tc>
        <w:tc>
          <w:tcPr>
            <w:tcW w:w="13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8"/>
              </w:rPr>
              <w:t>-0.1%</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8"/>
              </w:rPr>
              <w:t>-1.4%</w:t>
            </w:r>
          </w:p>
        </w:tc>
        <w:tc>
          <w:tcPr>
            <w:tcW w:w="0" w:type="dxa"/>
            <w:vAlign w:val="bottom"/>
          </w:tcPr>
          <w:p>
            <w:pPr>
              <w:spacing w:after="0"/>
              <w:rPr>
                <w:sz w:val="1"/>
                <w:szCs w:val="1"/>
                <w:color w:val="auto"/>
              </w:rPr>
            </w:pPr>
          </w:p>
        </w:tc>
      </w:tr>
      <w:tr>
        <w:trPr>
          <w:trHeight w:val="300"/>
        </w:trPr>
        <w:tc>
          <w:tcPr>
            <w:tcW w:w="28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+50 Basis Points</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0.1%</w:t>
            </w:r>
          </w:p>
        </w:tc>
        <w:tc>
          <w:tcPr>
            <w:tcW w:w="12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+0.7%</w:t>
            </w:r>
          </w:p>
        </w:tc>
        <w:tc>
          <w:tcPr>
            <w:tcW w:w="13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8"/>
              </w:rPr>
              <w:t>-0.3%</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8"/>
              </w:rPr>
              <w:t>-3.3%</w:t>
            </w:r>
          </w:p>
        </w:tc>
        <w:tc>
          <w:tcPr>
            <w:tcW w:w="0" w:type="dxa"/>
            <w:vAlign w:val="bottom"/>
          </w:tcPr>
          <w:p>
            <w:pPr>
              <w:spacing w:after="0"/>
              <w:rPr>
                <w:sz w:val="1"/>
                <w:szCs w:val="1"/>
                <w:color w:val="auto"/>
              </w:rPr>
            </w:pPr>
          </w:p>
        </w:tc>
      </w:tr>
      <w:tr>
        <w:trPr>
          <w:trHeight w:val="300"/>
        </w:trPr>
        <w:tc>
          <w:tcPr>
            <w:tcW w:w="28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+75 Basis Points</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0.0%</w:t>
            </w:r>
          </w:p>
        </w:tc>
        <w:tc>
          <w:tcPr>
            <w:tcW w:w="12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0.0%</w:t>
            </w:r>
          </w:p>
        </w:tc>
        <w:tc>
          <w:tcPr>
            <w:tcW w:w="134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8"/>
              </w:rPr>
              <w:t>-0.5%</w:t>
            </w:r>
          </w:p>
        </w:tc>
        <w:tc>
          <w:tcPr>
            <w:tcW w:w="13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8"/>
              </w:rPr>
              <w:t>-5.4%</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right="20" w:hanging="370"/>
        <w:spacing w:after="0" w:line="249" w:lineRule="auto"/>
        <w:tabs>
          <w:tab w:leader="none" w:pos="7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Derived from models that are dependent on inputs and assumptions, assumes there are no changes in mortgage spreads and assumes a static portfolio. Actual results could differ materially from these estimates.</w:t>
      </w:r>
    </w:p>
    <w:p>
      <w:pPr>
        <w:ind w:left="720" w:right="20" w:hanging="370"/>
        <w:spacing w:after="0" w:line="260" w:lineRule="auto"/>
        <w:tabs>
          <w:tab w:leader="none" w:pos="7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effect of derivatives and other securities used for hedging purposes. Interest rates are assumed to be floored at 0% in down rate scenarios.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Prepayment Risk and Extension Risk</w:t>
      </w:r>
    </w:p>
    <w:p>
      <w:pPr>
        <w:spacing w:after="0" w:line="199" w:lineRule="exact"/>
        <w:rPr>
          <w:sz w:val="20"/>
          <w:szCs w:val="20"/>
          <w:color w:val="auto"/>
        </w:rPr>
      </w:pPr>
    </w:p>
    <w:p>
      <w:pPr>
        <w:jc w:val="both"/>
        <w:ind w:firstLine="540"/>
        <w:spacing w:after="0" w:line="260" w:lineRule="auto"/>
        <w:rPr>
          <w:sz w:val="20"/>
          <w:szCs w:val="20"/>
          <w:color w:val="auto"/>
        </w:rPr>
      </w:pPr>
      <w:r>
        <w:rPr>
          <w:rFonts w:ascii="Times New Roman" w:cs="Times New Roman" w:eastAsia="Times New Roman" w:hAnsi="Times New Roman"/>
          <w:sz w:val="20"/>
          <w:szCs w:val="20"/>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w:t>
      </w:r>
    </w:p>
    <w:p>
      <w:pPr>
        <w:spacing w:after="0" w:line="143" w:lineRule="exact"/>
        <w:rPr>
          <w:sz w:val="20"/>
          <w:szCs w:val="20"/>
          <w:color w:val="auto"/>
        </w:rPr>
      </w:pPr>
    </w:p>
    <w:p>
      <w:pPr>
        <w:jc w:val="both"/>
        <w:ind w:right="20" w:firstLine="540"/>
        <w:spacing w:after="0" w:line="256" w:lineRule="auto"/>
        <w:rPr>
          <w:sz w:val="20"/>
          <w:szCs w:val="20"/>
          <w:color w:val="auto"/>
        </w:rPr>
      </w:pPr>
      <w:r>
        <w:rPr>
          <w:rFonts w:ascii="Times New Roman" w:cs="Times New Roman" w:eastAsia="Times New Roman" w:hAnsi="Times New Roman"/>
          <w:sz w:val="20"/>
          <w:szCs w:val="20"/>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48" w:lineRule="exact"/>
        <w:rPr>
          <w:sz w:val="20"/>
          <w:szCs w:val="20"/>
          <w:color w:val="auto"/>
        </w:rPr>
      </w:pPr>
    </w:p>
    <w:p>
      <w:pPr>
        <w:jc w:val="both"/>
        <w:ind w:right="20" w:firstLine="495"/>
        <w:spacing w:after="0" w:line="258" w:lineRule="auto"/>
        <w:rPr>
          <w:sz w:val="20"/>
          <w:szCs w:val="20"/>
          <w:color w:val="auto"/>
        </w:rPr>
      </w:pPr>
      <w:r>
        <w:rPr>
          <w:rFonts w:ascii="Times New Roman" w:cs="Times New Roman" w:eastAsia="Times New Roman" w:hAnsi="Times New Roman"/>
          <w:sz w:val="20"/>
          <w:szCs w:val="20"/>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144" w:lineRule="exact"/>
        <w:rPr>
          <w:sz w:val="20"/>
          <w:szCs w:val="20"/>
          <w:color w:val="auto"/>
        </w:rPr>
      </w:pPr>
    </w:p>
    <w:p>
      <w:pPr>
        <w:jc w:val="both"/>
        <w:ind w:right="20" w:firstLine="495"/>
        <w:spacing w:after="0" w:line="258" w:lineRule="auto"/>
        <w:rPr>
          <w:sz w:val="20"/>
          <w:szCs w:val="20"/>
          <w:color w:val="auto"/>
        </w:rPr>
      </w:pPr>
      <w:r>
        <w:rPr>
          <w:rFonts w:ascii="Times New Roman" w:cs="Times New Roman" w:eastAsia="Times New Roman" w:hAnsi="Times New Roman"/>
          <w:sz w:val="20"/>
          <w:szCs w:val="20"/>
          <w:color w:val="auto"/>
        </w:rPr>
        <w:t>As of December 31, 2023 and 2022, our investment securities (excluding TBAs) had a weighted average projected CPR of 11.4% and 7.4%, respectively, and a weighted average yield of 4.41% and 3.37%,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260"/>
          </w:cols>
          <w:pgMar w:left="1000" w:top="793" w:right="980" w:bottom="0" w:gutter="0" w:footer="0" w:header="0"/>
          <w:type w:val="continuous"/>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 xml:space="preserve">Interest Rate Sensitivity </w:t>
      </w:r>
      <w:r>
        <w:rPr>
          <w:rFonts w:ascii="Times New Roman" w:cs="Times New Roman" w:eastAsia="Times New Roman" w:hAnsi="Times New Roman"/>
          <w:sz w:val="20"/>
          <w:szCs w:val="20"/>
          <w:b w:val="1"/>
          <w:bCs w:val="1"/>
          <w:color w:val="auto"/>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727075</wp:posOffset>
                </wp:positionH>
                <wp:positionV relativeFrom="paragraph">
                  <wp:posOffset>7620</wp:posOffset>
                </wp:positionV>
                <wp:extent cx="504825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48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25pt,0.6pt" to="454.75pt,0.6pt" o:allowincell="f" strokecolor="#000000" strokeweight="1pt"/>
            </w:pict>
          </mc:Fallback>
        </mc:AlternateContent>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8"/>
                <w:szCs w:val="18"/>
                <w:color w:val="auto"/>
              </w:rPr>
            </w:pPr>
          </w:p>
        </w:tc>
        <w:tc>
          <w:tcPr>
            <w:tcW w:w="24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0"/>
        </w:trPr>
        <w:tc>
          <w:tcPr>
            <w:tcW w:w="2820" w:type="dxa"/>
            <w:vAlign w:val="bottom"/>
            <w:vMerge w:val="restart"/>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Change in Interest Rate</w:t>
            </w:r>
          </w:p>
        </w:tc>
        <w:tc>
          <w:tcPr>
            <w:tcW w:w="120" w:type="dxa"/>
            <w:vAlign w:val="bottom"/>
            <w:vMerge w:val="restart"/>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 Asset</w:t>
            </w:r>
          </w:p>
        </w:tc>
        <w:tc>
          <w:tcPr>
            <w:tcW w:w="120" w:type="dxa"/>
            <w:vAlign w:val="bottom"/>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 Asset</w:t>
            </w:r>
          </w:p>
        </w:tc>
        <w:tc>
          <w:tcPr>
            <w:tcW w:w="0" w:type="dxa"/>
            <w:vAlign w:val="bottom"/>
          </w:tcPr>
          <w:p>
            <w:pPr>
              <w:spacing w:after="0"/>
              <w:rPr>
                <w:sz w:val="1"/>
                <w:szCs w:val="1"/>
                <w:color w:val="auto"/>
              </w:rPr>
            </w:pPr>
          </w:p>
        </w:tc>
      </w:tr>
      <w:tr>
        <w:trPr>
          <w:trHeight w:val="214"/>
        </w:trPr>
        <w:tc>
          <w:tcPr>
            <w:tcW w:w="28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Projected CPR</w:t>
            </w:r>
          </w:p>
        </w:tc>
        <w:tc>
          <w:tcPr>
            <w:tcW w:w="60" w:type="dxa"/>
            <w:vAlign w:val="bottom"/>
          </w:tcPr>
          <w:p>
            <w:pPr>
              <w:spacing w:after="0"/>
              <w:rPr>
                <w:sz w:val="18"/>
                <w:szCs w:val="18"/>
                <w:color w:val="auto"/>
              </w:rPr>
            </w:pPr>
          </w:p>
        </w:tc>
        <w:tc>
          <w:tcPr>
            <w:tcW w:w="120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7"/>
              </w:rPr>
              <w:t xml:space="preserve">Yield </w:t>
            </w:r>
            <w:r>
              <w:rPr>
                <w:rFonts w:ascii="Times New Roman" w:cs="Times New Roman" w:eastAsia="Times New Roman" w:hAnsi="Times New Roman"/>
                <w:sz w:val="20"/>
                <w:szCs w:val="20"/>
                <w:b w:val="1"/>
                <w:bCs w:val="1"/>
                <w:color w:val="auto"/>
                <w:w w:val="97"/>
                <w:vertAlign w:val="superscript"/>
              </w:rPr>
              <w:t>2</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Projected CPR</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7"/>
              </w:rPr>
              <w:t xml:space="preserve">Yield </w:t>
            </w:r>
            <w:r>
              <w:rPr>
                <w:rFonts w:ascii="Times New Roman" w:cs="Times New Roman" w:eastAsia="Times New Roman" w:hAnsi="Times New Roman"/>
                <w:sz w:val="20"/>
                <w:szCs w:val="20"/>
                <w:b w:val="1"/>
                <w:bCs w:val="1"/>
                <w:color w:val="auto"/>
                <w:w w:val="97"/>
                <w:vertAlign w:val="superscript"/>
              </w:rPr>
              <w:t>2</w:t>
            </w:r>
          </w:p>
        </w:tc>
        <w:tc>
          <w:tcPr>
            <w:tcW w:w="0" w:type="dxa"/>
            <w:vAlign w:val="bottom"/>
          </w:tcPr>
          <w:p>
            <w:pPr>
              <w:spacing w:after="0"/>
              <w:rPr>
                <w:sz w:val="1"/>
                <w:szCs w:val="1"/>
                <w:color w:val="auto"/>
              </w:rPr>
            </w:pPr>
          </w:p>
        </w:tc>
      </w:tr>
      <w:tr>
        <w:trPr>
          <w:trHeight w:val="274"/>
        </w:trPr>
        <w:tc>
          <w:tcPr>
            <w:tcW w:w="2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-75 Basis Points </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17.8%</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4.33%</w:t>
            </w:r>
          </w:p>
        </w:tc>
        <w:tc>
          <w:tcPr>
            <w:tcW w:w="130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5"/>
              </w:rPr>
              <w:t>8.3%</w:t>
            </w:r>
          </w:p>
        </w:tc>
        <w:tc>
          <w:tcPr>
            <w:tcW w:w="12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3.33%</w:t>
            </w:r>
          </w:p>
        </w:tc>
        <w:tc>
          <w:tcPr>
            <w:tcW w:w="0" w:type="dxa"/>
            <w:vAlign w:val="bottom"/>
          </w:tcPr>
          <w:p>
            <w:pPr>
              <w:spacing w:after="0"/>
              <w:rPr>
                <w:sz w:val="1"/>
                <w:szCs w:val="1"/>
                <w:color w:val="auto"/>
              </w:rPr>
            </w:pPr>
          </w:p>
        </w:tc>
      </w:tr>
      <w:tr>
        <w:trPr>
          <w:trHeight w:val="300"/>
        </w:trPr>
        <w:tc>
          <w:tcPr>
            <w:tcW w:w="2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-50 Basis Points </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15.4%</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4.36%</w:t>
            </w:r>
          </w:p>
        </w:tc>
        <w:tc>
          <w:tcPr>
            <w:tcW w:w="130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5"/>
              </w:rPr>
              <w:t>7.9%</w:t>
            </w:r>
          </w:p>
        </w:tc>
        <w:tc>
          <w:tcPr>
            <w:tcW w:w="12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3.34%</w:t>
            </w:r>
          </w:p>
        </w:tc>
        <w:tc>
          <w:tcPr>
            <w:tcW w:w="0" w:type="dxa"/>
            <w:vAlign w:val="bottom"/>
          </w:tcPr>
          <w:p>
            <w:pPr>
              <w:spacing w:after="0"/>
              <w:rPr>
                <w:sz w:val="1"/>
                <w:szCs w:val="1"/>
                <w:color w:val="auto"/>
              </w:rPr>
            </w:pPr>
          </w:p>
        </w:tc>
      </w:tr>
      <w:tr>
        <w:trPr>
          <w:trHeight w:val="300"/>
        </w:trPr>
        <w:tc>
          <w:tcPr>
            <w:tcW w:w="2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-25 Basis Points </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13.2%</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4.39%</w:t>
            </w:r>
          </w:p>
        </w:tc>
        <w:tc>
          <w:tcPr>
            <w:tcW w:w="130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5"/>
              </w:rPr>
              <w:t>7.6%</w:t>
            </w:r>
          </w:p>
        </w:tc>
        <w:tc>
          <w:tcPr>
            <w:tcW w:w="12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3.36%</w:t>
            </w:r>
          </w:p>
        </w:tc>
        <w:tc>
          <w:tcPr>
            <w:tcW w:w="0" w:type="dxa"/>
            <w:vAlign w:val="bottom"/>
          </w:tcPr>
          <w:p>
            <w:pPr>
              <w:spacing w:after="0"/>
              <w:rPr>
                <w:sz w:val="1"/>
                <w:szCs w:val="1"/>
                <w:color w:val="auto"/>
              </w:rPr>
            </w:pPr>
          </w:p>
        </w:tc>
      </w:tr>
      <w:tr>
        <w:trPr>
          <w:trHeight w:val="300"/>
        </w:trPr>
        <w:tc>
          <w:tcPr>
            <w:tcW w:w="2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xml:space="preserve">Actual as of Period End </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11.4%</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4.41%</w:t>
            </w:r>
          </w:p>
        </w:tc>
        <w:tc>
          <w:tcPr>
            <w:tcW w:w="130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5"/>
              </w:rPr>
              <w:t>7.4%</w:t>
            </w:r>
          </w:p>
        </w:tc>
        <w:tc>
          <w:tcPr>
            <w:tcW w:w="12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3.37%</w:t>
            </w:r>
          </w:p>
        </w:tc>
        <w:tc>
          <w:tcPr>
            <w:tcW w:w="0" w:type="dxa"/>
            <w:vAlign w:val="bottom"/>
          </w:tcPr>
          <w:p>
            <w:pPr>
              <w:spacing w:after="0"/>
              <w:rPr>
                <w:sz w:val="1"/>
                <w:szCs w:val="1"/>
                <w:color w:val="auto"/>
              </w:rPr>
            </w:pPr>
          </w:p>
        </w:tc>
      </w:tr>
      <w:tr>
        <w:trPr>
          <w:trHeight w:val="300"/>
        </w:trPr>
        <w:tc>
          <w:tcPr>
            <w:tcW w:w="2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+25 Basis Points </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9.7%</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4.44%</w:t>
            </w:r>
          </w:p>
        </w:tc>
        <w:tc>
          <w:tcPr>
            <w:tcW w:w="130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5"/>
              </w:rPr>
              <w:t>7.2%</w:t>
            </w:r>
          </w:p>
        </w:tc>
        <w:tc>
          <w:tcPr>
            <w:tcW w:w="12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3.38%</w:t>
            </w:r>
          </w:p>
        </w:tc>
        <w:tc>
          <w:tcPr>
            <w:tcW w:w="0" w:type="dxa"/>
            <w:vAlign w:val="bottom"/>
          </w:tcPr>
          <w:p>
            <w:pPr>
              <w:spacing w:after="0"/>
              <w:rPr>
                <w:sz w:val="1"/>
                <w:szCs w:val="1"/>
                <w:color w:val="auto"/>
              </w:rPr>
            </w:pPr>
          </w:p>
        </w:tc>
      </w:tr>
      <w:tr>
        <w:trPr>
          <w:trHeight w:val="300"/>
        </w:trPr>
        <w:tc>
          <w:tcPr>
            <w:tcW w:w="2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+50 Basis Points </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8.5%</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4.46%</w:t>
            </w:r>
          </w:p>
        </w:tc>
        <w:tc>
          <w:tcPr>
            <w:tcW w:w="130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5"/>
              </w:rPr>
              <w:t>7.0%</w:t>
            </w:r>
          </w:p>
        </w:tc>
        <w:tc>
          <w:tcPr>
            <w:tcW w:w="12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3.39%</w:t>
            </w:r>
          </w:p>
        </w:tc>
        <w:tc>
          <w:tcPr>
            <w:tcW w:w="0" w:type="dxa"/>
            <w:vAlign w:val="bottom"/>
          </w:tcPr>
          <w:p>
            <w:pPr>
              <w:spacing w:after="0"/>
              <w:rPr>
                <w:sz w:val="1"/>
                <w:szCs w:val="1"/>
                <w:color w:val="auto"/>
              </w:rPr>
            </w:pPr>
          </w:p>
        </w:tc>
      </w:tr>
      <w:tr>
        <w:trPr>
          <w:trHeight w:val="300"/>
        </w:trPr>
        <w:tc>
          <w:tcPr>
            <w:tcW w:w="2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xml:space="preserve">+75 Basis Points </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4.47%</w:t>
            </w:r>
          </w:p>
        </w:tc>
        <w:tc>
          <w:tcPr>
            <w:tcW w:w="1300" w:type="dxa"/>
            <w:vAlign w:val="bottom"/>
            <w:gridSpan w:val="2"/>
          </w:tcPr>
          <w:p>
            <w:pPr>
              <w:jc w:val="center"/>
              <w:ind w:left="60"/>
              <w:spacing w:after="0"/>
              <w:rPr>
                <w:sz w:val="20"/>
                <w:szCs w:val="20"/>
                <w:color w:val="auto"/>
              </w:rPr>
            </w:pPr>
            <w:r>
              <w:rPr>
                <w:rFonts w:ascii="Times New Roman" w:cs="Times New Roman" w:eastAsia="Times New Roman" w:hAnsi="Times New Roman"/>
                <w:sz w:val="16"/>
                <w:szCs w:val="16"/>
                <w:color w:val="auto"/>
                <w:w w:val="95"/>
              </w:rPr>
              <w:t>6.9%</w:t>
            </w:r>
          </w:p>
        </w:tc>
        <w:tc>
          <w:tcPr>
            <w:tcW w:w="12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3.40%</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right="20" w:hanging="370"/>
        <w:spacing w:after="0" w:line="249" w:lineRule="auto"/>
        <w:tabs>
          <w:tab w:leader="none" w:pos="7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Derived from models that are dependent on inputs and assumptions and assumes a static portfolio. Actual results could differ materially from these estimates. Table excludes TBA securities.</w:t>
      </w:r>
    </w:p>
    <w:p>
      <w:pPr>
        <w:ind w:left="720" w:hanging="370"/>
        <w:spacing w:after="0" w:line="260" w:lineRule="auto"/>
        <w:tabs>
          <w:tab w:leader="none" w:pos="7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yield based on historical cost basis and does not include the impact of retroactive "catch-up" premium amortization adjustments due to changes in projected CPR.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Spread Risk</w:t>
      </w:r>
    </w:p>
    <w:p>
      <w:pPr>
        <w:spacing w:after="0" w:line="199" w:lineRule="exact"/>
        <w:rPr>
          <w:sz w:val="20"/>
          <w:szCs w:val="20"/>
          <w:color w:val="auto"/>
        </w:rPr>
      </w:pPr>
    </w:p>
    <w:p>
      <w:pPr>
        <w:jc w:val="both"/>
        <w:ind w:right="20" w:firstLine="540"/>
        <w:spacing w:after="0" w:line="258" w:lineRule="auto"/>
        <w:rPr>
          <w:sz w:val="20"/>
          <w:szCs w:val="20"/>
          <w:color w:val="auto"/>
        </w:rPr>
      </w:pPr>
      <w:r>
        <w:rPr>
          <w:rFonts w:ascii="Times New Roman" w:cs="Times New Roman" w:eastAsia="Times New Roman" w:hAnsi="Times New Roman"/>
          <w:sz w:val="20"/>
          <w:szCs w:val="20"/>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w:t>
      </w:r>
    </w:p>
    <w:p>
      <w:pPr>
        <w:spacing w:after="0" w:line="144"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20"/>
          <w:szCs w:val="20"/>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December 31, 2023 and 2022 should spreads widen or tighten by 10, 25 and 50 basis points. The estimated impact of changes in spreads is in addition to our interest rate shock sensitivity included in the interest rate shock table above. The table below assumes a spread duration of 4.7 and 5.8 years as of December 31, 2023 and 2022,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 xml:space="preserve">Spread Sensitivity </w:t>
      </w:r>
      <w:r>
        <w:rPr>
          <w:rFonts w:ascii="Times New Roman" w:cs="Times New Roman" w:eastAsia="Times New Roman" w:hAnsi="Times New Roman"/>
          <w:sz w:val="20"/>
          <w:szCs w:val="20"/>
          <w:b w:val="1"/>
          <w:bCs w:val="1"/>
          <w:color w:val="auto"/>
          <w:vertAlign w:val="superscript"/>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712470</wp:posOffset>
                </wp:positionH>
                <wp:positionV relativeFrom="paragraph">
                  <wp:posOffset>7620</wp:posOffset>
                </wp:positionV>
                <wp:extent cx="507682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76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1pt,0.6pt" to="455.85pt,0.6pt" o:allowincell="f" strokecolor="#000000" strokeweight="1pt"/>
            </w:pict>
          </mc:Fallback>
        </mc:AlternateContent>
      </w:r>
    </w:p>
    <w:p>
      <w:pPr>
        <w:spacing w:after="0" w:line="26" w:lineRule="exact"/>
        <w:rPr>
          <w:sz w:val="20"/>
          <w:szCs w:val="20"/>
          <w:color w:val="auto"/>
        </w:rPr>
      </w:pPr>
    </w:p>
    <w:tbl>
      <w:tblPr>
        <w:tblLayout w:type="fixed"/>
        <w:tblInd w:w="1120" w:type="dxa"/>
        <w:tblCellMar>
          <w:top w:w="0" w:type="dxa"/>
          <w:left w:w="0" w:type="dxa"/>
          <w:bottom w:w="0" w:type="dxa"/>
          <w:right w:w="0" w:type="dxa"/>
        </w:tblCellMar>
      </w:tblPr>
      <w:tr>
        <w:trPr>
          <w:trHeight w:val="212"/>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8"/>
                <w:szCs w:val="18"/>
                <w:color w:val="auto"/>
              </w:rPr>
            </w:pPr>
          </w:p>
        </w:tc>
        <w:tc>
          <w:tcPr>
            <w:tcW w:w="24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20" w:type="dxa"/>
            <w:vAlign w:val="bottom"/>
          </w:tcPr>
          <w:p>
            <w:pPr>
              <w:spacing w:after="0"/>
              <w:rPr>
                <w:sz w:val="16"/>
                <w:szCs w:val="16"/>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0"/>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Change in</w:t>
            </w:r>
          </w:p>
        </w:tc>
        <w:tc>
          <w:tcPr>
            <w:tcW w:w="1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Change in</w:t>
            </w:r>
          </w:p>
        </w:tc>
        <w:tc>
          <w:tcPr>
            <w:tcW w:w="0" w:type="dxa"/>
            <w:vAlign w:val="bottom"/>
          </w:tcPr>
          <w:p>
            <w:pPr>
              <w:spacing w:after="0"/>
              <w:rPr>
                <w:sz w:val="1"/>
                <w:szCs w:val="1"/>
                <w:color w:val="auto"/>
              </w:rPr>
            </w:pPr>
          </w:p>
        </w:tc>
      </w:tr>
      <w:tr>
        <w:trPr>
          <w:trHeight w:val="160"/>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Change in</w:t>
            </w:r>
          </w:p>
        </w:tc>
        <w:tc>
          <w:tcPr>
            <w:tcW w:w="6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Tangible Net</w:t>
            </w:r>
          </w:p>
        </w:tc>
        <w:tc>
          <w:tcPr>
            <w:tcW w:w="120" w:type="dxa"/>
            <w:vAlign w:val="bottom"/>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Change in</w:t>
            </w:r>
          </w:p>
        </w:tc>
        <w:tc>
          <w:tcPr>
            <w:tcW w:w="8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Tangible Net</w:t>
            </w:r>
          </w:p>
        </w:tc>
        <w:tc>
          <w:tcPr>
            <w:tcW w:w="0" w:type="dxa"/>
            <w:vAlign w:val="bottom"/>
          </w:tcPr>
          <w:p>
            <w:pPr>
              <w:spacing w:after="0"/>
              <w:rPr>
                <w:sz w:val="1"/>
                <w:szCs w:val="1"/>
                <w:color w:val="auto"/>
              </w:rPr>
            </w:pPr>
          </w:p>
        </w:tc>
      </w:tr>
      <w:tr>
        <w:trPr>
          <w:trHeight w:val="160"/>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 in MBS Spread</w:t>
            </w:r>
          </w:p>
        </w:tc>
        <w:tc>
          <w:tcPr>
            <w:tcW w:w="120" w:type="dxa"/>
            <w:vAlign w:val="bottom"/>
            <w:vMerge w:val="restart"/>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Portfolio</w:t>
            </w:r>
          </w:p>
        </w:tc>
        <w:tc>
          <w:tcPr>
            <w:tcW w:w="6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Book Value Per</w:t>
            </w:r>
          </w:p>
        </w:tc>
        <w:tc>
          <w:tcPr>
            <w:tcW w:w="120" w:type="dxa"/>
            <w:vAlign w:val="bottom"/>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Portfolio</w:t>
            </w:r>
          </w:p>
        </w:tc>
        <w:tc>
          <w:tcPr>
            <w:tcW w:w="8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Book Value Per</w:t>
            </w:r>
          </w:p>
        </w:tc>
        <w:tc>
          <w:tcPr>
            <w:tcW w:w="0" w:type="dxa"/>
            <w:vAlign w:val="bottom"/>
          </w:tcPr>
          <w:p>
            <w:pPr>
              <w:spacing w:after="0"/>
              <w:rPr>
                <w:sz w:val="1"/>
                <w:szCs w:val="1"/>
                <w:color w:val="auto"/>
              </w:rPr>
            </w:pPr>
          </w:p>
        </w:tc>
      </w:tr>
      <w:tr>
        <w:trPr>
          <w:trHeight w:val="214"/>
        </w:trPr>
        <w:tc>
          <w:tcPr>
            <w:tcW w:w="28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Value</w:t>
            </w:r>
          </w:p>
        </w:tc>
        <w:tc>
          <w:tcPr>
            <w:tcW w:w="6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Value</w:t>
            </w:r>
          </w:p>
        </w:tc>
        <w:tc>
          <w:tcPr>
            <w:tcW w:w="8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 Share</w:t>
            </w:r>
          </w:p>
        </w:tc>
        <w:tc>
          <w:tcPr>
            <w:tcW w:w="0" w:type="dxa"/>
            <w:vAlign w:val="bottom"/>
          </w:tcPr>
          <w:p>
            <w:pPr>
              <w:spacing w:after="0"/>
              <w:rPr>
                <w:sz w:val="1"/>
                <w:szCs w:val="1"/>
                <w:color w:val="auto"/>
              </w:rPr>
            </w:pPr>
          </w:p>
        </w:tc>
      </w:tr>
      <w:tr>
        <w:trPr>
          <w:trHeight w:val="274"/>
        </w:trPr>
        <w:tc>
          <w:tcPr>
            <w:tcW w:w="29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-50 Basis Points </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12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+23.1%</w:t>
            </w:r>
          </w:p>
        </w:tc>
        <w:tc>
          <w:tcPr>
            <w:tcW w:w="130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+2.9%</w:t>
            </w:r>
          </w:p>
        </w:tc>
        <w:tc>
          <w:tcPr>
            <w:tcW w:w="130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+30.6%</w:t>
            </w:r>
          </w:p>
        </w:tc>
        <w:tc>
          <w:tcPr>
            <w:tcW w:w="0" w:type="dxa"/>
            <w:vAlign w:val="bottom"/>
          </w:tcPr>
          <w:p>
            <w:pPr>
              <w:spacing w:after="0"/>
              <w:rPr>
                <w:sz w:val="1"/>
                <w:szCs w:val="1"/>
                <w:color w:val="auto"/>
              </w:rPr>
            </w:pPr>
          </w:p>
        </w:tc>
      </w:tr>
      <w:tr>
        <w:trPr>
          <w:trHeight w:val="300"/>
        </w:trPr>
        <w:tc>
          <w:tcPr>
            <w:tcW w:w="29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-25 Basis Points </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2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+11.6%</w:t>
            </w:r>
          </w:p>
        </w:tc>
        <w:tc>
          <w:tcPr>
            <w:tcW w:w="130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+1.5%</w:t>
            </w:r>
          </w:p>
        </w:tc>
        <w:tc>
          <w:tcPr>
            <w:tcW w:w="130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+15.3%</w:t>
            </w:r>
          </w:p>
        </w:tc>
        <w:tc>
          <w:tcPr>
            <w:tcW w:w="0" w:type="dxa"/>
            <w:vAlign w:val="bottom"/>
          </w:tcPr>
          <w:p>
            <w:pPr>
              <w:spacing w:after="0"/>
              <w:rPr>
                <w:sz w:val="1"/>
                <w:szCs w:val="1"/>
                <w:color w:val="auto"/>
              </w:rPr>
            </w:pPr>
          </w:p>
        </w:tc>
      </w:tr>
      <w:tr>
        <w:trPr>
          <w:trHeight w:val="300"/>
        </w:trPr>
        <w:tc>
          <w:tcPr>
            <w:tcW w:w="29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-10 Basis Points </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w:t>
            </w:r>
          </w:p>
        </w:tc>
        <w:tc>
          <w:tcPr>
            <w:tcW w:w="12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+4.6%</w:t>
            </w:r>
          </w:p>
        </w:tc>
        <w:tc>
          <w:tcPr>
            <w:tcW w:w="130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9"/>
              </w:rPr>
              <w:t>+0.6%</w:t>
            </w:r>
          </w:p>
        </w:tc>
        <w:tc>
          <w:tcPr>
            <w:tcW w:w="130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+6.1%</w:t>
            </w:r>
          </w:p>
        </w:tc>
        <w:tc>
          <w:tcPr>
            <w:tcW w:w="0" w:type="dxa"/>
            <w:vAlign w:val="bottom"/>
          </w:tcPr>
          <w:p>
            <w:pPr>
              <w:spacing w:after="0"/>
              <w:rPr>
                <w:sz w:val="1"/>
                <w:szCs w:val="1"/>
                <w:color w:val="auto"/>
              </w:rPr>
            </w:pPr>
          </w:p>
        </w:tc>
      </w:tr>
      <w:tr>
        <w:trPr>
          <w:trHeight w:val="300"/>
        </w:trPr>
        <w:tc>
          <w:tcPr>
            <w:tcW w:w="29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+10 Basis Points </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w:t>
            </w:r>
          </w:p>
        </w:tc>
        <w:tc>
          <w:tcPr>
            <w:tcW w:w="12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8"/>
              </w:rPr>
              <w:t>-4.6%</w:t>
            </w:r>
          </w:p>
        </w:tc>
        <w:tc>
          <w:tcPr>
            <w:tcW w:w="130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8"/>
              </w:rPr>
              <w:t>-0.6%</w:t>
            </w:r>
          </w:p>
        </w:tc>
        <w:tc>
          <w:tcPr>
            <w:tcW w:w="130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8"/>
              </w:rPr>
              <w:t>-6.1%</w:t>
            </w:r>
          </w:p>
        </w:tc>
        <w:tc>
          <w:tcPr>
            <w:tcW w:w="0" w:type="dxa"/>
            <w:vAlign w:val="bottom"/>
          </w:tcPr>
          <w:p>
            <w:pPr>
              <w:spacing w:after="0"/>
              <w:rPr>
                <w:sz w:val="1"/>
                <w:szCs w:val="1"/>
                <w:color w:val="auto"/>
              </w:rPr>
            </w:pPr>
          </w:p>
        </w:tc>
      </w:tr>
      <w:tr>
        <w:trPr>
          <w:trHeight w:val="300"/>
        </w:trPr>
        <w:tc>
          <w:tcPr>
            <w:tcW w:w="29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+25 Basis Points </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2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8"/>
              </w:rPr>
              <w:t>-11.6%</w:t>
            </w:r>
          </w:p>
        </w:tc>
        <w:tc>
          <w:tcPr>
            <w:tcW w:w="130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8"/>
              </w:rPr>
              <w:t>-1.5%</w:t>
            </w:r>
          </w:p>
        </w:tc>
        <w:tc>
          <w:tcPr>
            <w:tcW w:w="130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8"/>
              </w:rPr>
              <w:t>-15.3%</w:t>
            </w:r>
          </w:p>
        </w:tc>
        <w:tc>
          <w:tcPr>
            <w:tcW w:w="0" w:type="dxa"/>
            <w:vAlign w:val="bottom"/>
          </w:tcPr>
          <w:p>
            <w:pPr>
              <w:spacing w:after="0"/>
              <w:rPr>
                <w:sz w:val="1"/>
                <w:szCs w:val="1"/>
                <w:color w:val="auto"/>
              </w:rPr>
            </w:pPr>
          </w:p>
        </w:tc>
      </w:tr>
      <w:tr>
        <w:trPr>
          <w:trHeight w:val="300"/>
        </w:trPr>
        <w:tc>
          <w:tcPr>
            <w:tcW w:w="29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+50 Basis Points </w:t>
            </w:r>
            <w:r>
              <w:rPr>
                <w:rFonts w:ascii="Times New Roman" w:cs="Times New Roman" w:eastAsia="Times New Roman" w:hAnsi="Times New Roman"/>
                <w:sz w:val="16"/>
                <w:szCs w:val="16"/>
                <w:color w:val="B4B4B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12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8"/>
              </w:rPr>
              <w:t>-23.1%</w:t>
            </w:r>
          </w:p>
        </w:tc>
        <w:tc>
          <w:tcPr>
            <w:tcW w:w="1300" w:type="dxa"/>
            <w:vAlign w:val="bottom"/>
            <w:gridSpan w:val="2"/>
          </w:tcPr>
          <w:p>
            <w:pPr>
              <w:jc w:val="center"/>
              <w:ind w:left="80"/>
              <w:spacing w:after="0"/>
              <w:rPr>
                <w:sz w:val="20"/>
                <w:szCs w:val="20"/>
                <w:color w:val="auto"/>
              </w:rPr>
            </w:pPr>
            <w:r>
              <w:rPr>
                <w:rFonts w:ascii="Times New Roman" w:cs="Times New Roman" w:eastAsia="Times New Roman" w:hAnsi="Times New Roman"/>
                <w:sz w:val="16"/>
                <w:szCs w:val="16"/>
                <w:color w:val="auto"/>
                <w:w w:val="98"/>
              </w:rPr>
              <w:t>-2.9%</w:t>
            </w:r>
          </w:p>
        </w:tc>
        <w:tc>
          <w:tcPr>
            <w:tcW w:w="130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8"/>
              </w:rPr>
              <w:t>-30.6%</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hanging="370"/>
        <w:spacing w:after="0" w:line="249" w:lineRule="auto"/>
        <w:tabs>
          <w:tab w:leader="none" w:pos="7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Spread sensitivity is derived from models that are dependent on inputs and assumptions, assumes there are no changes in interest rates and assumes a static portfolio. Actual results could differ materially from these estimates.</w:t>
      </w:r>
    </w:p>
    <w:p>
      <w:pPr>
        <w:ind w:left="720" w:hanging="370"/>
        <w:spacing w:after="0"/>
        <w:tabs>
          <w:tab w:leader="none" w:pos="7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effect of derivatives and other securities used for hedging purposes.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Risk</w:t>
      </w:r>
    </w:p>
    <w:p>
      <w:pPr>
        <w:spacing w:after="0" w:line="199" w:lineRule="exact"/>
        <w:rPr>
          <w:sz w:val="20"/>
          <w:szCs w:val="20"/>
          <w:color w:val="auto"/>
        </w:rPr>
      </w:pPr>
    </w:p>
    <w:p>
      <w:pPr>
        <w:ind w:right="20" w:firstLine="495"/>
        <w:spacing w:after="0" w:line="281" w:lineRule="auto"/>
        <w:rPr>
          <w:sz w:val="20"/>
          <w:szCs w:val="20"/>
          <w:color w:val="auto"/>
        </w:rPr>
      </w:pPr>
      <w:r>
        <w:rPr>
          <w:rFonts w:ascii="Times New Roman" w:cs="Times New Roman" w:eastAsia="Times New Roman" w:hAnsi="Times New Roman"/>
          <w:sz w:val="20"/>
          <w:szCs w:val="20"/>
          <w:color w:val="auto"/>
        </w:rPr>
        <w:t>Our liquidity risk principally arises from financing long-term fixed rate assets with shorter-term variable rate borrowings. Future borrowings are dependent upon the willingness of lenders to finance our investments, lender collateral</w:t>
      </w:r>
    </w:p>
    <w:p>
      <w:pPr>
        <w:sectPr>
          <w:pgSz w:w="12240" w:h="15840" w:orient="portrait"/>
          <w:cols w:equalWidth="0" w:num="1">
            <w:col w:w="10260"/>
          </w:cols>
          <w:pgMar w:left="1000" w:top="867"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260"/>
          </w:cols>
          <w:pgMar w:left="1000" w:top="867" w:right="980" w:bottom="0" w:gutter="0" w:footer="0" w:header="0"/>
          <w:type w:val="continuous"/>
        </w:sectPr>
      </w:pPr>
    </w:p>
    <w:bookmarkStart w:id="56" w:name="page57"/>
    <w:bookmarkEnd w:id="56"/>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requirements and the lenders’ determination of the fair value of the securities pledged as collateral, which fluctuates with changes in interest rates and liquidity conditions within the commercial banking and mortgage finance industries.</w:t>
      </w:r>
    </w:p>
    <w:p>
      <w:pPr>
        <w:spacing w:after="0" w:line="121" w:lineRule="exact"/>
        <w:rPr>
          <w:sz w:val="20"/>
          <w:szCs w:val="20"/>
          <w:color w:val="auto"/>
        </w:rPr>
      </w:pPr>
    </w:p>
    <w:p>
      <w:pPr>
        <w:jc w:val="both"/>
        <w:ind w:right="20" w:firstLine="495"/>
        <w:spacing w:after="0" w:line="254" w:lineRule="auto"/>
        <w:rPr>
          <w:sz w:val="20"/>
          <w:szCs w:val="20"/>
          <w:color w:val="auto"/>
        </w:rPr>
      </w:pPr>
      <w:r>
        <w:rPr>
          <w:rFonts w:ascii="Times New Roman" w:cs="Times New Roman" w:eastAsia="Times New Roman" w:hAnsi="Times New Roman"/>
          <w:sz w:val="20"/>
          <w:szCs w:val="20"/>
          <w:color w:val="auto"/>
        </w:rPr>
        <w:t xml:space="preserve">As of December 31, 2023, we believe that we have sufficient liquidity and capital resources available to execute our business strategy (see </w:t>
      </w:r>
      <w:r>
        <w:rPr>
          <w:rFonts w:ascii="Times New Roman" w:cs="Times New Roman" w:eastAsia="Times New Roman" w:hAnsi="Times New Roman"/>
          <w:sz w:val="20"/>
          <w:szCs w:val="20"/>
          <w:b w:val="1"/>
          <w:bCs w:val="1"/>
          <w:i w:val="1"/>
          <w:iCs w:val="1"/>
          <w:color w:val="auto"/>
        </w:rPr>
        <w:t>Liquidity and Capital Resources</w:t>
      </w:r>
      <w:r>
        <w:rPr>
          <w:rFonts w:ascii="Times New Roman" w:cs="Times New Roman" w:eastAsia="Times New Roman" w:hAnsi="Times New Roman"/>
          <w:sz w:val="20"/>
          <w:szCs w:val="20"/>
          <w:color w:val="auto"/>
        </w:rPr>
        <w:t xml:space="preserve"> in this Form 10-K for additional details). However, should the value of our collateral or the value of our derivative instruments suddenly 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w:t>
      </w:r>
    </w:p>
    <w:p>
      <w:pPr>
        <w:spacing w:after="0" w:line="199" w:lineRule="exact"/>
        <w:rPr>
          <w:sz w:val="20"/>
          <w:szCs w:val="20"/>
          <w:color w:val="auto"/>
        </w:rPr>
      </w:pPr>
    </w:p>
    <w:p>
      <w:pPr>
        <w:jc w:val="both"/>
        <w:ind w:firstLine="495"/>
        <w:spacing w:after="0" w:line="260" w:lineRule="auto"/>
        <w:rPr>
          <w:sz w:val="20"/>
          <w:szCs w:val="20"/>
          <w:color w:val="auto"/>
        </w:rPr>
      </w:pPr>
      <w:r>
        <w:rPr>
          <w:rFonts w:ascii="Times New Roman" w:cs="Times New Roman" w:eastAsia="Times New Roman" w:hAnsi="Times New Roman"/>
          <w:sz w:val="20"/>
          <w:szCs w:val="20"/>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143"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20"/>
          <w:szCs w:val="20"/>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December 31, 2023, our maximum amount at risk with any counterparty related to our repurchase agreements and derivative agreements was less than 3% and 1%, respectively, of tangible stockholders' equity.</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260"/>
          </w:cols>
          <w:pgMar w:left="1000" w:top="793" w:right="98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 xml:space="preserve">Item 8. </w:t>
      </w:r>
      <w:r>
        <w:rPr>
          <w:rFonts w:ascii="Times New Roman" w:cs="Times New Roman" w:eastAsia="Times New Roman" w:hAnsi="Times New Roman"/>
          <w:sz w:val="20"/>
          <w:szCs w:val="20"/>
          <w:b w:val="1"/>
          <w:bCs w:val="1"/>
          <w:i w:val="1"/>
          <w:iCs w:val="1"/>
          <w:color w:val="auto"/>
        </w:rPr>
        <w:t>Financial Statements</w:t>
      </w:r>
    </w:p>
    <w:p>
      <w:pPr>
        <w:spacing w:after="0" w:line="199" w:lineRule="exact"/>
        <w:rPr>
          <w:sz w:val="20"/>
          <w:szCs w:val="20"/>
          <w:color w:val="auto"/>
        </w:rPr>
      </w:pPr>
    </w:p>
    <w:p>
      <w:pPr>
        <w:jc w:val="both"/>
        <w:ind w:right="20" w:firstLine="495"/>
        <w:spacing w:after="0" w:line="258" w:lineRule="auto"/>
        <w:rPr>
          <w:sz w:val="20"/>
          <w:szCs w:val="20"/>
          <w:color w:val="auto"/>
        </w:rPr>
      </w:pPr>
      <w:r>
        <w:rPr>
          <w:rFonts w:ascii="Times New Roman" w:cs="Times New Roman" w:eastAsia="Times New Roman" w:hAnsi="Times New Roman"/>
          <w:sz w:val="20"/>
          <w:szCs w:val="20"/>
          <w:color w:val="auto"/>
        </w:rPr>
        <w:t>Our management is responsible for the accompanying consolidated financial statements and the related financial information. The financial statements have been prepared in conformity with accounting principles generally accepted in the United States and necessarily include certain amounts that are based on estimates and informed judgments. Our management also prepared the related financial information included in this Annual Report on Form 10-K and is responsible for its accuracy and consistency with the consolidated financial statements.</w:t>
      </w:r>
    </w:p>
    <w:p>
      <w:pPr>
        <w:spacing w:after="0" w:line="84" w:lineRule="exact"/>
        <w:rPr>
          <w:sz w:val="20"/>
          <w:szCs w:val="20"/>
          <w:color w:val="auto"/>
        </w:rPr>
      </w:pPr>
    </w:p>
    <w:p>
      <w:pPr>
        <w:jc w:val="both"/>
        <w:ind w:right="20" w:firstLine="495"/>
        <w:spacing w:after="0" w:line="256" w:lineRule="auto"/>
        <w:rPr>
          <w:sz w:val="20"/>
          <w:szCs w:val="20"/>
          <w:color w:val="auto"/>
        </w:rPr>
      </w:pPr>
      <w:r>
        <w:rPr>
          <w:rFonts w:ascii="Times New Roman" w:cs="Times New Roman" w:eastAsia="Times New Roman" w:hAnsi="Times New Roman"/>
          <w:sz w:val="20"/>
          <w:szCs w:val="20"/>
          <w:color w:val="auto"/>
        </w:rPr>
        <w:t>The consolidated financial statements as of December 31, 2023 and 2022 and for fiscal years 2023, 2022 and 2021 have been audited by Ernst &amp; Young LLP, an independent registered public accounting firm, who conducted their audit in accordance with the standards of the Public Company Accounting Oversight Board (United States). The independent registered public accounting firm's responsibility is to express an opinion on these consolidated financial statements based on their audits. For further information refer to the Ernst &amp; Young LLP (PCAOB ID: 42) audit opinion included in this Item 8 of our Annual Report.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37"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 13a-15(f) under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97" w:lineRule="exact"/>
        <w:rPr>
          <w:sz w:val="20"/>
          <w:szCs w:val="20"/>
          <w:color w:val="auto"/>
        </w:rPr>
      </w:pPr>
    </w:p>
    <w:p>
      <w:pPr>
        <w:jc w:val="both"/>
        <w:ind w:right="20" w:firstLine="495"/>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jc w:val="both"/>
        <w:ind w:right="20" w:firstLine="495"/>
        <w:spacing w:after="0" w:line="256" w:lineRule="auto"/>
        <w:rPr>
          <w:sz w:val="20"/>
          <w:szCs w:val="20"/>
          <w:color w:val="auto"/>
        </w:rPr>
      </w:pPr>
      <w:r>
        <w:rPr>
          <w:rFonts w:ascii="Times New Roman" w:cs="Times New Roman" w:eastAsia="Times New Roman" w:hAnsi="Times New Roman"/>
          <w:sz w:val="20"/>
          <w:szCs w:val="20"/>
          <w:color w:val="auto"/>
        </w:rPr>
        <w:t>Management assessed the effectiveness of our internal control over financial reporting as of December 31, 2023, utilizing the criteria set forth by the Committee of Sponsoring Organizations of the Treadway Commission (COSO) in its Internal Control-Integrated Framework (2013 framework). Based on this assessment and those criteria, management determined that our internal control over financial reporting was effective as of December 31, 2023. The effectiveness of our internal control over financial reporting as of December 31, 2023 has been audited by Ernst &amp; Young LLP, our independent registered public accounting firm, as stated in their attestation report included in this Form 10-K.</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260"/>
          </w:cols>
          <w:pgMar w:left="1000" w:top="784" w:right="980" w:bottom="0" w:gutter="0" w:footer="0" w:header="0"/>
          <w:type w:val="continuous"/>
        </w:sectPr>
      </w:pPr>
    </w:p>
    <w:bookmarkStart w:id="58" w:name="page59"/>
    <w:bookmarkEnd w:id="58"/>
    <w:p>
      <w:pPr>
        <w:ind w:left="2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Stockholders and the Board of Directors of AGNC Investment Corp.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5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have audited AGNC Investment Corp.’s internal control over financial reporting as of December 31, 2023, based on criteria established in Internal Control Integrated Framework issued by the Committee of Sponsoring Organizations of the Treadway Commission (2013 framework) (the COSO criteria). In our opinion, AGNC Investment Corp. (the Company) maintained, in all material respects, effective internal control over financial reporting as of December 31, 2023, based on the COSO criteria</w:t>
      </w:r>
      <w:r>
        <w:rPr>
          <w:rFonts w:ascii="Times New Roman" w:cs="Times New Roman" w:eastAsia="Times New Roman" w:hAnsi="Times New Roman"/>
          <w:sz w:val="20"/>
          <w:szCs w:val="20"/>
          <w:b w:val="1"/>
          <w:bCs w:val="1"/>
          <w:color w:val="auto"/>
        </w:rPr>
        <w:t>.</w:t>
      </w:r>
    </w:p>
    <w:p>
      <w:pPr>
        <w:spacing w:after="0" w:line="20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2023 and 2022, the related consolidated statements of comprehensive income, stockholders’ equity, and cash flows for each of the three years in the period ended December 31, 2023, and the related notes, and our report dated February 22, 2024 expressed an unqualified opinion thereon.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5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Tysons, Virginia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22, 2024</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260"/>
          </w:cols>
          <w:pgMar w:left="1000" w:top="786" w:right="980" w:bottom="0" w:gutter="0" w:footer="0" w:header="0"/>
          <w:type w:val="continuous"/>
        </w:sectPr>
      </w:pPr>
    </w:p>
    <w:bookmarkStart w:id="59" w:name="page60"/>
    <w:bookmarkEnd w:id="59"/>
    <w:p>
      <w:pPr>
        <w:ind w:left="26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Stockholders and the Board of Directors of AGNC Investment Corp.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AGNC Investment Corp. (the Company) as of December 31, 2023 and 2022, the related consolidated statements of comprehensive income,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0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22, 2024 expressed an unqualified opinion thereon.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260"/>
          </w:cols>
          <w:pgMar w:left="1000" w:top="786" w:right="980" w:bottom="0" w:gutter="0" w:footer="0" w:header="0"/>
          <w:type w:val="continuous"/>
        </w:sectPr>
      </w:pPr>
    </w:p>
    <w:bookmarkStart w:id="60" w:name="page61"/>
    <w:bookmarkEnd w:id="60"/>
    <w:p>
      <w:pPr>
        <w:ind w:left="2240"/>
        <w:spacing w:after="0"/>
        <w:rPr>
          <w:sz w:val="20"/>
          <w:szCs w:val="20"/>
          <w:color w:val="auto"/>
        </w:rPr>
      </w:pPr>
      <w:r>
        <w:rPr>
          <w:rFonts w:ascii="Times New Roman" w:cs="Times New Roman" w:eastAsia="Times New Roman" w:hAnsi="Times New Roman"/>
          <w:sz w:val="20"/>
          <w:szCs w:val="20"/>
          <w:b w:val="1"/>
          <w:bCs w:val="1"/>
          <w:i w:val="1"/>
          <w:iCs w:val="1"/>
          <w:color w:val="auto"/>
        </w:rPr>
        <w:t>Agency securities and non-agency securities of high credit quality net premium amortization</w:t>
      </w:r>
    </w:p>
    <w:p>
      <w:pPr>
        <w:spacing w:after="0" w:line="202" w:lineRule="exact"/>
        <w:rPr>
          <w:sz w:val="20"/>
          <w:szCs w:val="20"/>
          <w:color w:val="auto"/>
        </w:rPr>
      </w:pPr>
    </w:p>
    <w:p>
      <w:pPr>
        <w:ind w:left="60"/>
        <w:spacing w:after="0"/>
        <w:tabs>
          <w:tab w:leader="none" w:pos="2220" w:val="left"/>
        </w:tabs>
        <w:rPr>
          <w:sz w:val="20"/>
          <w:szCs w:val="20"/>
          <w:color w:val="auto"/>
        </w:rPr>
      </w:pPr>
      <w:r>
        <w:rPr>
          <w:rFonts w:ascii="Times New Roman" w:cs="Times New Roman" w:eastAsia="Times New Roman" w:hAnsi="Times New Roman"/>
          <w:sz w:val="20"/>
          <w:szCs w:val="20"/>
          <w:b w:val="1"/>
          <w:bCs w:val="1"/>
          <w:i w:val="1"/>
          <w:iCs w:val="1"/>
          <w:color w:val="auto"/>
        </w:rPr>
        <w:t>Description</w:t>
      </w:r>
      <w:r>
        <w:rPr>
          <w:sz w:val="20"/>
          <w:szCs w:val="20"/>
          <w:color w:val="auto"/>
        </w:rPr>
        <w:tab/>
      </w:r>
      <w:r>
        <w:rPr>
          <w:rFonts w:ascii="Times New Roman" w:cs="Times New Roman" w:eastAsia="Times New Roman" w:hAnsi="Times New Roman"/>
          <w:sz w:val="20"/>
          <w:szCs w:val="20"/>
          <w:color w:val="auto"/>
        </w:rPr>
        <w:t>As of December 31, 2023, the Company’s investment securities had a net unamortized premium</w:t>
      </w:r>
    </w:p>
    <w:p>
      <w:pPr>
        <w:ind w:left="60"/>
        <w:spacing w:after="0" w:line="212" w:lineRule="auto"/>
        <w:tabs>
          <w:tab w:leader="none" w:pos="2220" w:val="left"/>
        </w:tabs>
        <w:rPr>
          <w:sz w:val="20"/>
          <w:szCs w:val="20"/>
          <w:color w:val="auto"/>
        </w:rPr>
      </w:pPr>
      <w:r>
        <w:rPr>
          <w:rFonts w:ascii="Times New Roman" w:cs="Times New Roman" w:eastAsia="Times New Roman" w:hAnsi="Times New Roman"/>
          <w:sz w:val="20"/>
          <w:szCs w:val="20"/>
          <w:b w:val="1"/>
          <w:bCs w:val="1"/>
          <w:i w:val="1"/>
          <w:iCs w:val="1"/>
          <w:color w:val="auto"/>
        </w:rPr>
        <w:t>of the Matter</w:t>
      </w:r>
      <w:r>
        <w:rPr>
          <w:sz w:val="20"/>
          <w:szCs w:val="20"/>
          <w:color w:val="auto"/>
        </w:rPr>
        <w:tab/>
      </w:r>
      <w:r>
        <w:rPr>
          <w:rFonts w:ascii="Times New Roman" w:cs="Times New Roman" w:eastAsia="Times New Roman" w:hAnsi="Times New Roman"/>
          <w:sz w:val="20"/>
          <w:szCs w:val="20"/>
          <w:color w:val="auto"/>
        </w:rPr>
        <w:t>balance of $1.2 billion, including interest and principal-only securities, and it recorded $201</w:t>
      </w:r>
    </w:p>
    <w:p>
      <w:pPr>
        <w:ind w:left="2240"/>
        <w:spacing w:after="0" w:line="209" w:lineRule="auto"/>
        <w:rPr>
          <w:sz w:val="20"/>
          <w:szCs w:val="20"/>
          <w:color w:val="auto"/>
        </w:rPr>
      </w:pPr>
      <w:r>
        <w:rPr>
          <w:rFonts w:ascii="Times New Roman" w:cs="Times New Roman" w:eastAsia="Times New Roman" w:hAnsi="Times New Roman"/>
          <w:sz w:val="20"/>
          <w:szCs w:val="20"/>
          <w:color w:val="auto"/>
        </w:rPr>
        <w:t>million of net premium amortization for the year then ended. As explained in Note 2 to the</w:t>
      </w:r>
    </w:p>
    <w:p>
      <w:pPr>
        <w:ind w:left="2240"/>
        <w:spacing w:after="0" w:line="209" w:lineRule="auto"/>
        <w:rPr>
          <w:sz w:val="20"/>
          <w:szCs w:val="20"/>
          <w:color w:val="auto"/>
        </w:rPr>
      </w:pPr>
      <w:r>
        <w:rPr>
          <w:rFonts w:ascii="Times New Roman" w:cs="Times New Roman" w:eastAsia="Times New Roman" w:hAnsi="Times New Roman"/>
          <w:sz w:val="20"/>
          <w:szCs w:val="20"/>
          <w:color w:val="auto"/>
        </w:rPr>
        <w:t>financial statements, premiums or discounts associated with the purchase of Agency residential</w:t>
      </w:r>
    </w:p>
    <w:p>
      <w:pPr>
        <w:ind w:left="2240"/>
        <w:spacing w:after="0" w:line="208" w:lineRule="auto"/>
        <w:rPr>
          <w:sz w:val="20"/>
          <w:szCs w:val="20"/>
          <w:color w:val="auto"/>
        </w:rPr>
      </w:pPr>
      <w:r>
        <w:rPr>
          <w:rFonts w:ascii="Times New Roman" w:cs="Times New Roman" w:eastAsia="Times New Roman" w:hAnsi="Times New Roman"/>
          <w:sz w:val="20"/>
          <w:szCs w:val="20"/>
          <w:color w:val="auto"/>
        </w:rPr>
        <w:t>mortgage-backed securities (“Agency RMBS") and non-Agency mortgage-backed securities of</w:t>
      </w:r>
    </w:p>
    <w:p>
      <w:pPr>
        <w:ind w:left="2240"/>
        <w:spacing w:after="0" w:line="209" w:lineRule="auto"/>
        <w:rPr>
          <w:sz w:val="20"/>
          <w:szCs w:val="20"/>
          <w:color w:val="auto"/>
        </w:rPr>
      </w:pPr>
      <w:r>
        <w:rPr>
          <w:rFonts w:ascii="Times New Roman" w:cs="Times New Roman" w:eastAsia="Times New Roman" w:hAnsi="Times New Roman"/>
          <w:sz w:val="20"/>
          <w:szCs w:val="20"/>
          <w:color w:val="auto"/>
        </w:rPr>
        <w:t>high credit quality are amortized or accreted into interest income, respectively, over the projected</w:t>
      </w:r>
    </w:p>
    <w:p>
      <w:pPr>
        <w:ind w:left="2240"/>
        <w:spacing w:after="0" w:line="209" w:lineRule="auto"/>
        <w:rPr>
          <w:sz w:val="20"/>
          <w:szCs w:val="20"/>
          <w:color w:val="auto"/>
        </w:rPr>
      </w:pPr>
      <w:r>
        <w:rPr>
          <w:rFonts w:ascii="Times New Roman" w:cs="Times New Roman" w:eastAsia="Times New Roman" w:hAnsi="Times New Roman"/>
          <w:sz w:val="20"/>
          <w:szCs w:val="20"/>
          <w:color w:val="auto"/>
        </w:rPr>
        <w:t>lives of the securities, including contractual payments and estimated prepayments using the</w:t>
      </w:r>
    </w:p>
    <w:p>
      <w:pPr>
        <w:ind w:left="2240"/>
        <w:spacing w:after="0" w:line="208" w:lineRule="auto"/>
        <w:rPr>
          <w:sz w:val="20"/>
          <w:szCs w:val="20"/>
          <w:color w:val="auto"/>
        </w:rPr>
      </w:pPr>
      <w:r>
        <w:rPr>
          <w:rFonts w:ascii="Times New Roman" w:cs="Times New Roman" w:eastAsia="Times New Roman" w:hAnsi="Times New Roman"/>
          <w:sz w:val="20"/>
          <w:szCs w:val="20"/>
          <w:color w:val="auto"/>
        </w:rPr>
        <w:t>effective interest method. The effective yield on the Company’s Agency RMBS and non-Agency</w:t>
      </w:r>
    </w:p>
    <w:p>
      <w:pPr>
        <w:ind w:left="2240"/>
        <w:spacing w:after="0" w:line="209" w:lineRule="auto"/>
        <w:rPr>
          <w:sz w:val="20"/>
          <w:szCs w:val="20"/>
          <w:color w:val="auto"/>
        </w:rPr>
      </w:pPr>
      <w:r>
        <w:rPr>
          <w:rFonts w:ascii="Times New Roman" w:cs="Times New Roman" w:eastAsia="Times New Roman" w:hAnsi="Times New Roman"/>
          <w:sz w:val="20"/>
          <w:szCs w:val="20"/>
          <w:color w:val="auto"/>
        </w:rPr>
        <w:t>mortgage-backed securities of high credit quality is highly impacted by the Company’s estimate of</w:t>
      </w:r>
    </w:p>
    <w:p>
      <w:pPr>
        <w:ind w:left="2240"/>
        <w:spacing w:after="0" w:line="209" w:lineRule="auto"/>
        <w:rPr>
          <w:sz w:val="20"/>
          <w:szCs w:val="20"/>
          <w:color w:val="auto"/>
        </w:rPr>
      </w:pPr>
      <w:r>
        <w:rPr>
          <w:rFonts w:ascii="Times New Roman" w:cs="Times New Roman" w:eastAsia="Times New Roman" w:hAnsi="Times New Roman"/>
          <w:sz w:val="20"/>
          <w:szCs w:val="20"/>
          <w:color w:val="auto"/>
        </w:rPr>
        <w:t>future prepayments. The Company estimates long-term prepayment speeds of such securities using</w:t>
      </w:r>
    </w:p>
    <w:p>
      <w:pPr>
        <w:ind w:left="2240"/>
        <w:spacing w:after="0" w:line="209" w:lineRule="auto"/>
        <w:rPr>
          <w:sz w:val="20"/>
          <w:szCs w:val="20"/>
          <w:color w:val="auto"/>
        </w:rPr>
      </w:pPr>
      <w:r>
        <w:rPr>
          <w:rFonts w:ascii="Times New Roman" w:cs="Times New Roman" w:eastAsia="Times New Roman" w:hAnsi="Times New Roman"/>
          <w:sz w:val="20"/>
          <w:szCs w:val="20"/>
          <w:color w:val="auto"/>
        </w:rPr>
        <w:t>a third-party service provider and market data. The third-party service provider estimates long-</w:t>
      </w:r>
    </w:p>
    <w:p>
      <w:pPr>
        <w:ind w:left="2240"/>
        <w:spacing w:after="0" w:line="208" w:lineRule="auto"/>
        <w:rPr>
          <w:sz w:val="20"/>
          <w:szCs w:val="20"/>
          <w:color w:val="auto"/>
        </w:rPr>
      </w:pPr>
      <w:r>
        <w:rPr>
          <w:rFonts w:ascii="Times New Roman" w:cs="Times New Roman" w:eastAsia="Times New Roman" w:hAnsi="Times New Roman"/>
          <w:sz w:val="20"/>
          <w:szCs w:val="20"/>
          <w:color w:val="auto"/>
        </w:rPr>
        <w:t>term prepayment speeds using a prepayment model that incorporates the forward yield curve,</w:t>
      </w:r>
    </w:p>
    <w:p>
      <w:pPr>
        <w:ind w:left="2240"/>
        <w:spacing w:after="0" w:line="209" w:lineRule="auto"/>
        <w:rPr>
          <w:sz w:val="20"/>
          <w:szCs w:val="20"/>
          <w:color w:val="auto"/>
        </w:rPr>
      </w:pPr>
      <w:r>
        <w:rPr>
          <w:rFonts w:ascii="Times New Roman" w:cs="Times New Roman" w:eastAsia="Times New Roman" w:hAnsi="Times New Roman"/>
          <w:sz w:val="20"/>
          <w:szCs w:val="20"/>
          <w:color w:val="auto"/>
        </w:rPr>
        <w:t>current mortgage rates, mortgage rates of the outstanding loans, age and size of the outstanding</w:t>
      </w:r>
    </w:p>
    <w:p>
      <w:pPr>
        <w:spacing w:after="0" w:line="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loans, loan-to-value ratios, interest rate volatility and other factors.</w:t>
      </w:r>
    </w:p>
    <w:p>
      <w:pPr>
        <w:spacing w:after="0" w:line="14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Auditing the Company's estimation of long-term prepayment speeds used for the amortization of</w:t>
      </w:r>
    </w:p>
    <w:p>
      <w:pPr>
        <w:ind w:left="2240"/>
        <w:spacing w:after="0" w:line="208" w:lineRule="auto"/>
        <w:rPr>
          <w:sz w:val="20"/>
          <w:szCs w:val="20"/>
          <w:color w:val="auto"/>
        </w:rPr>
      </w:pPr>
      <w:r>
        <w:rPr>
          <w:rFonts w:ascii="Times New Roman" w:cs="Times New Roman" w:eastAsia="Times New Roman" w:hAnsi="Times New Roman"/>
          <w:sz w:val="20"/>
          <w:szCs w:val="20"/>
          <w:color w:val="auto"/>
        </w:rPr>
        <w:t>premiums and accretion of discounts is subjective due to the significant judgments and estimates</w:t>
      </w:r>
    </w:p>
    <w:p>
      <w:pPr>
        <w:ind w:left="2240"/>
        <w:spacing w:after="0" w:line="220" w:lineRule="auto"/>
        <w:rPr>
          <w:sz w:val="20"/>
          <w:szCs w:val="20"/>
          <w:color w:val="auto"/>
        </w:rPr>
      </w:pPr>
      <w:r>
        <w:rPr>
          <w:rFonts w:ascii="Times New Roman" w:cs="Times New Roman" w:eastAsia="Times New Roman" w:hAnsi="Times New Roman"/>
          <w:sz w:val="19"/>
          <w:szCs w:val="19"/>
          <w:color w:val="auto"/>
        </w:rPr>
        <w:t>required by management and the third-party service provider, as inputs into prepayment models are</w:t>
      </w:r>
    </w:p>
    <w:p>
      <w:pPr>
        <w:ind w:left="2240"/>
        <w:spacing w:after="0"/>
        <w:rPr>
          <w:sz w:val="20"/>
          <w:szCs w:val="20"/>
          <w:color w:val="auto"/>
        </w:rPr>
      </w:pPr>
      <w:r>
        <w:rPr>
          <w:rFonts w:ascii="Times New Roman" w:cs="Times New Roman" w:eastAsia="Times New Roman" w:hAnsi="Times New Roman"/>
          <w:sz w:val="20"/>
          <w:szCs w:val="20"/>
          <w:color w:val="auto"/>
        </w:rPr>
        <w:t>prone to fluctuation based on changing macroeconomic conditions.</w:t>
      </w:r>
    </w:p>
    <w:p>
      <w:pPr>
        <w:spacing w:after="0" w:line="111" w:lineRule="exact"/>
        <w:rPr>
          <w:sz w:val="20"/>
          <w:szCs w:val="20"/>
          <w:color w:val="auto"/>
        </w:rPr>
      </w:pPr>
    </w:p>
    <w:p>
      <w:pPr>
        <w:ind w:left="60"/>
        <w:spacing w:after="0"/>
        <w:tabs>
          <w:tab w:leader="none" w:pos="2220" w:val="left"/>
        </w:tabs>
        <w:rPr>
          <w:sz w:val="20"/>
          <w:szCs w:val="20"/>
          <w:color w:val="auto"/>
        </w:rPr>
      </w:pPr>
      <w:r>
        <w:rPr>
          <w:rFonts w:ascii="Times New Roman" w:cs="Times New Roman" w:eastAsia="Times New Roman" w:hAnsi="Times New Roman"/>
          <w:sz w:val="20"/>
          <w:szCs w:val="20"/>
          <w:b w:val="1"/>
          <w:bCs w:val="1"/>
          <w:i w:val="1"/>
          <w:iCs w:val="1"/>
          <w:color w:val="auto"/>
        </w:rPr>
        <w:t>How We Addressed the</w:t>
      </w:r>
      <w:r>
        <w:rPr>
          <w:sz w:val="20"/>
          <w:szCs w:val="20"/>
          <w:color w:val="auto"/>
        </w:rPr>
        <w:tab/>
      </w:r>
      <w:r>
        <w:rPr>
          <w:rFonts w:ascii="Times New Roman" w:cs="Times New Roman" w:eastAsia="Times New Roman" w:hAnsi="Times New Roman"/>
          <w:sz w:val="20"/>
          <w:szCs w:val="20"/>
          <w:color w:val="auto"/>
        </w:rPr>
        <w:t>We obtained an understanding, evaluated the design and tested the operating effectiveness of</w:t>
      </w:r>
    </w:p>
    <w:p>
      <w:pPr>
        <w:ind w:left="60"/>
        <w:spacing w:after="0" w:line="208" w:lineRule="auto"/>
        <w:tabs>
          <w:tab w:leader="none" w:pos="2220" w:val="left"/>
        </w:tabs>
        <w:rPr>
          <w:sz w:val="20"/>
          <w:szCs w:val="20"/>
          <w:color w:val="auto"/>
        </w:rPr>
      </w:pPr>
      <w:r>
        <w:rPr>
          <w:rFonts w:ascii="Times New Roman" w:cs="Times New Roman" w:eastAsia="Times New Roman" w:hAnsi="Times New Roman"/>
          <w:sz w:val="20"/>
          <w:szCs w:val="20"/>
          <w:b w:val="1"/>
          <w:bCs w:val="1"/>
          <w:i w:val="1"/>
          <w:iCs w:val="1"/>
          <w:color w:val="auto"/>
        </w:rPr>
        <w:t>Matter in Our Audit</w:t>
      </w:r>
      <w:r>
        <w:rPr>
          <w:sz w:val="20"/>
          <w:szCs w:val="20"/>
          <w:color w:val="auto"/>
        </w:rPr>
        <w:tab/>
      </w:r>
      <w:r>
        <w:rPr>
          <w:rFonts w:ascii="Times New Roman" w:cs="Times New Roman" w:eastAsia="Times New Roman" w:hAnsi="Times New Roman"/>
          <w:sz w:val="20"/>
          <w:szCs w:val="20"/>
          <w:color w:val="auto"/>
        </w:rPr>
        <w:t>internal controls over the estimation of long-term prepayment speeds, including management’s</w:t>
      </w:r>
    </w:p>
    <w:p>
      <w:pPr>
        <w:spacing w:after="0" w:line="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review of the estimated prepayment speeds provided by the third-party service provider.</w:t>
      </w:r>
    </w:p>
    <w:p>
      <w:pPr>
        <w:spacing w:after="0" w:line="14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Our audit procedures included, among others, performing comparative analyses between the</w:t>
      </w:r>
    </w:p>
    <w:p>
      <w:pPr>
        <w:ind w:left="2240"/>
        <w:spacing w:after="0" w:line="208" w:lineRule="auto"/>
        <w:rPr>
          <w:sz w:val="20"/>
          <w:szCs w:val="20"/>
          <w:color w:val="auto"/>
        </w:rPr>
      </w:pPr>
      <w:r>
        <w:rPr>
          <w:rFonts w:ascii="Times New Roman" w:cs="Times New Roman" w:eastAsia="Times New Roman" w:hAnsi="Times New Roman"/>
          <w:sz w:val="20"/>
          <w:szCs w:val="20"/>
          <w:color w:val="auto"/>
        </w:rPr>
        <w:t>Company’s long-term prepayment speed estimates and long-term prepayment speed estimates data</w:t>
      </w:r>
    </w:p>
    <w:p>
      <w:pPr>
        <w:ind w:left="2240"/>
        <w:spacing w:after="0" w:line="209" w:lineRule="auto"/>
        <w:rPr>
          <w:sz w:val="20"/>
          <w:szCs w:val="20"/>
          <w:color w:val="auto"/>
        </w:rPr>
      </w:pPr>
      <w:r>
        <w:rPr>
          <w:rFonts w:ascii="Times New Roman" w:cs="Times New Roman" w:eastAsia="Times New Roman" w:hAnsi="Times New Roman"/>
          <w:sz w:val="20"/>
          <w:szCs w:val="20"/>
          <w:color w:val="auto"/>
        </w:rPr>
        <w:t>from  independent  third-party  sources,  reconciling  the  Company’s  estimates  of  long-term</w:t>
      </w:r>
    </w:p>
    <w:p>
      <w:pPr>
        <w:jc w:val="right"/>
        <w:spacing w:after="0" w:line="209" w:lineRule="auto"/>
        <w:rPr>
          <w:sz w:val="20"/>
          <w:szCs w:val="20"/>
          <w:color w:val="auto"/>
        </w:rPr>
      </w:pPr>
      <w:r>
        <w:rPr>
          <w:rFonts w:ascii="Times New Roman" w:cs="Times New Roman" w:eastAsia="Times New Roman" w:hAnsi="Times New Roman"/>
          <w:sz w:val="20"/>
          <w:szCs w:val="20"/>
          <w:color w:val="auto"/>
        </w:rPr>
        <w:t>prepayment speeds to source prepayment speeds data provided by management’s third-party</w:t>
      </w:r>
    </w:p>
    <w:p>
      <w:pPr>
        <w:ind w:left="2240"/>
        <w:spacing w:after="0" w:line="208" w:lineRule="auto"/>
        <w:rPr>
          <w:sz w:val="20"/>
          <w:szCs w:val="20"/>
          <w:color w:val="auto"/>
        </w:rPr>
      </w:pPr>
      <w:r>
        <w:rPr>
          <w:rFonts w:ascii="Times New Roman" w:cs="Times New Roman" w:eastAsia="Times New Roman" w:hAnsi="Times New Roman"/>
          <w:sz w:val="20"/>
          <w:szCs w:val="20"/>
          <w:color w:val="auto"/>
        </w:rPr>
        <w:t>service provider, evaluating the competency and objectivity of management’s third-party service</w:t>
      </w:r>
    </w:p>
    <w:p>
      <w:pPr>
        <w:ind w:left="2240"/>
        <w:spacing w:after="0" w:line="209" w:lineRule="auto"/>
        <w:rPr>
          <w:sz w:val="20"/>
          <w:szCs w:val="20"/>
          <w:color w:val="auto"/>
        </w:rPr>
      </w:pPr>
      <w:r>
        <w:rPr>
          <w:rFonts w:ascii="Times New Roman" w:cs="Times New Roman" w:eastAsia="Times New Roman" w:hAnsi="Times New Roman"/>
          <w:sz w:val="20"/>
          <w:szCs w:val="20"/>
          <w:color w:val="auto"/>
        </w:rPr>
        <w:t>provider, and identifying potential sources of contrary information, with the assistance of an</w:t>
      </w:r>
    </w:p>
    <w:p>
      <w:pPr>
        <w:spacing w:after="0" w:line="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internal valuation specialist.</w:t>
      </w:r>
    </w:p>
    <w:p>
      <w:pPr>
        <w:spacing w:after="0" w:line="200" w:lineRule="exact"/>
        <w:rPr>
          <w:sz w:val="20"/>
          <w:szCs w:val="20"/>
          <w:color w:val="auto"/>
        </w:rPr>
      </w:pPr>
    </w:p>
    <w:p>
      <w:pPr>
        <w:spacing w:after="0" w:line="348"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2008.</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Tysons, Virginia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22, 2024</w:t>
      </w:r>
    </w:p>
    <w:p>
      <w:pPr>
        <w:sectPr>
          <w:pgSz w:w="12240" w:h="15840" w:orient="portrait"/>
          <w:cols w:equalWidth="0" w:num="1">
            <w:col w:w="10180"/>
          </w:cols>
          <w:pgMar w:left="1000" w:top="859"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180"/>
          </w:cols>
          <w:pgMar w:left="1000" w:top="859" w:right="1060" w:bottom="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AGNC INVESTMENT CORP.</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millions, except per share data)</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0"/>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Agency securities, at fair value (including pledged securities of $49,575 and $35,800,</w:t>
            </w:r>
          </w:p>
        </w:tc>
        <w:tc>
          <w:tcPr>
            <w:tcW w:w="3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53,673</w:t>
            </w:r>
          </w:p>
        </w:tc>
        <w:tc>
          <w:tcPr>
            <w:tcW w:w="5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39,346</w:t>
            </w:r>
          </w:p>
        </w:tc>
        <w:tc>
          <w:tcPr>
            <w:tcW w:w="0" w:type="dxa"/>
            <w:vAlign w:val="bottom"/>
          </w:tcPr>
          <w:p>
            <w:pPr>
              <w:spacing w:after="0"/>
              <w:rPr>
                <w:sz w:val="1"/>
                <w:szCs w:val="1"/>
                <w:color w:val="auto"/>
              </w:rPr>
            </w:pPr>
          </w:p>
        </w:tc>
      </w:tr>
      <w:tr>
        <w:trPr>
          <w:trHeight w:val="234"/>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respectively)</w:t>
            </w:r>
            <w:r>
              <w:rPr>
                <w:rFonts w:ascii="Times New Roman" w:cs="Times New Roman" w:eastAsia="Times New Roman" w:hAnsi="Times New Roman"/>
                <w:sz w:val="18"/>
                <w:szCs w:val="18"/>
                <w:color w:val="B4B4B4"/>
              </w:rPr>
              <w:t>.....................................................................................................................................</w:t>
            </w:r>
          </w:p>
        </w:tc>
        <w:tc>
          <w:tcPr>
            <w:tcW w:w="34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Agency securities transferred to consolidated variable interest entities, at fair value (pledged</w:t>
            </w:r>
          </w:p>
        </w:tc>
        <w:tc>
          <w:tcPr>
            <w:tcW w:w="34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4"/>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securities) </w:t>
            </w:r>
            <w:r>
              <w:rPr>
                <w:rFonts w:ascii="Times New Roman" w:cs="Times New Roman" w:eastAsia="Times New Roman" w:hAnsi="Times New Roman"/>
                <w:sz w:val="18"/>
                <w:szCs w:val="18"/>
                <w:color w:val="B4B4B4"/>
              </w:rPr>
              <w:t>.........................................................................................................................................</w:t>
            </w: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risk transfer securities, at fair value (including pledged securities of $678 and $703,</w:t>
            </w:r>
          </w:p>
        </w:tc>
        <w:tc>
          <w:tcPr>
            <w:tcW w:w="34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34"/>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respectively)</w:t>
            </w:r>
            <w:r>
              <w:rPr>
                <w:rFonts w:ascii="Times New Roman" w:cs="Times New Roman" w:eastAsia="Times New Roman" w:hAnsi="Times New Roman"/>
                <w:sz w:val="18"/>
                <w:szCs w:val="18"/>
                <w:color w:val="B4B4B4"/>
              </w:rPr>
              <w:t>.....................................................................................................................................</w:t>
            </w: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Non-Agency securities, at fair value, and other mortgage credit investments (including pledged</w:t>
            </w:r>
          </w:p>
        </w:tc>
        <w:tc>
          <w:tcPr>
            <w:tcW w:w="34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34"/>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securities of $262 and $605, respectively) </w:t>
            </w:r>
            <w:r>
              <w:rPr>
                <w:rFonts w:ascii="Times New Roman" w:cs="Times New Roman" w:eastAsia="Times New Roman" w:hAnsi="Times New Roman"/>
                <w:sz w:val="18"/>
                <w:szCs w:val="18"/>
                <w:color w:val="B4B4B4"/>
              </w:rPr>
              <w:t>......................................................................................</w:t>
            </w: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securities, at fair value (including pledged securities of $1,530 and $353,</w:t>
            </w:r>
          </w:p>
        </w:tc>
        <w:tc>
          <w:tcPr>
            <w:tcW w:w="34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4"/>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respectively)</w:t>
            </w:r>
            <w:r>
              <w:rPr>
                <w:rFonts w:ascii="Times New Roman" w:cs="Times New Roman" w:eastAsia="Times New Roman" w:hAnsi="Times New Roman"/>
                <w:sz w:val="18"/>
                <w:szCs w:val="18"/>
                <w:color w:val="B4B4B4"/>
              </w:rPr>
              <w:t>.....................................................................................................................................</w:t>
            </w: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18"/>
                <w:szCs w:val="18"/>
                <w:color w:val="B4B4B4"/>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85"/>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18"/>
                <w:szCs w:val="18"/>
                <w:color w:val="B4B4B4"/>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85"/>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Derivative assets, at fair value </w:t>
            </w:r>
            <w:r>
              <w:rPr>
                <w:rFonts w:ascii="Times New Roman" w:cs="Times New Roman" w:eastAsia="Times New Roman" w:hAnsi="Times New Roman"/>
                <w:sz w:val="18"/>
                <w:szCs w:val="18"/>
                <w:color w:val="B4B4B4"/>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31"/>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 for investment securities sold (including pledged securities of $0 and $119,</w:t>
            </w:r>
          </w:p>
        </w:tc>
        <w:tc>
          <w:tcPr>
            <w:tcW w:w="34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4"/>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respectively)</w:t>
            </w:r>
            <w:r>
              <w:rPr>
                <w:rFonts w:ascii="Times New Roman" w:cs="Times New Roman" w:eastAsia="Times New Roman" w:hAnsi="Times New Roman"/>
                <w:sz w:val="18"/>
                <w:szCs w:val="18"/>
                <w:color w:val="B4B4B4"/>
              </w:rPr>
              <w:t>.....................................................................................................................................</w:t>
            </w: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Receivable under reverse repurchase agreements </w:t>
            </w:r>
            <w:r>
              <w:rPr>
                <w:rFonts w:ascii="Times New Roman" w:cs="Times New Roman" w:eastAsia="Times New Roman" w:hAnsi="Times New Roman"/>
                <w:sz w:val="18"/>
                <w:szCs w:val="18"/>
                <w:color w:val="B4B4B4"/>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0" w:type="dxa"/>
            <w:vAlign w:val="bottom"/>
          </w:tcPr>
          <w:p>
            <w:pPr>
              <w:spacing w:after="0"/>
              <w:rPr>
                <w:sz w:val="1"/>
                <w:szCs w:val="1"/>
                <w:color w:val="auto"/>
              </w:rPr>
            </w:pPr>
          </w:p>
        </w:tc>
      </w:tr>
      <w:tr>
        <w:trPr>
          <w:trHeight w:val="285"/>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18"/>
                <w:szCs w:val="18"/>
                <w:color w:val="B4B4B4"/>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90"/>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color w:val="B4B4B4"/>
              </w:rPr>
              <w:t>......................................................................................................................................</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5"/>
        </w:trPr>
        <w:tc>
          <w:tcPr>
            <w:tcW w:w="7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xml:space="preserve">Total assets </w:t>
            </w:r>
            <w:r>
              <w:rPr>
                <w:rFonts w:ascii="Times New Roman" w:cs="Times New Roman" w:eastAsia="Times New Roman" w:hAnsi="Times New Roman"/>
                <w:sz w:val="18"/>
                <w:szCs w:val="18"/>
                <w:color w:val="B4B4B4"/>
              </w:rPr>
              <w:t>..............................................................................................................................</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71,596</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51,748</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2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Repurchase agreements </w:t>
            </w:r>
            <w:r>
              <w:rPr>
                <w:rFonts w:ascii="Times New Roman" w:cs="Times New Roman" w:eastAsia="Times New Roman" w:hAnsi="Times New Roman"/>
                <w:sz w:val="18"/>
                <w:szCs w:val="18"/>
                <w:color w:val="B4B4B4"/>
              </w:rPr>
              <w:t>...................................................................................................................</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50,426</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36,262</w:t>
            </w:r>
          </w:p>
        </w:tc>
        <w:tc>
          <w:tcPr>
            <w:tcW w:w="0" w:type="dxa"/>
            <w:vAlign w:val="bottom"/>
          </w:tcPr>
          <w:p>
            <w:pPr>
              <w:spacing w:after="0"/>
              <w:rPr>
                <w:sz w:val="1"/>
                <w:szCs w:val="1"/>
                <w:color w:val="auto"/>
              </w:rPr>
            </w:pPr>
          </w:p>
        </w:tc>
      </w:tr>
      <w:tr>
        <w:trPr>
          <w:trHeight w:val="285"/>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of consolidated variable interest entities, at fair value</w:t>
            </w:r>
            <w:r>
              <w:rPr>
                <w:rFonts w:ascii="Times New Roman" w:cs="Times New Roman" w:eastAsia="Times New Roman" w:hAnsi="Times New Roman"/>
                <w:sz w:val="18"/>
                <w:szCs w:val="18"/>
                <w:color w:val="B4B4B4"/>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85"/>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Payable for investment securities purchased </w:t>
            </w:r>
            <w:r>
              <w:rPr>
                <w:rFonts w:ascii="Times New Roman" w:cs="Times New Roman" w:eastAsia="Times New Roman" w:hAnsi="Times New Roman"/>
                <w:sz w:val="18"/>
                <w:szCs w:val="18"/>
                <w:color w:val="B4B4B4"/>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85"/>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Derivative liabilities, at fair value </w:t>
            </w:r>
            <w:r>
              <w:rPr>
                <w:rFonts w:ascii="Times New Roman" w:cs="Times New Roman" w:eastAsia="Times New Roman" w:hAnsi="Times New Roman"/>
                <w:sz w:val="18"/>
                <w:szCs w:val="18"/>
                <w:color w:val="B4B4B4"/>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85"/>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Dividends payable </w:t>
            </w:r>
            <w:r>
              <w:rPr>
                <w:rFonts w:ascii="Times New Roman" w:cs="Times New Roman" w:eastAsia="Times New Roman" w:hAnsi="Times New Roman"/>
                <w:sz w:val="18"/>
                <w:szCs w:val="18"/>
                <w:color w:val="B4B4B4"/>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5"/>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Obligation to return securities borrowed under reverse repurchase agreements, at fair value </w:t>
            </w:r>
            <w:r>
              <w:rPr>
                <w:rFonts w:ascii="Times New Roman" w:cs="Times New Roman" w:eastAsia="Times New Roman" w:hAnsi="Times New Roman"/>
                <w:sz w:val="18"/>
                <w:szCs w:val="18"/>
                <w:color w:val="B4B4B4"/>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0" w:type="dxa"/>
            <w:vAlign w:val="bottom"/>
          </w:tcPr>
          <w:p>
            <w:pPr>
              <w:spacing w:after="0"/>
              <w:rPr>
                <w:sz w:val="1"/>
                <w:szCs w:val="1"/>
                <w:color w:val="auto"/>
              </w:rPr>
            </w:pPr>
          </w:p>
        </w:tc>
      </w:tr>
      <w:tr>
        <w:trPr>
          <w:trHeight w:val="290"/>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18"/>
                <w:szCs w:val="18"/>
                <w:color w:val="B4B4B4"/>
              </w:rPr>
              <w:t>................................................................................................................................</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65"/>
        </w:trPr>
        <w:tc>
          <w:tcPr>
            <w:tcW w:w="7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xml:space="preserve">Total liabilities </w:t>
            </w:r>
            <w:r>
              <w:rPr>
                <w:rFonts w:ascii="Times New Roman" w:cs="Times New Roman" w:eastAsia="Times New Roman" w:hAnsi="Times New Roman"/>
                <w:sz w:val="18"/>
                <w:szCs w:val="18"/>
                <w:color w:val="B4B4B4"/>
              </w:rPr>
              <w:t>.........................................................................................................................</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63,339</w:t>
            </w:r>
          </w:p>
        </w:tc>
        <w:tc>
          <w:tcPr>
            <w:tcW w:w="8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43,878</w:t>
            </w:r>
          </w:p>
        </w:tc>
        <w:tc>
          <w:tcPr>
            <w:tcW w:w="0" w:type="dxa"/>
            <w:vAlign w:val="bottom"/>
          </w:tcPr>
          <w:p>
            <w:pPr>
              <w:spacing w:after="0"/>
              <w:rPr>
                <w:sz w:val="1"/>
                <w:szCs w:val="1"/>
                <w:color w:val="auto"/>
              </w:rPr>
            </w:pPr>
          </w:p>
        </w:tc>
      </w:tr>
      <w:tr>
        <w:trPr>
          <w:trHeight w:val="260"/>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Preferred Stock - aggregate liquidation preference of $1,688 </w:t>
            </w:r>
            <w:r>
              <w:rPr>
                <w:rFonts w:ascii="Times New Roman" w:cs="Times New Roman" w:eastAsia="Times New Roman" w:hAnsi="Times New Roman"/>
                <w:sz w:val="18"/>
                <w:szCs w:val="18"/>
                <w:color w:val="B4B4B4"/>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31"/>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 $0.01 par value; 1,500 shares authorized; 694.3 and 574.6 shares issued and</w:t>
            </w:r>
          </w:p>
        </w:tc>
        <w:tc>
          <w:tcPr>
            <w:tcW w:w="34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respectively</w:t>
            </w: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Additional paid-in capital </w:t>
            </w:r>
            <w:r>
              <w:rPr>
                <w:rFonts w:ascii="Times New Roman" w:cs="Times New Roman" w:eastAsia="Times New Roman" w:hAnsi="Times New Roman"/>
                <w:sz w:val="18"/>
                <w:szCs w:val="18"/>
                <w:color w:val="B4B4B4"/>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0" w:type="dxa"/>
            <w:vAlign w:val="bottom"/>
          </w:tcPr>
          <w:p>
            <w:pPr>
              <w:spacing w:after="0"/>
              <w:rPr>
                <w:sz w:val="1"/>
                <w:szCs w:val="1"/>
                <w:color w:val="auto"/>
              </w:rPr>
            </w:pPr>
          </w:p>
        </w:tc>
      </w:tr>
      <w:tr>
        <w:trPr>
          <w:trHeight w:val="285"/>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Retained deficit </w:t>
            </w:r>
            <w:r>
              <w:rPr>
                <w:rFonts w:ascii="Times New Roman" w:cs="Times New Roman" w:eastAsia="Times New Roman" w:hAnsi="Times New Roman"/>
                <w:sz w:val="18"/>
                <w:szCs w:val="18"/>
                <w:color w:val="B4B4B4"/>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0" w:type="dxa"/>
            <w:vAlign w:val="bottom"/>
          </w:tcPr>
          <w:p>
            <w:pPr>
              <w:spacing w:after="0"/>
              <w:rPr>
                <w:sz w:val="1"/>
                <w:szCs w:val="1"/>
                <w:color w:val="auto"/>
              </w:rPr>
            </w:pPr>
          </w:p>
        </w:tc>
      </w:tr>
      <w:tr>
        <w:trPr>
          <w:trHeight w:val="290"/>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Accumulated other comprehensive loss </w:t>
            </w:r>
            <w:r>
              <w:rPr>
                <w:rFonts w:ascii="Times New Roman" w:cs="Times New Roman" w:eastAsia="Times New Roman" w:hAnsi="Times New Roman"/>
                <w:sz w:val="18"/>
                <w:szCs w:val="18"/>
                <w:color w:val="B4B4B4"/>
              </w:rPr>
              <w:t>..........................................................................................</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65"/>
        </w:trPr>
        <w:tc>
          <w:tcPr>
            <w:tcW w:w="7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xml:space="preserve">Total stockholders' equity </w:t>
            </w:r>
            <w:r>
              <w:rPr>
                <w:rFonts w:ascii="Times New Roman" w:cs="Times New Roman" w:eastAsia="Times New Roman" w:hAnsi="Times New Roman"/>
                <w:sz w:val="18"/>
                <w:szCs w:val="18"/>
                <w:color w:val="B4B4B4"/>
              </w:rPr>
              <w:t>........................................................................................................</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8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0" w:type="dxa"/>
            <w:vAlign w:val="bottom"/>
          </w:tcPr>
          <w:p>
            <w:pPr>
              <w:spacing w:after="0"/>
              <w:rPr>
                <w:sz w:val="1"/>
                <w:szCs w:val="1"/>
                <w:color w:val="auto"/>
              </w:rPr>
            </w:pPr>
          </w:p>
        </w:tc>
      </w:tr>
      <w:tr>
        <w:trPr>
          <w:trHeight w:val="245"/>
        </w:trPr>
        <w:tc>
          <w:tcPr>
            <w:tcW w:w="7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xml:space="preserve">Total liabilities and stockholders' equity </w:t>
            </w:r>
            <w:r>
              <w:rPr>
                <w:rFonts w:ascii="Times New Roman" w:cs="Times New Roman" w:eastAsia="Times New Roman" w:hAnsi="Times New Roman"/>
                <w:sz w:val="18"/>
                <w:szCs w:val="18"/>
                <w:color w:val="B4B4B4"/>
              </w:rPr>
              <w:t>.................................................................................</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71,596</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51,748</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-3247390</wp:posOffset>
            </wp:positionV>
            <wp:extent cx="1946275" cy="762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8">
                      <a:extLst>
                        <a:ext uri="{28A0092B-C50C-407E-A947-70E740481C1C}"/>
                      </a:extLst>
                    </a:blip>
                    <a:srcRect/>
                    <a:stretch>
                      <a:fillRect/>
                    </a:stretch>
                  </pic:blipFill>
                  <pic:spPr bwMode="auto">
                    <a:xfrm>
                      <a:off x="0" y="0"/>
                      <a:ext cx="1946275" cy="762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-56515</wp:posOffset>
            </wp:positionV>
            <wp:extent cx="1946275" cy="762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9">
                      <a:extLst>
                        <a:ext uri="{28A0092B-C50C-407E-A947-70E740481C1C}"/>
                      </a:extLst>
                    </a:blip>
                    <a:srcRect/>
                    <a:stretch>
                      <a:fillRect/>
                    </a:stretch>
                  </pic:blipFill>
                  <pic:spPr bwMode="auto">
                    <a:xfrm>
                      <a:off x="0" y="0"/>
                      <a:ext cx="1946275" cy="76200"/>
                    </a:xfrm>
                    <a:prstGeom prst="rect">
                      <a:avLst/>
                    </a:prstGeom>
                    <a:noFill/>
                  </pic:spPr>
                </pic:pic>
              </a:graphicData>
            </a:graphic>
          </wp:anchor>
        </w:drawing>
      </w:r>
    </w:p>
    <w:p>
      <w:pPr>
        <w:spacing w:after="0" w:line="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180"/>
          </w:cols>
          <w:pgMar w:left="106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180"/>
          </w:cols>
          <w:pgMar w:left="1060" w:top="786" w:right="1000" w:bottom="0" w:gutter="0" w:footer="0" w:header="0"/>
          <w:type w:val="continuous"/>
        </w:sectPr>
      </w:pPr>
    </w:p>
    <w:bookmarkStart w:id="62" w:name="page63"/>
    <w:bookmarkEnd w:id="62"/>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AGNC INVESTMENT CORP.</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millions,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65"/>
        </w:trPr>
        <w:tc>
          <w:tcPr>
            <w:tcW w:w="66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Interest income:</w:t>
            </w: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Interest income</w:t>
            </w:r>
            <w:r>
              <w:rPr>
                <w:rFonts w:ascii="Times New Roman" w:cs="Times New Roman" w:eastAsia="Times New Roman" w:hAnsi="Times New Roman"/>
                <w:sz w:val="20"/>
                <w:szCs w:val="20"/>
                <w:color w:val="B4B4B4"/>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1,361</w:t>
            </w:r>
          </w:p>
        </w:tc>
        <w:tc>
          <w:tcPr>
            <w:tcW w:w="0" w:type="dxa"/>
            <w:vAlign w:val="bottom"/>
          </w:tcPr>
          <w:p>
            <w:pPr>
              <w:spacing w:after="0"/>
              <w:rPr>
                <w:sz w:val="1"/>
                <w:szCs w:val="1"/>
                <w:color w:val="auto"/>
              </w:rPr>
            </w:pPr>
          </w:p>
        </w:tc>
      </w:tr>
      <w:tr>
        <w:trPr>
          <w:trHeight w:val="303"/>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Interest expense </w:t>
            </w:r>
            <w:r>
              <w:rPr>
                <w:rFonts w:ascii="Times New Roman" w:cs="Times New Roman" w:eastAsia="Times New Roman" w:hAnsi="Times New Roman"/>
                <w:sz w:val="20"/>
                <w:szCs w:val="20"/>
                <w:color w:val="B4B4B4"/>
              </w:rPr>
              <w:t>..................................................................................................</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80"/>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Net interest income </w:t>
            </w:r>
            <w:r>
              <w:rPr>
                <w:rFonts w:ascii="Times New Roman" w:cs="Times New Roman" w:eastAsia="Times New Roman" w:hAnsi="Times New Roman"/>
                <w:sz w:val="20"/>
                <w:szCs w:val="20"/>
                <w:color w:val="B4B4B4"/>
              </w:rPr>
              <w:t>......................................................................................</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1,286</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gain (loss), net:</w:t>
            </w: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Loss on sale of investment securities, net </w:t>
            </w:r>
            <w:r>
              <w:rPr>
                <w:rFonts w:ascii="Times New Roman" w:cs="Times New Roman" w:eastAsia="Times New Roman" w:hAnsi="Times New Roman"/>
                <w:sz w:val="20"/>
                <w:szCs w:val="20"/>
                <w:color w:val="B4B4B4"/>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35"/>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Unrealized gain (loss) on investment securities measured at fair value through</w:t>
            </w:r>
          </w:p>
        </w:tc>
        <w:tc>
          <w:tcPr>
            <w:tcW w:w="26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1,678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(3,795)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(1,502)</w:t>
            </w:r>
          </w:p>
        </w:tc>
        <w:tc>
          <w:tcPr>
            <w:tcW w:w="0" w:type="dxa"/>
            <w:vAlign w:val="bottom"/>
          </w:tcPr>
          <w:p>
            <w:pPr>
              <w:spacing w:after="0"/>
              <w:rPr>
                <w:sz w:val="1"/>
                <w:szCs w:val="1"/>
                <w:color w:val="auto"/>
              </w:rPr>
            </w:pPr>
          </w:p>
        </w:tc>
      </w:tr>
      <w:tr>
        <w:trPr>
          <w:trHeight w:val="260"/>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net income, net </w:t>
            </w:r>
            <w:r>
              <w:rPr>
                <w:rFonts w:ascii="Times New Roman" w:cs="Times New Roman" w:eastAsia="Times New Roman" w:hAnsi="Times New Roman"/>
                <w:sz w:val="20"/>
                <w:szCs w:val="20"/>
                <w:color w:val="B4B4B4"/>
              </w:rPr>
              <w:t>....................................................................................................</w:t>
            </w:r>
          </w:p>
        </w:tc>
        <w:tc>
          <w:tcPr>
            <w:tcW w:w="26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Gain on derivative instruments and other investments, net </w:t>
            </w:r>
            <w:r>
              <w:rPr>
                <w:rFonts w:ascii="Times New Roman" w:cs="Times New Roman" w:eastAsia="Times New Roman" w:hAnsi="Times New Roman"/>
                <w:sz w:val="20"/>
                <w:szCs w:val="20"/>
                <w:color w:val="B4B4B4"/>
              </w:rPr>
              <w:t>................................</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4,630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1,110</w:t>
            </w:r>
          </w:p>
        </w:tc>
        <w:tc>
          <w:tcPr>
            <w:tcW w:w="0" w:type="dxa"/>
            <w:vAlign w:val="bottom"/>
          </w:tcPr>
          <w:p>
            <w:pPr>
              <w:spacing w:after="0"/>
              <w:rPr>
                <w:sz w:val="1"/>
                <w:szCs w:val="1"/>
                <w:color w:val="auto"/>
              </w:rPr>
            </w:pPr>
          </w:p>
        </w:tc>
      </w:tr>
      <w:tr>
        <w:trPr>
          <w:trHeight w:val="280"/>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other gain (loss), net: </w:t>
            </w:r>
            <w:r>
              <w:rPr>
                <w:rFonts w:ascii="Times New Roman" w:cs="Times New Roman" w:eastAsia="Times New Roman" w:hAnsi="Times New Roman"/>
                <w:sz w:val="20"/>
                <w:szCs w:val="20"/>
                <w:color w:val="B4B4B4"/>
              </w:rPr>
              <w:t>..........................................................................</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Expenses:</w:t>
            </w: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Compensation and benefits </w:t>
            </w:r>
            <w:r>
              <w:rPr>
                <w:rFonts w:ascii="Times New Roman" w:cs="Times New Roman" w:eastAsia="Times New Roman" w:hAnsi="Times New Roman"/>
                <w:sz w:val="20"/>
                <w:szCs w:val="20"/>
                <w:color w:val="B4B4B4"/>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303"/>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operating expense </w:t>
            </w:r>
            <w:r>
              <w:rPr>
                <w:rFonts w:ascii="Times New Roman" w:cs="Times New Roman" w:eastAsia="Times New Roman" w:hAnsi="Times New Roman"/>
                <w:sz w:val="20"/>
                <w:szCs w:val="20"/>
                <w:color w:val="B4B4B4"/>
              </w:rPr>
              <w:t>.....................................................................................</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80"/>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Total operating expense </w:t>
            </w:r>
            <w:r>
              <w:rPr>
                <w:rFonts w:ascii="Times New Roman" w:cs="Times New Roman" w:eastAsia="Times New Roman" w:hAnsi="Times New Roman"/>
                <w:sz w:val="20"/>
                <w:szCs w:val="20"/>
                <w:color w:val="B4B4B4"/>
              </w:rPr>
              <w:t>...............................................................................</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77"/>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Net income (loss) </w:t>
            </w:r>
            <w:r>
              <w:rPr>
                <w:rFonts w:ascii="Times New Roman" w:cs="Times New Roman" w:eastAsia="Times New Roman" w:hAnsi="Times New Roman"/>
                <w:sz w:val="20"/>
                <w:szCs w:val="20"/>
                <w:b w:val="1"/>
                <w:bCs w:val="1"/>
                <w:color w:val="B4B4B4"/>
                <w:w w:val="99"/>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0" w:type="dxa"/>
            <w:vAlign w:val="bottom"/>
          </w:tcPr>
          <w:p>
            <w:pPr>
              <w:spacing w:after="0"/>
              <w:rPr>
                <w:sz w:val="1"/>
                <w:szCs w:val="1"/>
                <w:color w:val="auto"/>
              </w:rPr>
            </w:pPr>
          </w:p>
        </w:tc>
      </w:tr>
      <w:tr>
        <w:trPr>
          <w:trHeight w:val="303"/>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Dividends on preferred stock </w:t>
            </w:r>
            <w:r>
              <w:rPr>
                <w:rFonts w:ascii="Times New Roman" w:cs="Times New Roman" w:eastAsia="Times New Roman" w:hAnsi="Times New Roman"/>
                <w:sz w:val="20"/>
                <w:szCs w:val="20"/>
                <w:color w:val="B4B4B4"/>
              </w:rPr>
              <w:t>..............................................................................</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60"/>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Net income (loss) available (attributable) to common stockholders </w:t>
            </w:r>
            <w:r>
              <w:rPr>
                <w:rFonts w:ascii="Times New Roman" w:cs="Times New Roman" w:eastAsia="Times New Roman" w:hAnsi="Times New Roman"/>
                <w:sz w:val="20"/>
                <w:szCs w:val="20"/>
                <w:b w:val="1"/>
                <w:bCs w:val="1"/>
                <w:color w:val="B4B4B4"/>
                <w:w w:val="99"/>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(1,295)</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649</w:t>
            </w:r>
          </w:p>
        </w:tc>
        <w:tc>
          <w:tcPr>
            <w:tcW w:w="0" w:type="dxa"/>
            <w:vAlign w:val="bottom"/>
          </w:tcPr>
          <w:p>
            <w:pPr>
              <w:spacing w:after="0"/>
              <w:rPr>
                <w:sz w:val="1"/>
                <w:szCs w:val="1"/>
                <w:color w:val="auto"/>
              </w:rPr>
            </w:pPr>
          </w:p>
        </w:tc>
      </w:tr>
      <w:tr>
        <w:trPr>
          <w:trHeight w:val="20"/>
        </w:trPr>
        <w:tc>
          <w:tcPr>
            <w:tcW w:w="6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Net income (loss) </w:t>
            </w:r>
            <w:r>
              <w:rPr>
                <w:rFonts w:ascii="Times New Roman" w:cs="Times New Roman" w:eastAsia="Times New Roman" w:hAnsi="Times New Roman"/>
                <w:sz w:val="20"/>
                <w:szCs w:val="20"/>
                <w:b w:val="1"/>
                <w:bCs w:val="1"/>
                <w:color w:val="B4B4B4"/>
                <w:w w:val="99"/>
              </w:rPr>
              <w:t>......................................................................................................</w:t>
            </w: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6640" w:type="dxa"/>
            <w:vAlign w:val="bottom"/>
            <w:vMerge w:val="continue"/>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0" w:type="dxa"/>
            <w:vAlign w:val="bottom"/>
          </w:tcPr>
          <w:p>
            <w:pPr>
              <w:spacing w:after="0"/>
              <w:rPr>
                <w:sz w:val="1"/>
                <w:szCs w:val="1"/>
                <w:color w:val="auto"/>
              </w:rPr>
            </w:pPr>
          </w:p>
        </w:tc>
      </w:tr>
      <w:tr>
        <w:trPr>
          <w:trHeight w:val="235"/>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Unrealized gain (loss) on investment securities measured at fair value through</w:t>
            </w:r>
          </w:p>
        </w:tc>
        <w:tc>
          <w:tcPr>
            <w:tcW w:w="26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(418)</w:t>
            </w:r>
          </w:p>
        </w:tc>
        <w:tc>
          <w:tcPr>
            <w:tcW w:w="0" w:type="dxa"/>
            <w:vAlign w:val="bottom"/>
          </w:tcPr>
          <w:p>
            <w:pPr>
              <w:spacing w:after="0"/>
              <w:rPr>
                <w:sz w:val="1"/>
                <w:szCs w:val="1"/>
                <w:color w:val="auto"/>
              </w:rPr>
            </w:pPr>
          </w:p>
        </w:tc>
      </w:tr>
      <w:tr>
        <w:trPr>
          <w:trHeight w:val="263"/>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other comprehensive income (loss), net </w:t>
            </w:r>
            <w:r>
              <w:rPr>
                <w:rFonts w:ascii="Times New Roman" w:cs="Times New Roman" w:eastAsia="Times New Roman" w:hAnsi="Times New Roman"/>
                <w:sz w:val="20"/>
                <w:szCs w:val="20"/>
                <w:color w:val="B4B4B4"/>
              </w:rPr>
              <w:t>.............................................................</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Comprehensive income (loss) </w:t>
            </w:r>
            <w:r>
              <w:rPr>
                <w:rFonts w:ascii="Times New Roman" w:cs="Times New Roman" w:eastAsia="Times New Roman" w:hAnsi="Times New Roman"/>
                <w:sz w:val="20"/>
                <w:szCs w:val="20"/>
                <w:b w:val="1"/>
                <w:bCs w:val="1"/>
                <w:color w:val="B4B4B4"/>
                <w:w w:val="99"/>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w:t>
            </w:r>
          </w:p>
        </w:tc>
        <w:tc>
          <w:tcPr>
            <w:tcW w:w="0" w:type="dxa"/>
            <w:vAlign w:val="bottom"/>
          </w:tcPr>
          <w:p>
            <w:pPr>
              <w:spacing w:after="0"/>
              <w:rPr>
                <w:sz w:val="1"/>
                <w:szCs w:val="1"/>
                <w:color w:val="auto"/>
              </w:rPr>
            </w:pPr>
          </w:p>
        </w:tc>
      </w:tr>
      <w:tr>
        <w:trPr>
          <w:trHeight w:val="303"/>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Dividends on preferred stock </w:t>
            </w:r>
            <w:r>
              <w:rPr>
                <w:rFonts w:ascii="Times New Roman" w:cs="Times New Roman" w:eastAsia="Times New Roman" w:hAnsi="Times New Roman"/>
                <w:sz w:val="20"/>
                <w:szCs w:val="20"/>
                <w:color w:val="B4B4B4"/>
              </w:rPr>
              <w:t>..............................................................................</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12"/>
        </w:trPr>
        <w:tc>
          <w:tcPr>
            <w:tcW w:w="6640" w:type="dxa"/>
            <w:vAlign w:val="bottom"/>
          </w:tcPr>
          <w:p>
            <w:pPr>
              <w:ind w:left="20"/>
              <w:spacing w:after="0" w:line="212" w:lineRule="exact"/>
              <w:rPr>
                <w:sz w:val="20"/>
                <w:szCs w:val="20"/>
                <w:color w:val="auto"/>
              </w:rPr>
            </w:pPr>
            <w:r>
              <w:rPr>
                <w:rFonts w:ascii="Times New Roman" w:cs="Times New Roman" w:eastAsia="Times New Roman" w:hAnsi="Times New Roman"/>
                <w:sz w:val="20"/>
                <w:szCs w:val="20"/>
                <w:b w:val="1"/>
                <w:bCs w:val="1"/>
                <w:color w:val="auto"/>
              </w:rPr>
              <w:t>Comprehensive income (loss) available (attributable) to common</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(2,268)</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0" w:type="dxa"/>
            <w:vAlign w:val="bottom"/>
          </w:tcPr>
          <w:p>
            <w:pPr>
              <w:spacing w:after="0"/>
              <w:rPr>
                <w:sz w:val="1"/>
                <w:szCs w:val="1"/>
                <w:color w:val="auto"/>
              </w:rPr>
            </w:pPr>
          </w:p>
        </w:tc>
      </w:tr>
      <w:tr>
        <w:trPr>
          <w:trHeight w:val="243"/>
        </w:trPr>
        <w:tc>
          <w:tcPr>
            <w:tcW w:w="6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stockholders </w:t>
            </w:r>
            <w:r>
              <w:rPr>
                <w:rFonts w:ascii="Times New Roman" w:cs="Times New Roman" w:eastAsia="Times New Roman" w:hAnsi="Times New Roman"/>
                <w:sz w:val="20"/>
                <w:szCs w:val="20"/>
                <w:b w:val="1"/>
                <w:bCs w:val="1"/>
                <w:color w:val="B4B4B4"/>
              </w:rPr>
              <w:t>.............................................................................................................</w:t>
            </w:r>
          </w:p>
        </w:tc>
        <w:tc>
          <w:tcPr>
            <w:tcW w:w="26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Weighted average number of common shares outstanding - basic </w:t>
            </w:r>
            <w:r>
              <w:rPr>
                <w:rFonts w:ascii="Times New Roman" w:cs="Times New Roman" w:eastAsia="Times New Roman" w:hAnsi="Times New Roman"/>
                <w:sz w:val="20"/>
                <w:szCs w:val="20"/>
                <w:b w:val="1"/>
                <w:bCs w:val="1"/>
                <w:color w:val="B4B4B4"/>
                <w:w w:val="99"/>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6640" w:type="dxa"/>
            <w:vAlign w:val="bottom"/>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618.4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537.0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528.1</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Weighted average number of common shares outstanding - diluted</w:t>
            </w: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640" w:type="dxa"/>
            <w:vAlign w:val="bottom"/>
            <w:vMerge w:val="continue"/>
          </w:tcPr>
          <w:p>
            <w:pPr>
              <w:jc w:val="right"/>
              <w:spacing w:after="0" w:line="197" w:lineRule="exact"/>
              <w:rPr>
                <w:sz w:val="20"/>
                <w:szCs w:val="20"/>
                <w:color w:val="auto"/>
              </w:rPr>
            </w:pPr>
            <w:r>
              <w:rPr>
                <w:rFonts w:ascii="Times New Roman" w:cs="Times New Roman" w:eastAsia="Times New Roman" w:hAnsi="Times New Roman"/>
                <w:sz w:val="20"/>
                <w:szCs w:val="20"/>
                <w:b w:val="1"/>
                <w:bCs w:val="1"/>
                <w:color w:val="B4B4B4"/>
              </w:rPr>
              <w:t>..................</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619.6</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537.0</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530.0</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income (loss) per common share - basic</w:t>
            </w: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640" w:type="dxa"/>
            <w:vAlign w:val="bottom"/>
            <w:vMerge w:val="continue"/>
          </w:tcPr>
          <w:p>
            <w:pPr>
              <w:jc w:val="right"/>
              <w:spacing w:after="0" w:line="197" w:lineRule="exact"/>
              <w:rPr>
                <w:sz w:val="20"/>
                <w:szCs w:val="20"/>
                <w:color w:val="auto"/>
              </w:rPr>
            </w:pPr>
            <w:r>
              <w:rPr>
                <w:rFonts w:ascii="Times New Roman" w:cs="Times New Roman" w:eastAsia="Times New Roman" w:hAnsi="Times New Roman"/>
                <w:sz w:val="20"/>
                <w:szCs w:val="20"/>
                <w:b w:val="1"/>
                <w:bCs w:val="1"/>
                <w:color w:val="B4B4B4"/>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income (loss) per common share - diluted</w:t>
            </w: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640" w:type="dxa"/>
            <w:vAlign w:val="bottom"/>
            <w:vMerge w:val="continue"/>
          </w:tcPr>
          <w:p>
            <w:pPr>
              <w:jc w:val="right"/>
              <w:spacing w:after="0" w:line="197" w:lineRule="exact"/>
              <w:rPr>
                <w:sz w:val="20"/>
                <w:szCs w:val="20"/>
                <w:color w:val="auto"/>
              </w:rPr>
            </w:pPr>
            <w:r>
              <w:rPr>
                <w:rFonts w:ascii="Times New Roman" w:cs="Times New Roman" w:eastAsia="Times New Roman" w:hAnsi="Times New Roman"/>
                <w:sz w:val="20"/>
                <w:szCs w:val="20"/>
                <w:b w:val="1"/>
                <w:bCs w:val="1"/>
                <w:color w:val="B4B4B4"/>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0.05</w:t>
            </w:r>
          </w:p>
        </w:tc>
        <w:tc>
          <w:tcPr>
            <w:tcW w:w="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4195445</wp:posOffset>
            </wp:positionH>
            <wp:positionV relativeFrom="paragraph">
              <wp:posOffset>-2418715</wp:posOffset>
            </wp:positionV>
            <wp:extent cx="2165350" cy="762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0">
                      <a:extLst>
                        <a:ext uri="{28A0092B-C50C-407E-A947-70E740481C1C}"/>
                      </a:extLst>
                    </a:blip>
                    <a:srcRect/>
                    <a:stretch>
                      <a:fillRect/>
                    </a:stretch>
                  </pic:blipFill>
                  <pic:spPr bwMode="auto">
                    <a:xfrm>
                      <a:off x="0" y="0"/>
                      <a:ext cx="2165350" cy="76200"/>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-1018540</wp:posOffset>
            </wp:positionV>
            <wp:extent cx="2165350" cy="762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1">
                      <a:extLst>
                        <a:ext uri="{28A0092B-C50C-407E-A947-70E740481C1C}"/>
                      </a:extLst>
                    </a:blip>
                    <a:srcRect/>
                    <a:stretch>
                      <a:fillRect/>
                    </a:stretch>
                  </pic:blipFill>
                  <pic:spPr bwMode="auto">
                    <a:xfrm>
                      <a:off x="0" y="0"/>
                      <a:ext cx="2165350" cy="76200"/>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-628015</wp:posOffset>
            </wp:positionV>
            <wp:extent cx="2165350" cy="762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2">
                      <a:extLst>
                        <a:ext uri="{28A0092B-C50C-407E-A947-70E740481C1C}"/>
                      </a:extLst>
                    </a:blip>
                    <a:srcRect/>
                    <a:stretch>
                      <a:fillRect/>
                    </a:stretch>
                  </pic:blipFill>
                  <pic:spPr bwMode="auto">
                    <a:xfrm>
                      <a:off x="0" y="0"/>
                      <a:ext cx="2165350" cy="76200"/>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-437515</wp:posOffset>
            </wp:positionV>
            <wp:extent cx="2165350" cy="762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83">
                      <a:extLst>
                        <a:ext uri="{28A0092B-C50C-407E-A947-70E740481C1C}"/>
                      </a:extLst>
                    </a:blip>
                    <a:srcRect/>
                    <a:stretch>
                      <a:fillRect/>
                    </a:stretch>
                  </pic:blipFill>
                  <pic:spPr bwMode="auto">
                    <a:xfrm>
                      <a:off x="0" y="0"/>
                      <a:ext cx="2165350" cy="76200"/>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-247015</wp:posOffset>
            </wp:positionV>
            <wp:extent cx="2165350" cy="762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4">
                      <a:extLst>
                        <a:ext uri="{28A0092B-C50C-407E-A947-70E740481C1C}"/>
                      </a:extLst>
                    </a:blip>
                    <a:srcRect/>
                    <a:stretch>
                      <a:fillRect/>
                    </a:stretch>
                  </pic:blipFill>
                  <pic:spPr bwMode="auto">
                    <a:xfrm>
                      <a:off x="0" y="0"/>
                      <a:ext cx="2165350" cy="76200"/>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-56515</wp:posOffset>
            </wp:positionV>
            <wp:extent cx="2165350" cy="762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5">
                      <a:extLst>
                        <a:ext uri="{28A0092B-C50C-407E-A947-70E740481C1C}"/>
                      </a:extLst>
                    </a:blip>
                    <a:srcRect/>
                    <a:stretch>
                      <a:fillRect/>
                    </a:stretch>
                  </pic:blipFill>
                  <pic:spPr bwMode="auto">
                    <a:xfrm>
                      <a:off x="0" y="0"/>
                      <a:ext cx="2165350" cy="76200"/>
                    </a:xfrm>
                    <a:prstGeom prst="rect">
                      <a:avLst/>
                    </a:prstGeom>
                    <a:noFill/>
                  </pic:spPr>
                </pic:pic>
              </a:graphicData>
            </a:graphic>
          </wp:anchor>
        </w:drawing>
      </w:r>
    </w:p>
    <w:p>
      <w:pPr>
        <w:spacing w:after="0" w:line="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9980"/>
          </w:cols>
          <w:pgMar w:left="1160" w:top="78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980"/>
          </w:cols>
          <w:pgMar w:left="1160" w:top="786" w:right="1100" w:bottom="0" w:gutter="0" w:footer="0" w:header="0"/>
          <w:type w:val="continuous"/>
        </w:sectPr>
      </w:pPr>
    </w:p>
    <w:bookmarkStart w:id="63" w:name="page64"/>
    <w:bookmarkEnd w:id="63"/>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AGNC INVESTMENT CORP.</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80" w:type="dxa"/>
            <w:vAlign w:val="bottom"/>
            <w:gridSpan w:val="4"/>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860" w:type="dxa"/>
            <w:vAlign w:val="bottom"/>
          </w:tcPr>
          <w:p>
            <w:pPr>
              <w:spacing w:after="0"/>
              <w:rPr>
                <w:sz w:val="10"/>
                <w:szCs w:val="10"/>
                <w:color w:val="auto"/>
              </w:rPr>
            </w:pPr>
          </w:p>
        </w:tc>
        <w:tc>
          <w:tcPr>
            <w:tcW w:w="960" w:type="dxa"/>
            <w:vAlign w:val="bottom"/>
            <w:gridSpan w:val="3"/>
            <w:vMerge w:val="restart"/>
          </w:tcPr>
          <w:p>
            <w:pPr>
              <w:ind w:left="100"/>
              <w:spacing w:after="0" w:line="160" w:lineRule="exact"/>
              <w:rPr>
                <w:sz w:val="20"/>
                <w:szCs w:val="20"/>
                <w:color w:val="auto"/>
              </w:rPr>
            </w:pPr>
            <w:r>
              <w:rPr>
                <w:rFonts w:ascii="Times New Roman" w:cs="Times New Roman" w:eastAsia="Times New Roman" w:hAnsi="Times New Roman"/>
                <w:sz w:val="16"/>
                <w:szCs w:val="16"/>
                <w:b w:val="1"/>
                <w:bCs w:val="1"/>
                <w:color w:val="auto"/>
              </w:rPr>
              <w:t>Preferred</w:t>
            </w:r>
          </w:p>
        </w:tc>
        <w:tc>
          <w:tcPr>
            <w:tcW w:w="188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ind w:right="120"/>
              <w:spacing w:after="0" w:line="160" w:lineRule="exact"/>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7"/>
              </w:rPr>
              <w:t>Retained</w:t>
            </w:r>
          </w:p>
        </w:tc>
        <w:tc>
          <w:tcPr>
            <w:tcW w:w="60" w:type="dxa"/>
            <w:vAlign w:val="bottom"/>
          </w:tcPr>
          <w:p>
            <w:pPr>
              <w:spacing w:after="0"/>
              <w:rPr>
                <w:sz w:val="10"/>
                <w:szCs w:val="10"/>
                <w:color w:val="auto"/>
              </w:rPr>
            </w:pPr>
          </w:p>
        </w:tc>
        <w:tc>
          <w:tcPr>
            <w:tcW w:w="1200" w:type="dxa"/>
            <w:vAlign w:val="bottom"/>
            <w:gridSpan w:val="2"/>
            <w:vMerge w:val="restart"/>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90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3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Balance, December 31, 2020</w:t>
            </w:r>
            <w:r>
              <w:rPr>
                <w:rFonts w:ascii="Times New Roman" w:cs="Times New Roman" w:eastAsia="Times New Roman" w:hAnsi="Times New Roman"/>
                <w:sz w:val="16"/>
                <w:szCs w:val="16"/>
                <w:b w:val="1"/>
                <w:bCs w:val="1"/>
                <w:color w:val="B4B4B4"/>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11,079</w:t>
            </w: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255"/>
        </w:trPr>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Unrealized loss on available-for-sale securities, net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Stock-based compensation, net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Repurchase of common stock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Preferred dividends declared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61"/>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Common dividends declared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229"/>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Balance, December 31, 2021</w:t>
            </w:r>
            <w:r>
              <w:rPr>
                <w:rFonts w:ascii="Times New Roman" w:cs="Times New Roman" w:eastAsia="Times New Roman" w:hAnsi="Times New Roman"/>
                <w:sz w:val="16"/>
                <w:szCs w:val="16"/>
                <w:b w:val="1"/>
                <w:bCs w:val="1"/>
                <w:color w:val="B4B4B4"/>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10,291</w:t>
            </w: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Net loss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0" w:type="dxa"/>
            <w:vAlign w:val="bottom"/>
          </w:tcPr>
          <w:p>
            <w:pPr>
              <w:spacing w:after="0"/>
              <w:rPr>
                <w:sz w:val="1"/>
                <w:szCs w:val="1"/>
                <w:color w:val="auto"/>
              </w:rPr>
            </w:pPr>
          </w:p>
        </w:tc>
      </w:tr>
      <w:tr>
        <w:trPr>
          <w:trHeight w:val="255"/>
        </w:trPr>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Unrealized loss on available-for-sale securities, net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Stock-based compensation, net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Issuance of preferred stock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Issuance of common stock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Repurchase of common stock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Preferred dividends declared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61"/>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Common dividends declared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0" w:type="dxa"/>
            <w:vAlign w:val="bottom"/>
          </w:tcPr>
          <w:p>
            <w:pPr>
              <w:spacing w:after="0"/>
              <w:rPr>
                <w:sz w:val="1"/>
                <w:szCs w:val="1"/>
                <w:color w:val="auto"/>
              </w:rPr>
            </w:pPr>
          </w:p>
        </w:tc>
      </w:tr>
      <w:tr>
        <w:trPr>
          <w:trHeight w:val="229"/>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Balance, December 31, 2022</w:t>
            </w:r>
            <w:r>
              <w:rPr>
                <w:rFonts w:ascii="Times New Roman" w:cs="Times New Roman" w:eastAsia="Times New Roman" w:hAnsi="Times New Roman"/>
                <w:sz w:val="16"/>
                <w:szCs w:val="16"/>
                <w:b w:val="1"/>
                <w:bCs w:val="1"/>
                <w:color w:val="B4B4B4"/>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7,870</w:t>
            </w: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55"/>
        </w:trPr>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Unrealized gain on available-for-sale securities, net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Stock-based compensation, net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Issuance of common stock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0" w:type="dxa"/>
            <w:vAlign w:val="bottom"/>
          </w:tcPr>
          <w:p>
            <w:pPr>
              <w:spacing w:after="0"/>
              <w:rPr>
                <w:sz w:val="1"/>
                <w:szCs w:val="1"/>
                <w:color w:val="auto"/>
              </w:rPr>
            </w:pPr>
          </w:p>
        </w:tc>
      </w:tr>
      <w:tr>
        <w:trPr>
          <w:trHeight w:val="25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Preferred dividends declared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61"/>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Common dividends declared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0" w:type="dxa"/>
            <w:vAlign w:val="bottom"/>
          </w:tcPr>
          <w:p>
            <w:pPr>
              <w:spacing w:after="0"/>
              <w:rPr>
                <w:sz w:val="1"/>
                <w:szCs w:val="1"/>
                <w:color w:val="auto"/>
              </w:rPr>
            </w:pPr>
          </w:p>
        </w:tc>
      </w:tr>
      <w:tr>
        <w:trPr>
          <w:trHeight w:val="215"/>
        </w:trPr>
        <w:tc>
          <w:tcPr>
            <w:tcW w:w="3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Balance, December 31, 2023</w:t>
            </w:r>
            <w:r>
              <w:rPr>
                <w:rFonts w:ascii="Times New Roman" w:cs="Times New Roman" w:eastAsia="Times New Roman" w:hAnsi="Times New Roman"/>
                <w:sz w:val="16"/>
                <w:szCs w:val="16"/>
                <w:b w:val="1"/>
                <w:bCs w:val="1"/>
                <w:color w:val="B4B4B4"/>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2419350</wp:posOffset>
            </wp:positionH>
            <wp:positionV relativeFrom="paragraph">
              <wp:posOffset>-56515</wp:posOffset>
            </wp:positionV>
            <wp:extent cx="4546600" cy="762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6">
                      <a:extLst>
                        <a:ext uri="{28A0092B-C50C-407E-A947-70E740481C1C}"/>
                      </a:extLst>
                    </a:blip>
                    <a:srcRect/>
                    <a:stretch>
                      <a:fillRect/>
                    </a:stretch>
                  </pic:blipFill>
                  <pic:spPr bwMode="auto">
                    <a:xfrm>
                      <a:off x="0" y="0"/>
                      <a:ext cx="4546600" cy="76200"/>
                    </a:xfrm>
                    <a:prstGeom prst="rect">
                      <a:avLst/>
                    </a:prstGeom>
                    <a:noFill/>
                  </pic:spPr>
                </pic:pic>
              </a:graphicData>
            </a:graphic>
          </wp:anchor>
        </w:drawing>
      </w:r>
    </w:p>
    <w:p>
      <w:pPr>
        <w:spacing w:after="0" w:line="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940"/>
          </w:cols>
          <w:pgMar w:left="680" w:top="786"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940"/>
          </w:cols>
          <w:pgMar w:left="680" w:top="786" w:right="620" w:bottom="0" w:gutter="0" w:footer="0" w:header="0"/>
          <w:type w:val="continuous"/>
        </w:sectPr>
      </w:pPr>
    </w:p>
    <w:bookmarkStart w:id="64" w:name="page65"/>
    <w:bookmarkEnd w:id="64"/>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AGNC INVESTMENT CORP.</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7"/>
          </w:tcPr>
          <w:p>
            <w:pPr>
              <w:jc w:val="right"/>
              <w:ind w:right="6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35"/>
        </w:trPr>
        <w:tc>
          <w:tcPr>
            <w:tcW w:w="6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income (loss) </w:t>
            </w:r>
            <w:r>
              <w:rPr>
                <w:rFonts w:ascii="Times New Roman" w:cs="Times New Roman" w:eastAsia="Times New Roman" w:hAnsi="Times New Roman"/>
                <w:sz w:val="18"/>
                <w:szCs w:val="18"/>
                <w:color w:val="B4B4B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85"/>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Amortization of premiums and discounts on mortgage-backed securities, net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Stock-based compensation, net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Loss on sale of investment securities, net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1"/>
        </w:trPr>
        <w:tc>
          <w:tcPr>
            <w:tcW w:w="684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color w:val="auto"/>
              </w:rPr>
              <w:t>Unrealized (gain) loss on investment securities measured at fair value through net</w:t>
            </w: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34"/>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income, net </w:t>
            </w:r>
            <w:r>
              <w:rPr>
                <w:rFonts w:ascii="Times New Roman" w:cs="Times New Roman" w:eastAsia="Times New Roman" w:hAnsi="Times New Roman"/>
                <w:sz w:val="18"/>
                <w:szCs w:val="18"/>
                <w:color w:val="B4B4B4"/>
              </w:rPr>
              <w:t>............................................................................................................................</w:t>
            </w:r>
          </w:p>
        </w:tc>
        <w:tc>
          <w:tcPr>
            <w:tcW w:w="1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Gain on derivative instruments and other securities, net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(Increase) decrease in other assets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90"/>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Increase (decrease) in other liabilities</w:t>
            </w:r>
            <w:r>
              <w:rPr>
                <w:rFonts w:ascii="Times New Roman" w:cs="Times New Roman" w:eastAsia="Times New Roman" w:hAnsi="Times New Roman"/>
                <w:sz w:val="18"/>
                <w:szCs w:val="18"/>
                <w:color w:val="B4B4B4"/>
              </w:rPr>
              <w: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Net cash (used in) provided by operating activities </w:t>
            </w:r>
            <w:r>
              <w:rPr>
                <w:rFonts w:ascii="Times New Roman" w:cs="Times New Roman" w:eastAsia="Times New Roman" w:hAnsi="Times New Roman"/>
                <w:sz w:val="18"/>
                <w:szCs w:val="18"/>
                <w:color w:val="B4B4B4"/>
                <w:w w:val="99"/>
              </w:rPr>
              <w:t>......................................................................</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Purchases of Agency mortgage-backed securities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(45,345)</w:t>
            </w:r>
          </w:p>
        </w:tc>
        <w:tc>
          <w:tcPr>
            <w:tcW w:w="0" w:type="dxa"/>
            <w:vAlign w:val="bottom"/>
          </w:tcPr>
          <w:p>
            <w:pPr>
              <w:spacing w:after="0"/>
              <w:rPr>
                <w:sz w:val="1"/>
                <w:szCs w:val="1"/>
                <w:color w:val="auto"/>
              </w:rPr>
            </w:pPr>
          </w:p>
        </w:tc>
      </w:tr>
      <w:tr>
        <w:trPr>
          <w:trHeight w:val="201"/>
        </w:trPr>
        <w:tc>
          <w:tcPr>
            <w:tcW w:w="684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color w:val="auto"/>
              </w:rPr>
              <w:t>Purchases of credit risk transfer and non-Agency securities and other mortgage credit</w:t>
            </w: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34"/>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18"/>
                <w:szCs w:val="18"/>
                <w:color w:val="B4B4B4"/>
              </w:rPr>
              <w:t>...........................................................................................................................</w:t>
            </w:r>
          </w:p>
        </w:tc>
        <w:tc>
          <w:tcPr>
            <w:tcW w:w="1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Proceeds from sale of Agency mortgage-backed securities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34,595</w:t>
            </w: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Proceeds from sale of credit risk transfer and non-Agency securities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Principal collections on Agency mortgage-backed securities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15,042</w:t>
            </w: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Principal collections on credit risk transfer and non-Agency securities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Payments on U.S. Treasury securities</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Proceeds from U.S. Treasury securities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19,795</w:t>
            </w: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Net proceeds from (payments on) reverse repurchase agreements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90"/>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Net proceeds from derivative instruments </w:t>
            </w:r>
            <w:r>
              <w:rPr>
                <w:rFonts w:ascii="Times New Roman" w:cs="Times New Roman" w:eastAsia="Times New Roman" w:hAnsi="Times New Roman"/>
                <w:sz w:val="18"/>
                <w:szCs w:val="18"/>
                <w:color w:val="B4B4B4"/>
              </w:rPr>
              <w: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6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Net cash (used in) provided by investing activities </w:t>
            </w:r>
            <w:r>
              <w:rPr>
                <w:rFonts w:ascii="Times New Roman" w:cs="Times New Roman" w:eastAsia="Times New Roman" w:hAnsi="Times New Roman"/>
                <w:sz w:val="18"/>
                <w:szCs w:val="18"/>
                <w:color w:val="B4B4B4"/>
                <w:w w:val="99"/>
              </w:rPr>
              <w:t>......................................................................</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(14,672)</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Proceeds from repurchase arrangements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3,282,218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2,360,328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2,189,555</w:t>
            </w: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Payments on repurchase agreements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(3,268,054)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(2,371,447)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(2,194,540)</w:t>
            </w: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Payments on debt of consolidated variable interest entities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Net proceeds from preferred stock issuances</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Net proceeds from common stock issuances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Payments for common stock repurchases </w:t>
            </w:r>
            <w:r>
              <w:rPr>
                <w:rFonts w:ascii="Times New Roman" w:cs="Times New Roman" w:eastAsia="Times New Roman" w:hAnsi="Times New Roman"/>
                <w:sz w:val="18"/>
                <w:szCs w:val="18"/>
                <w:color w:val="B4B4B4"/>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90"/>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Cash dividends paid </w:t>
            </w:r>
            <w:r>
              <w:rPr>
                <w:rFonts w:ascii="Times New Roman" w:cs="Times New Roman" w:eastAsia="Times New Roman" w:hAnsi="Times New Roman"/>
                <w:sz w:val="18"/>
                <w:szCs w:val="18"/>
                <w:color w:val="B4B4B4"/>
              </w:rPr>
              <w: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6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Net cash provided by (used in) financing activities </w:t>
            </w:r>
            <w:r>
              <w:rPr>
                <w:rFonts w:ascii="Times New Roman" w:cs="Times New Roman" w:eastAsia="Times New Roman" w:hAnsi="Times New Roman"/>
                <w:sz w:val="18"/>
                <w:szCs w:val="18"/>
                <w:color w:val="B4B4B4"/>
                <w:w w:val="99"/>
              </w:rPr>
              <w:t>......................................................................</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14,227</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0" w:type="dxa"/>
            <w:vAlign w:val="bottom"/>
          </w:tcPr>
          <w:p>
            <w:pPr>
              <w:spacing w:after="0"/>
              <w:rPr>
                <w:sz w:val="1"/>
                <w:szCs w:val="1"/>
                <w:color w:val="auto"/>
              </w:rPr>
            </w:pPr>
          </w:p>
        </w:tc>
      </w:tr>
      <w:tr>
        <w:trPr>
          <w:trHeight w:val="260"/>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Net change in cash, cash equivalents and restricted cash </w:t>
            </w:r>
            <w:r>
              <w:rPr>
                <w:rFonts w:ascii="Times New Roman" w:cs="Times New Roman" w:eastAsia="Times New Roman" w:hAnsi="Times New Roman"/>
                <w:sz w:val="18"/>
                <w:szCs w:val="18"/>
                <w:color w:val="B4B4B4"/>
                <w:w w:val="99"/>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90"/>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Cash, cash equivalents and restricted cash at beginning of period </w:t>
            </w:r>
            <w:r>
              <w:rPr>
                <w:rFonts w:ascii="Times New Roman" w:cs="Times New Roman" w:eastAsia="Times New Roman" w:hAnsi="Times New Roman"/>
                <w:sz w:val="18"/>
                <w:szCs w:val="18"/>
                <w:color w:val="B4B4B4"/>
                <w:w w:val="99"/>
              </w:rPr>
              <w: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4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Cash, cash equivalents and restricted cash at end of period </w:t>
            </w:r>
            <w:r>
              <w:rPr>
                <w:rFonts w:ascii="Times New Roman" w:cs="Times New Roman" w:eastAsia="Times New Roman" w:hAnsi="Times New Roman"/>
                <w:sz w:val="18"/>
                <w:szCs w:val="18"/>
                <w:color w:val="B4B4B4"/>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end of period: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18"/>
                <w:szCs w:val="18"/>
                <w:color w:val="B4B4B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90"/>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18"/>
                <w:szCs w:val="18"/>
                <w:color w:val="B4B4B4"/>
              </w:rPr>
              <w: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45"/>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Total cash, cash equivalents and restricted cash, end of period</w:t>
            </w:r>
            <w:r>
              <w:rPr>
                <w:rFonts w:ascii="Times New Roman" w:cs="Times New Roman" w:eastAsia="Times New Roman" w:hAnsi="Times New Roman"/>
                <w:sz w:val="18"/>
                <w:szCs w:val="18"/>
                <w:color w:val="B4B4B4"/>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to cash flow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Interest paid</w:t>
            </w:r>
            <w:r>
              <w:rPr>
                <w:rFonts w:ascii="Times New Roman" w:cs="Times New Roman" w:eastAsia="Times New Roman" w:hAnsi="Times New Roman"/>
                <w:sz w:val="18"/>
                <w:szCs w:val="18"/>
                <w:color w:val="B4B4B4"/>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4321175</wp:posOffset>
            </wp:positionH>
            <wp:positionV relativeFrom="paragraph">
              <wp:posOffset>-1428115</wp:posOffset>
            </wp:positionV>
            <wp:extent cx="2165350" cy="762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7">
                      <a:extLst>
                        <a:ext uri="{28A0092B-C50C-407E-A947-70E740481C1C}"/>
                      </a:extLst>
                    </a:blip>
                    <a:srcRect/>
                    <a:stretch>
                      <a:fillRect/>
                    </a:stretch>
                  </pic:blipFill>
                  <pic:spPr bwMode="auto">
                    <a:xfrm>
                      <a:off x="0" y="0"/>
                      <a:ext cx="2165350" cy="762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-561340</wp:posOffset>
            </wp:positionV>
            <wp:extent cx="2165350" cy="762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8">
                      <a:extLst>
                        <a:ext uri="{28A0092B-C50C-407E-A947-70E740481C1C}"/>
                      </a:extLst>
                    </a:blip>
                    <a:srcRect/>
                    <a:stretch>
                      <a:fillRect/>
                    </a:stretch>
                  </pic:blipFill>
                  <pic:spPr bwMode="auto">
                    <a:xfrm>
                      <a:off x="0" y="0"/>
                      <a:ext cx="2165350" cy="76200"/>
                    </a:xfrm>
                    <a:prstGeom prst="rect">
                      <a:avLst/>
                    </a:prstGeom>
                    <a:noFill/>
                  </pic:spPr>
                </pic:pic>
              </a:graphicData>
            </a:graphic>
          </wp:anchor>
        </w:drawing>
        <w:drawing>
          <wp:anchor simplePos="0" relativeHeight="251657728" behindDoc="1" locked="0" layoutInCell="0" allowOverlap="1">
            <wp:simplePos x="0" y="0"/>
            <wp:positionH relativeFrom="column">
              <wp:posOffset>4321175</wp:posOffset>
            </wp:positionH>
            <wp:positionV relativeFrom="paragraph">
              <wp:posOffset>-56515</wp:posOffset>
            </wp:positionV>
            <wp:extent cx="2165350" cy="762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9">
                      <a:extLst>
                        <a:ext uri="{28A0092B-C50C-407E-A947-70E740481C1C}"/>
                      </a:extLst>
                    </a:blip>
                    <a:srcRect/>
                    <a:stretch>
                      <a:fillRect/>
                    </a:stretch>
                  </pic:blipFill>
                  <pic:spPr bwMode="auto">
                    <a:xfrm>
                      <a:off x="0" y="0"/>
                      <a:ext cx="2165350" cy="76200"/>
                    </a:xfrm>
                    <a:prstGeom prst="rect">
                      <a:avLst/>
                    </a:prstGeom>
                    <a:noFill/>
                  </pic:spPr>
                </pic:pic>
              </a:graphicData>
            </a:graphic>
          </wp:anchor>
        </w:drawing>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2240" w:h="15840" w:orient="portrait"/>
          <w:cols w:equalWidth="0" w:num="1">
            <w:col w:w="10180"/>
          </w:cols>
          <w:pgMar w:left="1060" w:top="786" w:right="1000" w:bottom="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180"/>
          </w:cols>
          <w:pgMar w:left="1060" w:top="786" w:right="1000" w:bottom="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AGNC INVESTMENT CORP.</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Organization</w:t>
      </w:r>
    </w:p>
    <w:p>
      <w:pPr>
        <w:spacing w:after="0" w:line="197"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35"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53" w:lineRule="exact"/>
        <w:rPr>
          <w:sz w:val="20"/>
          <w:szCs w:val="20"/>
          <w:color w:val="auto"/>
        </w:rPr>
      </w:pPr>
    </w:p>
    <w:p>
      <w:pPr>
        <w:jc w:val="both"/>
        <w:ind w:right="20" w:firstLine="495"/>
        <w:spacing w:after="0" w:line="258" w:lineRule="auto"/>
        <w:rPr>
          <w:sz w:val="20"/>
          <w:szCs w:val="20"/>
          <w:color w:val="auto"/>
        </w:rPr>
      </w:pPr>
      <w:r>
        <w:rPr>
          <w:rFonts w:ascii="Times New Roman" w:cs="Times New Roman" w:eastAsia="Times New Roman" w:hAnsi="Times New Roman"/>
          <w:sz w:val="20"/>
          <w:szCs w:val="20"/>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p>
    <w:p>
      <w:pPr>
        <w:spacing w:after="0" w:line="144" w:lineRule="exact"/>
        <w:rPr>
          <w:sz w:val="20"/>
          <w:szCs w:val="20"/>
          <w:color w:val="auto"/>
        </w:rPr>
      </w:pPr>
    </w:p>
    <w:p>
      <w:pPr>
        <w:jc w:val="both"/>
        <w:ind w:right="20" w:firstLine="495"/>
        <w:spacing w:after="0" w:line="266" w:lineRule="auto"/>
        <w:rPr>
          <w:sz w:val="20"/>
          <w:szCs w:val="20"/>
          <w:color w:val="auto"/>
        </w:rPr>
      </w:pPr>
      <w:r>
        <w:rPr>
          <w:rFonts w:ascii="Times New Roman" w:cs="Times New Roman" w:eastAsia="Times New Roman" w:hAnsi="Times New Roman"/>
          <w:sz w:val="20"/>
          <w:szCs w:val="20"/>
          <w:color w:val="auto"/>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Summary of Significant Accounting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 and Consolidation</w:t>
      </w:r>
    </w:p>
    <w:p>
      <w:pPr>
        <w:spacing w:after="0" w:line="199"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accounting principles generally accepted in the United States ("GAAP"). Our consolidated financial statements include the accounts of all subsidiaries and variable interest entities for which we are the primary beneficiary. Significant intercompany accounts and transactions have been eliminated.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99"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revenues and expenses during the period reported. Actual results could differ from those estimates.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Securities</w:t>
      </w:r>
    </w:p>
    <w:p>
      <w:pPr>
        <w:spacing w:after="0" w:line="199" w:lineRule="exact"/>
        <w:rPr>
          <w:sz w:val="20"/>
          <w:szCs w:val="20"/>
          <w:color w:val="auto"/>
        </w:rPr>
      </w:pPr>
    </w:p>
    <w:p>
      <w:pPr>
        <w:jc w:val="both"/>
        <w:ind w:right="20" w:firstLine="450"/>
        <w:spacing w:after="0" w:line="260" w:lineRule="auto"/>
        <w:rPr>
          <w:sz w:val="20"/>
          <w:szCs w:val="20"/>
          <w:color w:val="auto"/>
        </w:rPr>
      </w:pPr>
      <w:r>
        <w:rPr>
          <w:rFonts w:ascii="Times New Roman" w:cs="Times New Roman" w:eastAsia="Times New Roman" w:hAnsi="Times New Roman"/>
          <w:sz w:val="20"/>
          <w:szCs w:val="20"/>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43"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150" w:lineRule="exact"/>
        <w:rPr>
          <w:sz w:val="20"/>
          <w:szCs w:val="20"/>
          <w:color w:val="auto"/>
        </w:rPr>
      </w:pPr>
    </w:p>
    <w:p>
      <w:pPr>
        <w:jc w:val="both"/>
        <w:ind w:right="20" w:firstLine="450"/>
        <w:spacing w:after="0" w:line="260" w:lineRule="auto"/>
        <w:rPr>
          <w:sz w:val="20"/>
          <w:szCs w:val="20"/>
          <w:color w:val="auto"/>
        </w:rPr>
      </w:pPr>
      <w:r>
        <w:rPr>
          <w:rFonts w:ascii="Times New Roman" w:cs="Times New Roman" w:eastAsia="Times New Roman" w:hAnsi="Times New Roman"/>
          <w:sz w:val="20"/>
          <w:szCs w:val="20"/>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ectPr>
          <w:pgSz w:w="12240" w:h="15840" w:orient="portrait"/>
          <w:cols w:equalWidth="0" w:num="1">
            <w:col w:w="10260"/>
          </w:cols>
          <w:pgMar w:left="1000" w:top="786" w:right="980" w:bottom="0" w:gutter="0" w:footer="0" w:header="0"/>
        </w:sect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260"/>
          </w:cols>
          <w:pgMar w:left="1000" w:top="786" w:right="980" w:bottom="0" w:gutter="0" w:footer="0" w:header="0"/>
          <w:type w:val="continuous"/>
        </w:sectPr>
      </w:pPr>
    </w:p>
    <w:bookmarkStart w:id="66" w:name="page67"/>
    <w:bookmarkEnd w:id="66"/>
    <w:p>
      <w:pPr>
        <w:jc w:val="both"/>
        <w:ind w:firstLine="495"/>
        <w:spacing w:after="0" w:line="252" w:lineRule="auto"/>
        <w:rPr>
          <w:sz w:val="20"/>
          <w:szCs w:val="20"/>
          <w:color w:val="auto"/>
        </w:rPr>
      </w:pPr>
      <w:r>
        <w:rPr>
          <w:rFonts w:ascii="Times New Roman" w:cs="Times New Roman" w:eastAsia="Times New Roman" w:hAnsi="Times New Roman"/>
          <w:sz w:val="20"/>
          <w:szCs w:val="20"/>
          <w:color w:val="auto"/>
        </w:rPr>
        <w:t xml:space="preserve">All of our securities are reported at fair value on our consolidated balance sheet. Accounting Standards Codification ("ASC") Topic 320, </w:t>
      </w:r>
      <w:r>
        <w:rPr>
          <w:rFonts w:ascii="Times New Roman" w:cs="Times New Roman" w:eastAsia="Times New Roman" w:hAnsi="Times New Roman"/>
          <w:sz w:val="20"/>
          <w:szCs w:val="20"/>
          <w:b w:val="1"/>
          <w:bCs w:val="1"/>
          <w:i w:val="1"/>
          <w:iCs w:val="1"/>
          <w:color w:val="auto"/>
        </w:rPr>
        <w:t>Investments—Debt and Equity Securities</w:t>
      </w:r>
      <w:r>
        <w:rPr>
          <w:rFonts w:ascii="Times New Roman" w:cs="Times New Roman" w:eastAsia="Times New Roman" w:hAnsi="Times New Roman"/>
          <w:sz w:val="20"/>
          <w:szCs w:val="20"/>
          <w:color w:val="auto"/>
        </w:rPr>
        <w:t xml:space="preserve">, requires that at the time of purchase, we designate a security as held-to-maturity, available-for-sale or trading, depending on our ability and intent to hold such security to maturity. Alternatively, we may elect the fair value option of accounting for securities pursuant to ASC Topic 825, </w:t>
      </w:r>
      <w:r>
        <w:rPr>
          <w:rFonts w:ascii="Times New Roman" w:cs="Times New Roman" w:eastAsia="Times New Roman" w:hAnsi="Times New Roman"/>
          <w:sz w:val="20"/>
          <w:szCs w:val="20"/>
          <w:b w:val="1"/>
          <w:bCs w:val="1"/>
          <w:i w:val="1"/>
          <w:iCs w:val="1"/>
          <w:color w:val="auto"/>
        </w:rPr>
        <w:t>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Instruments</w:t>
      </w:r>
      <w:r>
        <w:rPr>
          <w:rFonts w:ascii="Times New Roman" w:cs="Times New Roman" w:eastAsia="Times New Roman" w:hAnsi="Times New Roman"/>
          <w:sz w:val="20"/>
          <w:szCs w:val="20"/>
          <w:color w:val="auto"/>
        </w:rPr>
        <w:t>. Prior to fiscal year 2017, we primarily designated our investment securities as available-for-sale. On January 1,</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59" w:lineRule="exact"/>
        <w:rPr>
          <w:sz w:val="20"/>
          <w:szCs w:val="20"/>
          <w:color w:val="auto"/>
        </w:rPr>
      </w:pPr>
    </w:p>
    <w:p>
      <w:pPr>
        <w:jc w:val="both"/>
        <w:ind w:right="20" w:firstLine="495"/>
        <w:spacing w:after="0" w:line="254" w:lineRule="auto"/>
        <w:rPr>
          <w:sz w:val="20"/>
          <w:szCs w:val="20"/>
          <w:color w:val="auto"/>
        </w:rPr>
      </w:pPr>
      <w:r>
        <w:rPr>
          <w:rFonts w:ascii="Times New Roman" w:cs="Times New Roman" w:eastAsia="Times New Roman" w:hAnsi="Times New Roman"/>
          <w:sz w:val="20"/>
          <w:szCs w:val="20"/>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As of December 31, 2023, we did not intend to sell available-for-sale securities in an unrealized loss position and it was not more likely than not that we would be required to sell such securities before recovery of their amortized cost basis.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199" w:lineRule="exact"/>
        <w:rPr>
          <w:sz w:val="20"/>
          <w:szCs w:val="20"/>
          <w:color w:val="auto"/>
        </w:rPr>
      </w:pPr>
    </w:p>
    <w:p>
      <w:pPr>
        <w:jc w:val="both"/>
        <w:ind w:right="20" w:firstLine="495"/>
        <w:spacing w:after="0" w:line="258" w:lineRule="auto"/>
        <w:rPr>
          <w:sz w:val="20"/>
          <w:szCs w:val="20"/>
          <w:color w:val="auto"/>
        </w:rPr>
      </w:pPr>
      <w:r>
        <w:rPr>
          <w:rFonts w:ascii="Times New Roman" w:cs="Times New Roman" w:eastAsia="Times New Roman" w:hAnsi="Times New Roman"/>
          <w:sz w:val="20"/>
          <w:szCs w:val="20"/>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 w:cs="Times New Roman" w:eastAsia="Times New Roman" w:hAnsi="Times New Roman"/>
          <w:sz w:val="20"/>
          <w:szCs w:val="20"/>
          <w:b w:val="1"/>
          <w:bCs w:val="1"/>
          <w:i w:val="1"/>
          <w:iCs w:val="1"/>
          <w:color w:val="auto"/>
        </w:rPr>
        <w:t>Receivables—Nonrefundable Fees and Other Costs</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20"/>
          <w:szCs w:val="20"/>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51"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20"/>
          <w:szCs w:val="20"/>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Repurchase Agreements</w:t>
      </w:r>
    </w:p>
    <w:p>
      <w:pPr>
        <w:spacing w:after="0" w:line="199" w:lineRule="exact"/>
        <w:rPr>
          <w:sz w:val="20"/>
          <w:szCs w:val="20"/>
          <w:color w:val="auto"/>
        </w:rPr>
      </w:pPr>
    </w:p>
    <w:p>
      <w:pPr>
        <w:jc w:val="both"/>
        <w:ind w:right="20" w:firstLine="495"/>
        <w:spacing w:after="0" w:line="278" w:lineRule="auto"/>
        <w:rPr>
          <w:sz w:val="20"/>
          <w:szCs w:val="20"/>
          <w:color w:val="auto"/>
        </w:rPr>
      </w:pPr>
      <w:r>
        <w:rPr>
          <w:rFonts w:ascii="Times New Roman" w:cs="Times New Roman" w:eastAsia="Times New Roman" w:hAnsi="Times New Roman"/>
          <w:sz w:val="19"/>
          <w:szCs w:val="19"/>
          <w:color w:val="auto"/>
        </w:rPr>
        <w:t xml:space="preserve">We finance the acquisition of securities for our investment portfolio primarily through repurchase agreements with our lending counterparties. Repurchase arrangements involve the sale and a simultaneous agreement to repurchase the securities at a future date. We maintain a beneficial interest in the specific securities pledged during the term of each repurchase arrangement and we receive the related principal and interest payments. Pursuant to ASC Topic 860, </w:t>
      </w:r>
      <w:r>
        <w:rPr>
          <w:rFonts w:ascii="Times New Roman" w:cs="Times New Roman" w:eastAsia="Times New Roman" w:hAnsi="Times New Roman"/>
          <w:sz w:val="19"/>
          <w:szCs w:val="19"/>
          <w:b w:val="1"/>
          <w:bCs w:val="1"/>
          <w:i w:val="1"/>
          <w:iCs w:val="1"/>
          <w:color w:val="auto"/>
        </w:rPr>
        <w:t>Transfers and Servicing</w:t>
      </w:r>
      <w:r>
        <w:rPr>
          <w:rFonts w:ascii="Times New Roman" w:cs="Times New Roman" w:eastAsia="Times New Roman" w:hAnsi="Times New Roman"/>
          <w:sz w:val="19"/>
          <w:szCs w:val="19"/>
          <w:color w:val="auto"/>
        </w:rPr>
        <w:t>, we account for</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260"/>
          </w:cols>
          <w:pgMar w:left="1000" w:top="793" w:right="980" w:bottom="0" w:gutter="0" w:footer="0" w:header="0"/>
          <w:type w:val="continuous"/>
        </w:sectPr>
      </w:pPr>
    </w:p>
    <w:bookmarkStart w:id="67" w:name="page68"/>
    <w:bookmarkEnd w:id="67"/>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repurchase agreements as collateralized financing transactions, which are carried at their contractual amounts (cost), plus accrued interest. Our repurchase agreements typically have maturities of less than one year.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Repurchase Agreements and Obligation to Return Securities Borrowed under Reverse Repurchase Agreements</w:t>
      </w:r>
    </w:p>
    <w:p>
      <w:pPr>
        <w:spacing w:after="0" w:line="19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 xml:space="preserve">We borrow securities to cover short sales of U.S. Treasury securities through reverse repurchase transactions under our master repurchase agreements (see </w:t>
      </w:r>
      <w:r>
        <w:rPr>
          <w:rFonts w:ascii="Times New Roman" w:cs="Times New Roman" w:eastAsia="Times New Roman" w:hAnsi="Times New Roman"/>
          <w:sz w:val="20"/>
          <w:szCs w:val="20"/>
          <w:b w:val="1"/>
          <w:bCs w:val="1"/>
          <w:i w:val="1"/>
          <w:iCs w:val="1"/>
          <w:color w:val="auto"/>
        </w:rPr>
        <w:t>Derivative Instruments</w:t>
      </w:r>
      <w:r>
        <w:rPr>
          <w:rFonts w:ascii="Times New Roman" w:cs="Times New Roman" w:eastAsia="Times New Roman" w:hAnsi="Times New Roman"/>
          <w:sz w:val="20"/>
          <w:szCs w:val="20"/>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Instruments</w:t>
      </w:r>
    </w:p>
    <w:p>
      <w:pPr>
        <w:spacing w:after="0" w:line="199" w:lineRule="exact"/>
        <w:rPr>
          <w:sz w:val="20"/>
          <w:szCs w:val="20"/>
          <w:color w:val="auto"/>
        </w:rPr>
      </w:pPr>
    </w:p>
    <w:p>
      <w:pPr>
        <w:jc w:val="both"/>
        <w:ind w:right="20" w:firstLine="450"/>
        <w:spacing w:after="0" w:line="255" w:lineRule="auto"/>
        <w:rPr>
          <w:sz w:val="20"/>
          <w:szCs w:val="20"/>
          <w:color w:val="auto"/>
        </w:rPr>
      </w:pPr>
      <w:r>
        <w:rPr>
          <w:rFonts w:ascii="Times New Roman" w:cs="Times New Roman" w:eastAsia="Times New Roman" w:hAnsi="Times New Roman"/>
          <w:sz w:val="20"/>
          <w:szCs w:val="20"/>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46" w:lineRule="exact"/>
        <w:rPr>
          <w:sz w:val="20"/>
          <w:szCs w:val="20"/>
          <w:color w:val="auto"/>
        </w:rPr>
      </w:pPr>
    </w:p>
    <w:p>
      <w:pPr>
        <w:jc w:val="both"/>
        <w:ind w:right="20" w:firstLine="495"/>
        <w:spacing w:after="0" w:line="257" w:lineRule="auto"/>
        <w:rPr>
          <w:sz w:val="20"/>
          <w:szCs w:val="20"/>
          <w:color w:val="auto"/>
        </w:rPr>
      </w:pPr>
      <w:r>
        <w:rPr>
          <w:rFonts w:ascii="Times New Roman" w:cs="Times New Roman" w:eastAsia="Times New Roman" w:hAnsi="Times New Roman"/>
          <w:sz w:val="20"/>
          <w:szCs w:val="20"/>
          <w:color w:val="auto"/>
        </w:rPr>
        <w:t xml:space="preserve">We account for derivative instruments in accordance with ASC Topic 815, </w:t>
      </w:r>
      <w:r>
        <w:rPr>
          <w:rFonts w:ascii="Times New Roman" w:cs="Times New Roman" w:eastAsia="Times New Roman" w:hAnsi="Times New Roman"/>
          <w:sz w:val="20"/>
          <w:szCs w:val="20"/>
          <w:b w:val="1"/>
          <w:bCs w:val="1"/>
          <w:i w:val="1"/>
          <w:iCs w:val="1"/>
          <w:color w:val="auto"/>
        </w:rPr>
        <w:t>Derivatives and Hedging</w:t>
      </w:r>
      <w:r>
        <w:rPr>
          <w:rFonts w:ascii="Times New Roman" w:cs="Times New Roman" w:eastAsia="Times New Roman" w:hAnsi="Times New Roman"/>
          <w:sz w:val="20"/>
          <w:szCs w:val="20"/>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146"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Net cash receipts from and payments on our derivative instruments are classified in our consolidated statements of cash flows according to the underlying nature or purpose of the derivative transaction, generally in the investing section.</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Interest rate swap agreements</w:t>
      </w:r>
    </w:p>
    <w:p>
      <w:pPr>
        <w:spacing w:after="0" w:line="194"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20"/>
          <w:szCs w:val="20"/>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Interest rate swaptions</w:t>
      </w:r>
    </w:p>
    <w:p>
      <w:pPr>
        <w:spacing w:after="0" w:line="194" w:lineRule="exact"/>
        <w:rPr>
          <w:sz w:val="20"/>
          <w:szCs w:val="20"/>
          <w:color w:val="auto"/>
        </w:rPr>
      </w:pPr>
    </w:p>
    <w:p>
      <w:pPr>
        <w:jc w:val="both"/>
        <w:ind w:right="20" w:firstLine="495"/>
        <w:spacing w:after="0" w:line="254" w:lineRule="auto"/>
        <w:rPr>
          <w:sz w:val="20"/>
          <w:szCs w:val="20"/>
          <w:color w:val="auto"/>
        </w:rPr>
      </w:pPr>
      <w:r>
        <w:rPr>
          <w:rFonts w:ascii="Times New Roman" w:cs="Times New Roman" w:eastAsia="Times New Roman" w:hAnsi="Times New Roman"/>
          <w:sz w:val="20"/>
          <w:szCs w:val="20"/>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260"/>
          </w:cols>
          <w:pgMar w:left="1000" w:top="793" w:right="980" w:bottom="0" w:gutter="0" w:footer="0" w:header="0"/>
          <w:type w:val="continuous"/>
        </w:sectPr>
      </w:pPr>
    </w:p>
    <w:bookmarkStart w:id="68" w:name="page69"/>
    <w:bookmarkEnd w:id="68"/>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TBA securities</w:t>
      </w:r>
    </w:p>
    <w:p>
      <w:pPr>
        <w:spacing w:after="0" w:line="194" w:lineRule="exact"/>
        <w:rPr>
          <w:sz w:val="20"/>
          <w:szCs w:val="20"/>
          <w:color w:val="auto"/>
        </w:rPr>
      </w:pPr>
    </w:p>
    <w:p>
      <w:pPr>
        <w:jc w:val="both"/>
        <w:ind w:right="20" w:firstLine="495"/>
        <w:spacing w:after="0" w:line="253" w:lineRule="auto"/>
        <w:rPr>
          <w:sz w:val="20"/>
          <w:szCs w:val="20"/>
          <w:color w:val="auto"/>
        </w:rPr>
      </w:pPr>
      <w:r>
        <w:rPr>
          <w:rFonts w:ascii="Times New Roman" w:cs="Times New Roman" w:eastAsia="Times New Roman" w:hAnsi="Times New Roman"/>
          <w:sz w:val="20"/>
          <w:szCs w:val="20"/>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56" w:lineRule="exact"/>
        <w:rPr>
          <w:sz w:val="20"/>
          <w:szCs w:val="20"/>
          <w:color w:val="auto"/>
        </w:rPr>
      </w:pPr>
    </w:p>
    <w:p>
      <w:pPr>
        <w:jc w:val="both"/>
        <w:ind w:right="20" w:firstLine="495"/>
        <w:spacing w:after="0" w:line="260" w:lineRule="auto"/>
        <w:rPr>
          <w:sz w:val="20"/>
          <w:szCs w:val="20"/>
          <w:color w:val="auto"/>
        </w:rPr>
      </w:pPr>
      <w:r>
        <w:rPr>
          <w:rFonts w:ascii="Times New Roman" w:cs="Times New Roman" w:eastAsia="Times New Roman" w:hAnsi="Times New Roman"/>
          <w:sz w:val="20"/>
          <w:szCs w:val="20"/>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color w:val="auto"/>
        </w:rPr>
        <w:t>U.S. Treasury securities and US Treasury futures contracts</w:t>
      </w:r>
    </w:p>
    <w:p>
      <w:pPr>
        <w:spacing w:after="0" w:line="194"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20"/>
          <w:szCs w:val="20"/>
          <w:color w:val="auto"/>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99" w:lineRule="exact"/>
        <w:rPr>
          <w:sz w:val="20"/>
          <w:szCs w:val="20"/>
          <w:color w:val="auto"/>
        </w:rPr>
      </w:pPr>
    </w:p>
    <w:p>
      <w:pPr>
        <w:jc w:val="both"/>
        <w:ind w:right="20" w:firstLine="495"/>
        <w:spacing w:after="0" w:line="258" w:lineRule="auto"/>
        <w:rPr>
          <w:sz w:val="20"/>
          <w:szCs w:val="20"/>
          <w:color w:val="auto"/>
        </w:rPr>
      </w:pPr>
      <w:r>
        <w:rPr>
          <w:rFonts w:ascii="Times New Roman" w:cs="Times New Roman" w:eastAsia="Times New Roman" w:hAnsi="Times New Roman"/>
          <w:sz w:val="20"/>
          <w:szCs w:val="20"/>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three levels of valuation hierarchy are defined as follows:</w:t>
      </w:r>
    </w:p>
    <w:p>
      <w:pPr>
        <w:spacing w:after="0" w:line="190" w:lineRule="exact"/>
        <w:rPr>
          <w:sz w:val="20"/>
          <w:szCs w:val="20"/>
          <w:color w:val="auto"/>
        </w:rPr>
      </w:pPr>
    </w:p>
    <w:p>
      <w:pPr>
        <w:ind w:left="720" w:right="20" w:hanging="370"/>
        <w:spacing w:after="0" w:line="281"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Inputs —Quoted prices (unadjusted) for identical unrestricted assets and liabilities in active markets that are accessible at the measurement date.</w:t>
      </w:r>
    </w:p>
    <w:p>
      <w:pPr>
        <w:spacing w:after="0" w:line="121"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3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Inputs —Instruments with primarily unobservable market data that cannot be corroborated.</w:t>
      </w:r>
    </w:p>
    <w:p>
      <w:pPr>
        <w:spacing w:after="0" w:line="190"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20"/>
          <w:szCs w:val="20"/>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w:t>
      </w:r>
    </w:p>
    <w:p>
      <w:pPr>
        <w:sectPr>
          <w:pgSz w:w="12240" w:h="15840" w:orient="portrait"/>
          <w:cols w:equalWidth="0" w:num="1">
            <w:col w:w="10260"/>
          </w:cols>
          <w:pgMar w:left="1000" w:top="78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260"/>
          </w:cols>
          <w:pgMar w:left="1000" w:top="789" w:right="980" w:bottom="0" w:gutter="0" w:footer="0" w:header="0"/>
          <w:type w:val="continuous"/>
        </w:sectPr>
      </w:pPr>
    </w:p>
    <w:bookmarkStart w:id="69" w:name="page70"/>
    <w:bookmarkEnd w:id="69"/>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would indicate and we cannot obtain an understanding from the third-party source as to the significant inputs used to determine the price.</w:t>
      </w:r>
    </w:p>
    <w:p>
      <w:pPr>
        <w:spacing w:after="0" w:line="121" w:lineRule="exact"/>
        <w:rPr>
          <w:sz w:val="20"/>
          <w:szCs w:val="20"/>
          <w:color w:val="auto"/>
        </w:rPr>
      </w:pPr>
    </w:p>
    <w:p>
      <w:pPr>
        <w:jc w:val="both"/>
        <w:ind w:right="20" w:firstLine="495"/>
        <w:spacing w:after="0" w:line="258"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w:t>
      </w:r>
    </w:p>
    <w:p>
      <w:pPr>
        <w:spacing w:after="0" w:line="140"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 securities </w:t>
      </w:r>
      <w:r>
        <w:rPr>
          <w:rFonts w:ascii="Times New Roman" w:cs="Times New Roman" w:eastAsia="Times New Roman" w:hAnsi="Times New Roman"/>
          <w:sz w:val="20"/>
          <w:szCs w:val="20"/>
          <w:color w:val="auto"/>
        </w:rPr>
        <w:t>- are valued based on prices obtained from multiple third-party pricing sources. The pricing sources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utilize various valuation approaches, including market and income approaches. For Agency RMBS, the pricing sources primarily utilize a matrix pricing technique that interpolates the estimated fair value based on observed quoted prices for forward contracts in the TBA market of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43" w:lineRule="exact"/>
        <w:rPr>
          <w:sz w:val="20"/>
          <w:szCs w:val="20"/>
          <w:color w:val="auto"/>
        </w:rPr>
      </w:pPr>
    </w:p>
    <w:p>
      <w:pPr>
        <w:jc w:val="both"/>
        <w:ind w:right="20" w:firstLine="495"/>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TBA securities </w:t>
      </w:r>
      <w:r>
        <w:rPr>
          <w:rFonts w:ascii="Times New Roman" w:cs="Times New Roman" w:eastAsia="Times New Roman" w:hAnsi="Times New Roman"/>
          <w:sz w:val="20"/>
          <w:szCs w:val="20"/>
          <w:color w:val="auto"/>
        </w:rPr>
        <w:t>- are valued using prices obtained from third-party pricing sources based on pricing models that reference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recent trading activity.</w:t>
      </w:r>
    </w:p>
    <w:p>
      <w:pPr>
        <w:spacing w:after="0" w:line="114" w:lineRule="exact"/>
        <w:rPr>
          <w:sz w:val="20"/>
          <w:szCs w:val="20"/>
          <w:color w:val="auto"/>
        </w:rPr>
      </w:pPr>
    </w:p>
    <w:p>
      <w:pPr>
        <w:jc w:val="both"/>
        <w:ind w:right="20" w:firstLine="495"/>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rate swaps </w:t>
      </w:r>
      <w:r>
        <w:rPr>
          <w:rFonts w:ascii="Times New Roman" w:cs="Times New Roman" w:eastAsia="Times New Roman" w:hAnsi="Times New Roman"/>
          <w:sz w:val="20"/>
          <w:szCs w:val="20"/>
          <w:color w:val="auto"/>
        </w:rPr>
        <w:t>- are valued using the daily settlement price, or fair value, determined by the clearing exchange based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 a pricing model that references observable market inputs, including current benchmark rates and the forward yield curve.</w:t>
      </w:r>
    </w:p>
    <w:p>
      <w:pPr>
        <w:spacing w:after="0" w:line="114" w:lineRule="exact"/>
        <w:rPr>
          <w:sz w:val="20"/>
          <w:szCs w:val="20"/>
          <w:color w:val="auto"/>
        </w:rPr>
      </w:pPr>
    </w:p>
    <w:p>
      <w:pPr>
        <w:jc w:val="both"/>
        <w:ind w:right="20" w:firstLine="495"/>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rate swaptions </w:t>
      </w:r>
      <w:r>
        <w:rPr>
          <w:rFonts w:ascii="Times New Roman" w:cs="Times New Roman" w:eastAsia="Times New Roman" w:hAnsi="Times New Roman"/>
          <w:sz w:val="20"/>
          <w:szCs w:val="20"/>
          <w:color w:val="auto"/>
        </w:rPr>
        <w:t>- are valued using prices obtained from the counterparty and other third-party pricing models.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pricing models are based on the value of the future interest rate swap that we have the option to enter into as well as the remaining length of time that we have to exercise the option based on observable market inputs, adjusted for non-performance risk, if any.</w:t>
      </w:r>
    </w:p>
    <w:p>
      <w:pPr>
        <w:spacing w:after="0" w:line="140" w:lineRule="exact"/>
        <w:rPr>
          <w:sz w:val="20"/>
          <w:szCs w:val="20"/>
          <w:color w:val="auto"/>
        </w:rPr>
      </w:pPr>
    </w:p>
    <w:p>
      <w:pPr>
        <w:jc w:val="both"/>
        <w:ind w:right="20" w:firstLine="495"/>
        <w:spacing w:after="0" w:line="281" w:lineRule="auto"/>
        <w:rPr>
          <w:sz w:val="20"/>
          <w:szCs w:val="20"/>
          <w:color w:val="auto"/>
        </w:rPr>
      </w:pPr>
      <w:r>
        <w:rPr>
          <w:rFonts w:ascii="Times New Roman" w:cs="Times New Roman" w:eastAsia="Times New Roman" w:hAnsi="Times New Roman"/>
          <w:sz w:val="20"/>
          <w:szCs w:val="20"/>
          <w:color w:val="auto"/>
        </w:rPr>
        <w:t>U.S. Treasury securities and futures are valued based on quoted prices for identical instruments in active markets and are classified as Level 1 assets. None of our financial instruments are classified as Level 3 inputs.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Consolidated Variable Interest Entities</w:t>
      </w:r>
    </w:p>
    <w:p>
      <w:pPr>
        <w:spacing w:after="0" w:line="195" w:lineRule="exact"/>
        <w:rPr>
          <w:sz w:val="20"/>
          <w:szCs w:val="20"/>
          <w:color w:val="auto"/>
        </w:rPr>
      </w:pPr>
    </w:p>
    <w:p>
      <w:pPr>
        <w:jc w:val="both"/>
        <w:ind w:right="20" w:firstLine="495"/>
        <w:spacing w:after="0" w:line="255" w:lineRule="auto"/>
        <w:rPr>
          <w:sz w:val="20"/>
          <w:szCs w:val="20"/>
          <w:color w:val="auto"/>
        </w:rPr>
      </w:pPr>
      <w:r>
        <w:rPr>
          <w:rFonts w:ascii="Times New Roman" w:cs="Times New Roman" w:eastAsia="Times New Roman" w:hAnsi="Times New Roman"/>
          <w:sz w:val="20"/>
          <w:szCs w:val="20"/>
          <w:color w:val="auto"/>
        </w:rPr>
        <w:t xml:space="preserve">ASC Topic 810, </w:t>
      </w:r>
      <w:r>
        <w:rPr>
          <w:rFonts w:ascii="Times New Roman" w:cs="Times New Roman" w:eastAsia="Times New Roman" w:hAnsi="Times New Roman"/>
          <w:sz w:val="20"/>
          <w:szCs w:val="20"/>
          <w:b w:val="1"/>
          <w:bCs w:val="1"/>
          <w:i w:val="1"/>
          <w:iCs w:val="1"/>
          <w:color w:val="auto"/>
        </w:rPr>
        <w:t>Consolidation</w:t>
      </w:r>
      <w:r>
        <w:rPr>
          <w:rFonts w:ascii="Times New Roman" w:cs="Times New Roman" w:eastAsia="Times New Roman" w:hAnsi="Times New Roman"/>
          <w:sz w:val="20"/>
          <w:szCs w:val="20"/>
          <w:color w:val="auto"/>
        </w:rPr>
        <w:t xml:space="preserve"> ("ASC 810"), requires an enterprise to consolidate a variable interest entity ("VIE") if it is deemed the primary beneficiary of the VIE. As of December 31, 2023 and 2022, our consolidated financial statements reflect the consolidation of certain VIEs for which we have determined we are the primary beneficiary. The consolidated VIEs consist of CMO trusts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the CMO trusts is the fair value of the CMO securities and interest and principal-only securities held by us, less principal amounts guaranteed by Fannie Mae and Freddie Mac.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Cash and cash equivalents include cash held in bank accounts and cash held in money market funds on an overnight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199" w:lineRule="exact"/>
        <w:rPr>
          <w:sz w:val="20"/>
          <w:szCs w:val="20"/>
          <w:color w:val="auto"/>
        </w:rPr>
      </w:pPr>
    </w:p>
    <w:p>
      <w:pPr>
        <w:jc w:val="both"/>
        <w:ind w:right="20" w:firstLine="450"/>
        <w:spacing w:after="0" w:line="281" w:lineRule="auto"/>
        <w:rPr>
          <w:sz w:val="20"/>
          <w:szCs w:val="20"/>
          <w:color w:val="auto"/>
        </w:rPr>
      </w:pPr>
      <w:r>
        <w:rPr>
          <w:rFonts w:ascii="Times New Roman" w:cs="Times New Roman" w:eastAsia="Times New Roman" w:hAnsi="Times New Roman"/>
          <w:sz w:val="20"/>
          <w:szCs w:val="20"/>
          <w:color w:val="auto"/>
        </w:rPr>
        <w:t>Restricted cash includes cash pledged as collateral for clearing and executing trades, repurchase agreements, and interest rate swaps and other derivative instruments.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99" w:lineRule="exact"/>
        <w:rPr>
          <w:sz w:val="20"/>
          <w:szCs w:val="20"/>
          <w:color w:val="auto"/>
        </w:rPr>
      </w:pPr>
    </w:p>
    <w:p>
      <w:pPr>
        <w:jc w:val="both"/>
        <w:ind w:right="20" w:firstLine="495"/>
        <w:spacing w:after="0" w:line="258" w:lineRule="auto"/>
        <w:rPr>
          <w:sz w:val="20"/>
          <w:szCs w:val="20"/>
          <w:color w:val="auto"/>
        </w:rPr>
      </w:pPr>
      <w:r>
        <w:rPr>
          <w:rFonts w:ascii="Times New Roman" w:cs="Times New Roman" w:eastAsia="Times New Roman" w:hAnsi="Times New Roman"/>
          <w:sz w:val="20"/>
          <w:szCs w:val="20"/>
          <w:color w:val="auto"/>
        </w:rPr>
        <w:t>Goodwill is the cost of an acquisition in excess of the fair value of identified assets acquired and liabilities assumed and is recognized as an asset on our consolidated balance sheets. As of December 31, 2023 and 2022, we had $526 million of goodwill related to our acquisition of AGNC Management, LLC, our former manager, on July 1, 2016. Goodwill is not subject to amortization but must be tested for impairment at least annually and at interim periods when events or circumstances may make it more likely than not that an impairment has occurred. If a qualitative analysis indicates that there may be an</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60"/>
          </w:cols>
          <w:pgMar w:left="1000" w:top="793" w:right="980" w:bottom="0" w:gutter="0" w:footer="0" w:header="0"/>
          <w:type w:val="continuous"/>
        </w:sectPr>
      </w:pPr>
    </w:p>
    <w:bookmarkStart w:id="70" w:name="page71"/>
    <w:bookmarkEnd w:id="70"/>
    <w:p>
      <w:pPr>
        <w:jc w:val="both"/>
        <w:spacing w:after="0" w:line="260" w:lineRule="auto"/>
        <w:rPr>
          <w:sz w:val="20"/>
          <w:szCs w:val="20"/>
          <w:color w:val="auto"/>
        </w:rPr>
      </w:pPr>
      <w:r>
        <w:rPr>
          <w:rFonts w:ascii="Times New Roman" w:cs="Times New Roman" w:eastAsia="Times New Roman" w:hAnsi="Times New Roman"/>
          <w:sz w:val="20"/>
          <w:szCs w:val="20"/>
          <w:color w:val="auto"/>
        </w:rPr>
        <w:t>impairment, a quantitative analysis is performed. The quantitative analysis requires that we compare the carrying value of the identified reporting unit comprising the goodwill to the reporting unit's fair value. If the reporting unit's carrying value is greater than its fair value, an impairment charge is recognized to the extent the carrying amount of the reporting unit exceeds its fair value. During the three fiscal years ended December 31, 2023, we did not recognize a goodwill impairment charge.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99"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20"/>
          <w:szCs w:val="20"/>
          <w:color w:val="auto"/>
        </w:rPr>
        <w:t>Under our Amended and Restated AGNC Investment Corp. 2016 Equity and Incentive Compensation Plan (the "2016 Equity Plan" or "the Plan"), we may grant equity-based compensation to our officers and other employees and non-employee directors for the purpose of providing incentives and rewards for service or performance. Stock-based awards issued under the Plan include time-based and performance-based restricted stock unit awards ("RSU" and "PSU" awards, respectively), but may include other forms of equity-based compensation. RSU and PSU awards are an agreement to issue an equivalent number of shares of our common stock, plus any equivalent shares for dividends declared on our common stock, at the time the award vests, or later if distribution of such shares has been deferred beyond the vesting date. RSU awards vest over a specified service period. PSU awards vest over a specified service period subject to achieving long-term performance criteria.</w:t>
      </w:r>
    </w:p>
    <w:p>
      <w:pPr>
        <w:spacing w:after="0" w:line="153"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We measure and recognize compensation expense for all stock-based payment awards made to employees and non-employee directors based on their fair values. We value RSU and PSU awards based on the fair value of our common stock on the date of grant. Compensation expense is recognized over each award’s respective service period. For PSU awards, we estimate the probability that the performance criteria will be achieved and recognize expense only for those awards expected to vest. We reevaluate our estimates each reporting period and recognize a cumulative effect adjustment to expense if our estimates change from the prior period. We do not estimate forfeiture rates; rather, we adjust for forfeitures in the periods in which they occur.</w:t>
      </w:r>
    </w:p>
    <w:p>
      <w:pPr>
        <w:spacing w:after="0" w:line="150" w:lineRule="exact"/>
        <w:rPr>
          <w:sz w:val="20"/>
          <w:szCs w:val="20"/>
          <w:color w:val="auto"/>
        </w:rPr>
      </w:pPr>
    </w:p>
    <w:p>
      <w:pPr>
        <w:jc w:val="both"/>
        <w:ind w:right="20" w:firstLine="495"/>
        <w:spacing w:after="0" w:line="266" w:lineRule="auto"/>
        <w:rPr>
          <w:sz w:val="20"/>
          <w:szCs w:val="20"/>
          <w:color w:val="auto"/>
        </w:rPr>
      </w:pPr>
      <w:r>
        <w:rPr>
          <w:rFonts w:ascii="Times New Roman" w:cs="Times New Roman" w:eastAsia="Times New Roman" w:hAnsi="Times New Roman"/>
          <w:sz w:val="20"/>
          <w:szCs w:val="20"/>
          <w:color w:val="auto"/>
        </w:rPr>
        <w:t>Shares underlying RSU and PSU awards are issued when the awards vest, or later if distribution of such shares has been deferred beyond the vest date. Shares issued are net of shares withheld to cover minimum statutory tax withholding obligations. The fair value of shares withheld for tax withholdings is recorded as a reduction to additional paid-in capital.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99" w:lineRule="exact"/>
        <w:rPr>
          <w:sz w:val="20"/>
          <w:szCs w:val="20"/>
          <w:color w:val="auto"/>
        </w:rPr>
      </w:pPr>
    </w:p>
    <w:p>
      <w:pPr>
        <w:jc w:val="both"/>
        <w:ind w:right="20" w:firstLine="495"/>
        <w:spacing w:after="0" w:line="266" w:lineRule="auto"/>
        <w:rPr>
          <w:sz w:val="20"/>
          <w:szCs w:val="20"/>
          <w:color w:val="auto"/>
        </w:rPr>
      </w:pPr>
      <w:r>
        <w:rPr>
          <w:rFonts w:ascii="Times New Roman" w:cs="Times New Roman" w:eastAsia="Times New Roman" w:hAnsi="Times New Roman"/>
          <w:sz w:val="20"/>
          <w:szCs w:val="20"/>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Investment Securities</w:t>
      </w:r>
    </w:p>
    <w:p>
      <w:pPr>
        <w:spacing w:after="0" w:line="197"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As of December 31, 2023 and 2022, our investment portfolio consisted of $54.8 billion and $40.9 billion investment securities, at fair value, respectively, $5.4 billion and $18.6 billion net TBA securities, at fair value, respectively, and other mortgage credit investments of $44 million and $25 million, respectively, which we account for under the equity method of accounting. Our TBA position is reported at its net carrying value totaling $66 million and $167 million as of December 31, 2023 and 2022,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w:t>
      </w:r>
    </w:p>
    <w:p>
      <w:pPr>
        <w:spacing w:after="0" w:line="150" w:lineRule="exact"/>
        <w:rPr>
          <w:sz w:val="20"/>
          <w:szCs w:val="20"/>
          <w:color w:val="auto"/>
        </w:rPr>
      </w:pPr>
    </w:p>
    <w:p>
      <w:pPr>
        <w:jc w:val="both"/>
        <w:ind w:right="20" w:firstLine="450"/>
        <w:spacing w:after="0" w:line="281" w:lineRule="auto"/>
        <w:rPr>
          <w:sz w:val="20"/>
          <w:szCs w:val="20"/>
          <w:color w:val="auto"/>
        </w:rPr>
      </w:pPr>
      <w:r>
        <w:rPr>
          <w:rFonts w:ascii="Times New Roman" w:cs="Times New Roman" w:eastAsia="Times New Roman" w:hAnsi="Times New Roman"/>
          <w:sz w:val="20"/>
          <w:szCs w:val="20"/>
          <w:color w:val="auto"/>
        </w:rPr>
        <w:t>As of December 31, 2023 and 2022, our investment securities had a net unamortized premium balance of $1.2 billion and $1.5 billion, respectively.</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260"/>
          </w:cols>
          <w:pgMar w:left="1000" w:top="793" w:right="980" w:bottom="0" w:gutter="0" w:footer="0" w:header="0"/>
          <w:type w:val="continuous"/>
        </w:sectPr>
      </w:pPr>
    </w:p>
    <w:bookmarkStart w:id="71" w:name="page72"/>
    <w:bookmarkEnd w:id="71"/>
    <w:p>
      <w:pPr>
        <w:ind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tables summarize our investment securities as of December 31, 2023 and 2022, excluding TBA securities and other mortgage credit investments (dollars in millions). Details of our TBA securities are included in Note 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8"/>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9"/>
          </w:tcPr>
          <w:p>
            <w:pPr>
              <w:jc w:val="right"/>
              <w:ind w:right="506"/>
              <w:spacing w:after="0"/>
              <w:rPr>
                <w:sz w:val="20"/>
                <w:szCs w:val="20"/>
                <w:color w:val="auto"/>
              </w:rPr>
            </w:pPr>
            <w:r>
              <w:rPr>
                <w:rFonts w:ascii="Times New Roman" w:cs="Times New Roman" w:eastAsia="Times New Roman" w:hAnsi="Times New Roman"/>
                <w:sz w:val="16"/>
                <w:szCs w:val="16"/>
                <w:b w:val="1"/>
                <w:bCs w:val="1"/>
                <w:color w:val="auto"/>
                <w:w w:val="97"/>
              </w:rPr>
              <w:t>December 31,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Investment Securities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6"/>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6"/>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6"/>
                <w:szCs w:val="16"/>
                <w:color w:val="auto"/>
              </w:rPr>
            </w:pPr>
          </w:p>
        </w:tc>
        <w:tc>
          <w:tcPr>
            <w:tcW w:w="1120" w:type="dxa"/>
            <w:vAlign w:val="bottom"/>
            <w:gridSpan w:val="4"/>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4"/>
            <w:vMerge w:val="restart"/>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Cost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Agency RMBS:</w:t>
            </w:r>
          </w:p>
        </w:tc>
        <w:tc>
          <w:tcPr>
            <w:tcW w:w="1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0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w w:val="78"/>
              </w:rPr>
              <w:t xml:space="preserve">Fixed rate </w:t>
            </w:r>
            <w:r>
              <w:rPr>
                <w:rFonts w:ascii="Times New Roman" w:cs="Times New Roman" w:eastAsia="Times New Roman" w:hAnsi="Times New Roman"/>
                <w:sz w:val="16"/>
                <w:szCs w:val="16"/>
                <w:color w:val="B4B4B4"/>
                <w:w w:val="78"/>
              </w:rPr>
              <w: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20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55,289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24"/>
                <w:szCs w:val="24"/>
                <w:color w:val="auto"/>
              </w:rPr>
            </w:pPr>
          </w:p>
        </w:tc>
        <w:tc>
          <w:tcPr>
            <w:tcW w:w="900" w:type="dxa"/>
            <w:vAlign w:val="bottom"/>
            <w:gridSpan w:val="4"/>
          </w:tcPr>
          <w:p>
            <w:pPr>
              <w:jc w:val="right"/>
              <w:ind w:right="10"/>
              <w:spacing w:after="0"/>
              <w:rPr>
                <w:sz w:val="20"/>
                <w:szCs w:val="20"/>
                <w:color w:val="auto"/>
              </w:rPr>
            </w:pPr>
            <w:r>
              <w:rPr>
                <w:rFonts w:ascii="Times New Roman" w:cs="Times New Roman" w:eastAsia="Times New Roman" w:hAnsi="Times New Roman"/>
                <w:sz w:val="16"/>
                <w:szCs w:val="16"/>
                <w:color w:val="auto"/>
              </w:rPr>
              <w:t>53,161</w:t>
            </w:r>
          </w:p>
        </w:tc>
        <w:tc>
          <w:tcPr>
            <w:tcW w:w="40" w:type="dxa"/>
            <w:vAlign w:val="bottom"/>
          </w:tcPr>
          <w:p>
            <w:pPr>
              <w:spacing w:after="0"/>
              <w:rPr>
                <w:sz w:val="24"/>
                <w:szCs w:val="24"/>
                <w:color w:val="auto"/>
              </w:rPr>
            </w:pPr>
          </w:p>
        </w:tc>
        <w:tc>
          <w:tcPr>
            <w:tcW w:w="660" w:type="dxa"/>
            <w:vAlign w:val="bottom"/>
            <w:gridSpan w:val="2"/>
          </w:tcPr>
          <w:p>
            <w:pPr>
              <w:jc w:val="right"/>
              <w:ind w:right="367"/>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43,046</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w w:val="78"/>
              </w:rPr>
              <w:t xml:space="preserve">Adjustable rate </w:t>
            </w:r>
            <w:r>
              <w:rPr>
                <w:rFonts w:ascii="Times New Roman" w:cs="Times New Roman" w:eastAsia="Times New Roman" w:hAnsi="Times New Roman"/>
                <w:sz w:val="16"/>
                <w:szCs w:val="16"/>
                <w:color w:val="B4B4B4"/>
                <w:w w:val="78"/>
              </w:rPr>
              <w: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color w:val="auto"/>
                <w:w w:val="99"/>
              </w:rPr>
              <w:t>290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w w:val="78"/>
              </w:rPr>
              <w:t xml:space="preserve">CMO </w:t>
            </w:r>
            <w:r>
              <w:rPr>
                <w:rFonts w:ascii="Times New Roman" w:cs="Times New Roman" w:eastAsia="Times New Roman" w:hAnsi="Times New Roman"/>
                <w:sz w:val="16"/>
                <w:szCs w:val="16"/>
                <w:color w:val="B4B4B4"/>
                <w:w w:val="78"/>
              </w:rPr>
              <w: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color w:val="auto"/>
                <w:w w:val="99"/>
              </w:rPr>
              <w:t>120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w w:val="77"/>
              </w:rPr>
              <w:t xml:space="preserve">Interest-only and principal-only strips </w:t>
            </w:r>
            <w:r>
              <w:rPr>
                <w:rFonts w:ascii="Times New Roman" w:cs="Times New Roman" w:eastAsia="Times New Roman" w:hAnsi="Times New Roman"/>
                <w:sz w:val="16"/>
                <w:szCs w:val="16"/>
                <w:color w:val="B4B4B4"/>
                <w:w w:val="77"/>
              </w:rPr>
              <w: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color w:val="auto"/>
              </w:rPr>
              <w:t>61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w w:val="78"/>
              </w:rPr>
              <w:t xml:space="preserve">Multifamily </w:t>
            </w:r>
            <w:r>
              <w:rPr>
                <w:rFonts w:ascii="Times New Roman" w:cs="Times New Roman" w:eastAsia="Times New Roman" w:hAnsi="Times New Roman"/>
                <w:sz w:val="16"/>
                <w:szCs w:val="16"/>
                <w:color w:val="B4B4B4"/>
                <w:w w:val="78"/>
              </w:rPr>
              <w: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color w:val="auto"/>
                <w:w w:val="99"/>
              </w:rPr>
              <w:t>162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w w:val="78"/>
              </w:rPr>
              <w:t xml:space="preserve">Total Agency RMBS </w:t>
            </w:r>
            <w:r>
              <w:rPr>
                <w:rFonts w:ascii="Times New Roman" w:cs="Times New Roman" w:eastAsia="Times New Roman" w:hAnsi="Times New Roman"/>
                <w:sz w:val="16"/>
                <w:szCs w:val="16"/>
                <w:color w:val="B4B4B4"/>
                <w:w w:val="78"/>
              </w:rPr>
              <w:t>...........................................................................................</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55,937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4"/>
          </w:tcPr>
          <w:p>
            <w:pPr>
              <w:jc w:val="right"/>
              <w:ind w:right="10"/>
              <w:spacing w:after="0"/>
              <w:rPr>
                <w:sz w:val="20"/>
                <w:szCs w:val="20"/>
                <w:color w:val="auto"/>
              </w:rPr>
            </w:pPr>
            <w:r>
              <w:rPr>
                <w:rFonts w:ascii="Times New Roman" w:cs="Times New Roman" w:eastAsia="Times New Roman" w:hAnsi="Times New Roman"/>
                <w:sz w:val="16"/>
                <w:szCs w:val="16"/>
                <w:color w:val="auto"/>
              </w:rPr>
              <w:t>53,794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43,385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5"/>
        </w:trPr>
        <w:tc>
          <w:tcPr>
            <w:tcW w:w="40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w w:val="77"/>
              </w:rPr>
              <w:t xml:space="preserve">Non-Agency RMBS </w:t>
            </w:r>
            <w:r>
              <w:rPr>
                <w:rFonts w:ascii="Times New Roman" w:cs="Times New Roman" w:eastAsia="Times New Roman" w:hAnsi="Times New Roman"/>
                <w:sz w:val="20"/>
                <w:szCs w:val="20"/>
                <w:color w:val="auto"/>
                <w:w w:val="77"/>
                <w:vertAlign w:val="superscript"/>
              </w:rPr>
              <w:t>1</w:t>
            </w:r>
            <w:r>
              <w:rPr>
                <w:rFonts w:ascii="Times New Roman" w:cs="Times New Roman" w:eastAsia="Times New Roman" w:hAnsi="Times New Roman"/>
                <w:sz w:val="16"/>
                <w:szCs w:val="16"/>
                <w:color w:val="auto"/>
                <w:w w:val="77"/>
              </w:rPr>
              <w:t xml:space="preserve"> </w:t>
            </w:r>
            <w:r>
              <w:rPr>
                <w:rFonts w:ascii="Times New Roman" w:cs="Times New Roman" w:eastAsia="Times New Roman" w:hAnsi="Times New Roman"/>
                <w:sz w:val="16"/>
                <w:szCs w:val="16"/>
                <w:color w:val="B4B4B4"/>
                <w:w w:val="77"/>
              </w:rPr>
              <w: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color w:val="auto"/>
              </w:rPr>
              <w:t>34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w w:val="78"/>
              </w:rPr>
              <w:t>CMBS</w:t>
            </w:r>
            <w:r>
              <w:rPr>
                <w:rFonts w:ascii="Times New Roman" w:cs="Times New Roman" w:eastAsia="Times New Roman" w:hAnsi="Times New Roman"/>
                <w:sz w:val="16"/>
                <w:szCs w:val="16"/>
                <w:color w:val="B4B4B4"/>
                <w:w w:val="78"/>
              </w:rPr>
              <w:t>..................................................................................................................</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color w:val="auto"/>
                <w:w w:val="99"/>
              </w:rPr>
              <w:t>273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0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w w:val="78"/>
              </w:rPr>
              <w:t xml:space="preserve">CRT securities </w:t>
            </w:r>
            <w:r>
              <w:rPr>
                <w:rFonts w:ascii="Times New Roman" w:cs="Times New Roman" w:eastAsia="Times New Roman" w:hAnsi="Times New Roman"/>
                <w:sz w:val="16"/>
                <w:szCs w:val="16"/>
                <w:color w:val="B4B4B4"/>
                <w:w w:val="78"/>
              </w:rPr>
              <w: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682</w:t>
            </w: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color w:val="auto"/>
                <w:w w:val="99"/>
              </w:rPr>
              <w:t>723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w w:val="78"/>
              </w:rPr>
              <w:t xml:space="preserve">Total investment securities </w:t>
            </w:r>
            <w:r>
              <w:rPr>
                <w:rFonts w:ascii="Times New Roman" w:cs="Times New Roman" w:eastAsia="Times New Roman" w:hAnsi="Times New Roman"/>
                <w:sz w:val="16"/>
                <w:szCs w:val="16"/>
                <w:color w:val="B4B4B4"/>
                <w:w w:val="78"/>
              </w:rPr>
              <w:t>..................................................................................</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4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56,965</w:t>
            </w: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6"/>
                <w:szCs w:val="16"/>
                <w:color w:val="auto"/>
              </w:rPr>
              <w:t>54,824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44,880</w:t>
            </w:r>
          </w:p>
        </w:tc>
        <w:tc>
          <w:tcPr>
            <w:tcW w:w="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11"/>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8"/>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97"/>
              </w:rPr>
              <w:t>Agency RMBS</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7"/>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 xml:space="preserve">Non-Agency </w:t>
            </w:r>
            <w:r>
              <w:rPr>
                <w:rFonts w:ascii="Times New Roman" w:cs="Times New Roman" w:eastAsia="Times New Roman" w:hAnsi="Times New Roman"/>
                <w:sz w:val="20"/>
                <w:szCs w:val="20"/>
                <w:b w:val="1"/>
                <w:bCs w:val="1"/>
                <w:color w:val="auto"/>
                <w:vertAlign w:val="superscript"/>
              </w:rPr>
              <w:t>1</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Investment Securities</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6"/>
                <w:szCs w:val="16"/>
                <w:b w:val="1"/>
                <w:bCs w:val="1"/>
                <w:color w:val="auto"/>
              </w:rPr>
              <w:t>Fannie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Freddie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Ginnie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RMBS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2"/>
            <w:vMerge w:val="restart"/>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w w:val="99"/>
              </w:rPr>
              <w:t>CMBS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CRT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ind w:right="14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7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6"/>
                <w:szCs w:val="16"/>
                <w:b w:val="1"/>
                <w:bCs w:val="1"/>
                <w:color w:val="auto"/>
              </w:rPr>
              <w:t>Mae</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Mac</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Mae</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auto"/>
            </w:tcBorders>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xml:space="preserve">Par value </w:t>
            </w:r>
            <w:r>
              <w:rPr>
                <w:rFonts w:ascii="Times New Roman" w:cs="Times New Roman" w:eastAsia="Times New Roman" w:hAnsi="Times New Roman"/>
                <w:sz w:val="14"/>
                <w:szCs w:val="14"/>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3,881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105"/>
              <w:spacing w:after="0"/>
              <w:rPr>
                <w:sz w:val="20"/>
                <w:szCs w:val="20"/>
                <w:color w:val="auto"/>
              </w:rPr>
            </w:pPr>
            <w:r>
              <w:rPr>
                <w:rFonts w:ascii="Times New Roman" w:cs="Times New Roman" w:eastAsia="Times New Roman" w:hAnsi="Times New Roman"/>
                <w:sz w:val="14"/>
                <w:szCs w:val="14"/>
                <w:color w:val="auto"/>
              </w:rPr>
              <w:t>1,152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tcPr>
          <w:p>
            <w:pPr>
              <w:jc w:val="right"/>
              <w:ind w:right="26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5,034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Unamortized discount </w:t>
            </w:r>
            <w:r>
              <w:rPr>
                <w:rFonts w:ascii="Times New Roman" w:cs="Times New Roman" w:eastAsia="Times New Roman" w:hAnsi="Times New Roman"/>
                <w:sz w:val="14"/>
                <w:szCs w:val="14"/>
                <w:color w:val="B4B4B4"/>
              </w:rPr>
              <w:t>................................................................</w:t>
            </w:r>
          </w:p>
        </w:tc>
        <w:tc>
          <w:tcPr>
            <w:tcW w:w="16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ind w:right="105"/>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Unamortized premium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227</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3"/>
          </w:tcPr>
          <w:p>
            <w:pPr>
              <w:jc w:val="right"/>
              <w:ind w:right="105"/>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color w:val="auto"/>
              </w:rPr>
              <w:t>300</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xml:space="preserve">Amortized cost </w:t>
            </w:r>
            <w:r>
              <w:rPr>
                <w:rFonts w:ascii="Times New Roman" w:cs="Times New Roman" w:eastAsia="Times New Roman" w:hAnsi="Times New Roman"/>
                <w:sz w:val="14"/>
                <w:szCs w:val="14"/>
                <w:color w:val="B4B4B4"/>
              </w:rPr>
              <w:t>...........................................................................</w:t>
            </w:r>
          </w:p>
        </w:tc>
        <w:tc>
          <w:tcPr>
            <w:tcW w:w="16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105"/>
              <w:spacing w:after="0"/>
              <w:rPr>
                <w:sz w:val="20"/>
                <w:szCs w:val="20"/>
                <w:color w:val="auto"/>
              </w:rPr>
            </w:pPr>
            <w:r>
              <w:rPr>
                <w:rFonts w:ascii="Times New Roman" w:cs="Times New Roman" w:eastAsia="Times New Roman" w:hAnsi="Times New Roman"/>
                <w:sz w:val="14"/>
                <w:szCs w:val="14"/>
                <w:color w:val="auto"/>
              </w:rPr>
              <w:t>1,225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5,333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Gross unrealized gains </w:t>
            </w:r>
            <w:r>
              <w:rPr>
                <w:rFonts w:ascii="Times New Roman" w:cs="Times New Roman" w:eastAsia="Times New Roman" w:hAnsi="Times New Roman"/>
                <w:sz w:val="14"/>
                <w:szCs w:val="14"/>
                <w:color w:val="B4B4B4"/>
              </w:rPr>
              <w:t>...............................................................</w:t>
            </w:r>
          </w:p>
        </w:tc>
        <w:tc>
          <w:tcPr>
            <w:tcW w:w="160" w:type="dxa"/>
            <w:vAlign w:val="bottom"/>
          </w:tcPr>
          <w:p>
            <w:pPr>
              <w:spacing w:after="0"/>
              <w:rPr>
                <w:sz w:val="22"/>
                <w:szCs w:val="22"/>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ind w:right="105"/>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xml:space="preserve">Gross unrealized losses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(392)</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3"/>
          </w:tcPr>
          <w:p>
            <w:pPr>
              <w:jc w:val="right"/>
              <w:ind w:right="65"/>
              <w:spacing w:after="0"/>
              <w:rPr>
                <w:sz w:val="20"/>
                <w:szCs w:val="20"/>
                <w:color w:val="auto"/>
              </w:rPr>
            </w:pPr>
            <w:r>
              <w:rPr>
                <w:rFonts w:ascii="Times New Roman" w:cs="Times New Roman" w:eastAsia="Times New Roman" w:hAnsi="Times New Roman"/>
                <w:sz w:val="14"/>
                <w:szCs w:val="14"/>
                <w:color w:val="auto"/>
              </w:rPr>
              <w:t>(125)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color w:val="auto"/>
              </w:rPr>
              <w:t>(517)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available-for-sale securities, at fair value</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3,715</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ind w:right="105"/>
              <w:spacing w:after="0"/>
              <w:rPr>
                <w:sz w:val="20"/>
                <w:szCs w:val="20"/>
                <w:color w:val="auto"/>
              </w:rPr>
            </w:pPr>
            <w:r>
              <w:rPr>
                <w:rFonts w:ascii="Times New Roman" w:cs="Times New Roman" w:eastAsia="Times New Roman" w:hAnsi="Times New Roman"/>
                <w:sz w:val="14"/>
                <w:szCs w:val="14"/>
                <w:color w:val="auto"/>
              </w:rPr>
              <w:t>1,100</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color w:val="auto"/>
              </w:rPr>
              <w:t>4,816</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Securities remeasured at fair value through earnings: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xml:space="preserve">Par value </w:t>
            </w:r>
            <w:r>
              <w:rPr>
                <w:rFonts w:ascii="Times New Roman" w:cs="Times New Roman" w:eastAsia="Times New Roman" w:hAnsi="Times New Roman"/>
                <w:sz w:val="14"/>
                <w:szCs w:val="14"/>
                <w:color w:val="B4B4B4"/>
              </w:rPr>
              <w:t>.....................................................................................</w:t>
            </w:r>
          </w:p>
        </w:tc>
        <w:tc>
          <w:tcPr>
            <w:tcW w:w="160" w:type="dxa"/>
            <w:vAlign w:val="bottom"/>
          </w:tcPr>
          <w:p>
            <w:pPr>
              <w:spacing w:after="0"/>
              <w:rPr>
                <w:sz w:val="22"/>
                <w:szCs w:val="22"/>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29,910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3"/>
          </w:tcPr>
          <w:p>
            <w:pPr>
              <w:jc w:val="right"/>
              <w:ind w:right="105"/>
              <w:spacing w:after="0"/>
              <w:rPr>
                <w:sz w:val="20"/>
                <w:szCs w:val="20"/>
                <w:color w:val="auto"/>
              </w:rPr>
            </w:pPr>
            <w:r>
              <w:rPr>
                <w:rFonts w:ascii="Times New Roman" w:cs="Times New Roman" w:eastAsia="Times New Roman" w:hAnsi="Times New Roman"/>
                <w:sz w:val="14"/>
                <w:szCs w:val="14"/>
                <w:color w:val="auto"/>
              </w:rPr>
              <w:t>19,503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2"/>
          </w:tcPr>
          <w:p>
            <w:pPr>
              <w:jc w:val="right"/>
              <w:ind w:right="87"/>
              <w:spacing w:after="0"/>
              <w:rPr>
                <w:sz w:val="20"/>
                <w:szCs w:val="20"/>
                <w:color w:val="auto"/>
              </w:rPr>
            </w:pPr>
            <w:r>
              <w:rPr>
                <w:rFonts w:ascii="Times New Roman" w:cs="Times New Roman" w:eastAsia="Times New Roman" w:hAnsi="Times New Roman"/>
                <w:sz w:val="14"/>
                <w:szCs w:val="14"/>
                <w:color w:val="auto"/>
              </w:rPr>
              <w:t>307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w w:val="85"/>
              </w:rPr>
              <w:t>679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50,726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Unamortized discount </w:t>
            </w:r>
            <w:r>
              <w:rPr>
                <w:rFonts w:ascii="Times New Roman" w:cs="Times New Roman" w:eastAsia="Times New Roman" w:hAnsi="Times New Roman"/>
                <w:sz w:val="14"/>
                <w:szCs w:val="14"/>
                <w:color w:val="B4B4B4"/>
              </w:rPr>
              <w:t>................................................................</w:t>
            </w:r>
          </w:p>
        </w:tc>
        <w:tc>
          <w:tcPr>
            <w:tcW w:w="16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3"/>
          </w:tcPr>
          <w:p>
            <w:pPr>
              <w:jc w:val="right"/>
              <w:ind w:right="65"/>
              <w:spacing w:after="0"/>
              <w:rPr>
                <w:sz w:val="20"/>
                <w:szCs w:val="20"/>
                <w:color w:val="auto"/>
              </w:rPr>
            </w:pPr>
            <w:r>
              <w:rPr>
                <w:rFonts w:ascii="Times New Roman" w:cs="Times New Roman" w:eastAsia="Times New Roman" w:hAnsi="Times New Roman"/>
                <w:sz w:val="14"/>
                <w:szCs w:val="14"/>
                <w:color w:val="auto"/>
              </w:rPr>
              <w:t>(59)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2"/>
          </w:tcPr>
          <w:p>
            <w:pPr>
              <w:jc w:val="right"/>
              <w:ind w:right="47"/>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6"/>
              <w:spacing w:after="0"/>
              <w:rPr>
                <w:sz w:val="20"/>
                <w:szCs w:val="20"/>
                <w:color w:val="auto"/>
              </w:rPr>
            </w:pPr>
            <w:r>
              <w:rPr>
                <w:rFonts w:ascii="Times New Roman" w:cs="Times New Roman" w:eastAsia="Times New Roman" w:hAnsi="Times New Roman"/>
                <w:sz w:val="14"/>
                <w:szCs w:val="14"/>
                <w:color w:val="auto"/>
              </w:rPr>
              <w:t>(189)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Unamortized premium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702</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3"/>
          </w:tcPr>
          <w:p>
            <w:pPr>
              <w:jc w:val="right"/>
              <w:ind w:right="105"/>
              <w:spacing w:after="0"/>
              <w:rPr>
                <w:sz w:val="20"/>
                <w:szCs w:val="20"/>
                <w:color w:val="auto"/>
              </w:rPr>
            </w:pPr>
            <w:r>
              <w:rPr>
                <w:rFonts w:ascii="Times New Roman" w:cs="Times New Roman" w:eastAsia="Times New Roman" w:hAnsi="Times New Roman"/>
                <w:sz w:val="14"/>
                <w:szCs w:val="14"/>
                <w:color w:val="auto"/>
              </w:rPr>
              <w:t>376</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87"/>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color w:val="auto"/>
              </w:rPr>
              <w:t>1,095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xml:space="preserve">Amortized cost </w:t>
            </w:r>
            <w:r>
              <w:rPr>
                <w:rFonts w:ascii="Times New Roman" w:cs="Times New Roman" w:eastAsia="Times New Roman" w:hAnsi="Times New Roman"/>
                <w:sz w:val="14"/>
                <w:szCs w:val="14"/>
                <w:color w:val="B4B4B4"/>
              </w:rPr>
              <w:t>...........................................................................</w:t>
            </w:r>
          </w:p>
        </w:tc>
        <w:tc>
          <w:tcPr>
            <w:tcW w:w="16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30,504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105"/>
              <w:spacing w:after="0"/>
              <w:rPr>
                <w:sz w:val="20"/>
                <w:szCs w:val="20"/>
                <w:color w:val="auto"/>
              </w:rPr>
            </w:pPr>
            <w:r>
              <w:rPr>
                <w:rFonts w:ascii="Times New Roman" w:cs="Times New Roman" w:eastAsia="Times New Roman" w:hAnsi="Times New Roman"/>
                <w:sz w:val="14"/>
                <w:szCs w:val="14"/>
                <w:color w:val="auto"/>
              </w:rPr>
              <w:t>19,820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2"/>
          </w:tcPr>
          <w:p>
            <w:pPr>
              <w:jc w:val="right"/>
              <w:ind w:right="87"/>
              <w:spacing w:after="0"/>
              <w:rPr>
                <w:sz w:val="20"/>
                <w:szCs w:val="20"/>
                <w:color w:val="auto"/>
              </w:rPr>
            </w:pPr>
            <w:r>
              <w:rPr>
                <w:rFonts w:ascii="Times New Roman" w:cs="Times New Roman" w:eastAsia="Times New Roman" w:hAnsi="Times New Roman"/>
                <w:sz w:val="14"/>
                <w:szCs w:val="14"/>
                <w:color w:val="auto"/>
              </w:rPr>
              <w:t>303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w w:val="85"/>
              </w:rPr>
              <w:t>682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51,632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Gross unrealized gains </w:t>
            </w:r>
            <w:r>
              <w:rPr>
                <w:rFonts w:ascii="Times New Roman" w:cs="Times New Roman" w:eastAsia="Times New Roman" w:hAnsi="Times New Roman"/>
                <w:sz w:val="14"/>
                <w:szCs w:val="14"/>
                <w:color w:val="B4B4B4"/>
              </w:rPr>
              <w:t>...............................................................</w:t>
            </w:r>
          </w:p>
        </w:tc>
        <w:tc>
          <w:tcPr>
            <w:tcW w:w="160" w:type="dxa"/>
            <w:vAlign w:val="bottom"/>
          </w:tcPr>
          <w:p>
            <w:pPr>
              <w:spacing w:after="0"/>
              <w:rPr>
                <w:sz w:val="22"/>
                <w:szCs w:val="22"/>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170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3"/>
          </w:tcPr>
          <w:p>
            <w:pPr>
              <w:jc w:val="right"/>
              <w:ind w:right="105"/>
              <w:spacing w:after="0"/>
              <w:rPr>
                <w:sz w:val="20"/>
                <w:szCs w:val="20"/>
                <w:color w:val="auto"/>
              </w:rPr>
            </w:pPr>
            <w:r>
              <w:rPr>
                <w:rFonts w:ascii="Times New Roman" w:cs="Times New Roman" w:eastAsia="Times New Roman" w:hAnsi="Times New Roman"/>
                <w:sz w:val="14"/>
                <w:szCs w:val="14"/>
                <w:color w:val="auto"/>
              </w:rPr>
              <w:t>111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2"/>
          </w:tcPr>
          <w:p>
            <w:pPr>
              <w:jc w:val="right"/>
              <w:ind w:right="87"/>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325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xml:space="preserve">Gross unrealized losses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(1,270)</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3"/>
          </w:tcPr>
          <w:p>
            <w:pPr>
              <w:jc w:val="right"/>
              <w:ind w:right="65"/>
              <w:spacing w:after="0"/>
              <w:rPr>
                <w:sz w:val="20"/>
                <w:szCs w:val="20"/>
                <w:color w:val="auto"/>
              </w:rPr>
            </w:pPr>
            <w:r>
              <w:rPr>
                <w:rFonts w:ascii="Times New Roman" w:cs="Times New Roman" w:eastAsia="Times New Roman" w:hAnsi="Times New Roman"/>
                <w:sz w:val="14"/>
                <w:szCs w:val="14"/>
                <w:color w:val="auto"/>
              </w:rPr>
              <w:t>(638)</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47"/>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4"/>
                <w:szCs w:val="14"/>
                <w:color w:val="auto"/>
              </w:rPr>
              <w:t>(1,949)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xml:space="preserve">Total securities remeasured at fair value through earnings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29,404</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ind w:right="105"/>
              <w:spacing w:after="0"/>
              <w:rPr>
                <w:sz w:val="20"/>
                <w:szCs w:val="20"/>
                <w:color w:val="auto"/>
              </w:rPr>
            </w:pPr>
            <w:r>
              <w:rPr>
                <w:rFonts w:ascii="Times New Roman" w:cs="Times New Roman" w:eastAsia="Times New Roman" w:hAnsi="Times New Roman"/>
                <w:sz w:val="14"/>
                <w:szCs w:val="14"/>
                <w:color w:val="auto"/>
              </w:rPr>
              <w:t>19,293</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87"/>
              <w:spacing w:after="0"/>
              <w:rPr>
                <w:sz w:val="20"/>
                <w:szCs w:val="20"/>
                <w:color w:val="auto"/>
              </w:rPr>
            </w:pPr>
            <w:r>
              <w:rPr>
                <w:rFonts w:ascii="Times New Roman" w:cs="Times New Roman" w:eastAsia="Times New Roman" w:hAnsi="Times New Roman"/>
                <w:sz w:val="14"/>
                <w:szCs w:val="14"/>
                <w:color w:val="auto"/>
              </w:rPr>
              <w:t>273</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w w:val="85"/>
              </w:rPr>
              <w:t>723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color w:val="auto"/>
              </w:rPr>
              <w:t>50,008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Total securities, at fair value </w:t>
            </w:r>
            <w:r>
              <w:rPr>
                <w:rFonts w:ascii="Times New Roman" w:cs="Times New Roman" w:eastAsia="Times New Roman" w:hAnsi="Times New Roman"/>
                <w:sz w:val="14"/>
                <w:szCs w:val="14"/>
                <w:color w:val="B4B4B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33,119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gridSpan w:val="3"/>
          </w:tcPr>
          <w:p>
            <w:pPr>
              <w:jc w:val="right"/>
              <w:ind w:right="105"/>
              <w:spacing w:after="0"/>
              <w:rPr>
                <w:sz w:val="20"/>
                <w:szCs w:val="20"/>
                <w:color w:val="auto"/>
              </w:rPr>
            </w:pPr>
            <w:r>
              <w:rPr>
                <w:rFonts w:ascii="Times New Roman" w:cs="Times New Roman" w:eastAsia="Times New Roman" w:hAnsi="Times New Roman"/>
                <w:sz w:val="14"/>
                <w:szCs w:val="14"/>
                <w:color w:val="auto"/>
              </w:rPr>
              <w:t>20,393</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87"/>
              <w:spacing w:after="0"/>
              <w:rPr>
                <w:sz w:val="20"/>
                <w:szCs w:val="20"/>
                <w:color w:val="auto"/>
              </w:rPr>
            </w:pPr>
            <w:r>
              <w:rPr>
                <w:rFonts w:ascii="Times New Roman" w:cs="Times New Roman" w:eastAsia="Times New Roman" w:hAnsi="Times New Roman"/>
                <w:sz w:val="14"/>
                <w:szCs w:val="14"/>
                <w:color w:val="auto"/>
              </w:rPr>
              <w:t>273</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w w:val="85"/>
              </w:rPr>
              <w:t>723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color w:val="auto"/>
              </w:rPr>
              <w:t>54,824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xml:space="preserve">Weighted average coupon as of December 31, 2023 </w:t>
            </w:r>
            <w:r>
              <w:rPr>
                <w:rFonts w:ascii="Times New Roman" w:cs="Times New Roman" w:eastAsia="Times New Roman" w:hAnsi="Times New Roman"/>
                <w:sz w:val="14"/>
                <w:szCs w:val="14"/>
                <w:color w:val="B4B4B4"/>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4.91 %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4.94 %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5.10 %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7.27 %</w:t>
            </w: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10.45 %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3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xml:space="preserve">Weighted average yield as of December 31, 2023 </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B4B4B4"/>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4.53 %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5.16 %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4.92 %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7.04 %</w:t>
            </w: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8.87 %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-3917315</wp:posOffset>
            </wp:positionV>
            <wp:extent cx="3232150" cy="762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0">
                      <a:extLst>
                        <a:ext uri="{28A0092B-C50C-407E-A947-70E740481C1C}"/>
                      </a:extLst>
                    </a:blip>
                    <a:srcRect/>
                    <a:stretch>
                      <a:fillRect/>
                    </a:stretch>
                  </pic:blipFill>
                  <pic:spPr bwMode="auto">
                    <a:xfrm>
                      <a:off x="0" y="0"/>
                      <a:ext cx="3232150" cy="76200"/>
                    </a:xfrm>
                    <a:prstGeom prst="rect">
                      <a:avLst/>
                    </a:prstGeom>
                    <a:noFill/>
                  </pic:spPr>
                </pic:pic>
              </a:graphicData>
            </a:graphic>
          </wp:anchor>
        </w:drawing>
        <w:drawing>
          <wp:anchor simplePos="0" relativeHeight="251657728" behindDoc="1" locked="0" layoutInCell="0" allowOverlap="1">
            <wp:simplePos x="0" y="0"/>
            <wp:positionH relativeFrom="column">
              <wp:posOffset>2425700</wp:posOffset>
            </wp:positionH>
            <wp:positionV relativeFrom="paragraph">
              <wp:posOffset>-377190</wp:posOffset>
            </wp:positionV>
            <wp:extent cx="4108450" cy="762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1">
                      <a:extLst>
                        <a:ext uri="{28A0092B-C50C-407E-A947-70E740481C1C}"/>
                      </a:extLst>
                    </a:blip>
                    <a:srcRect/>
                    <a:stretch>
                      <a:fillRect/>
                    </a:stretch>
                  </pic:blipFill>
                  <pic:spPr bwMode="auto">
                    <a:xfrm>
                      <a:off x="0" y="0"/>
                      <a:ext cx="4108450" cy="76200"/>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60"/>
          </w:cols>
          <w:pgMar w:left="1000" w:top="793" w:right="980" w:bottom="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17"/>
        </w:trPr>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Agency RMBS</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 xml:space="preserve">Non-Agency </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Investment Securities</w:t>
            </w:r>
          </w:p>
        </w:tc>
        <w:tc>
          <w:tcPr>
            <w:tcW w:w="8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6"/>
                <w:szCs w:val="16"/>
                <w:b w:val="1"/>
                <w:bCs w:val="1"/>
                <w:color w:val="auto"/>
              </w:rPr>
              <w:t>Fannie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Freddie</w:t>
            </w:r>
          </w:p>
        </w:tc>
        <w:tc>
          <w:tcPr>
            <w:tcW w:w="120" w:type="dxa"/>
            <w:vAlign w:val="bottom"/>
          </w:tcPr>
          <w:p>
            <w:pPr>
              <w:spacing w:after="0"/>
              <w:rPr>
                <w:sz w:val="16"/>
                <w:szCs w:val="16"/>
                <w:color w:val="auto"/>
              </w:rPr>
            </w:pPr>
          </w:p>
        </w:tc>
        <w:tc>
          <w:tcPr>
            <w:tcW w:w="700" w:type="dxa"/>
            <w:vAlign w:val="bottom"/>
          </w:tcPr>
          <w:p>
            <w:pPr>
              <w:jc w:val="right"/>
              <w:ind w:right="149"/>
              <w:spacing w:after="0"/>
              <w:rPr>
                <w:sz w:val="20"/>
                <w:szCs w:val="20"/>
                <w:color w:val="auto"/>
              </w:rPr>
            </w:pPr>
            <w:r>
              <w:rPr>
                <w:rFonts w:ascii="Times New Roman" w:cs="Times New Roman" w:eastAsia="Times New Roman" w:hAnsi="Times New Roman"/>
                <w:sz w:val="16"/>
                <w:szCs w:val="16"/>
                <w:b w:val="1"/>
                <w:bCs w:val="1"/>
                <w:color w:val="auto"/>
                <w:w w:val="99"/>
              </w:rPr>
              <w:t>Ginnie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ind w:right="129"/>
              <w:spacing w:after="0"/>
              <w:rPr>
                <w:sz w:val="20"/>
                <w:szCs w:val="20"/>
                <w:color w:val="auto"/>
              </w:rPr>
            </w:pPr>
            <w:r>
              <w:rPr>
                <w:rFonts w:ascii="Times New Roman" w:cs="Times New Roman" w:eastAsia="Times New Roman" w:hAnsi="Times New Roman"/>
                <w:sz w:val="16"/>
                <w:szCs w:val="16"/>
                <w:b w:val="1"/>
                <w:bCs w:val="1"/>
                <w:color w:val="auto"/>
              </w:rPr>
              <w:t>RMBS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restart"/>
          </w:tcPr>
          <w:p>
            <w:pPr>
              <w:jc w:val="right"/>
              <w:ind w:right="129"/>
              <w:spacing w:after="0"/>
              <w:rPr>
                <w:sz w:val="20"/>
                <w:szCs w:val="20"/>
                <w:color w:val="auto"/>
              </w:rPr>
            </w:pPr>
            <w:r>
              <w:rPr>
                <w:rFonts w:ascii="Times New Roman" w:cs="Times New Roman" w:eastAsia="Times New Roman" w:hAnsi="Times New Roman"/>
                <w:sz w:val="16"/>
                <w:szCs w:val="16"/>
                <w:b w:val="1"/>
                <w:bCs w:val="1"/>
                <w:color w:val="auto"/>
                <w:w w:val="99"/>
              </w:rPr>
              <w:t>CMBS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ind w:right="189"/>
              <w:spacing w:after="0"/>
              <w:rPr>
                <w:sz w:val="20"/>
                <w:szCs w:val="20"/>
                <w:color w:val="auto"/>
              </w:rPr>
            </w:pPr>
            <w:r>
              <w:rPr>
                <w:rFonts w:ascii="Times New Roman" w:cs="Times New Roman" w:eastAsia="Times New Roman" w:hAnsi="Times New Roman"/>
                <w:sz w:val="16"/>
                <w:szCs w:val="16"/>
                <w:b w:val="1"/>
                <w:bCs w:val="1"/>
                <w:color w:val="auto"/>
              </w:rPr>
              <w:t>CRT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ind w:right="16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6"/>
                <w:szCs w:val="16"/>
                <w:b w:val="1"/>
                <w:bCs w:val="1"/>
                <w:color w:val="auto"/>
              </w:rPr>
              <w:t>Mae</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rPr>
              <w:t>Mac</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6"/>
                <w:szCs w:val="16"/>
                <w:b w:val="1"/>
                <w:bCs w:val="1"/>
                <w:color w:val="auto"/>
              </w:rPr>
              <w:t>Mae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Par value</w:t>
            </w:r>
            <w:r>
              <w:rPr>
                <w:rFonts w:ascii="Times New Roman" w:cs="Times New Roman" w:eastAsia="Times New Roman" w:hAnsi="Times New Roman"/>
                <w:sz w:val="14"/>
                <w:szCs w:val="14"/>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4,696</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1,535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6,232</w:t>
            </w:r>
          </w:p>
        </w:tc>
        <w:tc>
          <w:tcPr>
            <w:tcW w:w="0" w:type="dxa"/>
            <w:vAlign w:val="bottom"/>
          </w:tcPr>
          <w:p>
            <w:pPr>
              <w:spacing w:after="0"/>
              <w:rPr>
                <w:sz w:val="1"/>
                <w:szCs w:val="1"/>
                <w:color w:val="auto"/>
              </w:rPr>
            </w:pPr>
          </w:p>
        </w:tc>
      </w:tr>
      <w:tr>
        <w:trPr>
          <w:trHeight w:val="255"/>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Unamortized discount </w:t>
            </w:r>
            <w:r>
              <w:rPr>
                <w:rFonts w:ascii="Times New Roman" w:cs="Times New Roman" w:eastAsia="Times New Roman" w:hAnsi="Times New Roman"/>
                <w:sz w:val="14"/>
                <w:szCs w:val="14"/>
                <w:color w:val="B4B4B4"/>
              </w:rPr>
              <w:t>.................................................................</w:t>
            </w:r>
          </w:p>
        </w:tc>
        <w:tc>
          <w:tcPr>
            <w:tcW w:w="14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63"/>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Unamortized premium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275</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227"/>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Amortized cost </w:t>
            </w:r>
            <w:r>
              <w:rPr>
                <w:rFonts w:ascii="Times New Roman" w:cs="Times New Roman" w:eastAsia="Times New Roman" w:hAnsi="Times New Roman"/>
                <w:sz w:val="14"/>
                <w:szCs w:val="14"/>
                <w:color w:val="B4B4B4"/>
              </w:rPr>
              <w:t>...........................................................................</w:t>
            </w:r>
          </w:p>
        </w:tc>
        <w:tc>
          <w:tcPr>
            <w:tcW w:w="14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4,970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6,599</w:t>
            </w:r>
          </w:p>
        </w:tc>
        <w:tc>
          <w:tcPr>
            <w:tcW w:w="0" w:type="dxa"/>
            <w:vAlign w:val="bottom"/>
          </w:tcPr>
          <w:p>
            <w:pPr>
              <w:spacing w:after="0"/>
              <w:rPr>
                <w:sz w:val="1"/>
                <w:szCs w:val="1"/>
                <w:color w:val="auto"/>
              </w:rPr>
            </w:pPr>
          </w:p>
        </w:tc>
      </w:tr>
      <w:tr>
        <w:trPr>
          <w:trHeight w:val="255"/>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Gross unrealized gains </w:t>
            </w:r>
            <w:r>
              <w:rPr>
                <w:rFonts w:ascii="Times New Roman" w:cs="Times New Roman" w:eastAsia="Times New Roman" w:hAnsi="Times New Roman"/>
                <w:sz w:val="14"/>
                <w:szCs w:val="14"/>
                <w:color w:val="B4B4B4"/>
              </w:rPr>
              <w:t>................................................................</w:t>
            </w:r>
          </w:p>
        </w:tc>
        <w:tc>
          <w:tcPr>
            <w:tcW w:w="140" w:type="dxa"/>
            <w:vAlign w:val="bottom"/>
          </w:tcPr>
          <w:p>
            <w:pPr>
              <w:spacing w:after="0"/>
              <w:rPr>
                <w:sz w:val="22"/>
                <w:szCs w:val="22"/>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Gross unrealized losses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(500)</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235"/>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Total available-for-sale securities, at fair value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4,470</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1,456</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5,927</w:t>
            </w:r>
          </w:p>
        </w:tc>
        <w:tc>
          <w:tcPr>
            <w:tcW w:w="0" w:type="dxa"/>
            <w:vAlign w:val="bottom"/>
          </w:tcPr>
          <w:p>
            <w:pPr>
              <w:spacing w:after="0"/>
              <w:rPr>
                <w:sz w:val="1"/>
                <w:szCs w:val="1"/>
                <w:color w:val="auto"/>
              </w:rPr>
            </w:pPr>
          </w:p>
        </w:tc>
      </w:tr>
      <w:tr>
        <w:trPr>
          <w:trHeight w:val="22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Securities remeasured at fair value through earnings: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Par value </w:t>
            </w:r>
            <w:r>
              <w:rPr>
                <w:rFonts w:ascii="Times New Roman" w:cs="Times New Roman" w:eastAsia="Times New Roman" w:hAnsi="Times New Roman"/>
                <w:sz w:val="14"/>
                <w:szCs w:val="14"/>
                <w:color w:val="B4B4B4"/>
              </w:rPr>
              <w:t>....................................................................................</w:t>
            </w:r>
          </w:p>
        </w:tc>
        <w:tc>
          <w:tcPr>
            <w:tcW w:w="140" w:type="dxa"/>
            <w:vAlign w:val="bottom"/>
          </w:tcPr>
          <w:p>
            <w:pPr>
              <w:spacing w:after="0"/>
              <w:rPr>
                <w:sz w:val="22"/>
                <w:szCs w:val="22"/>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24,231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11,444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773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37,171</w:t>
            </w:r>
          </w:p>
        </w:tc>
        <w:tc>
          <w:tcPr>
            <w:tcW w:w="0" w:type="dxa"/>
            <w:vAlign w:val="bottom"/>
          </w:tcPr>
          <w:p>
            <w:pPr>
              <w:spacing w:after="0"/>
              <w:rPr>
                <w:sz w:val="1"/>
                <w:szCs w:val="1"/>
                <w:color w:val="auto"/>
              </w:rPr>
            </w:pPr>
          </w:p>
        </w:tc>
      </w:tr>
      <w:tr>
        <w:trPr>
          <w:trHeight w:val="255"/>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Unamortized discount </w:t>
            </w:r>
            <w:r>
              <w:rPr>
                <w:rFonts w:ascii="Times New Roman" w:cs="Times New Roman" w:eastAsia="Times New Roman" w:hAnsi="Times New Roman"/>
                <w:sz w:val="14"/>
                <w:szCs w:val="14"/>
                <w:color w:val="B4B4B4"/>
              </w:rPr>
              <w:t>................................................................</w:t>
            </w:r>
          </w:p>
        </w:tc>
        <w:tc>
          <w:tcPr>
            <w:tcW w:w="14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63"/>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Unamortized premium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855</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r>
        <w:trPr>
          <w:trHeight w:val="227"/>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Amortized cost </w:t>
            </w:r>
            <w:r>
              <w:rPr>
                <w:rFonts w:ascii="Times New Roman" w:cs="Times New Roman" w:eastAsia="Times New Roman" w:hAnsi="Times New Roman"/>
                <w:sz w:val="14"/>
                <w:szCs w:val="14"/>
                <w:color w:val="B4B4B4"/>
              </w:rPr>
              <w:t>...........................................................................</w:t>
            </w:r>
          </w:p>
        </w:tc>
        <w:tc>
          <w:tcPr>
            <w:tcW w:w="140" w:type="dxa"/>
            <w:vAlign w:val="bottom"/>
          </w:tcPr>
          <w:p>
            <w:pPr>
              <w:spacing w:after="0"/>
              <w:rPr>
                <w:sz w:val="19"/>
                <w:szCs w:val="19"/>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25,025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11,759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38,281</w:t>
            </w:r>
          </w:p>
        </w:tc>
        <w:tc>
          <w:tcPr>
            <w:tcW w:w="0" w:type="dxa"/>
            <w:vAlign w:val="bottom"/>
          </w:tcPr>
          <w:p>
            <w:pPr>
              <w:spacing w:after="0"/>
              <w:rPr>
                <w:sz w:val="1"/>
                <w:szCs w:val="1"/>
                <w:color w:val="auto"/>
              </w:rPr>
            </w:pPr>
          </w:p>
        </w:tc>
      </w:tr>
      <w:tr>
        <w:trPr>
          <w:trHeight w:val="255"/>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Gross unrealized gains </w:t>
            </w:r>
            <w:r>
              <w:rPr>
                <w:rFonts w:ascii="Times New Roman" w:cs="Times New Roman" w:eastAsia="Times New Roman" w:hAnsi="Times New Roman"/>
                <w:sz w:val="14"/>
                <w:szCs w:val="14"/>
                <w:color w:val="B4B4B4"/>
              </w:rPr>
              <w:t>...............................................................</w:t>
            </w:r>
          </w:p>
        </w:tc>
        <w:tc>
          <w:tcPr>
            <w:tcW w:w="140" w:type="dxa"/>
            <w:vAlign w:val="bottom"/>
          </w:tcPr>
          <w:p>
            <w:pPr>
              <w:spacing w:after="0"/>
              <w:rPr>
                <w:sz w:val="22"/>
                <w:szCs w:val="22"/>
                <w:color w:val="auto"/>
              </w:rPr>
            </w:pP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63"/>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Gross unrealized losses </w:t>
            </w:r>
            <w:r>
              <w:rPr>
                <w:rFonts w:ascii="Times New Roman" w:cs="Times New Roman" w:eastAsia="Times New Roman" w:hAnsi="Times New Roman"/>
                <w:sz w:val="14"/>
                <w:szCs w:val="14"/>
                <w:color w:val="B4B4B4"/>
              </w:rPr>
              <w:t>..............................................................</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(2,307)</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(937)</w:t>
            </w: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r>
        <w:trPr>
          <w:trHeight w:val="235"/>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 xml:space="preserve">Total securities remeasured at fair value through earnings </w:t>
            </w:r>
            <w:r>
              <w:rPr>
                <w:rFonts w:ascii="Times New Roman" w:cs="Times New Roman" w:eastAsia="Times New Roman" w:hAnsi="Times New Roman"/>
                <w:sz w:val="14"/>
                <w:szCs w:val="14"/>
                <w:color w:val="B4B4B4"/>
                <w:w w:val="99"/>
              </w:rPr>
              <w:t>..............</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22,731</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10,830</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90</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757</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34,977</w:t>
            </w:r>
          </w:p>
        </w:tc>
        <w:tc>
          <w:tcPr>
            <w:tcW w:w="0" w:type="dxa"/>
            <w:vAlign w:val="bottom"/>
          </w:tcPr>
          <w:p>
            <w:pPr>
              <w:spacing w:after="0"/>
              <w:rPr>
                <w:sz w:val="1"/>
                <w:szCs w:val="1"/>
                <w:color w:val="auto"/>
              </w:rPr>
            </w:pPr>
          </w:p>
        </w:tc>
      </w:tr>
      <w:tr>
        <w:trPr>
          <w:trHeight w:val="215"/>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Total securities, at fair value </w:t>
            </w:r>
            <w:r>
              <w:rPr>
                <w:rFonts w:ascii="Times New Roman" w:cs="Times New Roman" w:eastAsia="Times New Roman" w:hAnsi="Times New Roman"/>
                <w:sz w:val="14"/>
                <w:szCs w:val="14"/>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27,201</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12,286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567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757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40,904</w:t>
            </w:r>
          </w:p>
        </w:tc>
        <w:tc>
          <w:tcPr>
            <w:tcW w:w="0" w:type="dxa"/>
            <w:vAlign w:val="bottom"/>
          </w:tcPr>
          <w:p>
            <w:pPr>
              <w:spacing w:after="0"/>
              <w:rPr>
                <w:sz w:val="1"/>
                <w:szCs w:val="1"/>
                <w:color w:val="auto"/>
              </w:rPr>
            </w:pPr>
          </w:p>
        </w:tc>
      </w:tr>
      <w:tr>
        <w:trPr>
          <w:trHeight w:val="20"/>
        </w:trPr>
        <w:tc>
          <w:tcPr>
            <w:tcW w:w="39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 xml:space="preserve">Weighted average coupon as of December 31, 2022 </w:t>
            </w:r>
            <w:r>
              <w:rPr>
                <w:rFonts w:ascii="Times New Roman" w:cs="Times New Roman" w:eastAsia="Times New Roman" w:hAnsi="Times New Roman"/>
                <w:sz w:val="14"/>
                <w:szCs w:val="14"/>
                <w:color w:val="B4B4B4"/>
                <w:w w:val="99"/>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3.94 %</w:t>
            </w:r>
          </w:p>
        </w:tc>
        <w:tc>
          <w:tcPr>
            <w:tcW w:w="0" w:type="dxa"/>
            <w:vAlign w:val="bottom"/>
          </w:tcPr>
          <w:p>
            <w:pPr>
              <w:spacing w:after="0"/>
              <w:rPr>
                <w:sz w:val="1"/>
                <w:szCs w:val="1"/>
                <w:color w:val="auto"/>
              </w:rPr>
            </w:pPr>
          </w:p>
        </w:tc>
      </w:tr>
      <w:tr>
        <w:trPr>
          <w:trHeight w:val="298"/>
        </w:trPr>
        <w:tc>
          <w:tcPr>
            <w:tcW w:w="3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xml:space="preserve">Weighted average yield as of December 31, 2022 </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B4B4B4"/>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2444750</wp:posOffset>
            </wp:positionH>
            <wp:positionV relativeFrom="paragraph">
              <wp:posOffset>-377190</wp:posOffset>
            </wp:positionV>
            <wp:extent cx="4089400" cy="762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2">
                      <a:extLst>
                        <a:ext uri="{28A0092B-C50C-407E-A947-70E740481C1C}"/>
                      </a:extLst>
                    </a:blip>
                    <a:srcRect/>
                    <a:stretch>
                      <a:fillRect/>
                    </a:stretch>
                  </pic:blipFill>
                  <pic:spPr bwMode="auto">
                    <a:xfrm>
                      <a:off x="0" y="0"/>
                      <a:ext cx="4089400" cy="7620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right="20" w:hanging="370"/>
        <w:spacing w:after="0" w:line="249" w:lineRule="auto"/>
        <w:tabs>
          <w:tab w:leader="none" w:pos="7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Non-Agency amounts exclude other mortgage credit investments of $44 million and $25 million as of December 31, 2023 and December 31, 2022, respectively.</w:t>
      </w:r>
    </w:p>
    <w:p>
      <w:pPr>
        <w:ind w:left="720" w:right="20" w:hanging="370"/>
        <w:spacing w:after="0" w:line="260" w:lineRule="auto"/>
        <w:tabs>
          <w:tab w:leader="none" w:pos="7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Incorporates a weighted average future constant prepayment rate assumption of 11.4% and 7.4% based on forward rates as of December 31, 2023 and December 31, 2022, respectively.</w:t>
      </w:r>
    </w:p>
    <w:p>
      <w:pPr>
        <w:spacing w:after="0" w:line="137" w:lineRule="exact"/>
        <w:rPr>
          <w:sz w:val="20"/>
          <w:szCs w:val="20"/>
          <w:color w:val="auto"/>
        </w:rPr>
      </w:pPr>
    </w:p>
    <w:p>
      <w:pPr>
        <w:ind w:right="20" w:firstLine="495"/>
        <w:spacing w:after="0" w:line="281" w:lineRule="auto"/>
        <w:rPr>
          <w:sz w:val="20"/>
          <w:szCs w:val="20"/>
          <w:color w:val="auto"/>
        </w:rPr>
      </w:pPr>
      <w:r>
        <w:rPr>
          <w:rFonts w:ascii="Times New Roman" w:cs="Times New Roman" w:eastAsia="Times New Roman" w:hAnsi="Times New Roman"/>
          <w:sz w:val="20"/>
          <w:szCs w:val="20"/>
          <w:color w:val="auto"/>
        </w:rPr>
        <w:t>As of December 31, 2023 and 2022, our investments in CRT and non-Agency securities had the following credit ratings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7"/>
              </w:rPr>
              <w:t>December 31, 2022</w:t>
            </w:r>
          </w:p>
        </w:tc>
        <w:tc>
          <w:tcPr>
            <w:tcW w:w="800" w:type="dxa"/>
            <w:vAlign w:val="bottom"/>
            <w:tcBorders>
              <w:bottom w:val="single" w:sz="8" w:color="auto"/>
            </w:tcBorders>
          </w:tcPr>
          <w:p>
            <w:pPr>
              <w:spacing w:after="0"/>
              <w:rPr>
                <w:sz w:val="18"/>
                <w:szCs w:val="18"/>
                <w:color w:val="auto"/>
              </w:rPr>
            </w:pPr>
          </w:p>
        </w:tc>
      </w:tr>
      <w:tr>
        <w:trPr>
          <w:trHeight w:val="235"/>
        </w:trPr>
        <w:tc>
          <w:tcPr>
            <w:tcW w:w="3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CRT and Non-Agency Security Credit Ratings </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CRT</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 xml:space="preserve">RMBS </w:t>
            </w:r>
            <w:r>
              <w:rPr>
                <w:rFonts w:ascii="Times New Roman" w:cs="Times New Roman" w:eastAsia="Times New Roman" w:hAnsi="Times New Roman"/>
                <w:sz w:val="20"/>
                <w:szCs w:val="20"/>
                <w:b w:val="1"/>
                <w:bCs w:val="1"/>
                <w:color w:val="auto"/>
                <w:vertAlign w:val="superscript"/>
              </w:rPr>
              <w:t>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CMBS</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CRT</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 xml:space="preserve">RMBS </w:t>
            </w:r>
            <w:r>
              <w:rPr>
                <w:rFonts w:ascii="Times New Roman" w:cs="Times New Roman" w:eastAsia="Times New Roman" w:hAnsi="Times New Roman"/>
                <w:sz w:val="20"/>
                <w:szCs w:val="20"/>
                <w:b w:val="1"/>
                <w:bCs w:val="1"/>
                <w:color w:val="auto"/>
                <w:vertAlign w:val="superscript"/>
              </w:rPr>
              <w:t>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CMBS</w:t>
            </w:r>
          </w:p>
        </w:tc>
      </w:tr>
      <w:tr>
        <w:trPr>
          <w:trHeight w:val="229"/>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AAA </w:t>
            </w:r>
            <w:r>
              <w:rPr>
                <w:rFonts w:ascii="Times New Roman" w:cs="Times New Roman" w:eastAsia="Times New Roman" w:hAnsi="Times New Roman"/>
                <w:sz w:val="16"/>
                <w:szCs w:val="16"/>
                <w:color w:val="B4B4B4"/>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55"/>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AA </w:t>
            </w:r>
            <w:r>
              <w:rPr>
                <w:rFonts w:ascii="Times New Roman" w:cs="Times New Roman" w:eastAsia="Times New Roman" w:hAnsi="Times New Roman"/>
                <w:sz w:val="16"/>
                <w:szCs w:val="16"/>
                <w:color w:val="B4B4B4"/>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55"/>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color w:val="B4B4B4"/>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55"/>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BBB </w:t>
            </w:r>
            <w:r>
              <w:rPr>
                <w:rFonts w:ascii="Times New Roman" w:cs="Times New Roman" w:eastAsia="Times New Roman" w:hAnsi="Times New Roman"/>
                <w:sz w:val="16"/>
                <w:szCs w:val="16"/>
                <w:color w:val="B4B4B4"/>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55"/>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BB </w:t>
            </w:r>
            <w:r>
              <w:rPr>
                <w:rFonts w:ascii="Times New Roman" w:cs="Times New Roman" w:eastAsia="Times New Roman" w:hAnsi="Times New Roman"/>
                <w:sz w:val="16"/>
                <w:szCs w:val="16"/>
                <w:color w:val="B4B4B4"/>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55"/>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color w:val="B4B4B4"/>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61"/>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Not Rated </w:t>
            </w:r>
            <w:r>
              <w:rPr>
                <w:rFonts w:ascii="Times New Roman" w:cs="Times New Roman" w:eastAsia="Times New Roman" w:hAnsi="Times New Roman"/>
                <w:sz w:val="16"/>
                <w:szCs w:val="16"/>
                <w:color w:val="B4B4B4"/>
              </w:rPr>
              <w:t>........................................................................</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5"/>
        </w:trPr>
        <w:tc>
          <w:tcPr>
            <w:tcW w:w="38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-56515</wp:posOffset>
            </wp:positionV>
            <wp:extent cx="4146550" cy="762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3">
                      <a:extLst>
                        <a:ext uri="{28A0092B-C50C-407E-A947-70E740481C1C}"/>
                      </a:extLst>
                    </a:blip>
                    <a:srcRect/>
                    <a:stretch>
                      <a:fillRect/>
                    </a:stretch>
                  </pic:blipFill>
                  <pic:spPr bwMode="auto">
                    <a:xfrm>
                      <a:off x="0" y="0"/>
                      <a:ext cx="4146550" cy="7620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hanging="370"/>
        <w:spacing w:after="0" w:line="249" w:lineRule="auto"/>
        <w:tabs>
          <w:tab w:leader="none" w:pos="7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lowest of Standard and Poor's ("S&amp;P"), Moody's, Fitch, DBRS, Kroll Bond Rating Agency ("KBRA") and Morningstar credit ratings, stated in terms of the S&amp;P equivalent rating as of each date.</w:t>
      </w:r>
    </w:p>
    <w:p>
      <w:pPr>
        <w:ind w:left="720" w:hanging="370"/>
        <w:spacing w:after="0"/>
        <w:tabs>
          <w:tab w:leader="none" w:pos="72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RMBS excludes other mortgage credit investments of $44 million and $25 million as of December 31, 2023 and 2022, respectively.</w:t>
      </w:r>
    </w:p>
    <w:p>
      <w:pPr>
        <w:spacing w:after="0" w:line="160" w:lineRule="exact"/>
        <w:rPr>
          <w:sz w:val="20"/>
          <w:szCs w:val="20"/>
          <w:color w:val="auto"/>
        </w:rPr>
      </w:pPr>
    </w:p>
    <w:p>
      <w:pPr>
        <w:jc w:val="both"/>
        <w:ind w:right="20" w:firstLine="495"/>
        <w:spacing w:after="0" w:line="281" w:lineRule="auto"/>
        <w:rPr>
          <w:sz w:val="20"/>
          <w:szCs w:val="20"/>
          <w:color w:val="auto"/>
        </w:rPr>
      </w:pPr>
      <w:r>
        <w:rPr>
          <w:rFonts w:ascii="Times New Roman" w:cs="Times New Roman" w:eastAsia="Times New Roman" w:hAnsi="Times New Roman"/>
          <w:sz w:val="20"/>
          <w:szCs w:val="20"/>
          <w:color w:val="auto"/>
        </w:rPr>
        <w:t>Our CRT securities reference the performance of loans underlying Agency RMBS issued by Fannie Mae or Freddie Mac, which were subject to their underwriting standards.</w:t>
      </w:r>
    </w:p>
    <w:p>
      <w:pPr>
        <w:spacing w:after="0" w:line="121" w:lineRule="exact"/>
        <w:rPr>
          <w:sz w:val="20"/>
          <w:szCs w:val="20"/>
          <w:color w:val="auto"/>
        </w:rPr>
      </w:pPr>
    </w:p>
    <w:p>
      <w:pPr>
        <w:jc w:val="both"/>
        <w:ind w:right="20" w:firstLine="495"/>
        <w:spacing w:after="0" w:line="254" w:lineRule="auto"/>
        <w:rPr>
          <w:sz w:val="20"/>
          <w:szCs w:val="20"/>
          <w:color w:val="auto"/>
        </w:rPr>
      </w:pPr>
      <w:r>
        <w:rPr>
          <w:rFonts w:ascii="Times New Roman" w:cs="Times New Roman" w:eastAsia="Times New Roman" w:hAnsi="Times New Roman"/>
          <w:sz w:val="20"/>
          <w:szCs w:val="20"/>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December 31, 2023 and 2022, the weighted average expected constant prepayment rate ("CPR") over the remaining life of our Agency and high credit quality non-Agency RMBS investment portfolio was 11.4% and 7.4%, respectively. Our estimates can differ materially for different securities and thus our individual holdings have a wide range of projected CPRs. The following table summarizes our investments as of December 31, 2023 and 2022 according to their estimated weighted average life classification (dollars in millions):</w:t>
      </w:r>
    </w:p>
    <w:p>
      <w:pPr>
        <w:sectPr>
          <w:pgSz w:w="12240" w:h="15840" w:orient="portrait"/>
          <w:cols w:equalWidth="0" w:num="1">
            <w:col w:w="10260"/>
          </w:cols>
          <w:pgMar w:left="1000" w:top="88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60"/>
          </w:cols>
          <w:pgMar w:left="1000" w:top="883" w:right="980" w:bottom="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17"/>
        </w:trPr>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Estimated Weighted Average Life</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0"/>
        </w:trPr>
        <w:tc>
          <w:tcPr>
            <w:tcW w:w="2600" w:type="dxa"/>
            <w:vAlign w:val="bottom"/>
            <w:gridSpan w:val="2"/>
            <w:vMerge w:val="continue"/>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4"/>
        </w:trPr>
        <w:tc>
          <w:tcPr>
            <w:tcW w:w="2520" w:type="dxa"/>
            <w:vAlign w:val="bottom"/>
            <w:tcBorders>
              <w:bottom w:val="single" w:sz="8" w:color="auto"/>
            </w:tcBorders>
          </w:tcPr>
          <w:p>
            <w:pPr>
              <w:ind w:left="40"/>
              <w:spacing w:after="0" w:line="214" w:lineRule="exact"/>
              <w:rPr>
                <w:sz w:val="20"/>
                <w:szCs w:val="20"/>
                <w:color w:val="auto"/>
              </w:rPr>
            </w:pPr>
            <w:r>
              <w:rPr>
                <w:rFonts w:ascii="Times New Roman" w:cs="Times New Roman" w:eastAsia="Times New Roman" w:hAnsi="Times New Roman"/>
                <w:sz w:val="16"/>
                <w:szCs w:val="16"/>
                <w:b w:val="1"/>
                <w:bCs w:val="1"/>
                <w:color w:val="auto"/>
              </w:rPr>
              <w:t xml:space="preserve">of Investment Securities </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Coupon</w:t>
            </w:r>
          </w:p>
        </w:tc>
        <w:tc>
          <w:tcPr>
            <w:tcW w:w="6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w:t>
            </w:r>
          </w:p>
        </w:tc>
        <w:tc>
          <w:tcPr>
            <w:tcW w:w="140" w:type="dxa"/>
            <w:vAlign w:val="bottom"/>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Coupon</w:t>
            </w:r>
          </w:p>
        </w:tc>
        <w:tc>
          <w:tcPr>
            <w:tcW w:w="8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Yield</w:t>
            </w:r>
          </w:p>
        </w:tc>
        <w:tc>
          <w:tcPr>
            <w:tcW w:w="0" w:type="dxa"/>
            <w:vAlign w:val="bottom"/>
          </w:tcPr>
          <w:p>
            <w:pPr>
              <w:spacing w:after="0"/>
              <w:rPr>
                <w:sz w:val="1"/>
                <w:szCs w:val="1"/>
                <w:color w:val="auto"/>
              </w:rPr>
            </w:pPr>
          </w:p>
        </w:tc>
      </w:tr>
      <w:tr>
        <w:trPr>
          <w:trHeight w:val="229"/>
        </w:trPr>
        <w:tc>
          <w:tcPr>
            <w:tcW w:w="26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3 years</w:t>
            </w:r>
            <w:r>
              <w:rPr>
                <w:rFonts w:ascii="Times New Roman" w:cs="Times New Roman" w:eastAsia="Times New Roman" w:hAnsi="Times New Roman"/>
                <w:sz w:val="16"/>
                <w:szCs w:val="16"/>
                <w:color w:val="B4B4B4"/>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9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6.61%</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5.93%</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5.19%</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55"/>
        </w:trPr>
        <w:tc>
          <w:tcPr>
            <w:tcW w:w="26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&gt; 3 years and ≤ 5 years </w:t>
            </w:r>
            <w:r>
              <w:rPr>
                <w:rFonts w:ascii="Times New Roman" w:cs="Times New Roman" w:eastAsia="Times New Roman" w:hAnsi="Times New Roman"/>
                <w:sz w:val="16"/>
                <w:szCs w:val="16"/>
                <w:color w:val="B4B4B4"/>
              </w:rPr>
              <w:t>.......................</w:t>
            </w: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10,331</w:t>
            </w:r>
          </w:p>
        </w:tc>
        <w:tc>
          <w:tcPr>
            <w:tcW w:w="9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5.98%</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5.52%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4.57%</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55"/>
        </w:trPr>
        <w:tc>
          <w:tcPr>
            <w:tcW w:w="26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&gt; 5 years and ≤10 years </w:t>
            </w:r>
            <w:r>
              <w:rPr>
                <w:rFonts w:ascii="Times New Roman" w:cs="Times New Roman" w:eastAsia="Times New Roman" w:hAnsi="Times New Roman"/>
                <w:sz w:val="16"/>
                <w:szCs w:val="16"/>
                <w:color w:val="B4B4B4"/>
              </w:rPr>
              <w:t>......................</w:t>
            </w: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40,895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42,988</w:t>
            </w:r>
          </w:p>
        </w:tc>
        <w:tc>
          <w:tcPr>
            <w:tcW w:w="9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4.55%</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4.10%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33,985</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3.96%</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61"/>
        </w:trPr>
        <w:tc>
          <w:tcPr>
            <w:tcW w:w="26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&gt; 10 years</w:t>
            </w:r>
            <w:r>
              <w:rPr>
                <w:rFonts w:ascii="Times New Roman" w:cs="Times New Roman" w:eastAsia="Times New Roman" w:hAnsi="Times New Roman"/>
                <w:sz w:val="16"/>
                <w:szCs w:val="16"/>
                <w:color w:val="B4B4B4"/>
              </w:rPr>
              <w:t>............................................</w:t>
            </w:r>
          </w:p>
        </w:tc>
        <w:tc>
          <w:tcPr>
            <w:tcW w:w="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2,606</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8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4.77%</w:t>
            </w:r>
          </w:p>
        </w:tc>
        <w:tc>
          <w:tcPr>
            <w:tcW w:w="60" w:type="dxa"/>
            <w:vAlign w:val="bottom"/>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4.63%</w:t>
            </w: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6,791</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7,534</w:t>
            </w:r>
          </w:p>
        </w:tc>
        <w:tc>
          <w:tcPr>
            <w:tcW w:w="80" w:type="dxa"/>
            <w:vAlign w:val="bottom"/>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3.56%</w:t>
            </w:r>
          </w:p>
        </w:tc>
        <w:tc>
          <w:tcPr>
            <w:tcW w:w="80" w:type="dxa"/>
            <w:vAlign w:val="bottom"/>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15"/>
        </w:trPr>
        <w:tc>
          <w:tcPr>
            <w:tcW w:w="26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56,965</w:t>
            </w:r>
          </w:p>
        </w:tc>
        <w:tc>
          <w:tcPr>
            <w:tcW w:w="9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4.86%</w:t>
            </w:r>
          </w:p>
        </w:tc>
        <w:tc>
          <w:tcPr>
            <w:tcW w:w="9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6"/>
              </w:rPr>
              <w:t>4.41%</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44,880</w:t>
            </w:r>
          </w:p>
        </w:tc>
        <w:tc>
          <w:tcPr>
            <w:tcW w:w="9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3.94%</w:t>
            </w:r>
          </w:p>
        </w:tc>
        <w:tc>
          <w:tcPr>
            <w:tcW w:w="100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-56515</wp:posOffset>
            </wp:positionV>
            <wp:extent cx="4860925" cy="762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94">
                      <a:extLst>
                        <a:ext uri="{28A0092B-C50C-407E-A947-70E740481C1C}"/>
                      </a:extLst>
                    </a:blip>
                    <a:srcRect/>
                    <a:stretch>
                      <a:fillRect/>
                    </a:stretch>
                  </pic:blipFill>
                  <pic:spPr bwMode="auto">
                    <a:xfrm>
                      <a:off x="0" y="0"/>
                      <a:ext cx="4860925" cy="7620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52" w:lineRule="exact"/>
        <w:rPr>
          <w:sz w:val="20"/>
          <w:szCs w:val="20"/>
          <w:color w:val="auto"/>
        </w:rPr>
      </w:pPr>
    </w:p>
    <w:p>
      <w:pPr>
        <w:ind w:left="720" w:hanging="370"/>
        <w:spacing w:after="0"/>
        <w:tabs>
          <w:tab w:leader="none" w:pos="7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Table excludes other mortgage credit investments of $44 million and $25 million as of December 31, 2023 and 2022, respectively.</w:t>
      </w:r>
    </w:p>
    <w:p>
      <w:pPr>
        <w:spacing w:after="0" w:line="176" w:lineRule="exact"/>
        <w:rPr>
          <w:sz w:val="20"/>
          <w:szCs w:val="20"/>
          <w:color w:val="auto"/>
        </w:rPr>
      </w:pPr>
    </w:p>
    <w:p>
      <w:pPr>
        <w:jc w:val="both"/>
        <w:ind w:right="20" w:firstLine="540"/>
        <w:spacing w:after="0" w:line="266" w:lineRule="auto"/>
        <w:rPr>
          <w:sz w:val="20"/>
          <w:szCs w:val="20"/>
          <w:color w:val="auto"/>
        </w:rPr>
      </w:pPr>
      <w:r>
        <w:rPr>
          <w:rFonts w:ascii="Times New Roman" w:cs="Times New Roman" w:eastAsia="Times New Roman" w:hAnsi="Times New Roman"/>
          <w:sz w:val="20"/>
          <w:szCs w:val="20"/>
          <w:color w:val="auto"/>
        </w:rPr>
        <w:t>The following table presents the gross unrealized loss and fair values of securities classified as available-for-sale by length of time that such securities have been in a continuous unrealized loss position as of December 31, 2023 and 2022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Unrealized Loss Position For</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6"/>
        </w:trPr>
        <w:tc>
          <w:tcPr>
            <w:tcW w:w="3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Securities Classified as Available-for-Sale</w:t>
            </w:r>
          </w:p>
        </w:tc>
        <w:tc>
          <w:tcPr>
            <w:tcW w:w="8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Fair</w:t>
            </w:r>
          </w:p>
        </w:tc>
        <w:tc>
          <w:tcPr>
            <w:tcW w:w="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6"/>
              </w:rPr>
              <w:t>Unrealized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6"/>
              </w:rPr>
              <w:t>Unrealized</w:t>
            </w:r>
          </w:p>
        </w:tc>
        <w:tc>
          <w:tcPr>
            <w:tcW w:w="0" w:type="dxa"/>
            <w:vAlign w:val="bottom"/>
          </w:tcPr>
          <w:p>
            <w:pPr>
              <w:spacing w:after="0"/>
              <w:rPr>
                <w:sz w:val="1"/>
                <w:szCs w:val="1"/>
                <w:color w:val="auto"/>
              </w:rPr>
            </w:pPr>
          </w:p>
        </w:tc>
      </w:tr>
      <w:tr>
        <w:trPr>
          <w:trHeight w:val="214"/>
        </w:trPr>
        <w:tc>
          <w:tcPr>
            <w:tcW w:w="37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89"/>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December 31, 2023 </w:t>
            </w:r>
            <w:r>
              <w:rPr>
                <w:rFonts w:ascii="Times New Roman" w:cs="Times New Roman" w:eastAsia="Times New Roman" w:hAnsi="Times New Roman"/>
                <w:sz w:val="16"/>
                <w:szCs w:val="16"/>
                <w:color w:val="B4B4B4"/>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315"/>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December 31, 2022 </w:t>
            </w:r>
            <w:r>
              <w:rPr>
                <w:rFonts w:ascii="Times New Roman" w:cs="Times New Roman" w:eastAsia="Times New Roman" w:hAnsi="Times New Roman"/>
                <w:sz w:val="16"/>
                <w:szCs w:val="16"/>
                <w:color w:val="B4B4B4"/>
              </w:rPr>
              <w:t>..........................................................</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Gains and Losses on Sale of Investment Securities</w:t>
      </w:r>
    </w:p>
    <w:p>
      <w:pPr>
        <w:spacing w:after="0" w:line="199" w:lineRule="exact"/>
        <w:rPr>
          <w:sz w:val="20"/>
          <w:szCs w:val="20"/>
          <w:color w:val="auto"/>
        </w:rPr>
      </w:pPr>
    </w:p>
    <w:p>
      <w:pPr>
        <w:jc w:val="both"/>
        <w:ind w:right="20" w:firstLine="540"/>
        <w:spacing w:after="0" w:line="281" w:lineRule="auto"/>
        <w:rPr>
          <w:sz w:val="20"/>
          <w:szCs w:val="20"/>
          <w:color w:val="auto"/>
        </w:rPr>
      </w:pPr>
      <w:r>
        <w:rPr>
          <w:rFonts w:ascii="Times New Roman" w:cs="Times New Roman" w:eastAsia="Times New Roman" w:hAnsi="Times New Roman"/>
          <w:sz w:val="20"/>
          <w:szCs w:val="20"/>
          <w:color w:val="auto"/>
        </w:rPr>
        <w:t>The following table is a summary of our net gain (loss) from the sale of investment securities for fiscal years 2023, 2022 and 2021 by investment classification of accounting (in millions):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w w:val="98"/>
              </w:rPr>
              <w:t>Fiscal Year 2023</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w w:val="98"/>
              </w:rPr>
              <w:t>Fiscal Year 2022</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w w:val="98"/>
              </w:rPr>
              <w:t>Fiscal Year 2021</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60" w:type="dxa"/>
            <w:vAlign w:val="bottom"/>
          </w:tcPr>
          <w:p>
            <w:pPr>
              <w:spacing w:after="0"/>
              <w:rPr>
                <w:sz w:val="24"/>
                <w:szCs w:val="24"/>
                <w:color w:val="auto"/>
              </w:rPr>
            </w:pPr>
          </w:p>
        </w:tc>
        <w:tc>
          <w:tcPr>
            <w:tcW w:w="8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60" w:type="dxa"/>
            <w:vAlign w:val="bottom"/>
          </w:tcPr>
          <w:p>
            <w:pPr>
              <w:spacing w:after="0"/>
              <w:rPr>
                <w:sz w:val="24"/>
                <w:szCs w:val="24"/>
                <w:color w:val="auto"/>
              </w:rPr>
            </w:pPr>
          </w:p>
        </w:tc>
        <w:tc>
          <w:tcPr>
            <w:tcW w:w="9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60" w:type="dxa"/>
            <w:vAlign w:val="bottom"/>
          </w:tcPr>
          <w:p>
            <w:pPr>
              <w:spacing w:after="0"/>
              <w:rPr>
                <w:sz w:val="24"/>
                <w:szCs w:val="24"/>
                <w:color w:val="auto"/>
              </w:rPr>
            </w:pPr>
          </w:p>
        </w:tc>
        <w:tc>
          <w:tcPr>
            <w:tcW w:w="9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2"/>
              <w:spacing w:after="0" w:line="140" w:lineRule="exact"/>
              <w:rPr>
                <w:sz w:val="20"/>
                <w:szCs w:val="20"/>
                <w:color w:val="auto"/>
              </w:rPr>
            </w:pPr>
            <w:r>
              <w:rPr>
                <w:rFonts w:ascii="Times New Roman" w:cs="Times New Roman" w:eastAsia="Times New Roman" w:hAnsi="Times New Roman"/>
                <w:sz w:val="14"/>
                <w:szCs w:val="14"/>
                <w:b w:val="1"/>
                <w:bCs w:val="1"/>
                <w:color w:val="auto"/>
                <w:w w:val="96"/>
              </w:rPr>
              <w:t>for-Sale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center"/>
              <w:ind w:right="260"/>
              <w:spacing w:after="0" w:line="140"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2"/>
                <w:szCs w:val="12"/>
                <w:color w:val="auto"/>
              </w:rPr>
            </w:pPr>
          </w:p>
        </w:tc>
        <w:tc>
          <w:tcPr>
            <w:tcW w:w="58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2"/>
              <w:spacing w:after="0" w:line="140" w:lineRule="exact"/>
              <w:rPr>
                <w:sz w:val="20"/>
                <w:szCs w:val="20"/>
                <w:color w:val="auto"/>
              </w:rPr>
            </w:pPr>
            <w:r>
              <w:rPr>
                <w:rFonts w:ascii="Times New Roman" w:cs="Times New Roman" w:eastAsia="Times New Roman" w:hAnsi="Times New Roman"/>
                <w:sz w:val="14"/>
                <w:szCs w:val="14"/>
                <w:b w:val="1"/>
                <w:bCs w:val="1"/>
                <w:color w:val="auto"/>
              </w:rPr>
              <w:t>for-Sale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240"/>
              <w:spacing w:after="0" w:line="140"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2"/>
                <w:szCs w:val="12"/>
                <w:color w:val="auto"/>
              </w:rPr>
            </w:pPr>
          </w:p>
        </w:tc>
        <w:tc>
          <w:tcPr>
            <w:tcW w:w="58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82"/>
              <w:spacing w:after="0" w:line="140" w:lineRule="exact"/>
              <w:rPr>
                <w:sz w:val="20"/>
                <w:szCs w:val="20"/>
                <w:color w:val="auto"/>
              </w:rPr>
            </w:pPr>
            <w:r>
              <w:rPr>
                <w:rFonts w:ascii="Times New Roman" w:cs="Times New Roman" w:eastAsia="Times New Roman" w:hAnsi="Times New Roman"/>
                <w:sz w:val="14"/>
                <w:szCs w:val="14"/>
                <w:b w:val="1"/>
                <w:bCs w:val="1"/>
                <w:color w:val="auto"/>
              </w:rPr>
              <w:t>for-Sale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280"/>
              <w:spacing w:after="0" w:line="140"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2"/>
                <w:szCs w:val="12"/>
                <w:color w:val="auto"/>
              </w:rPr>
            </w:pPr>
          </w:p>
        </w:tc>
        <w:tc>
          <w:tcPr>
            <w:tcW w:w="6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2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900" w:type="dxa"/>
            <w:vAlign w:val="bottom"/>
            <w:tcBorders>
              <w:bottom w:val="single" w:sz="8" w:color="auto"/>
            </w:tcBorders>
            <w:gridSpan w:val="2"/>
          </w:tcPr>
          <w:p>
            <w:pPr>
              <w:jc w:val="center"/>
              <w:spacing w:after="0" w:line="190" w:lineRule="exact"/>
              <w:rPr>
                <w:sz w:val="20"/>
                <w:szCs w:val="20"/>
                <w:color w:val="auto"/>
              </w:rPr>
            </w:pPr>
            <w:r>
              <w:rPr>
                <w:rFonts w:ascii="Times New Roman" w:cs="Times New Roman" w:eastAsia="Times New Roman" w:hAnsi="Times New Roman"/>
                <w:sz w:val="14"/>
                <w:szCs w:val="14"/>
                <w:b w:val="1"/>
                <w:bCs w:val="1"/>
                <w:color w:val="auto"/>
                <w:w w:val="96"/>
              </w:rPr>
              <w:t xml:space="preserve">Securities </w:t>
            </w:r>
            <w:r>
              <w:rPr>
                <w:rFonts w:ascii="Times New Roman" w:cs="Times New Roman" w:eastAsia="Times New Roman" w:hAnsi="Times New Roman"/>
                <w:sz w:val="18"/>
                <w:szCs w:val="18"/>
                <w:b w:val="1"/>
                <w:bCs w:val="1"/>
                <w:color w:val="auto"/>
                <w:w w:val="96"/>
                <w:vertAlign w:val="superscript"/>
              </w:rPr>
              <w:t>2,3</w:t>
            </w:r>
          </w:p>
        </w:tc>
        <w:tc>
          <w:tcPr>
            <w:tcW w:w="6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bottom w:val="single" w:sz="8" w:color="auto"/>
            </w:tcBorders>
            <w:gridSpan w:val="2"/>
          </w:tcPr>
          <w:p>
            <w:pPr>
              <w:jc w:val="center"/>
              <w:spacing w:after="0" w:line="190" w:lineRule="exact"/>
              <w:rPr>
                <w:sz w:val="20"/>
                <w:szCs w:val="20"/>
                <w:color w:val="auto"/>
              </w:rPr>
            </w:pPr>
            <w:r>
              <w:rPr>
                <w:rFonts w:ascii="Times New Roman" w:cs="Times New Roman" w:eastAsia="Times New Roman" w:hAnsi="Times New Roman"/>
                <w:sz w:val="14"/>
                <w:szCs w:val="14"/>
                <w:b w:val="1"/>
                <w:bCs w:val="1"/>
                <w:color w:val="auto"/>
                <w:w w:val="93"/>
              </w:rPr>
              <w:t xml:space="preserve">Securities </w:t>
            </w:r>
            <w:r>
              <w:rPr>
                <w:rFonts w:ascii="Times New Roman" w:cs="Times New Roman" w:eastAsia="Times New Roman" w:hAnsi="Times New Roman"/>
                <w:sz w:val="18"/>
                <w:szCs w:val="18"/>
                <w:b w:val="1"/>
                <w:bCs w:val="1"/>
                <w:color w:val="auto"/>
                <w:w w:val="93"/>
                <w:vertAlign w:val="superscript"/>
              </w:rPr>
              <w:t>2,3</w:t>
            </w:r>
          </w:p>
        </w:tc>
        <w:tc>
          <w:tcPr>
            <w:tcW w:w="6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auto"/>
            </w:tcBorders>
            <w:gridSpan w:val="2"/>
          </w:tcPr>
          <w:p>
            <w:pPr>
              <w:jc w:val="center"/>
              <w:spacing w:after="0" w:line="190" w:lineRule="exact"/>
              <w:rPr>
                <w:sz w:val="20"/>
                <w:szCs w:val="20"/>
                <w:color w:val="auto"/>
              </w:rPr>
            </w:pPr>
            <w:r>
              <w:rPr>
                <w:rFonts w:ascii="Times New Roman" w:cs="Times New Roman" w:eastAsia="Times New Roman" w:hAnsi="Times New Roman"/>
                <w:sz w:val="14"/>
                <w:szCs w:val="14"/>
                <w:b w:val="1"/>
                <w:bCs w:val="1"/>
                <w:color w:val="auto"/>
                <w:w w:val="96"/>
              </w:rPr>
              <w:t xml:space="preserve">Securities </w:t>
            </w:r>
            <w:r>
              <w:rPr>
                <w:rFonts w:ascii="Times New Roman" w:cs="Times New Roman" w:eastAsia="Times New Roman" w:hAnsi="Times New Roman"/>
                <w:sz w:val="18"/>
                <w:szCs w:val="18"/>
                <w:b w:val="1"/>
                <w:bCs w:val="1"/>
                <w:color w:val="auto"/>
                <w:w w:val="96"/>
                <w:vertAlign w:val="superscript"/>
              </w:rPr>
              <w:t>2,3</w:t>
            </w:r>
          </w:p>
        </w:tc>
        <w:tc>
          <w:tcPr>
            <w:tcW w:w="6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Investment securities sold, at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(15,787)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(30,213)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(35,875)</w:t>
            </w:r>
          </w:p>
        </w:tc>
        <w:tc>
          <w:tcPr>
            <w:tcW w:w="0" w:type="dxa"/>
            <w:vAlign w:val="bottom"/>
          </w:tcPr>
          <w:p>
            <w:pPr>
              <w:spacing w:after="0"/>
              <w:rPr>
                <w:sz w:val="1"/>
                <w:szCs w:val="1"/>
                <w:color w:val="auto"/>
              </w:rPr>
            </w:pPr>
          </w:p>
        </w:tc>
      </w:tr>
      <w:tr>
        <w:trPr>
          <w:trHeight w:val="212"/>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Proceeds from investment</w:t>
            </w:r>
          </w:p>
        </w:tc>
        <w:tc>
          <w:tcPr>
            <w:tcW w:w="140" w:type="dxa"/>
            <w:vAlign w:val="bottom"/>
          </w:tcPr>
          <w:p>
            <w:pPr>
              <w:spacing w:after="0"/>
              <w:rPr>
                <w:sz w:val="18"/>
                <w:szCs w:val="18"/>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13,759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26,553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27,297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5,008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30,810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35,818</w:t>
            </w:r>
          </w:p>
        </w:tc>
        <w:tc>
          <w:tcPr>
            <w:tcW w:w="0" w:type="dxa"/>
            <w:vAlign w:val="bottom"/>
          </w:tcPr>
          <w:p>
            <w:pPr>
              <w:spacing w:after="0"/>
              <w:rPr>
                <w:sz w:val="1"/>
                <w:szCs w:val="1"/>
                <w:color w:val="auto"/>
              </w:rPr>
            </w:pPr>
          </w:p>
        </w:tc>
      </w:tr>
      <w:tr>
        <w:trPr>
          <w:trHeight w:val="214"/>
        </w:trPr>
        <w:tc>
          <w:tcPr>
            <w:tcW w:w="2340" w:type="dxa"/>
            <w:vAlign w:val="bottom"/>
            <w:gridSpan w:val="2"/>
          </w:tcPr>
          <w:p>
            <w:pPr>
              <w:ind w:left="60"/>
              <w:spacing w:after="0" w:line="214" w:lineRule="exact"/>
              <w:rPr>
                <w:sz w:val="20"/>
                <w:szCs w:val="20"/>
                <w:color w:val="auto"/>
              </w:rPr>
            </w:pPr>
            <w:r>
              <w:rPr>
                <w:rFonts w:ascii="Times New Roman" w:cs="Times New Roman" w:eastAsia="Times New Roman" w:hAnsi="Times New Roman"/>
                <w:sz w:val="16"/>
                <w:szCs w:val="16"/>
                <w:color w:val="auto"/>
              </w:rPr>
              <w:t xml:space="preserve">securities sold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gain (loss) on sale of</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94"/>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investment securities </w:t>
            </w:r>
            <w:r>
              <w:rPr>
                <w:rFonts w:ascii="Times New Roman" w:cs="Times New Roman" w:eastAsia="Times New Roman" w:hAnsi="Times New Roman"/>
                <w:sz w:val="16"/>
                <w:szCs w:val="16"/>
                <w:color w:val="B4B4B4"/>
              </w:rPr>
              <w:t>....................</w:t>
            </w: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Gross gain on sale of investment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2340" w:type="dxa"/>
            <w:vAlign w:val="bottom"/>
            <w:gridSpan w:val="2"/>
            <w:vMerge w:val="continue"/>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176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09"/>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16"/>
                <w:szCs w:val="16"/>
                <w:color w:val="B4B4B4"/>
              </w:rPr>
              <w:t>.......................................</w:t>
            </w:r>
          </w:p>
        </w:tc>
        <w:tc>
          <w:tcPr>
            <w:tcW w:w="1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Gross loss on sale of investment</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4"/>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16"/>
                <w:szCs w:val="16"/>
                <w:color w:val="B4B4B4"/>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gain (loss) on sale of</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94"/>
        </w:trPr>
        <w:tc>
          <w:tcPr>
            <w:tcW w:w="23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investment securities </w:t>
            </w:r>
            <w:r>
              <w:rPr>
                <w:rFonts w:ascii="Times New Roman" w:cs="Times New Roman" w:eastAsia="Times New Roman" w:hAnsi="Times New Roman"/>
                <w:sz w:val="16"/>
                <w:szCs w:val="16"/>
                <w:color w:val="B4B4B4"/>
              </w:rPr>
              <w:t>....................</w:t>
            </w: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-1056640</wp:posOffset>
            </wp:positionV>
            <wp:extent cx="4984750" cy="762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5">
                      <a:extLst>
                        <a:ext uri="{28A0092B-C50C-407E-A947-70E740481C1C}"/>
                      </a:extLst>
                    </a:blip>
                    <a:srcRect/>
                    <a:stretch>
                      <a:fillRect/>
                    </a:stretch>
                  </pic:blipFill>
                  <pic:spPr bwMode="auto">
                    <a:xfrm>
                      <a:off x="0" y="0"/>
                      <a:ext cx="4984750" cy="76200"/>
                    </a:xfrm>
                    <a:prstGeom prst="rect">
                      <a:avLst/>
                    </a:prstGeom>
                    <a:noFill/>
                  </pic:spPr>
                </pic:pic>
              </a:graphicData>
            </a:graphic>
          </wp:anchor>
        </w:drawing>
        <w:drawing>
          <wp:anchor simplePos="0" relativeHeight="251657728" behindDoc="1" locked="0" layoutInCell="0" allowOverlap="1">
            <wp:simplePos x="0" y="0"/>
            <wp:positionH relativeFrom="column">
              <wp:posOffset>1501775</wp:posOffset>
            </wp:positionH>
            <wp:positionV relativeFrom="paragraph">
              <wp:posOffset>-56515</wp:posOffset>
            </wp:positionV>
            <wp:extent cx="4984750" cy="762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6">
                      <a:extLst>
                        <a:ext uri="{28A0092B-C50C-407E-A947-70E740481C1C}"/>
                      </a:extLst>
                    </a:blip>
                    <a:srcRect/>
                    <a:stretch>
                      <a:fillRect/>
                    </a:stretch>
                  </pic:blipFill>
                  <pic:spPr bwMode="auto">
                    <a:xfrm>
                      <a:off x="0" y="0"/>
                      <a:ext cx="4984750" cy="7620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52" w:lineRule="exact"/>
        <w:rPr>
          <w:sz w:val="20"/>
          <w:szCs w:val="20"/>
          <w:color w:val="auto"/>
        </w:rPr>
      </w:pPr>
    </w:p>
    <w:p>
      <w:pPr>
        <w:ind w:left="720" w:hanging="370"/>
        <w:spacing w:after="0"/>
        <w:tabs>
          <w:tab w:leader="none" w:pos="7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Proceeds include cash received during the period, plus receivable for investment securities sold during the period as of period end.</w:t>
      </w:r>
    </w:p>
    <w:p>
      <w:pPr>
        <w:spacing w:after="0" w:line="24" w:lineRule="exact"/>
        <w:rPr>
          <w:rFonts w:ascii="Times New Roman" w:cs="Times New Roman" w:eastAsia="Times New Roman" w:hAnsi="Times New Roman"/>
          <w:sz w:val="16"/>
          <w:szCs w:val="16"/>
          <w:color w:val="auto"/>
        </w:rPr>
      </w:pPr>
    </w:p>
    <w:p>
      <w:pPr>
        <w:ind w:left="720" w:hanging="370"/>
        <w:spacing w:after="0"/>
        <w:tabs>
          <w:tab w:leader="none" w:pos="7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9 for a summary of changes in accumulated OCI.</w:t>
      </w:r>
    </w:p>
    <w:p>
      <w:pPr>
        <w:spacing w:after="0" w:line="8" w:lineRule="exact"/>
        <w:rPr>
          <w:rFonts w:ascii="Times New Roman" w:cs="Times New Roman" w:eastAsia="Times New Roman" w:hAnsi="Times New Roman"/>
          <w:sz w:val="16"/>
          <w:szCs w:val="16"/>
          <w:color w:val="auto"/>
        </w:rPr>
      </w:pPr>
    </w:p>
    <w:p>
      <w:pPr>
        <w:ind w:left="720" w:right="20" w:hanging="370"/>
        <w:spacing w:after="0" w:line="260" w:lineRule="auto"/>
        <w:tabs>
          <w:tab w:leader="none" w:pos="7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fiscal years 2023, 2022 and 2021, we received principal repayments on available-for-sale securities of $704 million, $1,501 million and $3,574 million, respectively.</w:t>
      </w:r>
    </w:p>
    <w:p>
      <w:pPr>
        <w:spacing w:after="0" w:line="142" w:lineRule="exact"/>
        <w:rPr>
          <w:sz w:val="20"/>
          <w:szCs w:val="20"/>
          <w:color w:val="auto"/>
        </w:rPr>
      </w:pPr>
    </w:p>
    <w:p>
      <w:pPr>
        <w:ind w:right="4300"/>
        <w:spacing w:after="0" w:line="442" w:lineRule="auto"/>
        <w:rPr>
          <w:sz w:val="20"/>
          <w:szCs w:val="20"/>
          <w:color w:val="auto"/>
        </w:rPr>
      </w:pPr>
      <w:r>
        <w:rPr>
          <w:rFonts w:ascii="Times New Roman" w:cs="Times New Roman" w:eastAsia="Times New Roman" w:hAnsi="Times New Roman"/>
          <w:sz w:val="20"/>
          <w:szCs w:val="20"/>
          <w:b w:val="1"/>
          <w:bCs w:val="1"/>
          <w:color w:val="auto"/>
        </w:rPr>
        <w:t xml:space="preserve">Note 4. Repurchase Agreements and Reverse Repurchase Agreements </w:t>
      </w:r>
      <w:r>
        <w:rPr>
          <w:rFonts w:ascii="Times New Roman" w:cs="Times New Roman" w:eastAsia="Times New Roman" w:hAnsi="Times New Roman"/>
          <w:sz w:val="20"/>
          <w:szCs w:val="20"/>
          <w:b w:val="1"/>
          <w:bCs w:val="1"/>
          <w:i w:val="1"/>
          <w:iCs w:val="1"/>
          <w:color w:val="auto"/>
        </w:rPr>
        <w:t>Repurchase Agreements</w:t>
      </w:r>
    </w:p>
    <w:p>
      <w:pPr>
        <w:jc w:val="both"/>
        <w:ind w:firstLine="495"/>
        <w:spacing w:after="0" w:line="255" w:lineRule="auto"/>
        <w:rPr>
          <w:sz w:val="20"/>
          <w:szCs w:val="20"/>
          <w:color w:val="auto"/>
        </w:rPr>
      </w:pPr>
      <w:r>
        <w:rPr>
          <w:rFonts w:ascii="Times New Roman" w:cs="Times New Roman" w:eastAsia="Times New Roman" w:hAnsi="Times New Roman"/>
          <w:sz w:val="20"/>
          <w:szCs w:val="20"/>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December 31, 2023, we had met all margin call requirements. For additional information regarding our pledged assets, please refer to Note 6.</w:t>
      </w:r>
    </w:p>
    <w:p>
      <w:pPr>
        <w:sectPr>
          <w:pgSz w:w="12240" w:h="15840" w:orient="portrait"/>
          <w:cols w:equalWidth="0" w:num="1">
            <w:col w:w="10260"/>
          </w:cols>
          <w:pgMar w:left="1000" w:top="883" w:right="980" w:bottom="0" w:gutter="0" w:footer="0" w:header="0"/>
        </w:sect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60"/>
          </w:cols>
          <w:pgMar w:left="1000" w:top="883" w:right="980" w:bottom="0" w:gutter="0" w:footer="0" w:header="0"/>
          <w:type w:val="continuous"/>
        </w:sectPr>
      </w:pPr>
    </w:p>
    <w:bookmarkStart w:id="74" w:name="page75"/>
    <w:bookmarkEnd w:id="74"/>
    <w:p>
      <w:pPr>
        <w:jc w:val="both"/>
        <w:ind w:firstLine="495"/>
        <w:spacing w:after="0" w:line="258" w:lineRule="auto"/>
        <w:rPr>
          <w:sz w:val="20"/>
          <w:szCs w:val="20"/>
          <w:color w:val="auto"/>
        </w:rPr>
      </w:pPr>
      <w:r>
        <w:rPr>
          <w:rFonts w:ascii="Times New Roman" w:cs="Times New Roman" w:eastAsia="Times New Roman" w:hAnsi="Times New Roman"/>
          <w:sz w:val="20"/>
          <w:szCs w:val="20"/>
          <w:color w:val="auto"/>
        </w:rPr>
        <w:t>As of December 31, 2023 and 2022, we had $50.4 billion and $36.3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tri-party repo agreement. The following table summarizes our borrowings under repurchase agreements by their remaining maturities as of December 31, 2023 and 2022 (dollars in millions):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0"/>
        </w:trPr>
        <w:tc>
          <w:tcPr>
            <w:tcW w:w="2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0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Remaining Maturity</w:t>
            </w:r>
          </w:p>
        </w:tc>
        <w:tc>
          <w:tcPr>
            <w:tcW w:w="400" w:type="dxa"/>
            <w:vAlign w:val="bottom"/>
            <w:vMerge w:val="restart"/>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 Days</w:t>
            </w:r>
          </w:p>
        </w:tc>
        <w:tc>
          <w:tcPr>
            <w:tcW w:w="4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7"/>
              </w:rPr>
              <w:t>Interest</w:t>
            </w: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Average Days</w:t>
            </w:r>
          </w:p>
        </w:tc>
        <w:tc>
          <w:tcPr>
            <w:tcW w:w="0" w:type="dxa"/>
            <w:vAlign w:val="bottom"/>
          </w:tcPr>
          <w:p>
            <w:pPr>
              <w:spacing w:after="0"/>
              <w:rPr>
                <w:sz w:val="1"/>
                <w:szCs w:val="1"/>
                <w:color w:val="auto"/>
              </w:rPr>
            </w:pPr>
          </w:p>
        </w:tc>
      </w:tr>
      <w:tr>
        <w:trPr>
          <w:trHeight w:val="214"/>
        </w:trPr>
        <w:tc>
          <w:tcPr>
            <w:tcW w:w="2460" w:type="dxa"/>
            <w:vAlign w:val="bottom"/>
            <w:tcBorders>
              <w:bottom w:val="single" w:sz="8" w:color="auto"/>
            </w:tcBorders>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Rate</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 Maturity</w:t>
            </w:r>
          </w:p>
        </w:tc>
        <w:tc>
          <w:tcPr>
            <w:tcW w:w="400" w:type="dxa"/>
            <w:vAlign w:val="bottom"/>
          </w:tcPr>
          <w:p>
            <w:pPr>
              <w:spacing w:after="0"/>
              <w:rPr>
                <w:sz w:val="18"/>
                <w:szCs w:val="18"/>
                <w:color w:val="auto"/>
              </w:rPr>
            </w:pPr>
          </w:p>
        </w:tc>
        <w:tc>
          <w:tcPr>
            <w:tcW w:w="10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 Maturity</w:t>
            </w:r>
          </w:p>
        </w:tc>
        <w:tc>
          <w:tcPr>
            <w:tcW w:w="0" w:type="dxa"/>
            <w:vAlign w:val="bottom"/>
          </w:tcPr>
          <w:p>
            <w:pPr>
              <w:spacing w:after="0"/>
              <w:rPr>
                <w:sz w:val="1"/>
                <w:szCs w:val="1"/>
                <w:color w:val="auto"/>
              </w:rPr>
            </w:pPr>
          </w:p>
        </w:tc>
      </w:tr>
      <w:tr>
        <w:trPr>
          <w:trHeight w:val="275"/>
        </w:trPr>
        <w:tc>
          <w:tcPr>
            <w:tcW w:w="2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Investment securities repo</w:t>
            </w: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2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xml:space="preserve">≤ 1 month </w:t>
            </w:r>
            <w:r>
              <w:rPr>
                <w:rFonts w:ascii="Times New Roman" w:cs="Times New Roman" w:eastAsia="Times New Roman" w:hAnsi="Times New Roman"/>
                <w:sz w:val="18"/>
                <w:szCs w:val="18"/>
                <w:color w:val="B4B4B4"/>
              </w:rPr>
              <w:t>................................</w:t>
            </w:r>
          </w:p>
        </w:tc>
        <w:tc>
          <w:tcPr>
            <w:tcW w:w="3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85"/>
        </w:trPr>
        <w:tc>
          <w:tcPr>
            <w:tcW w:w="2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xml:space="preserve">&gt; 1 to ≤ 3 months </w:t>
            </w:r>
            <w:r>
              <w:rPr>
                <w:rFonts w:ascii="Times New Roman" w:cs="Times New Roman" w:eastAsia="Times New Roman" w:hAnsi="Times New Roman"/>
                <w:sz w:val="18"/>
                <w:szCs w:val="18"/>
                <w:color w:val="B4B4B4"/>
              </w:rPr>
              <w:t>....................</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05"/>
        </w:trPr>
        <w:tc>
          <w:tcPr>
            <w:tcW w:w="2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xml:space="preserve">&gt; 3 to ≤ 6 months </w:t>
            </w:r>
            <w:r>
              <w:rPr>
                <w:rFonts w:ascii="Times New Roman" w:cs="Times New Roman" w:eastAsia="Times New Roman" w:hAnsi="Times New Roman"/>
                <w:sz w:val="18"/>
                <w:szCs w:val="18"/>
                <w:color w:val="B4B4B4"/>
              </w:rPr>
              <w:t>....................</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80"/>
        </w:trPr>
        <w:tc>
          <w:tcPr>
            <w:tcW w:w="2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Investment securities repo</w:t>
            </w:r>
            <w:r>
              <w:rPr>
                <w:rFonts w:ascii="Times New Roman" w:cs="Times New Roman" w:eastAsia="Times New Roman" w:hAnsi="Times New Roman"/>
                <w:sz w:val="18"/>
                <w:szCs w:val="18"/>
                <w:color w:val="B4B4B4"/>
              </w:rPr>
              <w:t>..........</w:t>
            </w: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5"/>
        </w:trPr>
        <w:tc>
          <w:tcPr>
            <w:tcW w:w="2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U.S. Treasury repo:</w:t>
            </w:r>
          </w:p>
        </w:tc>
        <w:tc>
          <w:tcPr>
            <w:tcW w:w="32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2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xml:space="preserve">≤ 1 month </w:t>
            </w:r>
            <w:r>
              <w:rPr>
                <w:rFonts w:ascii="Times New Roman" w:cs="Times New Roman" w:eastAsia="Times New Roman" w:hAnsi="Times New Roman"/>
                <w:sz w:val="18"/>
                <w:szCs w:val="18"/>
                <w:color w:val="B4B4B4"/>
              </w:rPr>
              <w:t>................................</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12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0"/>
        </w:trPr>
        <w:tc>
          <w:tcPr>
            <w:tcW w:w="2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18"/>
                <w:szCs w:val="18"/>
                <w:color w:val="B4B4B4"/>
              </w:rPr>
              <w:t>...........................................</w:t>
            </w:r>
          </w:p>
        </w:tc>
        <w:tc>
          <w:tcPr>
            <w:tcW w:w="3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1801495</wp:posOffset>
            </wp:positionH>
            <wp:positionV relativeFrom="paragraph">
              <wp:posOffset>-56515</wp:posOffset>
            </wp:positionV>
            <wp:extent cx="4708525" cy="762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97">
                      <a:extLst>
                        <a:ext uri="{28A0092B-C50C-407E-A947-70E740481C1C}"/>
                      </a:extLst>
                    </a:blip>
                    <a:srcRect/>
                    <a:stretch>
                      <a:fillRect/>
                    </a:stretch>
                  </pic:blipFill>
                  <pic:spPr bwMode="auto">
                    <a:xfrm>
                      <a:off x="0" y="0"/>
                      <a:ext cx="4708525" cy="76200"/>
                    </a:xfrm>
                    <a:prstGeom prst="rect">
                      <a:avLst/>
                    </a:prstGeom>
                    <a:noFill/>
                  </pic:spPr>
                </pic:pic>
              </a:graphicData>
            </a:graphic>
          </wp:anchor>
        </w:drawing>
      </w:r>
    </w:p>
    <w:p>
      <w:pPr>
        <w:spacing w:after="0" w:line="188"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As of December 31, 2023 and 2022, $16.7 billion and $9.6 billion, respectively, of our investment securities repurchase agreements and all of our U.S. Treasury repurchase agreements had an overnight maturity of one business day and none of our repurchase agreements were due on demand. As of December 31, 2023, we had $8.8 billion of forward commitments to enter into repurchase agreements with a weighted average forward start date of 4 days and a weighted average interest rate of 5.54%. As of December 31, 2022, we had $6.4 billion of forward commitments to enter into repurchase agreements, with a weighted average forward start date of 4 days and a weighted average interest rate of 4.38%. As of December 31, 2023 and 2022, 48% and 49%,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43% and 48% of our repurchase agreement funding outstanding as of December 31, 2023 and 2022,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Repurchase Agreements</w:t>
      </w:r>
    </w:p>
    <w:p>
      <w:pPr>
        <w:spacing w:after="0" w:line="199"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As of December 31, 2023 and 2022, we had $11.6 billion and $6.6 billion, respectively, of reverse repurchase agreements outstanding used primarily to borrow securities to cover short sales of U.S. Treasury securities, for which we had associated obligations to return borrowed securities at fair value of $10.9 billion and $6.5 billion, respectively. As of December 31, 2023 and 2022, $3.1 billion and $1.5 billion, respectively, of our reverse repurchase agreements were with the FICC sourced through BES.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Derivative and Other Hedging Instruments</w:t>
      </w:r>
    </w:p>
    <w:p>
      <w:pPr>
        <w:spacing w:after="0" w:line="197" w:lineRule="exact"/>
        <w:rPr>
          <w:sz w:val="20"/>
          <w:szCs w:val="20"/>
          <w:color w:val="auto"/>
        </w:rPr>
      </w:pPr>
    </w:p>
    <w:p>
      <w:pPr>
        <w:jc w:val="both"/>
        <w:ind w:right="20" w:firstLine="495"/>
        <w:spacing w:after="0" w:line="278" w:lineRule="auto"/>
        <w:rPr>
          <w:sz w:val="20"/>
          <w:szCs w:val="20"/>
          <w:color w:val="auto"/>
        </w:rPr>
      </w:pPr>
      <w:r>
        <w:rPr>
          <w:rFonts w:ascii="Times New Roman" w:cs="Times New Roman" w:eastAsia="Times New Roman" w:hAnsi="Times New Roman"/>
          <w:sz w:val="19"/>
          <w:szCs w:val="19"/>
          <w:color w:val="auto"/>
        </w:rPr>
        <w:t>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260"/>
          </w:cols>
          <w:pgMar w:left="1000" w:top="793" w:right="98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and Other Hedging Instrument Assets (Liabilities), at Fair Value</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table below summarizes fair value information about our derivative and other hedging instrument assets/(liabilities)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2023 and 2022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4"/>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61"/>
        </w:trPr>
        <w:tc>
          <w:tcPr>
            <w:tcW w:w="3980" w:type="dxa"/>
            <w:vAlign w:val="bottom"/>
            <w:tcBorders>
              <w:bottom w:val="single" w:sz="8" w:color="auto"/>
            </w:tcBorders>
          </w:tcPr>
          <w:p>
            <w:pPr>
              <w:jc w:val="right"/>
              <w:ind w:right="891"/>
              <w:spacing w:after="0"/>
              <w:rPr>
                <w:sz w:val="20"/>
                <w:szCs w:val="20"/>
                <w:color w:val="auto"/>
              </w:rPr>
            </w:pPr>
            <w:r>
              <w:rPr>
                <w:rFonts w:ascii="Times New Roman" w:cs="Times New Roman" w:eastAsia="Times New Roman" w:hAnsi="Times New Roman"/>
                <w:sz w:val="16"/>
                <w:szCs w:val="16"/>
                <w:b w:val="1"/>
                <w:bCs w:val="1"/>
                <w:color w:val="auto"/>
              </w:rPr>
              <w:t>Derivative and Other Hedging Instruments</w:t>
            </w:r>
          </w:p>
        </w:tc>
        <w:tc>
          <w:tcPr>
            <w:tcW w:w="80" w:type="dxa"/>
            <w:vAlign w:val="bottom"/>
          </w:tcPr>
          <w:p>
            <w:pPr>
              <w:spacing w:after="0"/>
              <w:rPr>
                <w:sz w:val="22"/>
                <w:szCs w:val="22"/>
                <w:color w:val="auto"/>
              </w:rPr>
            </w:pPr>
          </w:p>
        </w:tc>
        <w:tc>
          <w:tcPr>
            <w:tcW w:w="38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11"/>
        </w:trPr>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Interest rate swaps </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8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assets, at fair value</w:t>
            </w:r>
            <w:r>
              <w:rPr>
                <w:rFonts w:ascii="Times New Roman" w:cs="Times New Roman" w:eastAsia="Times New Roman" w:hAnsi="Times New Roman"/>
                <w:sz w:val="18"/>
                <w:szCs w:val="18"/>
                <w:color w:val="B4B4B4"/>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Swaptions </w:t>
            </w:r>
            <w:r>
              <w:rPr>
                <w:rFonts w:ascii="Times New Roman" w:cs="Times New Roman" w:eastAsia="Times New Roman" w:hAnsi="Times New Roman"/>
                <w:sz w:val="18"/>
                <w:szCs w:val="18"/>
                <w:color w:val="B4B4B4"/>
                <w:w w:val="99"/>
              </w:rPr>
              <w:t>.....................................................................</w:t>
            </w:r>
          </w:p>
        </w:tc>
        <w:tc>
          <w:tcPr>
            <w:tcW w:w="8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assets, at fair value</w:t>
            </w:r>
            <w:r>
              <w:rPr>
                <w:rFonts w:ascii="Times New Roman" w:cs="Times New Roman" w:eastAsia="Times New Roman" w:hAnsi="Times New Roman"/>
                <w:sz w:val="18"/>
                <w:szCs w:val="18"/>
                <w:color w:val="B4B4B4"/>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85"/>
        </w:trPr>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TBA and forward settling non-Agency securities </w:t>
            </w:r>
            <w:r>
              <w:rPr>
                <w:rFonts w:ascii="Times New Roman" w:cs="Times New Roman" w:eastAsia="Times New Roman" w:hAnsi="Times New Roman"/>
                <w:sz w:val="18"/>
                <w:szCs w:val="18"/>
                <w:color w:val="B4B4B4"/>
                <w:w w:val="99"/>
              </w:rPr>
              <w:t>........</w:t>
            </w:r>
          </w:p>
        </w:tc>
        <w:tc>
          <w:tcPr>
            <w:tcW w:w="8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assets, at fair value</w:t>
            </w:r>
            <w:r>
              <w:rPr>
                <w:rFonts w:ascii="Times New Roman" w:cs="Times New Roman" w:eastAsia="Times New Roman" w:hAnsi="Times New Roman"/>
                <w:sz w:val="18"/>
                <w:szCs w:val="18"/>
                <w:color w:val="B4B4B4"/>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90"/>
        </w:trPr>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U.S. Treasury futures - short </w:t>
            </w:r>
            <w:r>
              <w:rPr>
                <w:rFonts w:ascii="Times New Roman" w:cs="Times New Roman" w:eastAsia="Times New Roman" w:hAnsi="Times New Roman"/>
                <w:sz w:val="18"/>
                <w:szCs w:val="18"/>
                <w:color w:val="B4B4B4"/>
                <w:w w:val="99"/>
              </w:rPr>
              <w:t>........................................</w:t>
            </w:r>
          </w:p>
        </w:tc>
        <w:tc>
          <w:tcPr>
            <w:tcW w:w="8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assets, at fair value</w:t>
            </w:r>
            <w:r>
              <w:rPr>
                <w:rFonts w:ascii="Times New Roman" w:cs="Times New Roman" w:eastAsia="Times New Roman" w:hAnsi="Times New Roman"/>
                <w:sz w:val="18"/>
                <w:szCs w:val="18"/>
                <w:color w:val="B4B4B4"/>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5"/>
        </w:trPr>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Total derivative assets, at fair value </w:t>
            </w:r>
            <w:r>
              <w:rPr>
                <w:rFonts w:ascii="Times New Roman" w:cs="Times New Roman" w:eastAsia="Times New Roman" w:hAnsi="Times New Roman"/>
                <w:sz w:val="18"/>
                <w:szCs w:val="18"/>
                <w:color w:val="B4B4B4"/>
              </w:rPr>
              <w:t>.........................</w:t>
            </w:r>
          </w:p>
        </w:tc>
        <w:tc>
          <w:tcPr>
            <w:tcW w:w="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0"/>
        </w:trPr>
        <w:tc>
          <w:tcPr>
            <w:tcW w:w="3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 xml:space="preserve">Interest rate swaps </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B4B4B4"/>
                <w:w w:val="99"/>
              </w:rPr>
              <w:t>......................................................</w:t>
            </w:r>
          </w:p>
        </w:tc>
        <w:tc>
          <w:tcPr>
            <w:tcW w:w="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3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Derivative liabilities, at fair value </w:t>
            </w:r>
            <w:r>
              <w:rPr>
                <w:rFonts w:ascii="Times New Roman" w:cs="Times New Roman" w:eastAsia="Times New Roman" w:hAnsi="Times New Roman"/>
                <w:sz w:val="18"/>
                <w:szCs w:val="18"/>
                <w:color w:val="B4B4B4"/>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TBA and forward settling non-Agency securities </w:t>
            </w:r>
            <w:r>
              <w:rPr>
                <w:rFonts w:ascii="Times New Roman" w:cs="Times New Roman" w:eastAsia="Times New Roman" w:hAnsi="Times New Roman"/>
                <w:sz w:val="18"/>
                <w:szCs w:val="18"/>
                <w:color w:val="B4B4B4"/>
                <w:w w:val="99"/>
              </w:rPr>
              <w:t>........</w:t>
            </w:r>
          </w:p>
        </w:tc>
        <w:tc>
          <w:tcPr>
            <w:tcW w:w="8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Derivative liabilities, at fair value </w:t>
            </w:r>
            <w:r>
              <w:rPr>
                <w:rFonts w:ascii="Times New Roman" w:cs="Times New Roman" w:eastAsia="Times New Roman" w:hAnsi="Times New Roman"/>
                <w:sz w:val="18"/>
                <w:szCs w:val="18"/>
                <w:color w:val="B4B4B4"/>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85"/>
        </w:trPr>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U.S. Treasury futures - short </w:t>
            </w:r>
            <w:r>
              <w:rPr>
                <w:rFonts w:ascii="Times New Roman" w:cs="Times New Roman" w:eastAsia="Times New Roman" w:hAnsi="Times New Roman"/>
                <w:sz w:val="18"/>
                <w:szCs w:val="18"/>
                <w:color w:val="B4B4B4"/>
                <w:w w:val="99"/>
              </w:rPr>
              <w:t>........................................</w:t>
            </w:r>
          </w:p>
        </w:tc>
        <w:tc>
          <w:tcPr>
            <w:tcW w:w="8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Derivative liabilities, at fair value </w:t>
            </w:r>
            <w:r>
              <w:rPr>
                <w:rFonts w:ascii="Times New Roman" w:cs="Times New Roman" w:eastAsia="Times New Roman" w:hAnsi="Times New Roman"/>
                <w:sz w:val="18"/>
                <w:szCs w:val="18"/>
                <w:color w:val="B4B4B4"/>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SOFR futures contracts - long </w:t>
            </w:r>
            <w:r>
              <w:rPr>
                <w:rFonts w:ascii="Times New Roman" w:cs="Times New Roman" w:eastAsia="Times New Roman" w:hAnsi="Times New Roman"/>
                <w:sz w:val="18"/>
                <w:szCs w:val="18"/>
                <w:color w:val="B4B4B4"/>
                <w:w w:val="99"/>
              </w:rPr>
              <w:t>......................................</w:t>
            </w:r>
          </w:p>
        </w:tc>
        <w:tc>
          <w:tcPr>
            <w:tcW w:w="8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Derivative liabilities, at fair value </w:t>
            </w:r>
            <w:r>
              <w:rPr>
                <w:rFonts w:ascii="Times New Roman" w:cs="Times New Roman" w:eastAsia="Times New Roman" w:hAnsi="Times New Roman"/>
                <w:sz w:val="18"/>
                <w:szCs w:val="18"/>
                <w:color w:val="B4B4B4"/>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xml:space="preserve">Credit default swaps </w:t>
            </w:r>
            <w:r>
              <w:rPr>
                <w:rFonts w:ascii="Times New Roman" w:cs="Times New Roman" w:eastAsia="Times New Roman" w:hAnsi="Times New Roman"/>
                <w:sz w:val="23"/>
                <w:szCs w:val="23"/>
                <w:color w:val="auto"/>
                <w:w w:val="98"/>
                <w:vertAlign w:val="superscript"/>
              </w:rPr>
              <w:t>1</w:t>
            </w: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18"/>
                <w:szCs w:val="18"/>
                <w:color w:val="B4B4B4"/>
                <w:w w:val="98"/>
              </w:rPr>
              <w:t>...................................................</w:t>
            </w:r>
          </w:p>
        </w:tc>
        <w:tc>
          <w:tcPr>
            <w:tcW w:w="8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Derivative liabilities, at fair value </w:t>
            </w:r>
            <w:r>
              <w:rPr>
                <w:rFonts w:ascii="Times New Roman" w:cs="Times New Roman" w:eastAsia="Times New Roman" w:hAnsi="Times New Roman"/>
                <w:sz w:val="18"/>
                <w:szCs w:val="18"/>
                <w:color w:val="B4B4B4"/>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Total derivative liabilities, at fair value </w:t>
            </w:r>
            <w:r>
              <w:rPr>
                <w:rFonts w:ascii="Times New Roman" w:cs="Times New Roman" w:eastAsia="Times New Roman" w:hAnsi="Times New Roman"/>
                <w:sz w:val="18"/>
                <w:szCs w:val="18"/>
                <w:color w:val="B4B4B4"/>
              </w:rPr>
              <w:t>...................</w:t>
            </w:r>
          </w:p>
        </w:tc>
        <w:tc>
          <w:tcPr>
            <w:tcW w:w="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xml:space="preserve">U.S. Treasury securities - long </w:t>
            </w:r>
            <w:r>
              <w:rPr>
                <w:rFonts w:ascii="Times New Roman" w:cs="Times New Roman" w:eastAsia="Times New Roman" w:hAnsi="Times New Roman"/>
                <w:sz w:val="18"/>
                <w:szCs w:val="18"/>
                <w:color w:val="B4B4B4"/>
                <w:w w:val="99"/>
              </w:rPr>
              <w:t>.....................................</w:t>
            </w:r>
          </w:p>
        </w:tc>
        <w:tc>
          <w:tcPr>
            <w:tcW w:w="8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U.S. Treasury securities, at fair value </w:t>
            </w:r>
            <w:r>
              <w:rPr>
                <w:rFonts w:ascii="Times New Roman" w:cs="Times New Roman" w:eastAsia="Times New Roman" w:hAnsi="Times New Roman"/>
                <w:sz w:val="18"/>
                <w:szCs w:val="18"/>
                <w:color w:val="B4B4B4"/>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1"/>
        </w:trPr>
        <w:tc>
          <w:tcPr>
            <w:tcW w:w="3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 xml:space="preserve">U.S. Treasury securities - short </w:t>
            </w:r>
            <w:r>
              <w:rPr>
                <w:rFonts w:ascii="Times New Roman" w:cs="Times New Roman" w:eastAsia="Times New Roman" w:hAnsi="Times New Roman"/>
                <w:sz w:val="18"/>
                <w:szCs w:val="18"/>
                <w:color w:val="B4B4B4"/>
                <w:w w:val="99"/>
              </w:rPr>
              <w:t>....................................</w:t>
            </w:r>
          </w:p>
        </w:tc>
        <w:tc>
          <w:tcPr>
            <w:tcW w:w="8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Obligation to return securities borrowed under</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0" w:type="dxa"/>
            <w:vAlign w:val="bottom"/>
          </w:tcPr>
          <w:p>
            <w:pPr>
              <w:spacing w:after="0"/>
              <w:rPr>
                <w:sz w:val="1"/>
                <w:szCs w:val="1"/>
                <w:color w:val="auto"/>
              </w:rPr>
            </w:pPr>
          </w:p>
        </w:tc>
      </w:tr>
      <w:tr>
        <w:trPr>
          <w:trHeight w:val="239"/>
        </w:trPr>
        <w:tc>
          <w:tcPr>
            <w:tcW w:w="3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reverse repurchase agreements, at fair value </w:t>
            </w:r>
            <w:r>
              <w:rPr>
                <w:rFonts w:ascii="Times New Roman" w:cs="Times New Roman" w:eastAsia="Times New Roman" w:hAnsi="Times New Roman"/>
                <w:sz w:val="18"/>
                <w:szCs w:val="18"/>
                <w:color w:val="B4B4B4"/>
              </w:rPr>
              <w:t>.............</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Total U.S. Treasury securities, net at fair value </w:t>
            </w:r>
            <w:r>
              <w:rPr>
                <w:rFonts w:ascii="Times New Roman" w:cs="Times New Roman" w:eastAsia="Times New Roman" w:hAnsi="Times New Roman"/>
                <w:sz w:val="18"/>
                <w:szCs w:val="18"/>
                <w:color w:val="B4B4B4"/>
              </w:rPr>
              <w:t>.......</w:t>
            </w:r>
          </w:p>
        </w:tc>
        <w:tc>
          <w:tcPr>
            <w:tcW w:w="8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5045075</wp:posOffset>
            </wp:positionH>
            <wp:positionV relativeFrom="paragraph">
              <wp:posOffset>-2161540</wp:posOffset>
            </wp:positionV>
            <wp:extent cx="1489075" cy="762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98">
                      <a:extLst>
                        <a:ext uri="{28A0092B-C50C-407E-A947-70E740481C1C}"/>
                      </a:extLst>
                    </a:blip>
                    <a:srcRect/>
                    <a:stretch>
                      <a:fillRect/>
                    </a:stretch>
                  </pic:blipFill>
                  <pic:spPr bwMode="auto">
                    <a:xfrm>
                      <a:off x="0" y="0"/>
                      <a:ext cx="1489075" cy="76200"/>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-894715</wp:posOffset>
            </wp:positionV>
            <wp:extent cx="1489075" cy="762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9">
                      <a:extLst>
                        <a:ext uri="{28A0092B-C50C-407E-A947-70E740481C1C}"/>
                      </a:extLst>
                    </a:blip>
                    <a:srcRect/>
                    <a:stretch>
                      <a:fillRect/>
                    </a:stretch>
                  </pic:blipFill>
                  <pic:spPr bwMode="auto">
                    <a:xfrm>
                      <a:off x="0" y="0"/>
                      <a:ext cx="1489075" cy="76200"/>
                    </a:xfrm>
                    <a:prstGeom prst="rect">
                      <a:avLst/>
                    </a:prstGeom>
                    <a:noFill/>
                  </pic:spPr>
                </pic:pic>
              </a:graphicData>
            </a:graphic>
          </wp:anchor>
        </w:drawing>
        <w:drawing>
          <wp:anchor simplePos="0" relativeHeight="251657728" behindDoc="1" locked="0" layoutInCell="0" allowOverlap="1">
            <wp:simplePos x="0" y="0"/>
            <wp:positionH relativeFrom="column">
              <wp:posOffset>5045075</wp:posOffset>
            </wp:positionH>
            <wp:positionV relativeFrom="paragraph">
              <wp:posOffset>-56515</wp:posOffset>
            </wp:positionV>
            <wp:extent cx="1489075" cy="762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0">
                      <a:extLst>
                        <a:ext uri="{28A0092B-C50C-407E-A947-70E740481C1C}"/>
                      </a:extLst>
                    </a:blip>
                    <a:srcRect/>
                    <a:stretch>
                      <a:fillRect/>
                    </a:stretch>
                  </pic:blipFill>
                  <pic:spPr bwMode="auto">
                    <a:xfrm>
                      <a:off x="0" y="0"/>
                      <a:ext cx="1489075" cy="762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7" w:lineRule="exact"/>
        <w:rPr>
          <w:sz w:val="20"/>
          <w:szCs w:val="20"/>
          <w:color w:val="auto"/>
        </w:rPr>
      </w:pPr>
    </w:p>
    <w:p>
      <w:pPr>
        <w:jc w:val="both"/>
        <w:ind w:left="720" w:right="20" w:hanging="370"/>
        <w:spacing w:after="0" w:line="258" w:lineRule="auto"/>
        <w:tabs>
          <w:tab w:leader="none" w:pos="7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and 2022, the net fair value of our interest rate swaps excluding the recognition of variation margin settlements as a direct reduction of carrying value (see Note 2) was a net asset (liability) of $2.9 billion and $4.5 billion, respectively. As of December 31, 2023 and 2022, the net fair value of our credit default swaps excluding the recognition of variation margin settlements was $(6) million and $(2) million, respectively.</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tables summarize certain characteristics of our derivative and other hedging instruments outstanding as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 and 2022 (dollars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Pay Fixed / Receive Variable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 xml:space="preserve">December 31, 2023 </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Interest Rate Swaps</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5"/>
              </w:rPr>
              <w:t>Notional</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8"/>
              </w:rPr>
              <w:t>Notional</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0"/>
        </w:trPr>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Years to Maturity</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Fixed Pay</w:t>
            </w: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Receive</w:t>
            </w: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Maturity</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Fixed Pay</w:t>
            </w:r>
          </w:p>
        </w:tc>
        <w:tc>
          <w:tcPr>
            <w:tcW w:w="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Receive</w:t>
            </w:r>
          </w:p>
        </w:tc>
        <w:tc>
          <w:tcPr>
            <w:tcW w:w="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Maturity</w:t>
            </w:r>
          </w:p>
        </w:tc>
        <w:tc>
          <w:tcPr>
            <w:tcW w:w="0" w:type="dxa"/>
            <w:vAlign w:val="bottom"/>
          </w:tcPr>
          <w:p>
            <w:pPr>
              <w:spacing w:after="0"/>
              <w:rPr>
                <w:sz w:val="1"/>
                <w:szCs w:val="1"/>
                <w:color w:val="auto"/>
              </w:rPr>
            </w:pPr>
          </w:p>
        </w:tc>
      </w:tr>
      <w:tr>
        <w:trPr>
          <w:trHeight w:val="214"/>
        </w:trPr>
        <w:tc>
          <w:tcPr>
            <w:tcW w:w="22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0" w:type="dxa"/>
            <w:vAlign w:val="bottom"/>
          </w:tcPr>
          <w:p>
            <w:pPr>
              <w:spacing w:after="0"/>
              <w:rPr>
                <w:sz w:val="1"/>
                <w:szCs w:val="1"/>
                <w:color w:val="auto"/>
              </w:rPr>
            </w:pPr>
          </w:p>
        </w:tc>
      </w:tr>
      <w:tr>
        <w:trPr>
          <w:trHeight w:val="290"/>
        </w:trPr>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xml:space="preserve">≤ 1 years </w:t>
            </w:r>
            <w:r>
              <w:rPr>
                <w:rFonts w:ascii="Times New Roman" w:cs="Times New Roman" w:eastAsia="Times New Roman" w:hAnsi="Times New Roman"/>
                <w:sz w:val="18"/>
                <w:szCs w:val="18"/>
                <w:color w:val="B4B4B4"/>
                <w:w w:val="99"/>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0.14%</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5.37%</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0.03%</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4.30%</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0" w:type="dxa"/>
            <w:vAlign w:val="bottom"/>
          </w:tcPr>
          <w:p>
            <w:pPr>
              <w:spacing w:after="0"/>
              <w:rPr>
                <w:sz w:val="1"/>
                <w:szCs w:val="1"/>
                <w:color w:val="auto"/>
              </w:rPr>
            </w:pPr>
          </w:p>
        </w:tc>
      </w:tr>
      <w:tr>
        <w:trPr>
          <w:trHeight w:val="315"/>
        </w:trPr>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&gt; 1 to ≤ 3 years</w:t>
            </w:r>
            <w:r>
              <w:rPr>
                <w:rFonts w:ascii="Times New Roman" w:cs="Times New Roman" w:eastAsia="Times New Roman" w:hAnsi="Times New Roman"/>
                <w:sz w:val="18"/>
                <w:szCs w:val="18"/>
                <w:color w:val="B4B4B4"/>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0.48%</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5.32%</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0.14%</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4.31%</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c>
          <w:tcPr>
            <w:tcW w:w="0" w:type="dxa"/>
            <w:vAlign w:val="bottom"/>
          </w:tcPr>
          <w:p>
            <w:pPr>
              <w:spacing w:after="0"/>
              <w:rPr>
                <w:sz w:val="1"/>
                <w:szCs w:val="1"/>
                <w:color w:val="auto"/>
              </w:rPr>
            </w:pPr>
          </w:p>
        </w:tc>
      </w:tr>
      <w:tr>
        <w:trPr>
          <w:trHeight w:val="315"/>
        </w:trPr>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&gt; 3 to ≤ 5 years</w:t>
            </w:r>
            <w:r>
              <w:rPr>
                <w:rFonts w:ascii="Times New Roman" w:cs="Times New Roman" w:eastAsia="Times New Roman" w:hAnsi="Times New Roman"/>
                <w:sz w:val="18"/>
                <w:szCs w:val="18"/>
                <w:color w:val="B4B4B4"/>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0.24%</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5.38%</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0.22%</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4.31%</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0" w:type="dxa"/>
            <w:vAlign w:val="bottom"/>
          </w:tcPr>
          <w:p>
            <w:pPr>
              <w:spacing w:after="0"/>
              <w:rPr>
                <w:sz w:val="1"/>
                <w:szCs w:val="1"/>
                <w:color w:val="auto"/>
              </w:rPr>
            </w:pPr>
          </w:p>
        </w:tc>
      </w:tr>
      <w:tr>
        <w:trPr>
          <w:trHeight w:val="315"/>
        </w:trPr>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&gt; 5 to ≤ 7 years</w:t>
            </w:r>
            <w:r>
              <w:rPr>
                <w:rFonts w:ascii="Times New Roman" w:cs="Times New Roman" w:eastAsia="Times New Roman" w:hAnsi="Times New Roman"/>
                <w:sz w:val="18"/>
                <w:szCs w:val="18"/>
                <w:color w:val="B4B4B4"/>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0.92%</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5.37%</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0.85%</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4.30%</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0" w:type="dxa"/>
            <w:vAlign w:val="bottom"/>
          </w:tcPr>
          <w:p>
            <w:pPr>
              <w:spacing w:after="0"/>
              <w:rPr>
                <w:sz w:val="1"/>
                <w:szCs w:val="1"/>
                <w:color w:val="auto"/>
              </w:rPr>
            </w:pPr>
          </w:p>
        </w:tc>
      </w:tr>
      <w:tr>
        <w:trPr>
          <w:trHeight w:val="315"/>
        </w:trPr>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&gt; 7 to ≤ 10 years</w:t>
            </w:r>
            <w:r>
              <w:rPr>
                <w:rFonts w:ascii="Times New Roman" w:cs="Times New Roman" w:eastAsia="Times New Roman" w:hAnsi="Times New Roman"/>
                <w:sz w:val="18"/>
                <w:szCs w:val="18"/>
                <w:color w:val="B4B4B4"/>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3.06%</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5.38%</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9.2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1.60%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4.31%</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8.4</w:t>
            </w:r>
          </w:p>
        </w:tc>
        <w:tc>
          <w:tcPr>
            <w:tcW w:w="0" w:type="dxa"/>
            <w:vAlign w:val="bottom"/>
          </w:tcPr>
          <w:p>
            <w:pPr>
              <w:spacing w:after="0"/>
              <w:rPr>
                <w:sz w:val="1"/>
                <w:szCs w:val="1"/>
                <w:color w:val="auto"/>
              </w:rPr>
            </w:pPr>
          </w:p>
        </w:tc>
      </w:tr>
      <w:tr>
        <w:trPr>
          <w:trHeight w:val="320"/>
        </w:trPr>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xml:space="preserve">&gt; 10 years </w:t>
            </w:r>
            <w:r>
              <w:rPr>
                <w:rFonts w:ascii="Times New Roman" w:cs="Times New Roman" w:eastAsia="Times New Roman" w:hAnsi="Times New Roman"/>
                <w:sz w:val="18"/>
                <w:szCs w:val="18"/>
                <w:color w:val="B4B4B4"/>
                <w:w w:val="99"/>
              </w:rPr>
              <w:t>..............................</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4.30%</w:t>
            </w:r>
          </w:p>
        </w:tc>
        <w:tc>
          <w:tcPr>
            <w:tcW w:w="8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275"/>
        </w:trPr>
        <w:tc>
          <w:tcPr>
            <w:tcW w:w="2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18"/>
                <w:szCs w:val="18"/>
                <w:color w:val="B4B4B4"/>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43,476</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0.68%</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5.35%</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47,825</w:t>
            </w: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0.37%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4.31%</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________________________________</w:t>
            </w: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1487170</wp:posOffset>
            </wp:positionH>
            <wp:positionV relativeFrom="paragraph">
              <wp:posOffset>-172085</wp:posOffset>
            </wp:positionV>
            <wp:extent cx="5041900" cy="762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1">
                      <a:extLst>
                        <a:ext uri="{28A0092B-C50C-407E-A947-70E740481C1C}"/>
                      </a:extLst>
                    </a:blip>
                    <a:srcRect/>
                    <a:stretch>
                      <a:fillRect/>
                    </a:stretch>
                  </pic:blipFill>
                  <pic:spPr bwMode="auto">
                    <a:xfrm>
                      <a:off x="0" y="0"/>
                      <a:ext cx="5041900" cy="76200"/>
                    </a:xfrm>
                    <a:prstGeom prst="rect">
                      <a:avLst/>
                    </a:prstGeom>
                    <a:noFill/>
                  </pic:spPr>
                </pic:pic>
              </a:graphicData>
            </a:graphic>
          </wp:anchor>
        </w:drawing>
      </w:r>
    </w:p>
    <w:p>
      <w:pPr>
        <w:ind w:left="720" w:hanging="370"/>
        <w:spacing w:after="0"/>
        <w:tabs>
          <w:tab w:leader="none" w:pos="7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December 31, 2023 amounts are net of $1 billion receive fixed interest rate swaps.</w:t>
      </w:r>
    </w:p>
    <w:p>
      <w:pPr>
        <w:spacing w:after="0" w:line="360" w:lineRule="exact"/>
        <w:rPr>
          <w:sz w:val="20"/>
          <w:szCs w:val="20"/>
          <w:color w:val="auto"/>
        </w:rPr>
      </w:pPr>
    </w:p>
    <w:tbl>
      <w:tblPr>
        <w:tblLayout w:type="fixed"/>
        <w:tblInd w:w="182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Pay Fixed / Receive Variable Interest Rate Swaps</w:t>
            </w:r>
          </w:p>
        </w:tc>
        <w:tc>
          <w:tcPr>
            <w:tcW w:w="140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4"/>
        </w:trPr>
        <w:tc>
          <w:tcPr>
            <w:tcW w:w="3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by Receive Index (% of Notional Amount)</w:t>
            </w:r>
          </w:p>
        </w:tc>
        <w:tc>
          <w:tcPr>
            <w:tcW w:w="160" w:type="dxa"/>
            <w:vAlign w:val="bottom"/>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SOFR</w:t>
            </w:r>
            <w:r>
              <w:rPr>
                <w:rFonts w:ascii="Times New Roman" w:cs="Times New Roman" w:eastAsia="Times New Roman" w:hAnsi="Times New Roman"/>
                <w:sz w:val="18"/>
                <w:szCs w:val="18"/>
                <w:color w:val="B4B4B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90"/>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OIS </w:t>
            </w:r>
            <w:r>
              <w:rPr>
                <w:rFonts w:ascii="Times New Roman" w:cs="Times New Roman" w:eastAsia="Times New Roman" w:hAnsi="Times New Roman"/>
                <w:sz w:val="18"/>
                <w:szCs w:val="18"/>
                <w:color w:val="B4B4B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5"/>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18"/>
                <w:szCs w:val="18"/>
                <w:color w:val="B4B4B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-56515</wp:posOffset>
            </wp:positionV>
            <wp:extent cx="1927225" cy="762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2">
                      <a:extLst>
                        <a:ext uri="{28A0092B-C50C-407E-A947-70E740481C1C}"/>
                      </a:extLst>
                    </a:blip>
                    <a:srcRect/>
                    <a:stretch>
                      <a:fillRect/>
                    </a:stretch>
                  </pic:blipFill>
                  <pic:spPr bwMode="auto">
                    <a:xfrm>
                      <a:off x="0" y="0"/>
                      <a:ext cx="1927225" cy="76200"/>
                    </a:xfrm>
                    <a:prstGeom prst="rect">
                      <a:avLst/>
                    </a:prstGeom>
                    <a:noFill/>
                  </pic:spPr>
                </pic:pic>
              </a:graphicData>
            </a:graphic>
          </wp:anchor>
        </w:drawing>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260"/>
          </w:cols>
          <w:pgMar w:left="1000" w:top="784" w:right="980" w:bottom="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17"/>
        </w:trPr>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Payer Swaptions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5"/>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Underlying Payer Swap</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Months to</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Current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Current Option Expiration Date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6"/>
              </w:rPr>
              <w:t>Cost Basis</w:t>
            </w:r>
          </w:p>
        </w:tc>
        <w:tc>
          <w:tcPr>
            <w:tcW w:w="60" w:type="dxa"/>
            <w:vAlign w:val="bottom"/>
          </w:tcPr>
          <w:p>
            <w:pPr>
              <w:spacing w:after="0"/>
              <w:rPr>
                <w:sz w:val="13"/>
                <w:szCs w:val="1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Fixed Pay</w:t>
            </w: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0" w:type="dxa"/>
            <w:vAlign w:val="bottom"/>
          </w:tcPr>
          <w:p>
            <w:pPr>
              <w:spacing w:after="0"/>
              <w:rPr>
                <w:sz w:val="1"/>
                <w:szCs w:val="1"/>
                <w:color w:val="auto"/>
              </w:rPr>
            </w:pPr>
          </w:p>
        </w:tc>
      </w:tr>
      <w:tr>
        <w:trPr>
          <w:trHeight w:val="214"/>
        </w:trPr>
        <w:tc>
          <w:tcPr>
            <w:tcW w:w="3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02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8"/>
              </w:rPr>
              <w:t xml:space="preserve">Rate </w:t>
            </w:r>
            <w:r>
              <w:rPr>
                <w:rFonts w:ascii="Times New Roman" w:cs="Times New Roman" w:eastAsia="Times New Roman" w:hAnsi="Times New Roman"/>
                <w:sz w:val="20"/>
                <w:szCs w:val="20"/>
                <w:b w:val="1"/>
                <w:bCs w:val="1"/>
                <w:color w:val="auto"/>
                <w:w w:val="98"/>
                <w:vertAlign w:val="superscript"/>
              </w:rPr>
              <w:t>1</w:t>
            </w:r>
          </w:p>
        </w:tc>
        <w:tc>
          <w:tcPr>
            <w:tcW w:w="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1 year </w:t>
            </w:r>
            <w:r>
              <w:rPr>
                <w:rFonts w:ascii="Times New Roman" w:cs="Times New Roman" w:eastAsia="Times New Roman" w:hAnsi="Times New Roman"/>
                <w:sz w:val="18"/>
                <w:szCs w:val="18"/>
                <w:color w:val="B4B4B4"/>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6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2.61%</w:t>
            </w:r>
          </w:p>
        </w:tc>
        <w:tc>
          <w:tcPr>
            <w:tcW w:w="6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245"/>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18"/>
                <w:szCs w:val="18"/>
                <w:color w:val="B4B4B4"/>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2.61%</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7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1 year </w:t>
            </w:r>
            <w:r>
              <w:rPr>
                <w:rFonts w:ascii="Times New Roman" w:cs="Times New Roman" w:eastAsia="Times New Roman" w:hAnsi="Times New Roman"/>
                <w:sz w:val="18"/>
                <w:szCs w:val="18"/>
                <w:color w:val="B4B4B4"/>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2.04%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9.4</w:t>
            </w:r>
          </w:p>
        </w:tc>
        <w:tc>
          <w:tcPr>
            <w:tcW w:w="0" w:type="dxa"/>
            <w:vAlign w:val="bottom"/>
          </w:tcPr>
          <w:p>
            <w:pPr>
              <w:spacing w:after="0"/>
              <w:rPr>
                <w:sz w:val="1"/>
                <w:szCs w:val="1"/>
                <w:color w:val="auto"/>
              </w:rPr>
            </w:pPr>
          </w:p>
        </w:tc>
      </w:tr>
      <w:tr>
        <w:trPr>
          <w:trHeight w:val="290"/>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&gt; 1 year ≤ 2 years </w:t>
            </w:r>
            <w:r>
              <w:rPr>
                <w:rFonts w:ascii="Times New Roman" w:cs="Times New Roman" w:eastAsia="Times New Roman" w:hAnsi="Times New Roman"/>
                <w:sz w:val="18"/>
                <w:szCs w:val="18"/>
                <w:color w:val="B4B4B4"/>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6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2.52%</w:t>
            </w:r>
          </w:p>
        </w:tc>
        <w:tc>
          <w:tcPr>
            <w:tcW w:w="6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245"/>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18"/>
                <w:szCs w:val="18"/>
                <w:color w:val="B4B4B4"/>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2.32%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9.8</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________________________________</w:t>
            </w: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1.   Receive index references SOFR.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Receiver Swaptions</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Underlying Receiver Swap</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Months to</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Current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Option</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Fixed</w:t>
            </w:r>
          </w:p>
        </w:tc>
        <w:tc>
          <w:tcPr>
            <w:tcW w:w="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Current Option Expiration Date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6"/>
              </w:rPr>
              <w:t>Cost Basis</w:t>
            </w:r>
          </w:p>
        </w:tc>
        <w:tc>
          <w:tcPr>
            <w:tcW w:w="60" w:type="dxa"/>
            <w:vAlign w:val="bottom"/>
          </w:tcPr>
          <w:p>
            <w:pPr>
              <w:spacing w:after="0"/>
              <w:rPr>
                <w:sz w:val="13"/>
                <w:szCs w:val="1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Receive</w:t>
            </w: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0" w:type="dxa"/>
            <w:vAlign w:val="bottom"/>
          </w:tcPr>
          <w:p>
            <w:pPr>
              <w:spacing w:after="0"/>
              <w:rPr>
                <w:sz w:val="1"/>
                <w:szCs w:val="1"/>
                <w:color w:val="auto"/>
              </w:rPr>
            </w:pPr>
          </w:p>
        </w:tc>
      </w:tr>
      <w:tr>
        <w:trPr>
          <w:trHeight w:val="214"/>
        </w:trPr>
        <w:tc>
          <w:tcPr>
            <w:tcW w:w="3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1 year </w:t>
            </w:r>
            <w:r>
              <w:rPr>
                <w:rFonts w:ascii="Times New Roman" w:cs="Times New Roman" w:eastAsia="Times New Roman" w:hAnsi="Times New Roman"/>
                <w:sz w:val="18"/>
                <w:szCs w:val="18"/>
                <w:color w:val="B4B4B4"/>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2.98%</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-2482850</wp:posOffset>
            </wp:positionV>
            <wp:extent cx="4117975" cy="762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3">
                      <a:extLst>
                        <a:ext uri="{28A0092B-C50C-407E-A947-70E740481C1C}"/>
                      </a:extLst>
                    </a:blip>
                    <a:srcRect/>
                    <a:stretch>
                      <a:fillRect/>
                    </a:stretch>
                  </pic:blipFill>
                  <pic:spPr bwMode="auto">
                    <a:xfrm>
                      <a:off x="0" y="0"/>
                      <a:ext cx="4117975" cy="76200"/>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-1577975</wp:posOffset>
            </wp:positionV>
            <wp:extent cx="4117975" cy="762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04">
                      <a:extLst>
                        <a:ext uri="{28A0092B-C50C-407E-A947-70E740481C1C}"/>
                      </a:extLst>
                    </a:blip>
                    <a:srcRect/>
                    <a:stretch>
                      <a:fillRect/>
                    </a:stretch>
                  </pic:blipFill>
                  <pic:spPr bwMode="auto">
                    <a:xfrm>
                      <a:off x="0" y="0"/>
                      <a:ext cx="4117975" cy="76200"/>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-56515</wp:posOffset>
            </wp:positionV>
            <wp:extent cx="4117975" cy="762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05">
                      <a:extLst>
                        <a:ext uri="{28A0092B-C50C-407E-A947-70E740481C1C}"/>
                      </a:extLst>
                    </a:blip>
                    <a:srcRect/>
                    <a:stretch>
                      <a:fillRect/>
                    </a:stretch>
                  </pic:blipFill>
                  <pic:spPr bwMode="auto">
                    <a:xfrm>
                      <a:off x="0" y="0"/>
                      <a:ext cx="4117975" cy="76200"/>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As of December 31, 2022, we had no receiver swaptions outstanding.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U.S. Treasury Securities </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Years to Maturity</w:t>
            </w:r>
          </w:p>
        </w:tc>
        <w:tc>
          <w:tcPr>
            <w:tcW w:w="80" w:type="dxa"/>
            <w:vAlign w:val="bottom"/>
          </w:tcPr>
          <w:p>
            <w:pPr>
              <w:spacing w:after="0"/>
              <w:rPr>
                <w:sz w:val="16"/>
                <w:szCs w:val="16"/>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Face Amount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w w:val="98"/>
              </w:rPr>
              <w:t>Cost Basis</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6"/>
                <w:szCs w:val="16"/>
                <w:color w:val="auto"/>
              </w:rPr>
            </w:pPr>
          </w:p>
        </w:tc>
        <w:tc>
          <w:tcPr>
            <w:tcW w:w="1160" w:type="dxa"/>
            <w:vAlign w:val="bottom"/>
            <w:gridSpan w:val="2"/>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Face Amount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w w:val="98"/>
              </w:rPr>
              <w:t>Cost Basis</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Long/(Short)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Long/(Short)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5 years </w:t>
            </w:r>
            <w:r>
              <w:rPr>
                <w:rFonts w:ascii="Times New Roman" w:cs="Times New Roman" w:eastAsia="Times New Roman" w:hAnsi="Times New Roman"/>
                <w:sz w:val="18"/>
                <w:szCs w:val="18"/>
                <w:color w:val="B4B4B4"/>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300"/>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&gt; 5 year ≤ 7 years </w:t>
            </w:r>
            <w:r>
              <w:rPr>
                <w:rFonts w:ascii="Times New Roman" w:cs="Times New Roman" w:eastAsia="Times New Roman" w:hAnsi="Times New Roman"/>
                <w:sz w:val="18"/>
                <w:szCs w:val="18"/>
                <w:color w:val="B4B4B4"/>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300"/>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&gt; 7 year ≤ 10 years </w:t>
            </w:r>
            <w:r>
              <w:rPr>
                <w:rFonts w:ascii="Times New Roman" w:cs="Times New Roman" w:eastAsia="Times New Roman" w:hAnsi="Times New Roman"/>
                <w:sz w:val="18"/>
                <w:szCs w:val="18"/>
                <w:color w:val="B4B4B4"/>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0" w:type="dxa"/>
            <w:vAlign w:val="bottom"/>
          </w:tcPr>
          <w:p>
            <w:pPr>
              <w:spacing w:after="0"/>
              <w:rPr>
                <w:sz w:val="1"/>
                <w:szCs w:val="1"/>
                <w:color w:val="auto"/>
              </w:rPr>
            </w:pPr>
          </w:p>
        </w:tc>
      </w:tr>
      <w:tr>
        <w:trPr>
          <w:trHeight w:val="305"/>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&gt; 10 years </w:t>
            </w:r>
            <w:r>
              <w:rPr>
                <w:rFonts w:ascii="Times New Roman" w:cs="Times New Roman" w:eastAsia="Times New Roman" w:hAnsi="Times New Roman"/>
                <w:sz w:val="18"/>
                <w:szCs w:val="18"/>
                <w:color w:val="B4B4B4"/>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60"/>
        </w:trPr>
        <w:tc>
          <w:tcPr>
            <w:tcW w:w="3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Total U.S. Treasury securities </w:t>
            </w:r>
            <w:r>
              <w:rPr>
                <w:rFonts w:ascii="Times New Roman" w:cs="Times New Roman" w:eastAsia="Times New Roman" w:hAnsi="Times New Roman"/>
                <w:sz w:val="18"/>
                <w:szCs w:val="18"/>
                <w:color w:val="B4B4B4"/>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-56515</wp:posOffset>
            </wp:positionV>
            <wp:extent cx="4584700" cy="762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6">
                      <a:extLst>
                        <a:ext uri="{28A0092B-C50C-407E-A947-70E740481C1C}"/>
                      </a:extLst>
                    </a:blip>
                    <a:srcRect/>
                    <a:stretch>
                      <a:fillRect/>
                    </a:stretch>
                  </pic:blipFill>
                  <pic:spPr bwMode="auto">
                    <a:xfrm>
                      <a:off x="0" y="0"/>
                      <a:ext cx="4584700"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jc w:val="both"/>
        <w:ind w:left="720" w:hanging="370"/>
        <w:spacing w:after="0" w:line="254" w:lineRule="auto"/>
        <w:tabs>
          <w:tab w:leader="none" w:pos="7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and 2022, short U.S. Treasury securities totaling $(10.9) billion and $(6.5) billion, at fair value, respectively, had a weighted average yield of 3.64% and 2.80%, respectively. As of December 31, 2023 and 2022, long U.S. Treasury securities totaling $1.5 billion and $0.4 billion, at fair value, respectively, had a weighted average yield of 4.39% and 3.86%, respectively.</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U.S. Treasury Futures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w w:val="97"/>
              </w:rPr>
              <w:t>December 31, 2022</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Notional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0"/>
        </w:trPr>
        <w:tc>
          <w:tcPr>
            <w:tcW w:w="2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Years to Maturity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4"/>
              <w:spacing w:after="0" w:line="140"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4"/>
              <w:spacing w:after="0" w:line="140"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4"/>
              <w:spacing w:after="0" w:line="140"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84"/>
              <w:spacing w:after="0" w:line="140"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23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Long (Short)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Basis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4"/>
              <w:spacing w:after="0" w:line="190" w:lineRule="exact"/>
              <w:rPr>
                <w:sz w:val="20"/>
                <w:szCs w:val="20"/>
                <w:color w:val="auto"/>
              </w:rPr>
            </w:pPr>
            <w:r>
              <w:rPr>
                <w:rFonts w:ascii="Times New Roman" w:cs="Times New Roman" w:eastAsia="Times New Roman" w:hAnsi="Times New Roman"/>
                <w:sz w:val="14"/>
                <w:szCs w:val="14"/>
                <w:b w:val="1"/>
                <w:bCs w:val="1"/>
                <w:color w:val="auto"/>
                <w:w w:val="94"/>
              </w:rPr>
              <w:t xml:space="preserve">Value </w:t>
            </w:r>
            <w:r>
              <w:rPr>
                <w:rFonts w:ascii="Times New Roman" w:cs="Times New Roman" w:eastAsia="Times New Roman" w:hAnsi="Times New Roman"/>
                <w:sz w:val="18"/>
                <w:szCs w:val="18"/>
                <w:b w:val="1"/>
                <w:bCs w:val="1"/>
                <w:color w:val="auto"/>
                <w:w w:val="94"/>
                <w:vertAlign w:val="superscript"/>
              </w:rPr>
              <w:t>1</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Long (Short)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Basis</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4"/>
              <w:spacing w:after="0" w:line="190" w:lineRule="exact"/>
              <w:rPr>
                <w:sz w:val="20"/>
                <w:szCs w:val="20"/>
                <w:color w:val="auto"/>
              </w:rPr>
            </w:pPr>
            <w:r>
              <w:rPr>
                <w:rFonts w:ascii="Times New Roman" w:cs="Times New Roman" w:eastAsia="Times New Roman" w:hAnsi="Times New Roman"/>
                <w:sz w:val="14"/>
                <w:szCs w:val="14"/>
                <w:b w:val="1"/>
                <w:bCs w:val="1"/>
                <w:color w:val="auto"/>
                <w:w w:val="98"/>
              </w:rPr>
              <w:t xml:space="preserve">Value </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59"/>
        </w:trPr>
        <w:tc>
          <w:tcPr>
            <w:tcW w:w="2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&gt; 5 year ≤ 7 years </w:t>
            </w:r>
            <w:r>
              <w:rPr>
                <w:rFonts w:ascii="Times New Roman" w:cs="Times New Roman" w:eastAsia="Times New Roman" w:hAnsi="Times New Roman"/>
                <w:sz w:val="16"/>
                <w:szCs w:val="16"/>
                <w:color w:val="B4B4B4"/>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85"/>
        </w:trPr>
        <w:tc>
          <w:tcPr>
            <w:tcW w:w="2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&gt; 7 year ≤ 10 years </w:t>
            </w:r>
            <w:r>
              <w:rPr>
                <w:rFonts w:ascii="Times New Roman" w:cs="Times New Roman" w:eastAsia="Times New Roman" w:hAnsi="Times New Roman"/>
                <w:sz w:val="16"/>
                <w:szCs w:val="16"/>
                <w:color w:val="B4B4B4"/>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91"/>
        </w:trPr>
        <w:tc>
          <w:tcPr>
            <w:tcW w:w="2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&gt; 10 years </w:t>
            </w:r>
            <w:r>
              <w:rPr>
                <w:rFonts w:ascii="Times New Roman" w:cs="Times New Roman" w:eastAsia="Times New Roman" w:hAnsi="Times New Roman"/>
                <w:sz w:val="16"/>
                <w:szCs w:val="16"/>
                <w:color w:val="B4B4B4"/>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45"/>
        </w:trPr>
        <w:tc>
          <w:tcPr>
            <w:tcW w:w="23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8"/>
              </w:rPr>
              <w:t xml:space="preserve">Total U.S. Treasury futures </w:t>
            </w:r>
            <w:r>
              <w:rPr>
                <w:rFonts w:ascii="Times New Roman" w:cs="Times New Roman" w:eastAsia="Times New Roman" w:hAnsi="Times New Roman"/>
                <w:sz w:val="16"/>
                <w:szCs w:val="16"/>
                <w:color w:val="B4B4B4"/>
                <w:w w:val="98"/>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-56515</wp:posOffset>
            </wp:positionV>
            <wp:extent cx="4984750" cy="762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07">
                      <a:extLst>
                        <a:ext uri="{28A0092B-C50C-407E-A947-70E740481C1C}"/>
                      </a:extLst>
                    </a:blip>
                    <a:srcRect/>
                    <a:stretch>
                      <a:fillRect/>
                    </a:stretch>
                  </pic:blipFill>
                  <pic:spPr bwMode="auto">
                    <a:xfrm>
                      <a:off x="0" y="0"/>
                      <a:ext cx="4984750"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jc w:val="both"/>
        <w:ind w:left="720" w:hanging="370"/>
        <w:spacing w:after="0" w:line="254" w:lineRule="auto"/>
        <w:tabs>
          <w:tab w:leader="none" w:pos="7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ectPr>
          <w:pgSz w:w="12240" w:h="15840" w:orient="portrait"/>
          <w:cols w:equalWidth="0" w:num="1">
            <w:col w:w="10260"/>
          </w:cols>
          <w:pgMar w:left="1000" w:top="88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260"/>
          </w:cols>
          <w:pgMar w:left="1000" w:top="883" w:right="980" w:bottom="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17"/>
        </w:trPr>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97"/>
              </w:rPr>
              <w:t>December 31, 2022</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Fair</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Notional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0"/>
        </w:trPr>
        <w:tc>
          <w:tcPr>
            <w:tcW w:w="2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TBA Securities by Coupon</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2"/>
              <w:spacing w:after="0" w:line="140"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2"/>
              <w:spacing w:after="0" w:line="140"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2"/>
              <w:spacing w:after="0" w:line="140"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82"/>
              <w:spacing w:after="0" w:line="140"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22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Long (Short)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Basis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2"/>
              <w:spacing w:after="0" w:line="190" w:lineRule="exact"/>
              <w:rPr>
                <w:sz w:val="20"/>
                <w:szCs w:val="20"/>
                <w:color w:val="auto"/>
              </w:rPr>
            </w:pPr>
            <w:r>
              <w:rPr>
                <w:rFonts w:ascii="Times New Roman" w:cs="Times New Roman" w:eastAsia="Times New Roman" w:hAnsi="Times New Roman"/>
                <w:sz w:val="14"/>
                <w:szCs w:val="14"/>
                <w:b w:val="1"/>
                <w:bCs w:val="1"/>
                <w:color w:val="auto"/>
                <w:w w:val="94"/>
              </w:rPr>
              <w:t xml:space="preserve">Value </w:t>
            </w:r>
            <w:r>
              <w:rPr>
                <w:rFonts w:ascii="Times New Roman" w:cs="Times New Roman" w:eastAsia="Times New Roman" w:hAnsi="Times New Roman"/>
                <w:sz w:val="18"/>
                <w:szCs w:val="18"/>
                <w:b w:val="1"/>
                <w:bCs w:val="1"/>
                <w:color w:val="auto"/>
                <w:w w:val="94"/>
                <w:vertAlign w:val="superscript"/>
              </w:rPr>
              <w:t>1</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Long (Short)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Basis</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line="190" w:lineRule="exact"/>
              <w:rPr>
                <w:sz w:val="20"/>
                <w:szCs w:val="20"/>
                <w:color w:val="auto"/>
              </w:rPr>
            </w:pPr>
            <w:r>
              <w:rPr>
                <w:rFonts w:ascii="Times New Roman" w:cs="Times New Roman" w:eastAsia="Times New Roman" w:hAnsi="Times New Roman"/>
                <w:sz w:val="14"/>
                <w:szCs w:val="14"/>
                <w:b w:val="1"/>
                <w:bCs w:val="1"/>
                <w:color w:val="auto"/>
                <w:w w:val="98"/>
              </w:rPr>
              <w:t xml:space="preserve">Value </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59"/>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15-Year TBA securities: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5.0% </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5"/>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15-Year TBA securities</w:t>
            </w:r>
          </w:p>
        </w:tc>
        <w:tc>
          <w:tcPr>
            <w:tcW w:w="14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w:t>
            </w:r>
          </w:p>
        </w:tc>
        <w:tc>
          <w:tcPr>
            <w:tcW w:w="6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9"/>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30-Year TBA securities: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3.0% </w:t>
            </w:r>
            <w:r>
              <w:rPr>
                <w:rFonts w:ascii="Times New Roman" w:cs="Times New Roman" w:eastAsia="Times New Roman" w:hAnsi="Times New Roman"/>
                <w:sz w:val="16"/>
                <w:szCs w:val="16"/>
                <w:color w:val="B4B4B4"/>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1,415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85"/>
        </w:trPr>
        <w:tc>
          <w:tcPr>
            <w:tcW w:w="228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 xml:space="preserve">3.5% </w:t>
            </w:r>
            <w:r>
              <w:rPr>
                <w:rFonts w:ascii="Times New Roman" w:cs="Times New Roman" w:eastAsia="Times New Roman" w:hAnsi="Times New Roman"/>
                <w:sz w:val="16"/>
                <w:szCs w:val="16"/>
                <w:color w:val="B4B4B4"/>
                <w:w w:val="99"/>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85"/>
        </w:trPr>
        <w:tc>
          <w:tcPr>
            <w:tcW w:w="228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 xml:space="preserve">4.0% </w:t>
            </w:r>
            <w:r>
              <w:rPr>
                <w:rFonts w:ascii="Times New Roman" w:cs="Times New Roman" w:eastAsia="Times New Roman" w:hAnsi="Times New Roman"/>
                <w:sz w:val="16"/>
                <w:szCs w:val="16"/>
                <w:color w:val="B4B4B4"/>
                <w:w w:val="99"/>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5"/>
        </w:trPr>
        <w:tc>
          <w:tcPr>
            <w:tcW w:w="228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 xml:space="preserve">4.5% </w:t>
            </w:r>
            <w:r>
              <w:rPr>
                <w:rFonts w:ascii="Times New Roman" w:cs="Times New Roman" w:eastAsia="Times New Roman" w:hAnsi="Times New Roman"/>
                <w:sz w:val="16"/>
                <w:szCs w:val="16"/>
                <w:color w:val="B4B4B4"/>
                <w:w w:val="99"/>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2,248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85"/>
        </w:trPr>
        <w:tc>
          <w:tcPr>
            <w:tcW w:w="228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 xml:space="preserve">5.0% </w:t>
            </w:r>
            <w:r>
              <w:rPr>
                <w:rFonts w:ascii="Times New Roman" w:cs="Times New Roman" w:eastAsia="Times New Roman" w:hAnsi="Times New Roman"/>
                <w:sz w:val="16"/>
                <w:szCs w:val="16"/>
                <w:color w:val="B4B4B4"/>
                <w:w w:val="99"/>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1,704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1,704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8,197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85"/>
        </w:trPr>
        <w:tc>
          <w:tcPr>
            <w:tcW w:w="228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 xml:space="preserve">5.5% </w:t>
            </w:r>
            <w:r>
              <w:rPr>
                <w:rFonts w:ascii="Times New Roman" w:cs="Times New Roman" w:eastAsia="Times New Roman" w:hAnsi="Times New Roman"/>
                <w:sz w:val="16"/>
                <w:szCs w:val="16"/>
                <w:color w:val="B4B4B4"/>
                <w:w w:val="99"/>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2,047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5,504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85"/>
        </w:trPr>
        <w:tc>
          <w:tcPr>
            <w:tcW w:w="228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 xml:space="preserve">6.0% </w:t>
            </w:r>
            <w:r>
              <w:rPr>
                <w:rFonts w:ascii="Times New Roman" w:cs="Times New Roman" w:eastAsia="Times New Roman" w:hAnsi="Times New Roman"/>
                <w:sz w:val="16"/>
                <w:szCs w:val="16"/>
                <w:color w:val="B4B4B4"/>
                <w:w w:val="99"/>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91"/>
        </w:trPr>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 6.5% </w:t>
            </w:r>
            <w:r>
              <w:rPr>
                <w:rFonts w:ascii="Times New Roman" w:cs="Times New Roman" w:eastAsia="Times New Roman" w:hAnsi="Times New Roman"/>
                <w:sz w:val="16"/>
                <w:szCs w:val="16"/>
                <w:color w:val="B4B4B4"/>
              </w:rPr>
              <w:t>......................................</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1,152</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1,164</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5"/>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30-Year TBA securities, net</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5,242</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5,199</w:t>
            </w: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5,263</w:t>
            </w:r>
          </w:p>
        </w:tc>
        <w:tc>
          <w:tcPr>
            <w:tcW w:w="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19,050</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18,407</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18,574</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45"/>
        </w:trPr>
        <w:tc>
          <w:tcPr>
            <w:tcW w:w="2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Total TBA securities, net </w:t>
            </w:r>
            <w:r>
              <w:rPr>
                <w:rFonts w:ascii="Times New Roman" w:cs="Times New Roman" w:eastAsia="Times New Roman" w:hAnsi="Times New Roman"/>
                <w:sz w:val="16"/>
                <w:szCs w:val="16"/>
                <w:color w:val="B4B4B4"/>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5,288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18,407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-56515</wp:posOffset>
            </wp:positionV>
            <wp:extent cx="5022850" cy="762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8">
                      <a:extLst>
                        <a:ext uri="{28A0092B-C50C-407E-A947-70E740481C1C}"/>
                      </a:extLst>
                    </a:blip>
                    <a:srcRect/>
                    <a:stretch>
                      <a:fillRect/>
                    </a:stretch>
                  </pic:blipFill>
                  <pic:spPr bwMode="auto">
                    <a:xfrm>
                      <a:off x="0" y="0"/>
                      <a:ext cx="5022850"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jc w:val="both"/>
        <w:ind w:left="720" w:hanging="370"/>
        <w:spacing w:after="0" w:line="254" w:lineRule="auto"/>
        <w:tabs>
          <w:tab w:leader="none" w:pos="7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162" w:lineRule="exact"/>
        <w:rPr>
          <w:sz w:val="20"/>
          <w:szCs w:val="20"/>
          <w:color w:val="auto"/>
        </w:rPr>
      </w:pPr>
    </w:p>
    <w:p>
      <w:pPr>
        <w:jc w:val="both"/>
        <w:ind w:right="20" w:firstLine="450"/>
        <w:spacing w:after="0" w:line="265" w:lineRule="auto"/>
        <w:rPr>
          <w:sz w:val="20"/>
          <w:szCs w:val="20"/>
          <w:color w:val="auto"/>
        </w:rPr>
      </w:pPr>
      <w:r>
        <w:rPr>
          <w:rFonts w:ascii="Times New Roman" w:cs="Times New Roman" w:eastAsia="Times New Roman" w:hAnsi="Times New Roman"/>
          <w:sz w:val="20"/>
          <w:szCs w:val="20"/>
          <w:color w:val="auto"/>
        </w:rPr>
        <w:t>As of December 31, 2023, we had a two-year swap equivalent SOFR futures contract long notional position of $0.9 billion, with a net carrying value of $(10) million.</w:t>
      </w:r>
    </w:p>
    <w:p>
      <w:pPr>
        <w:spacing w:after="0" w:line="140" w:lineRule="exact"/>
        <w:rPr>
          <w:sz w:val="20"/>
          <w:szCs w:val="20"/>
          <w:color w:val="auto"/>
        </w:rPr>
      </w:pPr>
    </w:p>
    <w:p>
      <w:pPr>
        <w:jc w:val="both"/>
        <w:ind w:right="20" w:firstLine="450"/>
        <w:spacing w:after="0" w:line="239" w:lineRule="auto"/>
        <w:rPr>
          <w:sz w:val="20"/>
          <w:szCs w:val="20"/>
          <w:color w:val="auto"/>
        </w:rPr>
      </w:pPr>
      <w:r>
        <w:rPr>
          <w:rFonts w:ascii="Times New Roman" w:cs="Times New Roman" w:eastAsia="Times New Roman" w:hAnsi="Times New Roman"/>
          <w:sz w:val="20"/>
          <w:szCs w:val="20"/>
          <w:color w:val="auto"/>
        </w:rPr>
        <w:t>As of December 31, 2023 and 2022, we had $95 million and $215 million, respectively, notional value of centrally cleared credit default swaps ("CDS") outstanding that reference the Markit CDX Investment Grade or High Yield Grade Index, maturing in December 2028 and June 2027, respectively. Under the terms of our CDS, we pay fixed periodic payments equal to 1% per annum of the notional value and we are entitled to receive payments for qualified credit events. As of December 31, 2023 and 2022, the CDS had a market value of $(6) million and $(2) million, respectively, and a net carrying value of zero dollars, net of variation margin settlements. Pursuant to rules governing central clearing activities, we recognize variation margin settlements as a direct reduction of the carrying value of the CDS asset or liability.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Gain (Loss) From Derivative Instruments and Other Securities, Net</w:t>
      </w:r>
    </w:p>
    <w:p>
      <w:pPr>
        <w:spacing w:after="0" w:line="199" w:lineRule="exact"/>
        <w:rPr>
          <w:sz w:val="20"/>
          <w:szCs w:val="20"/>
          <w:color w:val="auto"/>
        </w:rPr>
      </w:pPr>
    </w:p>
    <w:p>
      <w:pPr>
        <w:jc w:val="both"/>
        <w:ind w:right="2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summarizes changes in our derivative and other hedge portfolio and their effect on our consolidated statements of comprehensive income for fiscal years 2023, 2022 and 2021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Settlement,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Gain/(Loss)</w:t>
            </w:r>
          </w:p>
        </w:tc>
        <w:tc>
          <w:tcPr>
            <w:tcW w:w="0" w:type="dxa"/>
            <w:vAlign w:val="bottom"/>
          </w:tcPr>
          <w:p>
            <w:pPr>
              <w:spacing w:after="0"/>
              <w:rPr>
                <w:sz w:val="1"/>
                <w:szCs w:val="1"/>
                <w:color w:val="auto"/>
              </w:rPr>
            </w:pPr>
          </w:p>
        </w:tc>
      </w:tr>
      <w:tr>
        <w:trPr>
          <w:trHeight w:val="160"/>
        </w:trPr>
        <w:tc>
          <w:tcPr>
            <w:tcW w:w="4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53"/>
              <w:spacing w:after="0" w:line="160" w:lineRule="exact"/>
              <w:rPr>
                <w:sz w:val="20"/>
                <w:szCs w:val="20"/>
                <w:color w:val="auto"/>
              </w:rPr>
            </w:pPr>
            <w:r>
              <w:rPr>
                <w:rFonts w:ascii="Times New Roman" w:cs="Times New Roman" w:eastAsia="Times New Roman" w:hAnsi="Times New Roman"/>
                <w:sz w:val="16"/>
                <w:szCs w:val="16"/>
                <w:b w:val="1"/>
                <w:bCs w:val="1"/>
                <w:color w:val="auto"/>
                <w:w w:val="99"/>
              </w:rPr>
              <w:t>on Derivative</w:t>
            </w:r>
          </w:p>
        </w:tc>
        <w:tc>
          <w:tcPr>
            <w:tcW w:w="0" w:type="dxa"/>
            <w:vAlign w:val="bottom"/>
          </w:tcPr>
          <w:p>
            <w:pPr>
              <w:spacing w:after="0"/>
              <w:rPr>
                <w:sz w:val="1"/>
                <w:szCs w:val="1"/>
                <w:color w:val="auto"/>
              </w:rPr>
            </w:pPr>
          </w:p>
        </w:tc>
      </w:tr>
      <w:tr>
        <w:trPr>
          <w:trHeight w:val="160"/>
        </w:trPr>
        <w:tc>
          <w:tcPr>
            <w:tcW w:w="4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Termination,</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53"/>
              <w:spacing w:after="0" w:line="160" w:lineRule="exact"/>
              <w:rPr>
                <w:sz w:val="20"/>
                <w:szCs w:val="20"/>
                <w:color w:val="auto"/>
              </w:rPr>
            </w:pPr>
            <w:r>
              <w:rPr>
                <w:rFonts w:ascii="Times New Roman" w:cs="Times New Roman" w:eastAsia="Times New Roman" w:hAnsi="Times New Roman"/>
                <w:sz w:val="16"/>
                <w:szCs w:val="16"/>
                <w:b w:val="1"/>
                <w:bCs w:val="1"/>
                <w:color w:val="auto"/>
              </w:rPr>
              <w:t>Instruments</w:t>
            </w:r>
          </w:p>
        </w:tc>
        <w:tc>
          <w:tcPr>
            <w:tcW w:w="0" w:type="dxa"/>
            <w:vAlign w:val="bottom"/>
          </w:tcPr>
          <w:p>
            <w:pPr>
              <w:spacing w:after="0"/>
              <w:rPr>
                <w:sz w:val="1"/>
                <w:szCs w:val="1"/>
                <w:color w:val="auto"/>
              </w:rPr>
            </w:pPr>
          </w:p>
        </w:tc>
      </w:tr>
      <w:tr>
        <w:trPr>
          <w:trHeight w:val="160"/>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 and Other Hedging Instruments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93"/>
              <w:spacing w:after="0" w:line="160" w:lineRule="exact"/>
              <w:rPr>
                <w:sz w:val="20"/>
                <w:szCs w:val="20"/>
                <w:color w:val="auto"/>
              </w:rPr>
            </w:pPr>
            <w:r>
              <w:rPr>
                <w:rFonts w:ascii="Times New Roman" w:cs="Times New Roman" w:eastAsia="Times New Roman" w:hAnsi="Times New Roman"/>
                <w:sz w:val="16"/>
                <w:szCs w:val="16"/>
                <w:b w:val="1"/>
                <w:bCs w:val="1"/>
                <w:color w:val="auto"/>
                <w:w w:val="98"/>
              </w:rPr>
              <w:t>Notional</w:t>
            </w:r>
          </w:p>
        </w:tc>
        <w:tc>
          <w:tcPr>
            <w:tcW w:w="60" w:type="dxa"/>
            <w:vAlign w:val="bottom"/>
          </w:tcPr>
          <w:p>
            <w:pPr>
              <w:spacing w:after="0"/>
              <w:rPr>
                <w:sz w:val="13"/>
                <w:szCs w:val="13"/>
                <w:color w:val="auto"/>
              </w:rPr>
            </w:pPr>
          </w:p>
        </w:tc>
        <w:tc>
          <w:tcPr>
            <w:tcW w:w="108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8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Expiration or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w w:val="98"/>
              </w:rPr>
              <w:t>Notional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73"/>
              <w:spacing w:after="0" w:line="160" w:lineRule="exact"/>
              <w:rPr>
                <w:sz w:val="20"/>
                <w:szCs w:val="20"/>
                <w:color w:val="auto"/>
              </w:rPr>
            </w:pPr>
            <w:r>
              <w:rPr>
                <w:rFonts w:ascii="Times New Roman" w:cs="Times New Roman" w:eastAsia="Times New Roman" w:hAnsi="Times New Roman"/>
                <w:sz w:val="16"/>
                <w:szCs w:val="16"/>
                <w:b w:val="1"/>
                <w:bCs w:val="1"/>
                <w:color w:val="auto"/>
                <w:w w:val="98"/>
              </w:rPr>
              <w:t>and Other</w:t>
            </w:r>
          </w:p>
        </w:tc>
        <w:tc>
          <w:tcPr>
            <w:tcW w:w="0" w:type="dxa"/>
            <w:vAlign w:val="bottom"/>
          </w:tcPr>
          <w:p>
            <w:pPr>
              <w:spacing w:after="0"/>
              <w:rPr>
                <w:sz w:val="1"/>
                <w:szCs w:val="1"/>
                <w:color w:val="auto"/>
              </w:rPr>
            </w:pPr>
          </w:p>
        </w:tc>
      </w:tr>
      <w:tr>
        <w:trPr>
          <w:trHeight w:val="214"/>
        </w:trPr>
        <w:tc>
          <w:tcPr>
            <w:tcW w:w="4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8"/>
              </w:rPr>
              <w:t xml:space="preserve">Securities, Net </w:t>
            </w:r>
            <w:r>
              <w:rPr>
                <w:rFonts w:ascii="Times New Roman" w:cs="Times New Roman" w:eastAsia="Times New Roman" w:hAnsi="Times New Roman"/>
                <w:sz w:val="20"/>
                <w:szCs w:val="20"/>
                <w:b w:val="1"/>
                <w:bCs w:val="1"/>
                <w:color w:val="auto"/>
                <w:w w:val="98"/>
                <w:vertAlign w:val="superscript"/>
              </w:rPr>
              <w:t>1</w:t>
            </w:r>
          </w:p>
        </w:tc>
        <w:tc>
          <w:tcPr>
            <w:tcW w:w="0" w:type="dxa"/>
            <w:vAlign w:val="bottom"/>
          </w:tcPr>
          <w:p>
            <w:pPr>
              <w:spacing w:after="0"/>
              <w:rPr>
                <w:sz w:val="1"/>
                <w:szCs w:val="1"/>
                <w:color w:val="auto"/>
              </w:rPr>
            </w:pPr>
          </w:p>
        </w:tc>
      </w:tr>
      <w:tr>
        <w:trPr>
          <w:trHeight w:val="260"/>
        </w:trPr>
        <w:tc>
          <w:tcPr>
            <w:tcW w:w="4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Fiscal Year 2023:</w:t>
            </w: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TBA securities, net</w:t>
            </w:r>
            <w:r>
              <w:rPr>
                <w:rFonts w:ascii="Times New Roman" w:cs="Times New Roman" w:eastAsia="Times New Roman" w:hAnsi="Times New Roman"/>
                <w:sz w:val="18"/>
                <w:szCs w:val="18"/>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164,465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(178,183)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80" w:type="dxa"/>
            <w:vAlign w:val="bottom"/>
            <w:tcBorders>
              <w:right w:val="single" w:sz="8" w:color="auto"/>
            </w:tcBorders>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85"/>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 - payer</w:t>
            </w:r>
            <w:r>
              <w:rPr>
                <w:rFonts w:ascii="Times New Roman" w:cs="Times New Roman" w:eastAsia="Times New Roman" w:hAnsi="Times New Roman"/>
                <w:sz w:val="18"/>
                <w:szCs w:val="18"/>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85"/>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 - receiver</w:t>
            </w:r>
            <w:r>
              <w:rPr>
                <w:rFonts w:ascii="Times New Roman" w:cs="Times New Roman" w:eastAsia="Times New Roman" w:hAnsi="Times New Roman"/>
                <w:sz w:val="18"/>
                <w:szCs w:val="18"/>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85"/>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Credit default swaps - buy protection </w:t>
            </w:r>
            <w:r>
              <w:rPr>
                <w:rFonts w:ascii="Times New Roman" w:cs="Times New Roman" w:eastAsia="Times New Roman" w:hAnsi="Times New Roman"/>
                <w:sz w:val="18"/>
                <w:szCs w:val="18"/>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85"/>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Payer swaptions </w:t>
            </w:r>
            <w:r>
              <w:rPr>
                <w:rFonts w:ascii="Times New Roman" w:cs="Times New Roman" w:eastAsia="Times New Roman" w:hAnsi="Times New Roman"/>
                <w:sz w:val="18"/>
                <w:szCs w:val="18"/>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85"/>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Receiver swaptions </w:t>
            </w:r>
            <w:r>
              <w:rPr>
                <w:rFonts w:ascii="Times New Roman" w:cs="Times New Roman" w:eastAsia="Times New Roman" w:hAnsi="Times New Roman"/>
                <w:sz w:val="18"/>
                <w:szCs w:val="18"/>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U.S. Treasury securities - short position </w:t>
            </w:r>
            <w:r>
              <w:rPr>
                <w:rFonts w:ascii="Times New Roman" w:cs="Times New Roman" w:eastAsia="Times New Roman" w:hAnsi="Times New Roman"/>
                <w:sz w:val="18"/>
                <w:szCs w:val="18"/>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85"/>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U.S. Treasury securities - long position </w:t>
            </w:r>
            <w:r>
              <w:rPr>
                <w:rFonts w:ascii="Times New Roman" w:cs="Times New Roman" w:eastAsia="Times New Roman" w:hAnsi="Times New Roman"/>
                <w:sz w:val="18"/>
                <w:szCs w:val="18"/>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14,272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90"/>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U.S. Treasury futures contracts - short position </w:t>
            </w:r>
            <w:r>
              <w:rPr>
                <w:rFonts w:ascii="Times New Roman" w:cs="Times New Roman" w:eastAsia="Times New Roman" w:hAnsi="Times New Roman"/>
                <w:sz w:val="18"/>
                <w:szCs w:val="18"/>
                <w:color w:val="B4B4B4"/>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85"/>
        </w:trPr>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5670550</wp:posOffset>
                </wp:positionH>
                <wp:positionV relativeFrom="paragraph">
                  <wp:posOffset>-1828800</wp:posOffset>
                </wp:positionV>
                <wp:extent cx="0" cy="180975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0"/>
                        </a:xfrm>
                        <a:prstGeom prst="line">
                          <a:avLst/>
                        </a:prstGeom>
                        <a:solidFill>
                          <a:srgbClr val="FFFFFF"/>
                        </a:solidFill>
                        <a:ln w="0">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5pt,-144pt" to="446.5pt,-1.4999pt" o:allowincell="f" strokecolor="#000000" strokeweight="0pt"/>
            </w:pict>
          </mc:Fallback>
        </mc:AlternateContent>
        <w:drawing>
          <wp:anchor simplePos="0" relativeHeight="251657728" behindDoc="1" locked="0" layoutInCell="0" allowOverlap="1">
            <wp:simplePos x="0" y="0"/>
            <wp:positionH relativeFrom="column">
              <wp:posOffset>5692775</wp:posOffset>
            </wp:positionH>
            <wp:positionV relativeFrom="paragraph">
              <wp:posOffset>-56515</wp:posOffset>
            </wp:positionV>
            <wp:extent cx="822325" cy="762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09">
                      <a:extLst>
                        <a:ext uri="{28A0092B-C50C-407E-A947-70E740481C1C}"/>
                      </a:extLst>
                    </a:blip>
                    <a:srcRect/>
                    <a:stretch>
                      <a:fillRect/>
                    </a:stretch>
                  </pic:blipFill>
                  <pic:spPr bwMode="auto">
                    <a:xfrm>
                      <a:off x="0" y="0"/>
                      <a:ext cx="822325" cy="76200"/>
                    </a:xfrm>
                    <a:prstGeom prst="rect">
                      <a:avLst/>
                    </a:prstGeom>
                    <a:noFill/>
                  </pic:spPr>
                </pic:pic>
              </a:graphicData>
            </a:graphic>
          </wp:anchor>
        </w:drawing>
      </w:r>
    </w:p>
    <w:p>
      <w:pPr>
        <w:sectPr>
          <w:pgSz w:w="12240" w:h="15840" w:orient="portrait"/>
          <w:cols w:equalWidth="0" w:num="1">
            <w:col w:w="10260"/>
          </w:cols>
          <w:pgMar w:left="1000" w:top="88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60"/>
          </w:cols>
          <w:pgMar w:left="1000" w:top="883" w:right="980" w:bottom="0" w:gutter="0" w:footer="0" w:header="0"/>
          <w:type w:val="continuous"/>
        </w:sectPr>
      </w:pPr>
    </w:p>
    <w:bookmarkStart w:id="78" w:name="page79"/>
    <w:bookmarkEnd w:id="78"/>
    <w:tbl>
      <w:tblPr>
        <w:tblLayout w:type="fixed"/>
        <w:tblInd w:w="4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2022:</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TBA securities, net</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26,673</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312,307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(319,930)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19,050</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r>
      <w:tr>
        <w:trPr>
          <w:trHeight w:val="28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Forward settling non-Agency securities </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450</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 payer</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51,225</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5,895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47,825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8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Credit default swaps - buy protection </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(5,835)</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5,620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8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Payer swaptions </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13,000</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1,750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3,050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8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Receiver swaptions </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Treasury securities - short position </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(9,590)</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(15,548)</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17,765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(7,373)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8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Treasury securities - long position </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472</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357</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9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Treasury futures contracts - short position </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(1,500)</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(37,493)</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29,780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(9,213)</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85"/>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r>
      <w:tr>
        <w:trPr>
          <w:trHeight w:val="525"/>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2021:</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8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TBA securities, net</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30,364</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352,658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(356,349)</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26,673</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8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Forward settling non-Agency securities </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8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 payer</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43,225</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9,000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51,225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8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Payer swaptions </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10,400</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8,050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13,000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8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Treasury securities - short position </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(11,287)</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(12,691)</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14,388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(9,590)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8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Treasury securities - long position </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7,618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472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9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 Treasury futures contracts - short position </w:t>
            </w:r>
            <w:r>
              <w:rPr>
                <w:rFonts w:ascii="Times New Roman" w:cs="Times New Roman" w:eastAsia="Times New Roman" w:hAnsi="Times New Roman"/>
                <w:sz w:val="18"/>
                <w:szCs w:val="18"/>
                <w:color w:val="B4B4B4"/>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(6,000)</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5,500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85"/>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5670550</wp:posOffset>
                </wp:positionH>
                <wp:positionV relativeFrom="paragraph">
                  <wp:posOffset>-3638550</wp:posOffset>
                </wp:positionV>
                <wp:extent cx="0" cy="180975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0"/>
                        </a:xfrm>
                        <a:prstGeom prst="line">
                          <a:avLst/>
                        </a:prstGeom>
                        <a:solidFill>
                          <a:srgbClr val="FFFFFF"/>
                        </a:solidFill>
                        <a:ln w="0">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5pt,-286.4999pt" to="446.5pt,-14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5670550</wp:posOffset>
                </wp:positionH>
                <wp:positionV relativeFrom="paragraph">
                  <wp:posOffset>-1466850</wp:posOffset>
                </wp:positionV>
                <wp:extent cx="0" cy="144780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7800"/>
                        </a:xfrm>
                        <a:prstGeom prst="line">
                          <a:avLst/>
                        </a:prstGeom>
                        <a:solidFill>
                          <a:srgbClr val="FFFFFF"/>
                        </a:solidFill>
                        <a:ln w="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5pt,-115.4999pt" to="446.5pt,-1.4999pt" o:allowincell="f" strokecolor="#000000" strokeweight="0pt"/>
            </w:pict>
          </mc:Fallback>
        </mc:AlternateContent>
        <w:drawing>
          <wp:anchor simplePos="0" relativeHeight="251657728" behindDoc="1" locked="0" layoutInCell="0" allowOverlap="1">
            <wp:simplePos x="0" y="0"/>
            <wp:positionH relativeFrom="column">
              <wp:posOffset>5692775</wp:posOffset>
            </wp:positionH>
            <wp:positionV relativeFrom="paragraph">
              <wp:posOffset>-1866265</wp:posOffset>
            </wp:positionV>
            <wp:extent cx="822325" cy="762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0">
                      <a:extLst>
                        <a:ext uri="{28A0092B-C50C-407E-A947-70E740481C1C}"/>
                      </a:extLst>
                    </a:blip>
                    <a:srcRect/>
                    <a:stretch>
                      <a:fillRect/>
                    </a:stretch>
                  </pic:blipFill>
                  <pic:spPr bwMode="auto">
                    <a:xfrm>
                      <a:off x="0" y="0"/>
                      <a:ext cx="822325" cy="76200"/>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-56515</wp:posOffset>
            </wp:positionV>
            <wp:extent cx="822325" cy="762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1">
                      <a:extLst>
                        <a:ext uri="{28A0092B-C50C-407E-A947-70E740481C1C}"/>
                      </a:extLst>
                    </a:blip>
                    <a:srcRect/>
                    <a:stretch>
                      <a:fillRect/>
                    </a:stretch>
                  </pic:blipFill>
                  <pic:spPr bwMode="auto">
                    <a:xfrm>
                      <a:off x="0" y="0"/>
                      <a:ext cx="822325"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hanging="370"/>
        <w:spacing w:after="0" w:line="259" w:lineRule="auto"/>
        <w:tabs>
          <w:tab w:leader="none" w:pos="7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other miscellaneous gains and losses and other interest income (expense) recognized in gain (loss) on derivative instruments and other securities, net in our consolidated statements of comprehensive income.</w:t>
      </w:r>
    </w:p>
    <w:p>
      <w:pPr>
        <w:spacing w:after="0" w:line="14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Additionally, as of December 31, 2023, we had SOFR futures contracts, measured on a two-year swap equivalent basis, of $0.9 billion. For fiscal year 2023, we recognized a loss of $(10) million on our SOFR futures position in gain (loss) on derivative instruments and other securities, net in our consolidated statements of comprehensive income.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Pledged Assets</w:t>
      </w:r>
    </w:p>
    <w:p>
      <w:pPr>
        <w:spacing w:after="0" w:line="197"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53"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ectPr>
          <w:pgSz w:w="12240" w:h="15840" w:orient="portrait"/>
          <w:cols w:equalWidth="0" w:num="1">
            <w:col w:w="10260"/>
          </w:cols>
          <w:pgMar w:left="1000" w:top="886" w:right="98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60"/>
          </w:cols>
          <w:pgMar w:left="1000" w:top="886" w:right="980" w:bottom="0" w:gutter="0" w:footer="0" w:header="0"/>
          <w:type w:val="continuous"/>
        </w:sectPr>
      </w:pPr>
    </w:p>
    <w:bookmarkStart w:id="79" w:name="page80"/>
    <w:bookmarkEnd w:id="79"/>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As of December 31, 2023, our maximum amount at risk with any counterparty related to our repurchase agreements, excluding the Fixed Income Clearing Corporation, was less than 3% of our tangible stockholders' equity (or the excess/shortfall of the value of collateral pledged/received over our repurchase agreement liabilities/reverse repurchase agreement receivables). As of December 31, 2023, less than 7% of our tangible stockholder's equity was at risk with the Fixed Income Clearing Corporation.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Assets Pledged to Counterparties</w:t>
      </w:r>
    </w:p>
    <w:p>
      <w:pPr>
        <w:spacing w:after="0" w:line="199" w:lineRule="exact"/>
        <w:rPr>
          <w:sz w:val="20"/>
          <w:szCs w:val="20"/>
          <w:color w:val="auto"/>
        </w:rPr>
      </w:pPr>
    </w:p>
    <w:p>
      <w:pPr>
        <w:jc w:val="both"/>
        <w:ind w:right="20" w:firstLine="495"/>
        <w:spacing w:after="0" w:line="266" w:lineRule="auto"/>
        <w:rPr>
          <w:sz w:val="20"/>
          <w:szCs w:val="20"/>
          <w:color w:val="auto"/>
        </w:rPr>
      </w:pPr>
      <w:r>
        <w:rPr>
          <w:rFonts w:ascii="Times New Roman" w:cs="Times New Roman" w:eastAsia="Times New Roman" w:hAnsi="Times New Roman"/>
          <w:sz w:val="20"/>
          <w:szCs w:val="20"/>
          <w:color w:val="auto"/>
        </w:rPr>
        <w:t>The following tables summarize our assets pledged as collateral under our funding, derivative and brokerage and clearing agreements by type, including securities pledged related to securities sold but not yet settled, as of December 31, 2023 and 2022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w w:val="98"/>
              </w:rPr>
              <w:t>Repurchase</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Debt of</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4140" w:type="dxa"/>
            <w:vAlign w:val="bottom"/>
            <w:vMerge w:val="restart"/>
          </w:tcPr>
          <w:p>
            <w:pPr>
              <w:jc w:val="right"/>
              <w:ind w:right="1660"/>
              <w:spacing w:after="0"/>
              <w:rPr>
                <w:sz w:val="20"/>
                <w:szCs w:val="20"/>
                <w:color w:val="auto"/>
              </w:rPr>
            </w:pPr>
            <w:r>
              <w:rPr>
                <w:rFonts w:ascii="Times New Roman" w:cs="Times New Roman" w:eastAsia="Times New Roman" w:hAnsi="Times New Roman"/>
                <w:sz w:val="16"/>
                <w:szCs w:val="16"/>
                <w:b w:val="1"/>
                <w:bCs w:val="1"/>
                <w:color w:val="auto"/>
              </w:rPr>
              <w:t xml:space="preserve">Assets Pledged to Counterparties </w:t>
            </w:r>
            <w:r>
              <w:rPr>
                <w:rFonts w:ascii="Times New Roman" w:cs="Times New Roman" w:eastAsia="Times New Roman" w:hAnsi="Times New Roman"/>
                <w:sz w:val="20"/>
                <w:szCs w:val="20"/>
                <w:b w:val="1"/>
                <w:bCs w:val="1"/>
                <w:color w:val="auto"/>
                <w:vertAlign w:val="superscript"/>
              </w:rPr>
              <w:t>1</w:t>
            </w:r>
          </w:p>
        </w:tc>
        <w:tc>
          <w:tcPr>
            <w:tcW w:w="6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320" w:type="dxa"/>
            <w:vAlign w:val="bottom"/>
            <w:vMerge w:val="restart"/>
          </w:tcPr>
          <w:p>
            <w:pPr>
              <w:jc w:val="right"/>
              <w:ind w:right="210"/>
              <w:spacing w:after="0"/>
              <w:rPr>
                <w:sz w:val="20"/>
                <w:szCs w:val="20"/>
                <w:color w:val="auto"/>
              </w:rPr>
            </w:pPr>
            <w:r>
              <w:rPr>
                <w:rFonts w:ascii="Times New Roman" w:cs="Times New Roman" w:eastAsia="Times New Roman" w:hAnsi="Times New Roman"/>
                <w:sz w:val="5"/>
                <w:szCs w:val="5"/>
                <w:b w:val="1"/>
                <w:bCs w:val="1"/>
                <w:color w:val="auto"/>
                <w:w w:val="78"/>
              </w:rPr>
              <w:t>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Agreements and</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1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VIEs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Agency RMBS - fair value </w:t>
            </w:r>
            <w:r>
              <w:rPr>
                <w:rFonts w:ascii="Times New Roman" w:cs="Times New Roman" w:eastAsia="Times New Roman" w:hAnsi="Times New Roman"/>
                <w:sz w:val="16"/>
                <w:szCs w:val="16"/>
                <w:color w:val="B4B4B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49,602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49,738</w:t>
            </w:r>
          </w:p>
        </w:tc>
        <w:tc>
          <w:tcPr>
            <w:tcW w:w="0" w:type="dxa"/>
            <w:vAlign w:val="bottom"/>
          </w:tcPr>
          <w:p>
            <w:pPr>
              <w:spacing w:after="0"/>
              <w:rPr>
                <w:sz w:val="1"/>
                <w:szCs w:val="1"/>
                <w:color w:val="auto"/>
              </w:rPr>
            </w:pPr>
          </w:p>
        </w:tc>
      </w:tr>
      <w:tr>
        <w:trPr>
          <w:trHeight w:val="285"/>
        </w:trPr>
        <w:tc>
          <w:tcPr>
            <w:tcW w:w="4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CRT - fair value </w:t>
            </w:r>
            <w:r>
              <w:rPr>
                <w:rFonts w:ascii="Times New Roman" w:cs="Times New Roman" w:eastAsia="Times New Roman" w:hAnsi="Times New Roman"/>
                <w:sz w:val="16"/>
                <w:szCs w:val="16"/>
                <w:color w:val="B4B4B4"/>
              </w:rPr>
              <w: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678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0" w:type="dxa"/>
            <w:vAlign w:val="bottom"/>
          </w:tcPr>
          <w:p>
            <w:pPr>
              <w:spacing w:after="0"/>
              <w:rPr>
                <w:sz w:val="1"/>
                <w:szCs w:val="1"/>
                <w:color w:val="auto"/>
              </w:rPr>
            </w:pPr>
          </w:p>
        </w:tc>
      </w:tr>
      <w:tr>
        <w:trPr>
          <w:trHeight w:val="285"/>
        </w:trPr>
        <w:tc>
          <w:tcPr>
            <w:tcW w:w="4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Non-Agency - fair value </w:t>
            </w:r>
            <w:r>
              <w:rPr>
                <w:rFonts w:ascii="Times New Roman" w:cs="Times New Roman" w:eastAsia="Times New Roman" w:hAnsi="Times New Roman"/>
                <w:sz w:val="16"/>
                <w:szCs w:val="16"/>
                <w:color w:val="B4B4B4"/>
              </w:rPr>
              <w: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262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85"/>
        </w:trPr>
        <w:tc>
          <w:tcPr>
            <w:tcW w:w="4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U.S. Treasury securities - fair value </w:t>
            </w:r>
            <w:r>
              <w:rPr>
                <w:rFonts w:ascii="Times New Roman" w:cs="Times New Roman" w:eastAsia="Times New Roman" w:hAnsi="Times New Roman"/>
                <w:sz w:val="16"/>
                <w:szCs w:val="16"/>
                <w:color w:val="B4B4B4"/>
              </w:rPr>
              <w:t>...........................................</w:t>
            </w:r>
          </w:p>
        </w:tc>
        <w:tc>
          <w:tcPr>
            <w:tcW w:w="2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0" w:type="dxa"/>
            <w:vAlign w:val="bottom"/>
          </w:tcPr>
          <w:p>
            <w:pPr>
              <w:spacing w:after="0"/>
              <w:rPr>
                <w:sz w:val="1"/>
                <w:szCs w:val="1"/>
                <w:color w:val="auto"/>
              </w:rPr>
            </w:pPr>
          </w:p>
        </w:tc>
      </w:tr>
      <w:tr>
        <w:trPr>
          <w:trHeight w:val="285"/>
        </w:trPr>
        <w:tc>
          <w:tcPr>
            <w:tcW w:w="4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Accrued interest on pledged securities </w:t>
            </w:r>
            <w:r>
              <w:rPr>
                <w:rFonts w:ascii="Times New Roman" w:cs="Times New Roman" w:eastAsia="Times New Roman" w:hAnsi="Times New Roman"/>
                <w:sz w:val="16"/>
                <w:szCs w:val="16"/>
                <w:color w:val="B4B4B4"/>
              </w:rPr>
              <w: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91"/>
        </w:trPr>
        <w:tc>
          <w:tcPr>
            <w:tcW w:w="4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Restricted cash </w:t>
            </w:r>
            <w:r>
              <w:rPr>
                <w:rFonts w:ascii="Times New Roman" w:cs="Times New Roman" w:eastAsia="Times New Roman" w:hAnsi="Times New Roman"/>
                <w:sz w:val="16"/>
                <w:szCs w:val="16"/>
                <w:color w:val="B4B4B4"/>
              </w:rPr>
              <w:t>............................................................................</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0" w:type="dxa"/>
            <w:vAlign w:val="bottom"/>
          </w:tcPr>
          <w:p>
            <w:pPr>
              <w:spacing w:after="0"/>
              <w:rPr>
                <w:sz w:val="1"/>
                <w:szCs w:val="1"/>
                <w:color w:val="auto"/>
              </w:rPr>
            </w:pPr>
          </w:p>
        </w:tc>
      </w:tr>
      <w:tr>
        <w:trPr>
          <w:trHeight w:val="245"/>
        </w:trPr>
        <w:tc>
          <w:tcPr>
            <w:tcW w:w="4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52,633</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54,075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w w:val="98"/>
              </w:rPr>
              <w:t>Repurchase</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Debt of</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Derivative</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4140" w:type="dxa"/>
            <w:vAlign w:val="bottom"/>
            <w:vMerge w:val="restart"/>
          </w:tcPr>
          <w:p>
            <w:pPr>
              <w:jc w:val="right"/>
              <w:ind w:right="1660"/>
              <w:spacing w:after="0"/>
              <w:rPr>
                <w:sz w:val="20"/>
                <w:szCs w:val="20"/>
                <w:color w:val="auto"/>
              </w:rPr>
            </w:pPr>
            <w:r>
              <w:rPr>
                <w:rFonts w:ascii="Times New Roman" w:cs="Times New Roman" w:eastAsia="Times New Roman" w:hAnsi="Times New Roman"/>
                <w:sz w:val="16"/>
                <w:szCs w:val="16"/>
                <w:b w:val="1"/>
                <w:bCs w:val="1"/>
                <w:color w:val="auto"/>
              </w:rPr>
              <w:t xml:space="preserve">Assets Pledged to Counterparties </w:t>
            </w:r>
            <w:r>
              <w:rPr>
                <w:rFonts w:ascii="Times New Roman" w:cs="Times New Roman" w:eastAsia="Times New Roman" w:hAnsi="Times New Roman"/>
                <w:sz w:val="20"/>
                <w:szCs w:val="20"/>
                <w:b w:val="1"/>
                <w:bCs w:val="1"/>
                <w:color w:val="auto"/>
                <w:vertAlign w:val="superscript"/>
              </w:rPr>
              <w:t>1</w:t>
            </w:r>
          </w:p>
        </w:tc>
        <w:tc>
          <w:tcPr>
            <w:tcW w:w="6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320" w:type="dxa"/>
            <w:vAlign w:val="bottom"/>
            <w:vMerge w:val="restart"/>
          </w:tcPr>
          <w:p>
            <w:pPr>
              <w:jc w:val="right"/>
              <w:ind w:right="210"/>
              <w:spacing w:after="0"/>
              <w:rPr>
                <w:sz w:val="20"/>
                <w:szCs w:val="20"/>
                <w:color w:val="auto"/>
              </w:rPr>
            </w:pPr>
            <w:r>
              <w:rPr>
                <w:rFonts w:ascii="Times New Roman" w:cs="Times New Roman" w:eastAsia="Times New Roman" w:hAnsi="Times New Roman"/>
                <w:sz w:val="5"/>
                <w:szCs w:val="5"/>
                <w:b w:val="1"/>
                <w:bCs w:val="1"/>
                <w:color w:val="auto"/>
                <w:w w:val="78"/>
              </w:rPr>
              <w:t>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Agreements and</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14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3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VIEs</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Agency RMBS - fair value </w:t>
            </w:r>
            <w:r>
              <w:rPr>
                <w:rFonts w:ascii="Times New Roman" w:cs="Times New Roman" w:eastAsia="Times New Roman" w:hAnsi="Times New Roman"/>
                <w:sz w:val="16"/>
                <w:szCs w:val="16"/>
                <w:color w:val="B4B4B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36,112</w:t>
            </w:r>
          </w:p>
        </w:tc>
        <w:tc>
          <w:tcPr>
            <w:tcW w:w="0" w:type="dxa"/>
            <w:vAlign w:val="bottom"/>
          </w:tcPr>
          <w:p>
            <w:pPr>
              <w:spacing w:after="0"/>
              <w:rPr>
                <w:sz w:val="1"/>
                <w:szCs w:val="1"/>
                <w:color w:val="auto"/>
              </w:rPr>
            </w:pPr>
          </w:p>
        </w:tc>
      </w:tr>
      <w:tr>
        <w:trPr>
          <w:trHeight w:val="285"/>
        </w:trPr>
        <w:tc>
          <w:tcPr>
            <w:tcW w:w="4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CRT - fair value </w:t>
            </w:r>
            <w:r>
              <w:rPr>
                <w:rFonts w:ascii="Times New Roman" w:cs="Times New Roman" w:eastAsia="Times New Roman" w:hAnsi="Times New Roman"/>
                <w:sz w:val="16"/>
                <w:szCs w:val="16"/>
                <w:color w:val="B4B4B4"/>
              </w:rPr>
              <w: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703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285"/>
        </w:trPr>
        <w:tc>
          <w:tcPr>
            <w:tcW w:w="4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Non-Agency - fair value </w:t>
            </w:r>
            <w:r>
              <w:rPr>
                <w:rFonts w:ascii="Times New Roman" w:cs="Times New Roman" w:eastAsia="Times New Roman" w:hAnsi="Times New Roman"/>
                <w:sz w:val="16"/>
                <w:szCs w:val="16"/>
                <w:color w:val="B4B4B4"/>
              </w:rPr>
              <w: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605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85"/>
        </w:trPr>
        <w:tc>
          <w:tcPr>
            <w:tcW w:w="4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U.S. Treasury securities - fair value </w:t>
            </w:r>
            <w:r>
              <w:rPr>
                <w:rFonts w:ascii="Times New Roman" w:cs="Times New Roman" w:eastAsia="Times New Roman" w:hAnsi="Times New Roman"/>
                <w:sz w:val="16"/>
                <w:szCs w:val="16"/>
                <w:color w:val="B4B4B4"/>
              </w:rPr>
              <w: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353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85"/>
        </w:trPr>
        <w:tc>
          <w:tcPr>
            <w:tcW w:w="4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Accrued interest on pledged securities </w:t>
            </w:r>
            <w:r>
              <w:rPr>
                <w:rFonts w:ascii="Times New Roman" w:cs="Times New Roman" w:eastAsia="Times New Roman" w:hAnsi="Times New Roman"/>
                <w:sz w:val="16"/>
                <w:szCs w:val="16"/>
                <w:color w:val="B4B4B4"/>
              </w:rPr>
              <w: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91"/>
        </w:trPr>
        <w:tc>
          <w:tcPr>
            <w:tcW w:w="4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Restricted cash </w:t>
            </w:r>
            <w:r>
              <w:rPr>
                <w:rFonts w:ascii="Times New Roman" w:cs="Times New Roman" w:eastAsia="Times New Roman" w:hAnsi="Times New Roman"/>
                <w:sz w:val="16"/>
                <w:szCs w:val="16"/>
                <w:color w:val="B4B4B4"/>
              </w:rPr>
              <w:t>............................................................................</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0" w:type="dxa"/>
            <w:vAlign w:val="bottom"/>
          </w:tcPr>
          <w:p>
            <w:pPr>
              <w:spacing w:after="0"/>
              <w:rPr>
                <w:sz w:val="1"/>
                <w:szCs w:val="1"/>
                <w:color w:val="auto"/>
              </w:rPr>
            </w:pPr>
          </w:p>
        </w:tc>
      </w:tr>
      <w:tr>
        <w:trPr>
          <w:trHeight w:val="245"/>
        </w:trPr>
        <w:tc>
          <w:tcPr>
            <w:tcW w:w="4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37,764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2644775</wp:posOffset>
            </wp:positionH>
            <wp:positionV relativeFrom="paragraph">
              <wp:posOffset>-2009140</wp:posOffset>
            </wp:positionV>
            <wp:extent cx="3889375" cy="762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2">
                      <a:extLst>
                        <a:ext uri="{28A0092B-C50C-407E-A947-70E740481C1C}"/>
                      </a:extLst>
                    </a:blip>
                    <a:srcRect/>
                    <a:stretch>
                      <a:fillRect/>
                    </a:stretch>
                  </pic:blipFill>
                  <pic:spPr bwMode="auto">
                    <a:xfrm>
                      <a:off x="0" y="0"/>
                      <a:ext cx="3889375" cy="7620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-56515</wp:posOffset>
            </wp:positionV>
            <wp:extent cx="3889375" cy="762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3">
                      <a:extLst>
                        <a:ext uri="{28A0092B-C50C-407E-A947-70E740481C1C}"/>
                      </a:extLst>
                    </a:blip>
                    <a:srcRect/>
                    <a:stretch>
                      <a:fillRect/>
                    </a:stretch>
                  </pic:blipFill>
                  <pic:spPr bwMode="auto">
                    <a:xfrm>
                      <a:off x="0" y="0"/>
                      <a:ext cx="3889375"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hanging="370"/>
        <w:spacing w:after="0"/>
        <w:tabs>
          <w:tab w:leader="none" w:pos="7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repledged assets received as collateral from counterparties and securities sold but not yet settled.</w:t>
      </w:r>
    </w:p>
    <w:p>
      <w:pPr>
        <w:spacing w:after="0" w:line="6" w:lineRule="exact"/>
        <w:rPr>
          <w:rFonts w:ascii="Times New Roman" w:cs="Times New Roman" w:eastAsia="Times New Roman" w:hAnsi="Times New Roman"/>
          <w:sz w:val="16"/>
          <w:szCs w:val="16"/>
          <w:color w:val="auto"/>
        </w:rPr>
      </w:pPr>
    </w:p>
    <w:p>
      <w:pPr>
        <w:ind w:left="720" w:right="20" w:hanging="370"/>
        <w:spacing w:after="0" w:line="260" w:lineRule="auto"/>
        <w:tabs>
          <w:tab w:leader="none" w:pos="7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$42 million and $49 million of retained interests in our consolidated VIEs pledged as collateral under repurchase agreements as of December 31, 2023 and 2022, respectively.</w:t>
      </w:r>
    </w:p>
    <w:p>
      <w:pPr>
        <w:spacing w:after="0" w:line="137" w:lineRule="exact"/>
        <w:rPr>
          <w:sz w:val="20"/>
          <w:szCs w:val="20"/>
          <w:color w:val="auto"/>
        </w:rPr>
      </w:pPr>
    </w:p>
    <w:p>
      <w:pPr>
        <w:jc w:val="both"/>
        <w:ind w:right="20" w:firstLine="495"/>
        <w:spacing w:after="0" w:line="261" w:lineRule="auto"/>
        <w:rPr>
          <w:sz w:val="20"/>
          <w:szCs w:val="20"/>
          <w:color w:val="auto"/>
        </w:rPr>
      </w:pPr>
      <w:r>
        <w:rPr>
          <w:rFonts w:ascii="Times New Roman" w:cs="Times New Roman" w:eastAsia="Times New Roman" w:hAnsi="Times New Roman"/>
          <w:sz w:val="20"/>
          <w:szCs w:val="20"/>
          <w:color w:val="auto"/>
        </w:rPr>
        <w:t>The following table summarizes our securities pledged as collateral under our repurchase agreements by the remaining maturity of our borrowings, including securities pledged related to sold but not yet settled securities, as of December 31, 2023 and 2022 (in millions). For the corresponding borrowings associated with the following amounts and the interest rates thereon, refer to Note 4</w:t>
      </w:r>
      <w:r>
        <w:rPr>
          <w:rFonts w:ascii="Times New Roman" w:cs="Times New Roman" w:eastAsia="Times New Roman" w:hAnsi="Times New Roman"/>
          <w:sz w:val="20"/>
          <w:szCs w:val="20"/>
          <w:b w:val="1"/>
          <w:bCs w:val="1"/>
          <w:i w:val="1"/>
          <w:iCs w:val="1"/>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of</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20" w:type="dxa"/>
            <w:vAlign w:val="bottom"/>
          </w:tcPr>
          <w:p>
            <w:pPr>
              <w:spacing w:after="0"/>
              <w:rPr>
                <w:sz w:val="15"/>
                <w:szCs w:val="15"/>
                <w:color w:val="auto"/>
              </w:rPr>
            </w:pPr>
          </w:p>
        </w:tc>
        <w:tc>
          <w:tcPr>
            <w:tcW w:w="820" w:type="dxa"/>
            <w:vAlign w:val="bottom"/>
          </w:tcPr>
          <w:p>
            <w:pPr>
              <w:jc w:val="center"/>
              <w:ind w:right="40"/>
              <w:spacing w:after="0" w:line="181" w:lineRule="exact"/>
              <w:rPr>
                <w:sz w:val="20"/>
                <w:szCs w:val="20"/>
                <w:color w:val="auto"/>
              </w:rPr>
            </w:pPr>
            <w:r>
              <w:rPr>
                <w:rFonts w:ascii="Times New Roman" w:cs="Times New Roman" w:eastAsia="Times New Roman" w:hAnsi="Times New Roman"/>
                <w:sz w:val="16"/>
                <w:szCs w:val="16"/>
                <w:b w:val="1"/>
                <w:bCs w:val="1"/>
                <w:color w:val="auto"/>
              </w:rPr>
              <w:t>Accrued</w:t>
            </w:r>
          </w:p>
        </w:tc>
        <w:tc>
          <w:tcPr>
            <w:tcW w:w="80" w:type="dxa"/>
            <w:vAlign w:val="bottom"/>
          </w:tcPr>
          <w:p>
            <w:pPr>
              <w:spacing w:after="0"/>
              <w:rPr>
                <w:sz w:val="15"/>
                <w:szCs w:val="15"/>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of</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40" w:type="dxa"/>
            <w:vAlign w:val="bottom"/>
          </w:tcPr>
          <w:p>
            <w:pPr>
              <w:spacing w:after="0"/>
              <w:rPr>
                <w:sz w:val="15"/>
                <w:szCs w:val="15"/>
                <w:color w:val="auto"/>
              </w:rPr>
            </w:pPr>
          </w:p>
        </w:tc>
        <w:tc>
          <w:tcPr>
            <w:tcW w:w="800" w:type="dxa"/>
            <w:vAlign w:val="bottom"/>
          </w:tcPr>
          <w:p>
            <w:pPr>
              <w:jc w:val="center"/>
              <w:ind w:right="60"/>
              <w:spacing w:after="0" w:line="181" w:lineRule="exact"/>
              <w:rPr>
                <w:sz w:val="20"/>
                <w:szCs w:val="20"/>
                <w:color w:val="auto"/>
              </w:rPr>
            </w:pPr>
            <w:r>
              <w:rPr>
                <w:rFonts w:ascii="Times New Roman" w:cs="Times New Roman" w:eastAsia="Times New Roman" w:hAnsi="Times New Roman"/>
                <w:sz w:val="16"/>
                <w:szCs w:val="16"/>
                <w:b w:val="1"/>
                <w:bCs w:val="1"/>
                <w:color w:val="auto"/>
              </w:rPr>
              <w:t>Accrued</w:t>
            </w:r>
          </w:p>
        </w:tc>
        <w:tc>
          <w:tcPr>
            <w:tcW w:w="0" w:type="dxa"/>
            <w:vAlign w:val="bottom"/>
          </w:tcPr>
          <w:p>
            <w:pPr>
              <w:spacing w:after="0"/>
              <w:rPr>
                <w:sz w:val="1"/>
                <w:szCs w:val="1"/>
                <w:color w:val="auto"/>
              </w:rPr>
            </w:pPr>
          </w:p>
        </w:tc>
      </w:tr>
      <w:tr>
        <w:trPr>
          <w:trHeight w:val="160"/>
        </w:trPr>
        <w:tc>
          <w:tcPr>
            <w:tcW w:w="3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Securities Pledged by Remaining Maturity of</w:t>
            </w: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Cost of</w:t>
            </w: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Interest on</w:t>
            </w:r>
          </w:p>
        </w:tc>
        <w:tc>
          <w:tcPr>
            <w:tcW w:w="8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Cost of</w:t>
            </w:r>
          </w:p>
        </w:tc>
        <w:tc>
          <w:tcPr>
            <w:tcW w:w="9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Interest on</w:t>
            </w:r>
          </w:p>
        </w:tc>
        <w:tc>
          <w:tcPr>
            <w:tcW w:w="0" w:type="dxa"/>
            <w:vAlign w:val="bottom"/>
          </w:tcPr>
          <w:p>
            <w:pPr>
              <w:spacing w:after="0"/>
              <w:rPr>
                <w:sz w:val="1"/>
                <w:szCs w:val="1"/>
                <w:color w:val="auto"/>
              </w:rPr>
            </w:pPr>
          </w:p>
        </w:tc>
      </w:tr>
      <w:tr>
        <w:trPr>
          <w:trHeight w:val="160"/>
        </w:trPr>
        <w:tc>
          <w:tcPr>
            <w:tcW w:w="3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Pledged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Pledged</w:t>
            </w:r>
          </w:p>
        </w:tc>
        <w:tc>
          <w:tcPr>
            <w:tcW w:w="120" w:type="dxa"/>
            <w:vAlign w:val="bottom"/>
          </w:tcPr>
          <w:p>
            <w:pPr>
              <w:spacing w:after="0"/>
              <w:rPr>
                <w:sz w:val="13"/>
                <w:szCs w:val="13"/>
                <w:color w:val="auto"/>
              </w:rPr>
            </w:pPr>
          </w:p>
        </w:tc>
        <w:tc>
          <w:tcPr>
            <w:tcW w:w="820" w:type="dxa"/>
            <w:vAlign w:val="bottom"/>
          </w:tcPr>
          <w:p>
            <w:pPr>
              <w:jc w:val="center"/>
              <w:ind w:right="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Pledged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rPr>
              <w:t>Pledged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Pledged</w:t>
            </w:r>
          </w:p>
        </w:tc>
        <w:tc>
          <w:tcPr>
            <w:tcW w:w="140" w:type="dxa"/>
            <w:vAlign w:val="bottom"/>
          </w:tcPr>
          <w:p>
            <w:pPr>
              <w:spacing w:after="0"/>
              <w:rPr>
                <w:sz w:val="13"/>
                <w:szCs w:val="13"/>
                <w:color w:val="auto"/>
              </w:rPr>
            </w:pPr>
          </w:p>
        </w:tc>
        <w:tc>
          <w:tcPr>
            <w:tcW w:w="80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Pledged</w:t>
            </w:r>
          </w:p>
        </w:tc>
        <w:tc>
          <w:tcPr>
            <w:tcW w:w="0" w:type="dxa"/>
            <w:vAlign w:val="bottom"/>
          </w:tcPr>
          <w:p>
            <w:pPr>
              <w:spacing w:after="0"/>
              <w:rPr>
                <w:sz w:val="1"/>
                <w:szCs w:val="1"/>
                <w:color w:val="auto"/>
              </w:rPr>
            </w:pPr>
          </w:p>
        </w:tc>
      </w:tr>
      <w:tr>
        <w:trPr>
          <w:trHeight w:val="214"/>
        </w:trPr>
        <w:tc>
          <w:tcPr>
            <w:tcW w:w="3600" w:type="dxa"/>
            <w:vAlign w:val="bottom"/>
            <w:tcBorders>
              <w:bottom w:val="single" w:sz="8" w:color="auto"/>
            </w:tcBorders>
          </w:tcPr>
          <w:p>
            <w:pPr>
              <w:ind w:left="40"/>
              <w:spacing w:after="0" w:line="214" w:lineRule="exact"/>
              <w:rPr>
                <w:sz w:val="20"/>
                <w:szCs w:val="20"/>
                <w:color w:val="auto"/>
              </w:rPr>
            </w:pPr>
            <w:r>
              <w:rPr>
                <w:rFonts w:ascii="Times New Roman" w:cs="Times New Roman" w:eastAsia="Times New Roman" w:hAnsi="Times New Roman"/>
                <w:sz w:val="16"/>
                <w:szCs w:val="16"/>
                <w:b w:val="1"/>
                <w:bCs w:val="1"/>
                <w:color w:val="auto"/>
              </w:rPr>
              <w:t xml:space="preserve">Repurchase Agreements </w:t>
            </w:r>
            <w:r>
              <w:rPr>
                <w:rFonts w:ascii="Times New Roman" w:cs="Times New Roman" w:eastAsia="Times New Roman" w:hAnsi="Times New Roman"/>
                <w:sz w:val="20"/>
                <w:szCs w:val="20"/>
                <w:b w:val="1"/>
                <w:bCs w:val="1"/>
                <w:color w:val="auto"/>
                <w:vertAlign w:val="superscript"/>
              </w:rPr>
              <w:t>1,2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0" w:type="dxa"/>
            <w:vAlign w:val="bottom"/>
          </w:tcPr>
          <w:p>
            <w:pPr>
              <w:spacing w:after="0"/>
              <w:rPr>
                <w:sz w:val="1"/>
                <w:szCs w:val="1"/>
                <w:color w:val="auto"/>
              </w:rPr>
            </w:pPr>
          </w:p>
        </w:tc>
      </w:tr>
      <w:tr>
        <w:trPr>
          <w:trHeight w:val="259"/>
        </w:trPr>
        <w:tc>
          <w:tcPr>
            <w:tcW w:w="3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 1 month </w:t>
            </w:r>
            <w:r>
              <w:rPr>
                <w:rFonts w:ascii="Times New Roman" w:cs="Times New Roman" w:eastAsia="Times New Roman" w:hAnsi="Times New Roman"/>
                <w:sz w:val="16"/>
                <w:szCs w:val="16"/>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44,918</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85"/>
        </w:trPr>
        <w:tc>
          <w:tcPr>
            <w:tcW w:w="3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&gt; 1 and ≤ 2 months </w:t>
            </w:r>
            <w:r>
              <w:rPr>
                <w:rFonts w:ascii="Times New Roman" w:cs="Times New Roman" w:eastAsia="Times New Roman" w:hAnsi="Times New Roman"/>
                <w:sz w:val="16"/>
                <w:szCs w:val="16"/>
                <w:color w:val="B4B4B4"/>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85"/>
        </w:trPr>
        <w:tc>
          <w:tcPr>
            <w:tcW w:w="3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&gt; 2 and ≤ 3 months </w:t>
            </w:r>
            <w:r>
              <w:rPr>
                <w:rFonts w:ascii="Times New Roman" w:cs="Times New Roman" w:eastAsia="Times New Roman" w:hAnsi="Times New Roman"/>
                <w:sz w:val="16"/>
                <w:szCs w:val="16"/>
                <w:color w:val="B4B4B4"/>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1"/>
        </w:trPr>
        <w:tc>
          <w:tcPr>
            <w:tcW w:w="3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&gt; 3 months </w:t>
            </w:r>
            <w:r>
              <w:rPr>
                <w:rFonts w:ascii="Times New Roman" w:cs="Times New Roman" w:eastAsia="Times New Roman" w:hAnsi="Times New Roman"/>
                <w:sz w:val="16"/>
                <w:szCs w:val="16"/>
                <w:color w:val="B4B4B4"/>
              </w:rPr>
              <w:t>...................................................................</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45"/>
        </w:trPr>
        <w:tc>
          <w:tcPr>
            <w:tcW w:w="3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53,934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-56515</wp:posOffset>
            </wp:positionV>
            <wp:extent cx="4194175" cy="762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14">
                      <a:extLst>
                        <a:ext uri="{28A0092B-C50C-407E-A947-70E740481C1C}"/>
                      </a:extLst>
                    </a:blip>
                    <a:srcRect/>
                    <a:stretch>
                      <a:fillRect/>
                    </a:stretch>
                  </pic:blipFill>
                  <pic:spPr bwMode="auto">
                    <a:xfrm>
                      <a:off x="0" y="0"/>
                      <a:ext cx="4194175"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60"/>
          </w:cols>
          <w:pgMar w:left="1000" w:top="793" w:right="980" w:bottom="0" w:gutter="0" w:footer="0" w:header="0"/>
          <w:type w:val="continuous"/>
        </w:sectPr>
      </w:pPr>
    </w:p>
    <w:bookmarkStart w:id="80" w:name="page81"/>
    <w:bookmarkEnd w:id="80"/>
    <w:p>
      <w:pPr>
        <w:ind w:left="720" w:right="600" w:hanging="370"/>
        <w:spacing w:after="0" w:line="261" w:lineRule="auto"/>
        <w:tabs>
          <w:tab w:leader="none" w:pos="7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$42 million and $49 million of retained interests in our consolidated VIEs pledged as collateral under repurchase agreements as of December 31, 2023 and 2022, respectively.</w:t>
      </w:r>
    </w:p>
    <w:p>
      <w:pPr>
        <w:ind w:left="720" w:hanging="370"/>
        <w:spacing w:after="0"/>
        <w:tabs>
          <w:tab w:leader="none" w:pos="7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$397 million of repledged U.S. Treasury securities received as collateral from counterparties as of December 31,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Assets Pledged from Counterparties</w:t>
      </w:r>
    </w:p>
    <w:p>
      <w:pPr>
        <w:spacing w:after="0" w:line="199"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As of December 31, 2023 and 2022, we had assets pledged to us from counterparties as collateral under our reverse repurchase and derivative agreements summarized in the tables below (in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Reverse</w:t>
            </w:r>
          </w:p>
        </w:tc>
        <w:tc>
          <w:tcPr>
            <w:tcW w:w="80" w:type="dxa"/>
            <w:vAlign w:val="bottom"/>
          </w:tcPr>
          <w:p>
            <w:pPr>
              <w:spacing w:after="0"/>
              <w:rPr>
                <w:sz w:val="16"/>
                <w:szCs w:val="16"/>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6"/>
                <w:szCs w:val="16"/>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Reverse</w:t>
            </w:r>
          </w:p>
        </w:tc>
        <w:tc>
          <w:tcPr>
            <w:tcW w:w="80" w:type="dxa"/>
            <w:vAlign w:val="bottom"/>
          </w:tcPr>
          <w:p>
            <w:pPr>
              <w:spacing w:after="0"/>
              <w:rPr>
                <w:sz w:val="16"/>
                <w:szCs w:val="16"/>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6"/>
                <w:szCs w:val="16"/>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Repurchase</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 Pledged to AGNC</w:t>
            </w:r>
          </w:p>
        </w:tc>
        <w:tc>
          <w:tcPr>
            <w:tcW w:w="80" w:type="dxa"/>
            <w:vAlign w:val="bottom"/>
            <w:vMerge w:val="restart"/>
          </w:tcPr>
          <w:p>
            <w:pPr>
              <w:spacing w:after="0"/>
              <w:rPr>
                <w:sz w:val="13"/>
                <w:szCs w:val="13"/>
                <w:color w:val="auto"/>
              </w:rPr>
            </w:pPr>
          </w:p>
        </w:tc>
        <w:tc>
          <w:tcPr>
            <w:tcW w:w="94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Repurchase</w:t>
            </w: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3"/>
                <w:szCs w:val="13"/>
                <w:color w:val="auto"/>
              </w:rPr>
            </w:pPr>
          </w:p>
        </w:tc>
        <w:tc>
          <w:tcPr>
            <w:tcW w:w="94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Repurchase</w:t>
            </w: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80" w:type="dxa"/>
            <w:vAlign w:val="bottom"/>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80" w:type="dxa"/>
            <w:vAlign w:val="bottom"/>
          </w:tcPr>
          <w:p>
            <w:pPr>
              <w:spacing w:after="0"/>
              <w:rPr>
                <w:sz w:val="18"/>
                <w:szCs w:val="18"/>
                <w:color w:val="auto"/>
              </w:rPr>
            </w:pPr>
          </w:p>
        </w:tc>
        <w:tc>
          <w:tcPr>
            <w:tcW w:w="9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80" w:type="dxa"/>
            <w:vAlign w:val="bottom"/>
          </w:tcPr>
          <w:p>
            <w:pPr>
              <w:spacing w:after="0"/>
              <w:rPr>
                <w:sz w:val="18"/>
                <w:szCs w:val="18"/>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U.S. Treasury securities - fair</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11,667</w:t>
            </w:r>
          </w:p>
        </w:tc>
        <w:tc>
          <w:tcPr>
            <w:tcW w:w="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1"/>
              </w:rPr>
              <w:t>306</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11,973</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6,572</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0" w:type="dxa"/>
            <w:vAlign w:val="bottom"/>
          </w:tcPr>
          <w:p>
            <w:pPr>
              <w:spacing w:after="0"/>
              <w:rPr>
                <w:sz w:val="1"/>
                <w:szCs w:val="1"/>
                <w:color w:val="auto"/>
              </w:rPr>
            </w:pPr>
          </w:p>
        </w:tc>
      </w:tr>
      <w:tr>
        <w:trPr>
          <w:trHeight w:val="209"/>
        </w:trPr>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value </w:t>
            </w:r>
            <w:r>
              <w:rPr>
                <w:rFonts w:ascii="Times New Roman" w:cs="Times New Roman" w:eastAsia="Times New Roman" w:hAnsi="Times New Roman"/>
                <w:sz w:val="16"/>
                <w:szCs w:val="16"/>
                <w:color w:val="B4B4B4"/>
              </w:rPr>
              <w:t>...................................</w:t>
            </w: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Cash </w:t>
            </w:r>
            <w:r>
              <w:rPr>
                <w:rFonts w:ascii="Times New Roman" w:cs="Times New Roman" w:eastAsia="Times New Roman" w:hAnsi="Times New Roman"/>
                <w:sz w:val="16"/>
                <w:szCs w:val="16"/>
                <w:color w:val="B4B4B4"/>
              </w:rPr>
              <w:t>........................................</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45"/>
        </w:trPr>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1"/>
              </w:rPr>
              <w:t>355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12,111</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6,618</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-56515</wp:posOffset>
            </wp:positionV>
            <wp:extent cx="5184775" cy="762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15">
                      <a:extLst>
                        <a:ext uri="{28A0092B-C50C-407E-A947-70E740481C1C}"/>
                      </a:extLst>
                    </a:blip>
                    <a:srcRect/>
                    <a:stretch>
                      <a:fillRect/>
                    </a:stretch>
                  </pic:blipFill>
                  <pic:spPr bwMode="auto">
                    <a:xfrm>
                      <a:off x="0" y="0"/>
                      <a:ext cx="5184775" cy="7620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Offsetting Assets and Liabilities</w:t>
      </w:r>
    </w:p>
    <w:p>
      <w:pPr>
        <w:spacing w:after="0" w:line="199"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20"/>
          <w:szCs w:val="20"/>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December 31, 2023 and 2022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gridSpan w:val="10"/>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Offsetting of Financial and Derivative Assets</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3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Net Amounts</w:t>
            </w:r>
          </w:p>
        </w:tc>
        <w:tc>
          <w:tcPr>
            <w:tcW w:w="160" w:type="dxa"/>
            <w:vAlign w:val="bottom"/>
          </w:tcPr>
          <w:p>
            <w:pPr>
              <w:spacing w:after="0"/>
              <w:rPr>
                <w:sz w:val="24"/>
                <w:szCs w:val="24"/>
                <w:color w:val="auto"/>
              </w:rPr>
            </w:pPr>
          </w:p>
        </w:tc>
        <w:tc>
          <w:tcPr>
            <w:tcW w:w="19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Gross Amounts Not Offset</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of Assets</w:t>
            </w:r>
          </w:p>
        </w:tc>
        <w:tc>
          <w:tcPr>
            <w:tcW w:w="160" w:type="dxa"/>
            <w:vAlign w:val="bottom"/>
          </w:tcPr>
          <w:p>
            <w:pPr>
              <w:spacing w:after="0"/>
              <w:rPr>
                <w:sz w:val="13"/>
                <w:szCs w:val="13"/>
                <w:color w:val="auto"/>
              </w:rPr>
            </w:pPr>
          </w:p>
        </w:tc>
        <w:tc>
          <w:tcPr>
            <w:tcW w:w="1980" w:type="dxa"/>
            <w:vAlign w:val="bottom"/>
            <w:gridSpan w:val="4"/>
          </w:tcPr>
          <w:p>
            <w:pPr>
              <w:jc w:val="center"/>
              <w:ind w:right="40"/>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 the</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Amounts</w:t>
            </w:r>
          </w:p>
        </w:tc>
        <w:tc>
          <w:tcPr>
            <w:tcW w:w="80" w:type="dxa"/>
            <w:vAlign w:val="bottom"/>
          </w:tcPr>
          <w:p>
            <w:pPr>
              <w:spacing w:after="0"/>
              <w:rPr>
                <w:sz w:val="15"/>
                <w:szCs w:val="15"/>
                <w:color w:val="auto"/>
              </w:rPr>
            </w:pPr>
          </w:p>
        </w:tc>
        <w:tc>
          <w:tcPr>
            <w:tcW w:w="110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Presented in</w:t>
            </w:r>
          </w:p>
        </w:tc>
        <w:tc>
          <w:tcPr>
            <w:tcW w:w="2140" w:type="dxa"/>
            <w:vAlign w:val="bottom"/>
            <w:tcBorders>
              <w:bottom w:val="single" w:sz="8" w:color="auto"/>
            </w:tcBorders>
            <w:gridSpan w:val="5"/>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182"/>
              <w:spacing w:after="0" w:line="121"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020" w:type="dxa"/>
            <w:vAlign w:val="bottom"/>
            <w:gridSpan w:val="2"/>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Offset in the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rPr>
              <w:t>the</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Amounts of</w:t>
            </w:r>
          </w:p>
        </w:tc>
        <w:tc>
          <w:tcPr>
            <w:tcW w:w="80" w:type="dxa"/>
            <w:vAlign w:val="bottom"/>
          </w:tcPr>
          <w:p>
            <w:pPr>
              <w:spacing w:after="0"/>
              <w:rPr>
                <w:sz w:val="13"/>
                <w:szCs w:val="13"/>
                <w:color w:val="auto"/>
              </w:rPr>
            </w:pPr>
          </w:p>
        </w:tc>
        <w:tc>
          <w:tcPr>
            <w:tcW w:w="10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80" w:type="dxa"/>
            <w:vAlign w:val="bottom"/>
          </w:tcPr>
          <w:p>
            <w:pPr>
              <w:spacing w:after="0"/>
              <w:rPr>
                <w:sz w:val="13"/>
                <w:szCs w:val="13"/>
                <w:color w:val="auto"/>
              </w:rPr>
            </w:pPr>
          </w:p>
        </w:tc>
        <w:tc>
          <w:tcPr>
            <w:tcW w:w="110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60" w:type="dxa"/>
            <w:vAlign w:val="bottom"/>
          </w:tcPr>
          <w:p>
            <w:pPr>
              <w:spacing w:after="0"/>
              <w:rPr>
                <w:sz w:val="13"/>
                <w:szCs w:val="13"/>
                <w:color w:val="auto"/>
              </w:rPr>
            </w:pPr>
          </w:p>
        </w:tc>
        <w:tc>
          <w:tcPr>
            <w:tcW w:w="88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Recognized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14"/>
        </w:trPr>
        <w:tc>
          <w:tcPr>
            <w:tcW w:w="3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6"/>
              </w:rPr>
              <w:t>Sheets</w:t>
            </w:r>
          </w:p>
        </w:tc>
        <w:tc>
          <w:tcPr>
            <w:tcW w:w="80" w:type="dxa"/>
            <w:vAlign w:val="bottom"/>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0"/>
              <w:spacing w:after="0" w:line="214" w:lineRule="exact"/>
              <w:rPr>
                <w:sz w:val="20"/>
                <w:szCs w:val="20"/>
                <w:color w:val="auto"/>
              </w:rPr>
            </w:pPr>
            <w:r>
              <w:rPr>
                <w:rFonts w:ascii="Times New Roman" w:cs="Times New Roman" w:eastAsia="Times New Roman" w:hAnsi="Times New Roman"/>
                <w:sz w:val="16"/>
                <w:szCs w:val="16"/>
                <w:b w:val="1"/>
                <w:bCs w:val="1"/>
                <w:color w:val="auto"/>
                <w:w w:val="97"/>
              </w:rPr>
              <w:t xml:space="preserve">Received </w:t>
            </w:r>
            <w:r>
              <w:rPr>
                <w:rFonts w:ascii="Times New Roman" w:cs="Times New Roman" w:eastAsia="Times New Roman" w:hAnsi="Times New Roman"/>
                <w:sz w:val="20"/>
                <w:szCs w:val="20"/>
                <w:b w:val="1"/>
                <w:bCs w:val="1"/>
                <w:color w:val="auto"/>
                <w:w w:val="97"/>
                <w:vertAlign w:val="superscript"/>
              </w:rPr>
              <w:t>2</w:t>
            </w:r>
          </w:p>
        </w:tc>
        <w:tc>
          <w:tcPr>
            <w:tcW w:w="80" w:type="dxa"/>
            <w:vAlign w:val="bottom"/>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Interest rate swap and swaption agreements, at fair</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9"/>
        </w:trPr>
        <w:tc>
          <w:tcPr>
            <w:tcW w:w="3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value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B4B4B4"/>
              </w:rPr>
              <w:t>............................................................................</w:t>
            </w:r>
          </w:p>
        </w:tc>
        <w:tc>
          <w:tcPr>
            <w:tcW w:w="20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TBA securities, at fair value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3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Receivable under reverse repurchase agreements</w:t>
            </w:r>
            <w:r>
              <w:rPr>
                <w:rFonts w:ascii="Times New Roman" w:cs="Times New Roman" w:eastAsia="Times New Roman" w:hAnsi="Times New Roman"/>
                <w:sz w:val="16"/>
                <w:szCs w:val="16"/>
                <w:color w:val="B4B4B4"/>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11,618</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11,618</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5"/>
        </w:trPr>
        <w:tc>
          <w:tcPr>
            <w:tcW w:w="3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7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Interest rate swap and swaption agreements, at fair</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8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9"/>
        </w:trPr>
        <w:tc>
          <w:tcPr>
            <w:tcW w:w="3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value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20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TBA securities, at fair value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3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Receivable under reverse repurchase agreements</w:t>
            </w:r>
            <w:r>
              <w:rPr>
                <w:rFonts w:ascii="Times New Roman" w:cs="Times New Roman" w:eastAsia="Times New Roman" w:hAnsi="Times New Roman"/>
                <w:sz w:val="16"/>
                <w:szCs w:val="16"/>
                <w:color w:val="B4B4B4"/>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5"/>
        </w:trPr>
        <w:tc>
          <w:tcPr>
            <w:tcW w:w="3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2378075</wp:posOffset>
            </wp:positionH>
            <wp:positionV relativeFrom="paragraph">
              <wp:posOffset>-1132840</wp:posOffset>
            </wp:positionV>
            <wp:extent cx="4108450" cy="762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16">
                      <a:extLst>
                        <a:ext uri="{28A0092B-C50C-407E-A947-70E740481C1C}"/>
                      </a:extLst>
                    </a:blip>
                    <a:srcRect/>
                    <a:stretch>
                      <a:fillRect/>
                    </a:stretch>
                  </pic:blipFill>
                  <pic:spPr bwMode="auto">
                    <a:xfrm>
                      <a:off x="0" y="0"/>
                      <a:ext cx="4108450" cy="7620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-56515</wp:posOffset>
            </wp:positionV>
            <wp:extent cx="4108450" cy="762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17">
                      <a:extLst>
                        <a:ext uri="{28A0092B-C50C-407E-A947-70E740481C1C}"/>
                      </a:extLst>
                    </a:blip>
                    <a:srcRect/>
                    <a:stretch>
                      <a:fillRect/>
                    </a:stretch>
                  </pic:blipFill>
                  <pic:spPr bwMode="auto">
                    <a:xfrm>
                      <a:off x="0" y="0"/>
                      <a:ext cx="4108450" cy="76200"/>
                    </a:xfrm>
                    <a:prstGeom prst="rect">
                      <a:avLst/>
                    </a:prstGeom>
                    <a:noFill/>
                  </pic:spPr>
                </pic:pic>
              </a:graphicData>
            </a:graphic>
          </wp:anchor>
        </w:drawing>
      </w:r>
    </w:p>
    <w:p>
      <w:pPr>
        <w:sectPr>
          <w:pgSz w:w="12240" w:h="15840" w:orient="portrait"/>
          <w:cols w:equalWidth="0" w:num="1">
            <w:col w:w="10240"/>
          </w:cols>
          <w:pgMar w:left="1000" w:top="80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240"/>
          </w:cols>
          <w:pgMar w:left="1000" w:top="805" w:right="1000" w:bottom="0" w:gutter="0" w:footer="0" w:header="0"/>
          <w:type w:val="continuous"/>
        </w:sectPr>
      </w:pPr>
    </w:p>
    <w:bookmarkStart w:id="81" w:name="page82"/>
    <w:bookmarkEnd w:id="81"/>
    <w:tbl>
      <w:tblPr>
        <w:tblLayout w:type="fixed"/>
        <w:tblInd w:w="20" w:type="dxa"/>
        <w:tblCellMar>
          <w:top w:w="0" w:type="dxa"/>
          <w:left w:w="0" w:type="dxa"/>
          <w:bottom w:w="0" w:type="dxa"/>
          <w:right w:w="0" w:type="dxa"/>
        </w:tblCellMar>
      </w:tblP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10"/>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Offsetting of Financial and Derivative Liabilities</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23"/>
                <w:szCs w:val="23"/>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Net Amounts</w:t>
            </w:r>
          </w:p>
        </w:tc>
        <w:tc>
          <w:tcPr>
            <w:tcW w:w="160" w:type="dxa"/>
            <w:vAlign w:val="bottom"/>
          </w:tcPr>
          <w:p>
            <w:pPr>
              <w:spacing w:after="0"/>
              <w:rPr>
                <w:sz w:val="23"/>
                <w:szCs w:val="23"/>
                <w:color w:val="auto"/>
              </w:rPr>
            </w:pPr>
          </w:p>
        </w:tc>
        <w:tc>
          <w:tcPr>
            <w:tcW w:w="19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Gross Amounts Not Offset</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rPr>
              <w:t>of Liabilities</w:t>
            </w:r>
          </w:p>
        </w:tc>
        <w:tc>
          <w:tcPr>
            <w:tcW w:w="160" w:type="dxa"/>
            <w:vAlign w:val="bottom"/>
          </w:tcPr>
          <w:p>
            <w:pPr>
              <w:spacing w:after="0"/>
              <w:rPr>
                <w:sz w:val="13"/>
                <w:szCs w:val="13"/>
                <w:color w:val="auto"/>
              </w:rPr>
            </w:pPr>
          </w:p>
        </w:tc>
        <w:tc>
          <w:tcPr>
            <w:tcW w:w="1960" w:type="dxa"/>
            <w:vAlign w:val="bottom"/>
            <w:gridSpan w:val="4"/>
          </w:tcPr>
          <w:p>
            <w:pPr>
              <w:jc w:val="center"/>
              <w:ind w:right="20"/>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 the</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Amounts</w:t>
            </w:r>
          </w:p>
        </w:tc>
        <w:tc>
          <w:tcPr>
            <w:tcW w:w="80" w:type="dxa"/>
            <w:vAlign w:val="bottom"/>
          </w:tcPr>
          <w:p>
            <w:pPr>
              <w:spacing w:after="0"/>
              <w:rPr>
                <w:sz w:val="13"/>
                <w:szCs w:val="13"/>
                <w:color w:val="auto"/>
              </w:rPr>
            </w:pPr>
          </w:p>
        </w:tc>
        <w:tc>
          <w:tcPr>
            <w:tcW w:w="110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8"/>
              </w:rPr>
              <w:t>Presented in</w:t>
            </w:r>
          </w:p>
        </w:tc>
        <w:tc>
          <w:tcPr>
            <w:tcW w:w="2120" w:type="dxa"/>
            <w:vAlign w:val="bottom"/>
            <w:gridSpan w:val="5"/>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right"/>
              <w:ind w:right="180"/>
              <w:spacing w:after="0" w:line="160" w:lineRule="exact"/>
              <w:rPr>
                <w:sz w:val="20"/>
                <w:szCs w:val="20"/>
                <w:color w:val="auto"/>
              </w:rPr>
            </w:pPr>
            <w:r>
              <w:rPr>
                <w:rFonts w:ascii="Times New Roman" w:cs="Times New Roman" w:eastAsia="Times New Roman" w:hAnsi="Times New Roman"/>
                <w:sz w:val="16"/>
                <w:szCs w:val="16"/>
                <w:b w:val="1"/>
                <w:bCs w:val="1"/>
                <w:color w:val="auto"/>
              </w:rPr>
              <w:t>Gross</w:t>
            </w:r>
          </w:p>
        </w:tc>
        <w:tc>
          <w:tcPr>
            <w:tcW w:w="60" w:type="dxa"/>
            <w:vAlign w:val="bottom"/>
            <w:vMerge w:val="restart"/>
          </w:tcPr>
          <w:p>
            <w:pPr>
              <w:spacing w:after="0"/>
              <w:rPr>
                <w:sz w:val="2"/>
                <w:szCs w:val="2"/>
                <w:color w:val="auto"/>
              </w:rPr>
            </w:pPr>
          </w:p>
        </w:tc>
        <w:tc>
          <w:tcPr>
            <w:tcW w:w="110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Offset in the</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vMerge w:val="restart"/>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the</w:t>
            </w: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3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Amounts of</w:t>
            </w:r>
          </w:p>
        </w:tc>
        <w:tc>
          <w:tcPr>
            <w:tcW w:w="60" w:type="dxa"/>
            <w:vAlign w:val="bottom"/>
          </w:tcPr>
          <w:p>
            <w:pPr>
              <w:spacing w:after="0"/>
              <w:rPr>
                <w:sz w:val="13"/>
                <w:szCs w:val="13"/>
                <w:color w:val="auto"/>
              </w:rPr>
            </w:pPr>
          </w:p>
        </w:tc>
        <w:tc>
          <w:tcPr>
            <w:tcW w:w="11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80" w:type="dxa"/>
            <w:vAlign w:val="bottom"/>
          </w:tcPr>
          <w:p>
            <w:pPr>
              <w:spacing w:after="0"/>
              <w:rPr>
                <w:sz w:val="13"/>
                <w:szCs w:val="13"/>
                <w:color w:val="auto"/>
              </w:rPr>
            </w:pPr>
          </w:p>
        </w:tc>
        <w:tc>
          <w:tcPr>
            <w:tcW w:w="110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160" w:type="dxa"/>
            <w:vAlign w:val="bottom"/>
          </w:tcPr>
          <w:p>
            <w:pPr>
              <w:spacing w:after="0"/>
              <w:rPr>
                <w:sz w:val="13"/>
                <w:szCs w:val="13"/>
                <w:color w:val="auto"/>
              </w:rPr>
            </w:pPr>
          </w:p>
        </w:tc>
        <w:tc>
          <w:tcPr>
            <w:tcW w:w="82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Recognized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14"/>
        </w:trPr>
        <w:tc>
          <w:tcPr>
            <w:tcW w:w="3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60" w:type="dxa"/>
            <w:vAlign w:val="bottom"/>
          </w:tcPr>
          <w:p>
            <w:pPr>
              <w:spacing w:after="0"/>
              <w:rPr>
                <w:sz w:val="18"/>
                <w:szCs w:val="18"/>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0"/>
              <w:spacing w:after="0" w:line="214" w:lineRule="exact"/>
              <w:rPr>
                <w:sz w:val="20"/>
                <w:szCs w:val="20"/>
                <w:color w:val="auto"/>
              </w:rPr>
            </w:pPr>
            <w:r>
              <w:rPr>
                <w:rFonts w:ascii="Times New Roman" w:cs="Times New Roman" w:eastAsia="Times New Roman" w:hAnsi="Times New Roman"/>
                <w:sz w:val="16"/>
                <w:szCs w:val="16"/>
                <w:b w:val="1"/>
                <w:bCs w:val="1"/>
                <w:color w:val="auto"/>
              </w:rPr>
              <w:t xml:space="preserve">Pledged </w:t>
            </w:r>
            <w:r>
              <w:rPr>
                <w:rFonts w:ascii="Times New Roman" w:cs="Times New Roman" w:eastAsia="Times New Roman" w:hAnsi="Times New Roman"/>
                <w:sz w:val="20"/>
                <w:szCs w:val="20"/>
                <w:b w:val="1"/>
                <w:bCs w:val="1"/>
                <w:color w:val="auto"/>
                <w:vertAlign w:val="superscript"/>
              </w:rPr>
              <w:t>2</w:t>
            </w:r>
          </w:p>
        </w:tc>
        <w:tc>
          <w:tcPr>
            <w:tcW w:w="80" w:type="dxa"/>
            <w:vAlign w:val="bottom"/>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3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TBA securities, at fair value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3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Repurchase agreements</w:t>
            </w:r>
            <w:r>
              <w:rPr>
                <w:rFonts w:ascii="Times New Roman" w:cs="Times New Roman" w:eastAsia="Times New Roman" w:hAnsi="Times New Roman"/>
                <w:sz w:val="16"/>
                <w:szCs w:val="16"/>
                <w:color w:val="B4B4B4"/>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50,426</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50,426</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(41,993)</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3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50,441</w:t>
            </w:r>
          </w:p>
        </w:tc>
        <w:tc>
          <w:tcPr>
            <w:tcW w:w="6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(41,993)</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7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TBA securities, at fair value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6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3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Repurchase agreements</w:t>
            </w:r>
            <w:r>
              <w:rPr>
                <w:rFonts w:ascii="Times New Roman" w:cs="Times New Roman" w:eastAsia="Times New Roman" w:hAnsi="Times New Roman"/>
                <w:sz w:val="16"/>
                <w:szCs w:val="16"/>
                <w:color w:val="B4B4B4"/>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(32,255)</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3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16"/>
                <w:szCs w:val="16"/>
                <w:color w:val="B4B4B4"/>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36,361</w:t>
            </w:r>
          </w:p>
        </w:tc>
        <w:tc>
          <w:tcPr>
            <w:tcW w:w="6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(32,255)</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2372995</wp:posOffset>
            </wp:positionH>
            <wp:positionV relativeFrom="paragraph">
              <wp:posOffset>-866140</wp:posOffset>
            </wp:positionV>
            <wp:extent cx="4137025" cy="762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18">
                      <a:extLst>
                        <a:ext uri="{28A0092B-C50C-407E-A947-70E740481C1C}"/>
                      </a:extLst>
                    </a:blip>
                    <a:srcRect/>
                    <a:stretch>
                      <a:fillRect/>
                    </a:stretch>
                  </pic:blipFill>
                  <pic:spPr bwMode="auto">
                    <a:xfrm>
                      <a:off x="0" y="0"/>
                      <a:ext cx="4137025" cy="76200"/>
                    </a:xfrm>
                    <a:prstGeom prst="rect">
                      <a:avLst/>
                    </a:prstGeom>
                    <a:noFill/>
                  </pic:spPr>
                </pic:pic>
              </a:graphicData>
            </a:graphic>
          </wp:anchor>
        </w:drawing>
        <w:drawing>
          <wp:anchor simplePos="0" relativeHeight="251657728" behindDoc="1" locked="0" layoutInCell="0" allowOverlap="1">
            <wp:simplePos x="0" y="0"/>
            <wp:positionH relativeFrom="column">
              <wp:posOffset>2372995</wp:posOffset>
            </wp:positionH>
            <wp:positionV relativeFrom="paragraph">
              <wp:posOffset>-56515</wp:posOffset>
            </wp:positionV>
            <wp:extent cx="4137025" cy="762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19">
                      <a:extLst>
                        <a:ext uri="{28A0092B-C50C-407E-A947-70E740481C1C}"/>
                      </a:extLst>
                    </a:blip>
                    <a:srcRect/>
                    <a:stretch>
                      <a:fillRect/>
                    </a:stretch>
                  </pic:blipFill>
                  <pic:spPr bwMode="auto">
                    <a:xfrm>
                      <a:off x="0" y="0"/>
                      <a:ext cx="4137025" cy="7620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right="200" w:hanging="370"/>
        <w:spacing w:after="0" w:line="249" w:lineRule="auto"/>
        <w:tabs>
          <w:tab w:leader="none" w:pos="7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under derivative assets / liabilities, at fair value in the accompanying consolidated balance sheets. Refer to Note 5 for a reconciliation of derivative assets / liabilities, at fair value to their sub-components.</w:t>
      </w:r>
    </w:p>
    <w:p>
      <w:pPr>
        <w:ind w:left="720" w:right="180" w:hanging="370"/>
        <w:spacing w:after="0" w:line="260" w:lineRule="auto"/>
        <w:tabs>
          <w:tab w:leader="none" w:pos="7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Fair Value Measurements</w:t>
      </w:r>
    </w:p>
    <w:p>
      <w:pPr>
        <w:spacing w:after="0" w:line="197" w:lineRule="exact"/>
        <w:rPr>
          <w:sz w:val="20"/>
          <w:szCs w:val="20"/>
          <w:color w:val="auto"/>
        </w:rPr>
      </w:pPr>
    </w:p>
    <w:p>
      <w:pPr>
        <w:jc w:val="both"/>
        <w:ind w:firstLine="495"/>
        <w:spacing w:after="0" w:line="260" w:lineRule="auto"/>
        <w:rPr>
          <w:sz w:val="20"/>
          <w:szCs w:val="20"/>
          <w:color w:val="auto"/>
        </w:rPr>
      </w:pPr>
      <w:r>
        <w:rPr>
          <w:rFonts w:ascii="Times New Roman" w:cs="Times New Roman" w:eastAsia="Times New Roman" w:hAnsi="Times New Roman"/>
          <w:sz w:val="20"/>
          <w:szCs w:val="20"/>
          <w:color w:val="auto"/>
        </w:rPr>
        <w:t>The following table provides a summary of our assets and liabilities that are measured at fair value on a recurring basis, as of December 31, 2023 and 2022, based on their categorization within the valuation hierarchy (in millions). There were no transfers between valuation hierarchy levels during the periods presented in our accompanying consolidated statements of comprehensive income.</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Agency securities </w:t>
            </w:r>
            <w:r>
              <w:rPr>
                <w:rFonts w:ascii="Times New Roman" w:cs="Times New Roman" w:eastAsia="Times New Roman" w:hAnsi="Times New Roman"/>
                <w:sz w:val="16"/>
                <w:szCs w:val="16"/>
                <w:color w:val="B4B4B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39,346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Agency securities transferred to consolidated VIEs</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Credit risk transfer securities</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Non-Agency securities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U.S. Treasury securities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1"/>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Swaptions </w:t>
            </w:r>
            <w:r>
              <w:rPr>
                <w:rFonts w:ascii="Times New Roman" w:cs="Times New Roman" w:eastAsia="Times New Roman" w:hAnsi="Times New Roman"/>
                <w:sz w:val="16"/>
                <w:szCs w:val="16"/>
                <w:color w:val="B4B4B4"/>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TBA securities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1"/>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U.S. Treasury futures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 xml:space="preserve">Total </w:t>
            </w:r>
            <w:r>
              <w:rPr>
                <w:rFonts w:ascii="Times New Roman" w:cs="Times New Roman" w:eastAsia="Times New Roman" w:hAnsi="Times New Roman"/>
                <w:sz w:val="16"/>
                <w:szCs w:val="16"/>
                <w:color w:val="B4B4B4"/>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Debt of consolidated VIEs </w:t>
            </w:r>
            <w:r>
              <w:rPr>
                <w:rFonts w:ascii="Times New Roman" w:cs="Times New Roman" w:eastAsia="Times New Roman" w:hAnsi="Times New Roman"/>
                <w:sz w:val="16"/>
                <w:szCs w:val="16"/>
                <w:color w:val="B4B4B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Obligation to return U.S. Treasury securities borrowed under</w:t>
            </w: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reverse repurchase agreements </w:t>
            </w:r>
            <w:r>
              <w:rPr>
                <w:rFonts w:ascii="Times New Roman" w:cs="Times New Roman" w:eastAsia="Times New Roman" w:hAnsi="Times New Roman"/>
                <w:sz w:val="16"/>
                <w:szCs w:val="16"/>
                <w:color w:val="B4B4B4"/>
              </w:rPr>
              <w:t>..................................................</w:t>
            </w: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Interest rate swaps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Credit default swaps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TBA securities </w:t>
            </w:r>
            <w:r>
              <w:rPr>
                <w:rFonts w:ascii="Times New Roman" w:cs="Times New Roman" w:eastAsia="Times New Roman" w:hAnsi="Times New Roman"/>
                <w:sz w:val="16"/>
                <w:szCs w:val="16"/>
                <w:color w:val="B4B4B4"/>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U.S. Treasury futures </w:t>
            </w:r>
            <w:r>
              <w:rPr>
                <w:rFonts w:ascii="Times New Roman" w:cs="Times New Roman" w:eastAsia="Times New Roman" w:hAnsi="Times New Roman"/>
                <w:sz w:val="16"/>
                <w:szCs w:val="16"/>
                <w:color w:val="B4B4B4"/>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1"/>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SOFR Futures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4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 xml:space="preserve">Total </w:t>
            </w:r>
            <w:r>
              <w:rPr>
                <w:rFonts w:ascii="Times New Roman" w:cs="Times New Roman" w:eastAsia="Times New Roman" w:hAnsi="Times New Roman"/>
                <w:sz w:val="16"/>
                <w:szCs w:val="16"/>
                <w:color w:val="B4B4B4"/>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2720975</wp:posOffset>
            </wp:positionH>
            <wp:positionV relativeFrom="paragraph">
              <wp:posOffset>-1618615</wp:posOffset>
            </wp:positionV>
            <wp:extent cx="3784600" cy="762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20">
                      <a:extLst>
                        <a:ext uri="{28A0092B-C50C-407E-A947-70E740481C1C}"/>
                      </a:extLst>
                    </a:blip>
                    <a:srcRect/>
                    <a:stretch>
                      <a:fillRect/>
                    </a:stretch>
                  </pic:blipFill>
                  <pic:spPr bwMode="auto">
                    <a:xfrm>
                      <a:off x="0" y="0"/>
                      <a:ext cx="3784600" cy="7620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-56515</wp:posOffset>
            </wp:positionV>
            <wp:extent cx="3784600" cy="762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1">
                      <a:extLst>
                        <a:ext uri="{28A0092B-C50C-407E-A947-70E740481C1C}"/>
                      </a:extLst>
                    </a:blip>
                    <a:srcRect/>
                    <a:stretch>
                      <a:fillRect/>
                    </a:stretch>
                  </pic:blipFill>
                  <pic:spPr bwMode="auto">
                    <a:xfrm>
                      <a:off x="0" y="0"/>
                      <a:ext cx="3784600" cy="762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7" w:lineRule="exact"/>
        <w:rPr>
          <w:sz w:val="20"/>
          <w:szCs w:val="20"/>
          <w:color w:val="auto"/>
        </w:rPr>
      </w:pPr>
    </w:p>
    <w:p>
      <w:pPr>
        <w:jc w:val="both"/>
        <w:ind w:left="720" w:hanging="370"/>
        <w:spacing w:after="0" w:line="258" w:lineRule="auto"/>
        <w:tabs>
          <w:tab w:leader="none" w:pos="7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and 2022, the net fair value of our interest rate swaps excluding the recognition of variation margin settlements as a direct reduction of carrying value was a net asset (liability) of $2.9 billion and $4.5 billion, respectively, based on "Level 2" inputs. As of December 31, 2023 and 2022, the net fair value of our credit default swaps excluding the recognition of variation margin settlements was $(6) million and $(2) million, respectively, based on "Level 2" inputs. See Notes 2 and 5 for additional details.</w:t>
      </w:r>
    </w:p>
    <w:p>
      <w:pPr>
        <w:spacing w:after="0" w:line="232" w:lineRule="exact"/>
        <w:rPr>
          <w:sz w:val="20"/>
          <w:szCs w:val="20"/>
          <w:color w:val="auto"/>
        </w:rPr>
      </w:pPr>
    </w:p>
    <w:p>
      <w:pPr>
        <w:ind w:firstLine="495"/>
        <w:spacing w:after="0" w:line="281" w:lineRule="auto"/>
        <w:rPr>
          <w:sz w:val="20"/>
          <w:szCs w:val="20"/>
          <w:color w:val="auto"/>
        </w:rPr>
      </w:pPr>
      <w:r>
        <w:rPr>
          <w:rFonts w:ascii="Times New Roman" w:cs="Times New Roman" w:eastAsia="Times New Roman" w:hAnsi="Times New Roman"/>
          <w:sz w:val="20"/>
          <w:szCs w:val="20"/>
          <w:color w:val="auto"/>
        </w:rPr>
        <w:t>Excluded from the table above are financial instruments reported at cost and other mortgage credit investments reported under the equity method of accounting in our consolidated financial statements. As of December 31, 2023 and 2022, the fair</w:t>
      </w:r>
    </w:p>
    <w:p>
      <w:pPr>
        <w:sectPr>
          <w:pgSz w:w="12240" w:h="15840" w:orient="portrait"/>
          <w:cols w:equalWidth="0" w:num="1">
            <w:col w:w="10240"/>
          </w:cols>
          <w:pgMar w:left="1000" w:top="928" w:right="1000" w:bottom="0" w:gutter="0" w:footer="0" w:header="0"/>
        </w:sect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240"/>
          </w:cols>
          <w:pgMar w:left="1000" w:top="928" w:right="1000" w:bottom="0" w:gutter="0" w:footer="0" w:header="0"/>
          <w:type w:val="continuous"/>
        </w:sectPr>
      </w:pPr>
    </w:p>
    <w:bookmarkStart w:id="82" w:name="page83"/>
    <w:bookmarkEnd w:id="82"/>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value of our repurchase agreements approximated cost, as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December 31, 2023 and 2022, the carrying value of other mortgage credit investments reported under the equity method of accounting was $44 million and $25 million,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Net Income (Loss) Per Common Share</w:t>
      </w:r>
    </w:p>
    <w:p>
      <w:pPr>
        <w:spacing w:after="0" w:line="25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162" w:lineRule="exact"/>
        <w:rPr>
          <w:sz w:val="20"/>
          <w:szCs w:val="20"/>
          <w:color w:val="auto"/>
        </w:rPr>
      </w:pPr>
    </w:p>
    <w:tbl>
      <w:tblPr>
        <w:tblLayout w:type="fixed"/>
        <w:tblInd w:w="480" w:type="dxa"/>
        <w:tblCellMar>
          <w:top w:w="0" w:type="dxa"/>
          <w:left w:w="0" w:type="dxa"/>
          <w:bottom w:w="0" w:type="dxa"/>
          <w:right w:w="0" w:type="dxa"/>
        </w:tblCellMar>
      </w:tblPr>
      <w:tr>
        <w:trPr>
          <w:trHeight w:val="217"/>
        </w:trPr>
        <w:tc>
          <w:tcPr>
            <w:tcW w:w="6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6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common shares issued and outstanding</w:t>
            </w:r>
            <w:r>
              <w:rPr>
                <w:rFonts w:ascii="Times New Roman" w:cs="Times New Roman" w:eastAsia="Times New Roman" w:hAnsi="Times New Roman"/>
                <w:sz w:val="16"/>
                <w:szCs w:val="16"/>
                <w:color w:val="B4B4B4"/>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0" w:type="dxa"/>
            <w:vAlign w:val="bottom"/>
          </w:tcPr>
          <w:p>
            <w:pPr>
              <w:spacing w:after="0"/>
              <w:rPr>
                <w:sz w:val="1"/>
                <w:szCs w:val="1"/>
                <w:color w:val="auto"/>
              </w:rPr>
            </w:pPr>
          </w:p>
        </w:tc>
      </w:tr>
      <w:tr>
        <w:trPr>
          <w:trHeight w:val="261"/>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Weighted average number of fully vested restricted stock units outstanding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Weighted average number of common shares outstanding - basic </w:t>
            </w:r>
            <w:r>
              <w:rPr>
                <w:rFonts w:ascii="Times New Roman" w:cs="Times New Roman" w:eastAsia="Times New Roman" w:hAnsi="Times New Roman"/>
                <w:sz w:val="16"/>
                <w:szCs w:val="16"/>
                <w:color w:val="B4B4B4"/>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528.1</w:t>
            </w:r>
          </w:p>
        </w:tc>
        <w:tc>
          <w:tcPr>
            <w:tcW w:w="0" w:type="dxa"/>
            <w:vAlign w:val="bottom"/>
          </w:tcPr>
          <w:p>
            <w:pPr>
              <w:spacing w:after="0"/>
              <w:rPr>
                <w:sz w:val="1"/>
                <w:szCs w:val="1"/>
                <w:color w:val="auto"/>
              </w:rPr>
            </w:pPr>
          </w:p>
        </w:tc>
      </w:tr>
      <w:tr>
        <w:trPr>
          <w:trHeight w:val="261"/>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Weighted average number of dilutive unvested restricted stock units outstanding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5"/>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Weighted average number of common shares outstanding - diluted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530.0</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xml:space="preserve">Net income (loss) available (attributable) to common stockholders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2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60" w:type="dxa"/>
            <w:vAlign w:val="bottom"/>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xml:space="preserve">Net income (loss) per common share - basic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2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60" w:type="dxa"/>
            <w:vAlign w:val="bottom"/>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xml:space="preserve">Net income (loss) per common share - diluted </w:t>
            </w:r>
            <w:r>
              <w:rPr>
                <w:rFonts w:ascii="Times New Roman" w:cs="Times New Roman" w:eastAsia="Times New Roman" w:hAnsi="Times New Roman"/>
                <w:sz w:val="16"/>
                <w:szCs w:val="16"/>
                <w:color w:val="B4B4B4"/>
              </w:rPr>
              <w:t>...........................................................................................</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20" w:type="dxa"/>
            <w:vAlign w:val="bottom"/>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4544695</wp:posOffset>
            </wp:positionH>
            <wp:positionV relativeFrom="paragraph">
              <wp:posOffset>-542290</wp:posOffset>
            </wp:positionV>
            <wp:extent cx="1708150" cy="762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2">
                      <a:extLst>
                        <a:ext uri="{28A0092B-C50C-407E-A947-70E740481C1C}"/>
                      </a:extLst>
                    </a:blip>
                    <a:srcRect/>
                    <a:stretch>
                      <a:fillRect/>
                    </a:stretch>
                  </pic:blipFill>
                  <pic:spPr bwMode="auto">
                    <a:xfrm>
                      <a:off x="0" y="0"/>
                      <a:ext cx="1708150" cy="7620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-380365</wp:posOffset>
            </wp:positionV>
            <wp:extent cx="1708150" cy="762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23">
                      <a:extLst>
                        <a:ext uri="{28A0092B-C50C-407E-A947-70E740481C1C}"/>
                      </a:extLst>
                    </a:blip>
                    <a:srcRect/>
                    <a:stretch>
                      <a:fillRect/>
                    </a:stretch>
                  </pic:blipFill>
                  <pic:spPr bwMode="auto">
                    <a:xfrm>
                      <a:off x="0" y="0"/>
                      <a:ext cx="1708150" cy="7620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-218440</wp:posOffset>
            </wp:positionV>
            <wp:extent cx="1708150" cy="762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24">
                      <a:extLst>
                        <a:ext uri="{28A0092B-C50C-407E-A947-70E740481C1C}"/>
                      </a:extLst>
                    </a:blip>
                    <a:srcRect/>
                    <a:stretch>
                      <a:fillRect/>
                    </a:stretch>
                  </pic:blipFill>
                  <pic:spPr bwMode="auto">
                    <a:xfrm>
                      <a:off x="0" y="0"/>
                      <a:ext cx="1708150" cy="7620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-56515</wp:posOffset>
            </wp:positionV>
            <wp:extent cx="1708150" cy="762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25">
                      <a:extLst>
                        <a:ext uri="{28A0092B-C50C-407E-A947-70E740481C1C}"/>
                      </a:extLst>
                    </a:blip>
                    <a:srcRect/>
                    <a:stretch>
                      <a:fillRect/>
                    </a:stretch>
                  </pic:blipFill>
                  <pic:spPr bwMode="auto">
                    <a:xfrm>
                      <a:off x="0" y="0"/>
                      <a:ext cx="1708150" cy="76200"/>
                    </a:xfrm>
                    <a:prstGeom prst="rect">
                      <a:avLst/>
                    </a:prstGeom>
                    <a:noFill/>
                  </pic:spPr>
                </pic:pic>
              </a:graphicData>
            </a:graphic>
          </wp:anchor>
        </w:drawing>
      </w:r>
    </w:p>
    <w:p>
      <w:pPr>
        <w:spacing w:after="0" w:line="68"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For fiscal year 2022 1.1 million of potentially dilutive unvested time and performance based RSUs outstanding were excluded from the computation of diluted net income (loss) per common share because to do so would have been anti-dilutive for the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Stockholders' Equity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Preferred Stock</w:t>
      </w:r>
    </w:p>
    <w:p>
      <w:pPr>
        <w:spacing w:after="0" w:line="19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We are authorized to designate and issue up to 10.0 million shares of preferred stock in one or more classes or series. As of December 31, 2023 and 2022, 13,800, 10,350, 16,100, 23,000 and 6,900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 respectively, (referred to as "Series C, D, E, F and G Preferred Stock", respectively). As of December 31, 2023 and 2022, 13,000, 9,400, 16,100, 23,000 and 6,000 shares of Series C, D, E, F and G Preferred Stock, respectively, were issued and outstanding. Each share of preferred stock is represented by 1,000 depositary shares. Each share of preferred stock has a liquidation preference of $25,000 per share ($25 per depositary share).</w:t>
      </w:r>
    </w:p>
    <w:p>
      <w:pPr>
        <w:spacing w:after="0" w:line="149" w:lineRule="exact"/>
        <w:rPr>
          <w:sz w:val="20"/>
          <w:szCs w:val="20"/>
          <w:color w:val="auto"/>
        </w:rPr>
      </w:pPr>
    </w:p>
    <w:p>
      <w:pPr>
        <w:jc w:val="both"/>
        <w:ind w:right="20" w:firstLine="450"/>
        <w:spacing w:after="0" w:line="255" w:lineRule="auto"/>
        <w:rPr>
          <w:sz w:val="20"/>
          <w:szCs w:val="20"/>
          <w:color w:val="auto"/>
        </w:rPr>
      </w:pPr>
      <w:r>
        <w:rPr>
          <w:rFonts w:ascii="Times New Roman" w:cs="Times New Roman" w:eastAsia="Times New Roman" w:hAnsi="Times New Roman"/>
          <w:sz w:val="20"/>
          <w:szCs w:val="20"/>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50" w:lineRule="exact"/>
        <w:rPr>
          <w:sz w:val="20"/>
          <w:szCs w:val="20"/>
          <w:color w:val="auto"/>
        </w:rPr>
      </w:pPr>
    </w:p>
    <w:p>
      <w:pPr>
        <w:ind w:right="20"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includes a summary of preferred stock depositary shares issued and outstanding as of December 31, 2023 (dollars and shares in millions):</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260"/>
          </w:cols>
          <w:pgMar w:left="1000" w:top="793" w:right="980" w:bottom="0" w:gutter="0" w:footer="0" w:header="0"/>
          <w:type w:val="continuous"/>
        </w:sectPr>
      </w:pPr>
    </w:p>
    <w:bookmarkStart w:id="83" w:name="page84"/>
    <w:bookmarkEnd w:id="83"/>
    <w:tbl>
      <w:tblPr>
        <w:tblLayout w:type="fixed"/>
        <w:tblInd w:w="80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Depositary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vMerge w:val="restart"/>
          </w:tcPr>
          <w:p>
            <w:pPr>
              <w:jc w:val="center"/>
              <w:ind w:left="23"/>
              <w:spacing w:after="0"/>
              <w:rPr>
                <w:sz w:val="20"/>
                <w:szCs w:val="20"/>
                <w:color w:val="auto"/>
              </w:rPr>
            </w:pPr>
            <w:r>
              <w:rPr>
                <w:rFonts w:ascii="Times New Roman" w:cs="Times New Roman" w:eastAsia="Times New Roman" w:hAnsi="Times New Roman"/>
                <w:sz w:val="16"/>
                <w:szCs w:val="16"/>
                <w:b w:val="1"/>
                <w:bCs w:val="1"/>
                <w:color w:val="auto"/>
                <w:w w:val="91"/>
              </w:rPr>
              <w:t>Per</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70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First Optional</w:t>
            </w:r>
          </w:p>
        </w:tc>
        <w:tc>
          <w:tcPr>
            <w:tcW w:w="0" w:type="dxa"/>
            <w:vAlign w:val="bottom"/>
          </w:tcPr>
          <w:p>
            <w:pPr>
              <w:spacing w:after="0"/>
              <w:rPr>
                <w:sz w:val="1"/>
                <w:szCs w:val="1"/>
                <w:color w:val="auto"/>
              </w:rPr>
            </w:pPr>
          </w:p>
        </w:tc>
      </w:tr>
      <w:tr>
        <w:trPr>
          <w:trHeight w:val="155"/>
        </w:trPr>
        <w:tc>
          <w:tcPr>
            <w:tcW w:w="1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Issued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w w:val="95"/>
              </w:rPr>
              <w:t>Carrying</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20" w:type="dxa"/>
            <w:vAlign w:val="bottom"/>
          </w:tcPr>
          <w:p>
            <w:pPr>
              <w:jc w:val="center"/>
              <w:ind w:left="23"/>
              <w:spacing w:after="0" w:line="155" w:lineRule="exact"/>
              <w:rPr>
                <w:sz w:val="20"/>
                <w:szCs w:val="20"/>
                <w:color w:val="auto"/>
              </w:rPr>
            </w:pPr>
            <w:r>
              <w:rPr>
                <w:rFonts w:ascii="Times New Roman" w:cs="Times New Roman" w:eastAsia="Times New Roman" w:hAnsi="Times New Roman"/>
                <w:sz w:val="16"/>
                <w:szCs w:val="16"/>
                <w:b w:val="1"/>
                <w:bCs w:val="1"/>
                <w:color w:val="auto"/>
                <w:w w:val="96"/>
              </w:rPr>
              <w:t>Annum</w:t>
            </w:r>
          </w:p>
        </w:tc>
        <w:tc>
          <w:tcPr>
            <w:tcW w:w="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Redeemable Preferred</w:t>
            </w:r>
          </w:p>
        </w:tc>
        <w:tc>
          <w:tcPr>
            <w:tcW w:w="8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Issue Date</w:t>
            </w:r>
          </w:p>
        </w:tc>
        <w:tc>
          <w:tcPr>
            <w:tcW w:w="80" w:type="dxa"/>
            <w:vAlign w:val="bottom"/>
          </w:tcPr>
          <w:p>
            <w:pPr>
              <w:spacing w:after="0"/>
              <w:rPr>
                <w:sz w:val="13"/>
                <w:szCs w:val="13"/>
                <w:color w:val="auto"/>
              </w:rPr>
            </w:pPr>
          </w:p>
        </w:tc>
        <w:tc>
          <w:tcPr>
            <w:tcW w:w="9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2"/>
              </w:rPr>
              <w:t>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Liquidation</w:t>
            </w:r>
          </w:p>
        </w:tc>
        <w:tc>
          <w:tcPr>
            <w:tcW w:w="920" w:type="dxa"/>
            <w:vAlign w:val="bottom"/>
          </w:tcPr>
          <w:p>
            <w:pPr>
              <w:jc w:val="center"/>
              <w:ind w:left="23"/>
              <w:spacing w:after="0" w:line="155" w:lineRule="exact"/>
              <w:rPr>
                <w:sz w:val="20"/>
                <w:szCs w:val="20"/>
                <w:color w:val="auto"/>
              </w:rPr>
            </w:pPr>
            <w:r>
              <w:rPr>
                <w:rFonts w:ascii="Times New Roman" w:cs="Times New Roman" w:eastAsia="Times New Roman" w:hAnsi="Times New Roman"/>
                <w:sz w:val="16"/>
                <w:szCs w:val="16"/>
                <w:b w:val="1"/>
                <w:bCs w:val="1"/>
                <w:color w:val="auto"/>
                <w:w w:val="99"/>
              </w:rPr>
              <w:t>Dividend</w:t>
            </w:r>
          </w:p>
        </w:tc>
        <w:tc>
          <w:tcPr>
            <w:tcW w:w="80" w:type="dxa"/>
            <w:vAlign w:val="bottom"/>
          </w:tcPr>
          <w:p>
            <w:pPr>
              <w:spacing w:after="0"/>
              <w:rPr>
                <w:sz w:val="13"/>
                <w:szCs w:val="13"/>
                <w:color w:val="auto"/>
              </w:rPr>
            </w:pPr>
          </w:p>
        </w:tc>
        <w:tc>
          <w:tcPr>
            <w:tcW w:w="14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Redemption Date /</w:t>
            </w:r>
          </w:p>
        </w:tc>
        <w:tc>
          <w:tcPr>
            <w:tcW w:w="0" w:type="dxa"/>
            <w:vAlign w:val="bottom"/>
          </w:tcPr>
          <w:p>
            <w:pPr>
              <w:spacing w:after="0"/>
              <w:rPr>
                <w:sz w:val="1"/>
                <w:szCs w:val="1"/>
                <w:color w:val="auto"/>
              </w:rPr>
            </w:pPr>
          </w:p>
        </w:tc>
      </w:tr>
      <w:tr>
        <w:trPr>
          <w:trHeight w:val="208"/>
        </w:trPr>
        <w:tc>
          <w:tcPr>
            <w:tcW w:w="1700" w:type="dxa"/>
            <w:vAlign w:val="bottom"/>
            <w:tcBorders>
              <w:bottom w:val="single" w:sz="8" w:color="auto"/>
            </w:tcBorders>
          </w:tcPr>
          <w:p>
            <w:pPr>
              <w:ind w:left="620"/>
              <w:spacing w:after="0" w:line="208" w:lineRule="exact"/>
              <w:rPr>
                <w:sz w:val="20"/>
                <w:szCs w:val="20"/>
                <w:color w:val="auto"/>
              </w:rPr>
            </w:pPr>
            <w:r>
              <w:rPr>
                <w:rFonts w:ascii="Times New Roman" w:cs="Times New Roman" w:eastAsia="Times New Roman" w:hAnsi="Times New Roman"/>
                <w:sz w:val="16"/>
                <w:szCs w:val="16"/>
                <w:b w:val="1"/>
                <w:bCs w:val="1"/>
                <w:color w:val="auto"/>
              </w:rPr>
              <w:t xml:space="preserve">Stock </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Preference</w:t>
            </w:r>
          </w:p>
        </w:tc>
        <w:tc>
          <w:tcPr>
            <w:tcW w:w="920" w:type="dxa"/>
            <w:vAlign w:val="bottom"/>
            <w:tcBorders>
              <w:bottom w:val="single" w:sz="8" w:color="auto"/>
            </w:tcBorders>
          </w:tcPr>
          <w:p>
            <w:pPr>
              <w:jc w:val="center"/>
              <w:ind w:left="23"/>
              <w:spacing w:after="0" w:line="208" w:lineRule="exact"/>
              <w:rPr>
                <w:sz w:val="20"/>
                <w:szCs w:val="20"/>
                <w:color w:val="auto"/>
              </w:rPr>
            </w:pPr>
            <w:r>
              <w:rPr>
                <w:rFonts w:ascii="Times New Roman" w:cs="Times New Roman" w:eastAsia="Times New Roman" w:hAnsi="Times New Roman"/>
                <w:sz w:val="16"/>
                <w:szCs w:val="16"/>
                <w:b w:val="1"/>
                <w:bCs w:val="1"/>
                <w:color w:val="auto"/>
                <w:w w:val="87"/>
              </w:rPr>
              <w:t xml:space="preserve">Rate </w:t>
            </w:r>
            <w:r>
              <w:rPr>
                <w:rFonts w:ascii="Times New Roman" w:cs="Times New Roman" w:eastAsia="Times New Roman" w:hAnsi="Times New Roman"/>
                <w:sz w:val="20"/>
                <w:szCs w:val="20"/>
                <w:b w:val="1"/>
                <w:bCs w:val="1"/>
                <w:color w:val="auto"/>
                <w:w w:val="87"/>
                <w:vertAlign w:val="superscript"/>
              </w:rPr>
              <w:t>2,3</w:t>
            </w:r>
          </w:p>
        </w:tc>
        <w:tc>
          <w:tcPr>
            <w:tcW w:w="80" w:type="dxa"/>
            <w:vAlign w:val="bottom"/>
          </w:tcPr>
          <w:p>
            <w:pPr>
              <w:spacing w:after="0"/>
              <w:rPr>
                <w:sz w:val="18"/>
                <w:szCs w:val="18"/>
                <w:color w:val="auto"/>
              </w:rPr>
            </w:pPr>
          </w:p>
        </w:tc>
        <w:tc>
          <w:tcPr>
            <w:tcW w:w="1460" w:type="dxa"/>
            <w:vAlign w:val="bottom"/>
            <w:tcBorders>
              <w:bottom w:val="single" w:sz="8" w:color="auto"/>
            </w:tcBorders>
          </w:tcPr>
          <w:p>
            <w:pPr>
              <w:jc w:val="center"/>
              <w:spacing w:after="0" w:line="208" w:lineRule="exact"/>
              <w:rPr>
                <w:sz w:val="20"/>
                <w:szCs w:val="20"/>
                <w:color w:val="auto"/>
              </w:rPr>
            </w:pPr>
            <w:r>
              <w:rPr>
                <w:rFonts w:ascii="Times New Roman" w:cs="Times New Roman" w:eastAsia="Times New Roman" w:hAnsi="Times New Roman"/>
                <w:sz w:val="16"/>
                <w:szCs w:val="16"/>
                <w:b w:val="1"/>
                <w:bCs w:val="1"/>
                <w:color w:val="auto"/>
                <w:w w:val="93"/>
              </w:rPr>
              <w:t xml:space="preserve">Conversion Date </w:t>
            </w:r>
            <w:r>
              <w:rPr>
                <w:rFonts w:ascii="Times New Roman" w:cs="Times New Roman" w:eastAsia="Times New Roman" w:hAnsi="Times New Roman"/>
                <w:sz w:val="20"/>
                <w:szCs w:val="20"/>
                <w:b w:val="1"/>
                <w:bCs w:val="1"/>
                <w:color w:val="auto"/>
                <w:w w:val="93"/>
                <w:vertAlign w:val="superscript"/>
              </w:rPr>
              <w:t>3,4</w:t>
            </w:r>
          </w:p>
        </w:tc>
        <w:tc>
          <w:tcPr>
            <w:tcW w:w="0" w:type="dxa"/>
            <w:vAlign w:val="bottom"/>
          </w:tcPr>
          <w:p>
            <w:pPr>
              <w:spacing w:after="0"/>
              <w:rPr>
                <w:sz w:val="1"/>
                <w:szCs w:val="1"/>
                <w:color w:val="auto"/>
              </w:rPr>
            </w:pPr>
          </w:p>
        </w:tc>
      </w:tr>
      <w:tr>
        <w:trPr>
          <w:trHeight w:val="223"/>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Fixed-to-Floating Rate:</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 xml:space="preserve">Series C </w:t>
            </w:r>
            <w:r>
              <w:rPr>
                <w:rFonts w:ascii="Times New Roman" w:cs="Times New Roman" w:eastAsia="Times New Roman" w:hAnsi="Times New Roman"/>
                <w:sz w:val="16"/>
                <w:szCs w:val="16"/>
                <w:color w:val="B4B4B4"/>
                <w:w w:val="98"/>
              </w:rPr>
              <w:t>.....................</w:t>
            </w:r>
          </w:p>
        </w:tc>
        <w:tc>
          <w:tcPr>
            <w:tcW w:w="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August 22, 2017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325</w:t>
            </w:r>
          </w:p>
        </w:tc>
        <w:tc>
          <w:tcPr>
            <w:tcW w:w="920" w:type="dxa"/>
            <w:vAlign w:val="bottom"/>
          </w:tcPr>
          <w:p>
            <w:pPr>
              <w:jc w:val="center"/>
              <w:ind w:left="63"/>
              <w:spacing w:after="0"/>
              <w:rPr>
                <w:sz w:val="20"/>
                <w:szCs w:val="20"/>
                <w:color w:val="auto"/>
              </w:rPr>
            </w:pPr>
            <w:r>
              <w:rPr>
                <w:rFonts w:ascii="Times New Roman" w:cs="Times New Roman" w:eastAsia="Times New Roman" w:hAnsi="Times New Roman"/>
                <w:sz w:val="16"/>
                <w:szCs w:val="16"/>
                <w:color w:val="auto"/>
                <w:w w:val="94"/>
              </w:rPr>
              <w:t>10.775%</w:t>
            </w:r>
          </w:p>
        </w:tc>
        <w:tc>
          <w:tcPr>
            <w:tcW w:w="8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October 15, 2022</w:t>
            </w:r>
          </w:p>
        </w:tc>
        <w:tc>
          <w:tcPr>
            <w:tcW w:w="0" w:type="dxa"/>
            <w:vAlign w:val="bottom"/>
          </w:tcPr>
          <w:p>
            <w:pPr>
              <w:spacing w:after="0"/>
              <w:rPr>
                <w:sz w:val="1"/>
                <w:szCs w:val="1"/>
                <w:color w:val="auto"/>
              </w:rPr>
            </w:pPr>
          </w:p>
        </w:tc>
      </w:tr>
      <w:tr>
        <w:trPr>
          <w:trHeight w:val="255"/>
        </w:trPr>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 xml:space="preserve">Series D </w:t>
            </w:r>
            <w:r>
              <w:rPr>
                <w:rFonts w:ascii="Times New Roman" w:cs="Times New Roman" w:eastAsia="Times New Roman" w:hAnsi="Times New Roman"/>
                <w:sz w:val="16"/>
                <w:szCs w:val="16"/>
                <w:color w:val="B4B4B4"/>
                <w:w w:val="98"/>
              </w:rPr>
              <w:t>.....................</w:t>
            </w:r>
          </w:p>
        </w:tc>
        <w:tc>
          <w:tcPr>
            <w:tcW w:w="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March 6, 2019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235</w:t>
            </w:r>
          </w:p>
        </w:tc>
        <w:tc>
          <w:tcPr>
            <w:tcW w:w="920" w:type="dxa"/>
            <w:vAlign w:val="bottom"/>
          </w:tcPr>
          <w:p>
            <w:pPr>
              <w:jc w:val="center"/>
              <w:ind w:left="63"/>
              <w:spacing w:after="0"/>
              <w:rPr>
                <w:sz w:val="20"/>
                <w:szCs w:val="20"/>
                <w:color w:val="auto"/>
              </w:rPr>
            </w:pPr>
            <w:r>
              <w:rPr>
                <w:rFonts w:ascii="Times New Roman" w:cs="Times New Roman" w:eastAsia="Times New Roman" w:hAnsi="Times New Roman"/>
                <w:sz w:val="16"/>
                <w:szCs w:val="16"/>
                <w:color w:val="auto"/>
                <w:w w:val="93"/>
              </w:rPr>
              <w:t>6.875%</w:t>
            </w:r>
          </w:p>
        </w:tc>
        <w:tc>
          <w:tcPr>
            <w:tcW w:w="8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April 15, 2024</w:t>
            </w:r>
          </w:p>
        </w:tc>
        <w:tc>
          <w:tcPr>
            <w:tcW w:w="0" w:type="dxa"/>
            <w:vAlign w:val="bottom"/>
          </w:tcPr>
          <w:p>
            <w:pPr>
              <w:spacing w:after="0"/>
              <w:rPr>
                <w:sz w:val="1"/>
                <w:szCs w:val="1"/>
                <w:color w:val="auto"/>
              </w:rPr>
            </w:pPr>
          </w:p>
        </w:tc>
      </w:tr>
      <w:tr>
        <w:trPr>
          <w:trHeight w:val="255"/>
        </w:trPr>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9"/>
              </w:rPr>
              <w:t>Series E</w:t>
            </w:r>
            <w:r>
              <w:rPr>
                <w:rFonts w:ascii="Times New Roman" w:cs="Times New Roman" w:eastAsia="Times New Roman" w:hAnsi="Times New Roman"/>
                <w:sz w:val="16"/>
                <w:szCs w:val="16"/>
                <w:color w:val="B4B4B4"/>
                <w:w w:val="99"/>
              </w:rPr>
              <w:t>......................</w:t>
            </w:r>
          </w:p>
        </w:tc>
        <w:tc>
          <w:tcPr>
            <w:tcW w:w="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October 3, 2019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403</w:t>
            </w:r>
          </w:p>
        </w:tc>
        <w:tc>
          <w:tcPr>
            <w:tcW w:w="920" w:type="dxa"/>
            <w:vAlign w:val="bottom"/>
          </w:tcPr>
          <w:p>
            <w:pPr>
              <w:jc w:val="center"/>
              <w:ind w:left="63"/>
              <w:spacing w:after="0"/>
              <w:rPr>
                <w:sz w:val="20"/>
                <w:szCs w:val="20"/>
                <w:color w:val="auto"/>
              </w:rPr>
            </w:pPr>
            <w:r>
              <w:rPr>
                <w:rFonts w:ascii="Times New Roman" w:cs="Times New Roman" w:eastAsia="Times New Roman" w:hAnsi="Times New Roman"/>
                <w:sz w:val="16"/>
                <w:szCs w:val="16"/>
                <w:color w:val="auto"/>
                <w:w w:val="93"/>
              </w:rPr>
              <w:t>6.500%</w:t>
            </w:r>
          </w:p>
        </w:tc>
        <w:tc>
          <w:tcPr>
            <w:tcW w:w="8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October 15, 2024</w:t>
            </w:r>
          </w:p>
        </w:tc>
        <w:tc>
          <w:tcPr>
            <w:tcW w:w="0" w:type="dxa"/>
            <w:vAlign w:val="bottom"/>
          </w:tcPr>
          <w:p>
            <w:pPr>
              <w:spacing w:after="0"/>
              <w:rPr>
                <w:sz w:val="1"/>
                <w:szCs w:val="1"/>
                <w:color w:val="auto"/>
              </w:rPr>
            </w:pPr>
          </w:p>
        </w:tc>
      </w:tr>
      <w:tr>
        <w:trPr>
          <w:trHeight w:val="255"/>
        </w:trPr>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7"/>
              </w:rPr>
              <w:t xml:space="preserve">Series F </w:t>
            </w:r>
            <w:r>
              <w:rPr>
                <w:rFonts w:ascii="Times New Roman" w:cs="Times New Roman" w:eastAsia="Times New Roman" w:hAnsi="Times New Roman"/>
                <w:sz w:val="16"/>
                <w:szCs w:val="16"/>
                <w:color w:val="B4B4B4"/>
                <w:w w:val="97"/>
              </w:rPr>
              <w:t>......................</w:t>
            </w:r>
          </w:p>
        </w:tc>
        <w:tc>
          <w:tcPr>
            <w:tcW w:w="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11, 2020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575</w:t>
            </w:r>
          </w:p>
        </w:tc>
        <w:tc>
          <w:tcPr>
            <w:tcW w:w="920" w:type="dxa"/>
            <w:vAlign w:val="bottom"/>
          </w:tcPr>
          <w:p>
            <w:pPr>
              <w:jc w:val="center"/>
              <w:ind w:left="63"/>
              <w:spacing w:after="0"/>
              <w:rPr>
                <w:sz w:val="20"/>
                <w:szCs w:val="20"/>
                <w:color w:val="auto"/>
              </w:rPr>
            </w:pPr>
            <w:r>
              <w:rPr>
                <w:rFonts w:ascii="Times New Roman" w:cs="Times New Roman" w:eastAsia="Times New Roman" w:hAnsi="Times New Roman"/>
                <w:sz w:val="16"/>
                <w:szCs w:val="16"/>
                <w:color w:val="auto"/>
                <w:w w:val="93"/>
              </w:rPr>
              <w:t>6.125%</w:t>
            </w:r>
          </w:p>
        </w:tc>
        <w:tc>
          <w:tcPr>
            <w:tcW w:w="8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April 15, 2025</w:t>
            </w:r>
          </w:p>
        </w:tc>
        <w:tc>
          <w:tcPr>
            <w:tcW w:w="0" w:type="dxa"/>
            <w:vAlign w:val="bottom"/>
          </w:tcPr>
          <w:p>
            <w:pPr>
              <w:spacing w:after="0"/>
              <w:rPr>
                <w:sz w:val="1"/>
                <w:szCs w:val="1"/>
                <w:color w:val="auto"/>
              </w:rPr>
            </w:pPr>
          </w:p>
        </w:tc>
      </w:tr>
      <w:tr>
        <w:trPr>
          <w:trHeight w:val="255"/>
        </w:trPr>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Fixed-Rate Reset:</w:t>
            </w: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 xml:space="preserve">Series G </w:t>
            </w:r>
            <w:r>
              <w:rPr>
                <w:rFonts w:ascii="Times New Roman" w:cs="Times New Roman" w:eastAsia="Times New Roman" w:hAnsi="Times New Roman"/>
                <w:sz w:val="16"/>
                <w:szCs w:val="16"/>
                <w:color w:val="B4B4B4"/>
                <w:w w:val="98"/>
              </w:rPr>
              <w:t>.....................</w:t>
            </w:r>
          </w:p>
        </w:tc>
        <w:tc>
          <w:tcPr>
            <w:tcW w:w="8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September 14, 2022</w:t>
            </w:r>
          </w:p>
        </w:tc>
        <w:tc>
          <w:tcPr>
            <w:tcW w:w="8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150</w:t>
            </w:r>
          </w:p>
        </w:tc>
        <w:tc>
          <w:tcPr>
            <w:tcW w:w="920" w:type="dxa"/>
            <w:vAlign w:val="bottom"/>
          </w:tcPr>
          <w:p>
            <w:pPr>
              <w:jc w:val="center"/>
              <w:ind w:left="63"/>
              <w:spacing w:after="0"/>
              <w:rPr>
                <w:sz w:val="20"/>
                <w:szCs w:val="20"/>
                <w:color w:val="auto"/>
              </w:rPr>
            </w:pPr>
            <w:r>
              <w:rPr>
                <w:rFonts w:ascii="Times New Roman" w:cs="Times New Roman" w:eastAsia="Times New Roman" w:hAnsi="Times New Roman"/>
                <w:sz w:val="16"/>
                <w:szCs w:val="16"/>
                <w:color w:val="auto"/>
                <w:w w:val="93"/>
              </w:rPr>
              <w:t>7.750%</w:t>
            </w:r>
          </w:p>
        </w:tc>
        <w:tc>
          <w:tcPr>
            <w:tcW w:w="8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October 15, 2027</w:t>
            </w:r>
          </w:p>
        </w:tc>
        <w:tc>
          <w:tcPr>
            <w:tcW w:w="0" w:type="dxa"/>
            <w:vAlign w:val="bottom"/>
          </w:tcPr>
          <w:p>
            <w:pPr>
              <w:spacing w:after="0"/>
              <w:rPr>
                <w:sz w:val="1"/>
                <w:szCs w:val="1"/>
                <w:color w:val="auto"/>
              </w:rPr>
            </w:pPr>
          </w:p>
        </w:tc>
      </w:tr>
      <w:tr>
        <w:trPr>
          <w:trHeight w:val="215"/>
        </w:trPr>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8"/>
              </w:rPr>
              <w:t xml:space="preserve">Total </w:t>
            </w:r>
            <w:r>
              <w:rPr>
                <w:rFonts w:ascii="Times New Roman" w:cs="Times New Roman" w:eastAsia="Times New Roman" w:hAnsi="Times New Roman"/>
                <w:sz w:val="16"/>
                <w:szCs w:val="16"/>
                <w:color w:val="B4B4B4"/>
                <w:w w:val="98"/>
              </w:rPr>
              <w:t>..........................</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1,688</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-56515</wp:posOffset>
            </wp:positionV>
            <wp:extent cx="1927225" cy="762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26">
                      <a:extLst>
                        <a:ext uri="{28A0092B-C50C-407E-A947-70E740481C1C}"/>
                      </a:extLst>
                    </a:blip>
                    <a:srcRect/>
                    <a:stretch>
                      <a:fillRect/>
                    </a:stretch>
                  </pic:blipFill>
                  <pic:spPr bwMode="auto">
                    <a:xfrm>
                      <a:off x="0" y="0"/>
                      <a:ext cx="1927225" cy="762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jc w:val="both"/>
        <w:ind w:left="720" w:hanging="370"/>
        <w:spacing w:after="0" w:line="249" w:lineRule="auto"/>
        <w:tabs>
          <w:tab w:leader="none" w:pos="7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depositary shares underlying our preferred stock accrue dividends at an initial annual fixed rate of the $25.00 liquidation preference per depositary share from the issuance date up to, but not including, the fixed-to-floating rate or fixed-rate-reset conversion date; thereafter, dividends will accrue on a floating rate or fixed-rate-reset basis equal to the conversion rate plus a fixed spread.</w:t>
      </w:r>
    </w:p>
    <w:p>
      <w:pPr>
        <w:spacing w:after="0" w:line="1" w:lineRule="exact"/>
        <w:rPr>
          <w:rFonts w:ascii="Times New Roman" w:cs="Times New Roman" w:eastAsia="Times New Roman" w:hAnsi="Times New Roman"/>
          <w:sz w:val="16"/>
          <w:szCs w:val="16"/>
          <w:color w:val="auto"/>
        </w:rPr>
      </w:pPr>
    </w:p>
    <w:p>
      <w:pPr>
        <w:ind w:left="720" w:hanging="370"/>
        <w:spacing w:after="0"/>
        <w:tabs>
          <w:tab w:leader="none" w:pos="7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C per annum dividend rate represents the dividend rate in effect as of December 31, 2023.</w:t>
      </w:r>
    </w:p>
    <w:p>
      <w:pPr>
        <w:spacing w:after="0" w:line="8" w:lineRule="exact"/>
        <w:rPr>
          <w:rFonts w:ascii="Times New Roman" w:cs="Times New Roman" w:eastAsia="Times New Roman" w:hAnsi="Times New Roman"/>
          <w:sz w:val="16"/>
          <w:szCs w:val="16"/>
          <w:color w:val="auto"/>
        </w:rPr>
      </w:pPr>
    </w:p>
    <w:p>
      <w:pPr>
        <w:jc w:val="both"/>
        <w:ind w:left="720" w:hanging="370"/>
        <w:spacing w:after="0" w:line="250" w:lineRule="auto"/>
        <w:tabs>
          <w:tab w:leader="none" w:pos="7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C dividend accrues at a rate equal to the 3-Month CME Term SOFR plus 0.26161%, plus a spread of 5.111%, per annum, resetting quarterly in accordance with the certificate of designations for such series and the Adjustable Interest Rate (LIBOR) Act of 2021 (the “LIBOR Act”). At the conclusion of the fixed rate period (the conversion date) for each of the Series D, E, and F Preferred Stock, the dividend for such series will accrue at a rate equal to the 3-Month CME Term SOFR plus 0.26161%, plus a spread of 4.332%, 4.993% and 4.697%, respectively, per annum, resetting quarterly in accordance with the certificate of designations for such series and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spacing w:after="0" w:line="2" w:lineRule="exact"/>
        <w:rPr>
          <w:rFonts w:ascii="Times New Roman" w:cs="Times New Roman" w:eastAsia="Times New Roman" w:hAnsi="Times New Roman"/>
          <w:sz w:val="16"/>
          <w:szCs w:val="16"/>
          <w:color w:val="auto"/>
        </w:rPr>
      </w:pPr>
    </w:p>
    <w:p>
      <w:pPr>
        <w:ind w:left="720" w:hanging="370"/>
        <w:spacing w:after="0" w:line="260" w:lineRule="auto"/>
        <w:tabs>
          <w:tab w:leader="none" w:pos="7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may be redeemed prior to our optional redemption date under certain circumstances intended to preserve our qualification as a REIT for U.S federal income tax purposes.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At-the-Market Offering Program</w:t>
      </w:r>
    </w:p>
    <w:p>
      <w:pPr>
        <w:spacing w:after="0" w:line="199"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20"/>
          <w:szCs w:val="20"/>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The following table includes a summary of shares of our common stock sold under the sales agreements during fiscal years 2023 and 2022 (in millions, except for per share data). During fiscal year 2021 we did not issue shares under this program. As of December 31, 2023, shares of our common stock with an aggregate offering price of $0.9 billion remained authorized for issuance under this program through December 31, 2024.</w:t>
      </w:r>
    </w:p>
    <w:p>
      <w:pPr>
        <w:spacing w:after="0" w:line="266" w:lineRule="exact"/>
        <w:rPr>
          <w:sz w:val="20"/>
          <w:szCs w:val="20"/>
          <w:color w:val="auto"/>
        </w:rPr>
      </w:pPr>
    </w:p>
    <w:tbl>
      <w:tblPr>
        <w:tblLayout w:type="fixed"/>
        <w:tblInd w:w="168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5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ATM Offerings</w:t>
            </w:r>
          </w:p>
        </w:tc>
        <w:tc>
          <w:tcPr>
            <w:tcW w:w="8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Received Per</w:t>
            </w:r>
          </w:p>
        </w:tc>
        <w:tc>
          <w:tcPr>
            <w:tcW w:w="80" w:type="dxa"/>
            <w:vAlign w:val="bottom"/>
          </w:tcPr>
          <w:p>
            <w:pPr>
              <w:spacing w:after="0"/>
              <w:rPr>
                <w:sz w:val="13"/>
                <w:szCs w:val="13"/>
                <w:color w:val="auto"/>
              </w:rPr>
            </w:pPr>
          </w:p>
        </w:tc>
        <w:tc>
          <w:tcPr>
            <w:tcW w:w="1360" w:type="dxa"/>
            <w:vAlign w:val="bottom"/>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Net Proceeds</w:t>
            </w:r>
          </w:p>
        </w:tc>
        <w:tc>
          <w:tcPr>
            <w:tcW w:w="0" w:type="dxa"/>
            <w:vAlign w:val="bottom"/>
          </w:tcPr>
          <w:p>
            <w:pPr>
              <w:spacing w:after="0"/>
              <w:rPr>
                <w:sz w:val="1"/>
                <w:szCs w:val="1"/>
                <w:color w:val="auto"/>
              </w:rPr>
            </w:pPr>
          </w:p>
        </w:tc>
      </w:tr>
      <w:tr>
        <w:trPr>
          <w:trHeight w:val="214"/>
        </w:trPr>
        <w:tc>
          <w:tcPr>
            <w:tcW w:w="25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 Net</w:t>
            </w:r>
          </w:p>
        </w:tc>
        <w:tc>
          <w:tcPr>
            <w:tcW w:w="8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Fiscal Year 2023</w:t>
            </w:r>
          </w:p>
        </w:tc>
        <w:tc>
          <w:tcPr>
            <w:tcW w:w="14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$9.14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0" w:type="dxa"/>
            <w:vAlign w:val="bottom"/>
          </w:tcPr>
          <w:p>
            <w:pPr>
              <w:spacing w:after="0"/>
              <w:rPr>
                <w:sz w:val="1"/>
                <w:szCs w:val="1"/>
                <w:color w:val="auto"/>
              </w:rPr>
            </w:pPr>
          </w:p>
        </w:tc>
      </w:tr>
      <w:tr>
        <w:trPr>
          <w:trHeight w:val="255"/>
        </w:trPr>
        <w:tc>
          <w:tcPr>
            <w:tcW w:w="25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Fiscal Year 2022</w:t>
            </w:r>
          </w:p>
        </w:tc>
        <w:tc>
          <w:tcPr>
            <w:tcW w:w="14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$9.39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Repurchase Program</w:t>
      </w:r>
    </w:p>
    <w:p>
      <w:pPr>
        <w:spacing w:after="0" w:line="19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20"/>
          <w:szCs w:val="20"/>
          <w:color w:val="auto"/>
        </w:rPr>
        <w:t>We are authorized by our Board of Directors to repurchase shares of our common stock in open market or through privately negotiated transactions or pursuant to a trading plan that may be adopted in accordance with Rule 10b5-1 of the Securities Exchange Act of 1934, as amended (the "Exchange Act"). The following table includes a summary of shares of our common stock repurchased during fiscal years 2022 and 2021 (in millions, except for per share data). During fiscal year 2023 we did not repurchase shares under this program. As of December 31, 2023, shares of our common stock with an aggregate repurchase price of $1 billion remained authorized for repurchase through December 31, 2024.</w:t>
      </w:r>
    </w:p>
    <w:p>
      <w:pPr>
        <w:spacing w:after="0" w:line="221" w:lineRule="exact"/>
        <w:rPr>
          <w:sz w:val="20"/>
          <w:szCs w:val="20"/>
          <w:color w:val="auto"/>
        </w:rPr>
      </w:pPr>
    </w:p>
    <w:tbl>
      <w:tblPr>
        <w:tblLayout w:type="fixed"/>
        <w:tblInd w:w="1620" w:type="dxa"/>
        <w:tblCellMar>
          <w:top w:w="0" w:type="dxa"/>
          <w:left w:w="0" w:type="dxa"/>
          <w:bottom w:w="0" w:type="dxa"/>
          <w:right w:w="0" w:type="dxa"/>
        </w:tblCellMar>
      </w:tblPr>
      <w:tr>
        <w:trPr>
          <w:trHeight w:val="184"/>
        </w:trPr>
        <w:tc>
          <w:tcPr>
            <w:tcW w:w="26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 Repurchases</w:t>
            </w:r>
          </w:p>
        </w:tc>
        <w:tc>
          <w:tcPr>
            <w:tcW w:w="80" w:type="dxa"/>
            <w:vAlign w:val="bottom"/>
          </w:tcPr>
          <w:p>
            <w:pPr>
              <w:spacing w:after="0"/>
              <w:rPr>
                <w:sz w:val="16"/>
                <w:szCs w:val="16"/>
                <w:color w:val="auto"/>
              </w:rPr>
            </w:pPr>
          </w:p>
        </w:tc>
        <w:tc>
          <w:tcPr>
            <w:tcW w:w="1180" w:type="dxa"/>
            <w:vAlign w:val="bottom"/>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200" w:type="dxa"/>
            <w:vAlign w:val="bottom"/>
            <w:vMerge w:val="restart"/>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1</w:t>
            </w:r>
          </w:p>
        </w:tc>
        <w:tc>
          <w:tcPr>
            <w:tcW w:w="60" w:type="dxa"/>
            <w:vAlign w:val="bottom"/>
          </w:tcPr>
          <w:p>
            <w:pPr>
              <w:spacing w:after="0"/>
              <w:rPr>
                <w:sz w:val="16"/>
                <w:szCs w:val="16"/>
                <w:color w:val="auto"/>
              </w:rPr>
            </w:pPr>
          </w:p>
        </w:tc>
        <w:tc>
          <w:tcPr>
            <w:tcW w:w="1380" w:type="dxa"/>
            <w:vAlign w:val="bottom"/>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Net Cost</w:t>
            </w:r>
          </w:p>
        </w:tc>
        <w:tc>
          <w:tcPr>
            <w:tcW w:w="0" w:type="dxa"/>
            <w:vAlign w:val="bottom"/>
          </w:tcPr>
          <w:p>
            <w:pPr>
              <w:spacing w:after="0"/>
              <w:rPr>
                <w:sz w:val="1"/>
                <w:szCs w:val="1"/>
                <w:color w:val="auto"/>
              </w:rPr>
            </w:pPr>
          </w:p>
        </w:tc>
      </w:tr>
      <w:tr>
        <w:trPr>
          <w:trHeight w:val="214"/>
        </w:trPr>
        <w:tc>
          <w:tcPr>
            <w:tcW w:w="2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2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Fiscal Year 2022 </w:t>
            </w:r>
            <w:r>
              <w:rPr>
                <w:rFonts w:ascii="Times New Roman" w:cs="Times New Roman" w:eastAsia="Times New Roman" w:hAnsi="Times New Roman"/>
                <w:sz w:val="16"/>
                <w:szCs w:val="16"/>
                <w:color w:val="B4B4B4"/>
              </w:rPr>
              <w:t>.....................................</w:t>
            </w:r>
          </w:p>
        </w:tc>
        <w:tc>
          <w:tcPr>
            <w:tcW w:w="12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$10.78</w:t>
            </w: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05"/>
        </w:trPr>
        <w:tc>
          <w:tcPr>
            <w:tcW w:w="2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Fiscal Year 2021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B4B4B4"/>
              </w:rPr>
              <w:t>..................................</w:t>
            </w:r>
          </w:p>
        </w:tc>
        <w:tc>
          <w:tcPr>
            <w:tcW w:w="12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$15.96</w:t>
            </w:r>
          </w:p>
        </w:tc>
        <w:tc>
          <w:tcPr>
            <w:tcW w:w="20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hanging="370"/>
        <w:spacing w:after="0"/>
        <w:tabs>
          <w:tab w:leader="none" w:pos="7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paid per share includes transaction costs.</w:t>
      </w:r>
    </w:p>
    <w:p>
      <w:pPr>
        <w:spacing w:after="0" w:line="6" w:lineRule="exact"/>
        <w:rPr>
          <w:rFonts w:ascii="Times New Roman" w:cs="Times New Roman" w:eastAsia="Times New Roman" w:hAnsi="Times New Roman"/>
          <w:sz w:val="16"/>
          <w:szCs w:val="16"/>
          <w:color w:val="auto"/>
        </w:rPr>
      </w:pPr>
    </w:p>
    <w:p>
      <w:pPr>
        <w:ind w:left="720" w:hanging="370"/>
        <w:spacing w:after="0"/>
        <w:tabs>
          <w:tab w:leader="none" w:pos="7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December 2020 share repurchases that settled in January 2021 totaling $24 million, or 1.6 million shares.</w:t>
      </w:r>
    </w:p>
    <w:p>
      <w:pPr>
        <w:sectPr>
          <w:pgSz w:w="12240" w:h="15840" w:orient="portrait"/>
          <w:cols w:equalWidth="0" w:num="1">
            <w:col w:w="10260"/>
          </w:cols>
          <w:pgMar w:left="1000" w:top="87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60"/>
          </w:cols>
          <w:pgMar w:left="1000" w:top="872" w:right="98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Distributions to Stockholders</w:t>
      </w:r>
    </w:p>
    <w:p>
      <w:pPr>
        <w:spacing w:after="0" w:line="199" w:lineRule="exact"/>
        <w:rPr>
          <w:sz w:val="20"/>
          <w:szCs w:val="20"/>
          <w:color w:val="auto"/>
        </w:rPr>
      </w:pPr>
    </w:p>
    <w:p>
      <w:pPr>
        <w:ind w:firstLine="450"/>
        <w:spacing w:after="0" w:line="281" w:lineRule="auto"/>
        <w:rPr>
          <w:sz w:val="20"/>
          <w:szCs w:val="20"/>
          <w:color w:val="auto"/>
        </w:rPr>
      </w:pPr>
      <w:r>
        <w:rPr>
          <w:rFonts w:ascii="Times New Roman" w:cs="Times New Roman" w:eastAsia="Times New Roman" w:hAnsi="Times New Roman"/>
          <w:sz w:val="20"/>
          <w:szCs w:val="20"/>
          <w:color w:val="auto"/>
        </w:rPr>
        <w:t>The following table summarizes dividends declared during fiscal years 2023, 2022 and 2021 (in millions, except per share amounts):</w:t>
      </w:r>
    </w:p>
    <w:p>
      <w:pPr>
        <w:spacing w:after="0" w:line="72" w:lineRule="exact"/>
        <w:rPr>
          <w:sz w:val="20"/>
          <w:szCs w:val="20"/>
          <w:color w:val="auto"/>
        </w:rPr>
      </w:pPr>
    </w:p>
    <w:tbl>
      <w:tblPr>
        <w:tblLayout w:type="fixed"/>
        <w:tblInd w:w="152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rPr>
              <w:t>Declared Per</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Declared</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line="239" w:lineRule="exact"/>
              <w:rPr>
                <w:sz w:val="20"/>
                <w:szCs w:val="20"/>
                <w:color w:val="auto"/>
              </w:rPr>
            </w:pPr>
            <w:r>
              <w:rPr>
                <w:rFonts w:ascii="Times New Roman" w:cs="Times New Roman" w:eastAsia="Times New Roman" w:hAnsi="Times New Roman"/>
                <w:sz w:val="18"/>
                <w:szCs w:val="18"/>
                <w:b w:val="1"/>
                <w:bCs w:val="1"/>
                <w:color w:val="auto"/>
                <w:w w:val="94"/>
              </w:rPr>
              <w:t xml:space="preserve">Share </w:t>
            </w:r>
            <w:r>
              <w:rPr>
                <w:rFonts w:ascii="Times New Roman" w:cs="Times New Roman" w:eastAsia="Times New Roman" w:hAnsi="Times New Roman"/>
                <w:sz w:val="23"/>
                <w:szCs w:val="23"/>
                <w:b w:val="1"/>
                <w:bCs w:val="1"/>
                <w:color w:val="auto"/>
                <w:w w:val="94"/>
                <w:vertAlign w:val="superscript"/>
              </w:rPr>
              <w:t>1</w:t>
            </w:r>
          </w:p>
        </w:tc>
        <w:tc>
          <w:tcPr>
            <w:tcW w:w="0" w:type="dxa"/>
            <w:vAlign w:val="bottom"/>
          </w:tcPr>
          <w:p>
            <w:pPr>
              <w:spacing w:after="0"/>
              <w:rPr>
                <w:sz w:val="1"/>
                <w:szCs w:val="1"/>
                <w:color w:val="auto"/>
              </w:rPr>
            </w:pPr>
          </w:p>
        </w:tc>
      </w:tr>
      <w:tr>
        <w:trPr>
          <w:trHeight w:val="260"/>
        </w:trPr>
        <w:tc>
          <w:tcPr>
            <w:tcW w:w="4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Series C Preferred Stock</w:t>
            </w: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2023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2.660390</w:t>
            </w: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2022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1.886880</w:t>
            </w: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2021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r>
        <w:trPr>
          <w:trHeight w:val="285"/>
        </w:trPr>
        <w:tc>
          <w:tcPr>
            <w:tcW w:w="4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Series D Preferred Stock</w:t>
            </w: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2023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1.718750</w:t>
            </w: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2022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1.718750</w:t>
            </w: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2021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1.718750</w:t>
            </w:r>
          </w:p>
        </w:tc>
        <w:tc>
          <w:tcPr>
            <w:tcW w:w="0" w:type="dxa"/>
            <w:vAlign w:val="bottom"/>
          </w:tcPr>
          <w:p>
            <w:pPr>
              <w:spacing w:after="0"/>
              <w:rPr>
                <w:sz w:val="1"/>
                <w:szCs w:val="1"/>
                <w:color w:val="auto"/>
              </w:rPr>
            </w:pPr>
          </w:p>
        </w:tc>
      </w:tr>
      <w:tr>
        <w:trPr>
          <w:trHeight w:val="285"/>
        </w:trPr>
        <w:tc>
          <w:tcPr>
            <w:tcW w:w="4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Series E Preferred Stock</w:t>
            </w: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2023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1.625000</w:t>
            </w: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2022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1.625000</w:t>
            </w: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2021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1.625000</w:t>
            </w:r>
          </w:p>
        </w:tc>
        <w:tc>
          <w:tcPr>
            <w:tcW w:w="0" w:type="dxa"/>
            <w:vAlign w:val="bottom"/>
          </w:tcPr>
          <w:p>
            <w:pPr>
              <w:spacing w:after="0"/>
              <w:rPr>
                <w:sz w:val="1"/>
                <w:szCs w:val="1"/>
                <w:color w:val="auto"/>
              </w:rPr>
            </w:pPr>
          </w:p>
        </w:tc>
      </w:tr>
      <w:tr>
        <w:trPr>
          <w:trHeight w:val="285"/>
        </w:trPr>
        <w:tc>
          <w:tcPr>
            <w:tcW w:w="4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Series F Preferred Stock</w:t>
            </w: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2023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1.531250</w:t>
            </w: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2022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1.531250</w:t>
            </w: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2021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1.531250</w:t>
            </w:r>
          </w:p>
        </w:tc>
        <w:tc>
          <w:tcPr>
            <w:tcW w:w="0" w:type="dxa"/>
            <w:vAlign w:val="bottom"/>
          </w:tcPr>
          <w:p>
            <w:pPr>
              <w:spacing w:after="0"/>
              <w:rPr>
                <w:sz w:val="1"/>
                <w:szCs w:val="1"/>
                <w:color w:val="auto"/>
              </w:rPr>
            </w:pPr>
          </w:p>
        </w:tc>
      </w:tr>
      <w:tr>
        <w:trPr>
          <w:trHeight w:val="285"/>
        </w:trPr>
        <w:tc>
          <w:tcPr>
            <w:tcW w:w="4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Series G Preferred Stock</w:t>
            </w: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2023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1.937520</w:t>
            </w: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2022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0.651220</w:t>
            </w:r>
          </w:p>
        </w:tc>
        <w:tc>
          <w:tcPr>
            <w:tcW w:w="0" w:type="dxa"/>
            <w:vAlign w:val="bottom"/>
          </w:tcPr>
          <w:p>
            <w:pPr>
              <w:spacing w:after="0"/>
              <w:rPr>
                <w:sz w:val="1"/>
                <w:szCs w:val="1"/>
                <w:color w:val="auto"/>
              </w:rPr>
            </w:pPr>
          </w:p>
        </w:tc>
      </w:tr>
      <w:tr>
        <w:trPr>
          <w:trHeight w:val="285"/>
        </w:trPr>
        <w:tc>
          <w:tcPr>
            <w:tcW w:w="4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2023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896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1.440000</w:t>
            </w:r>
          </w:p>
        </w:tc>
        <w:tc>
          <w:tcPr>
            <w:tcW w:w="0" w:type="dxa"/>
            <w:vAlign w:val="bottom"/>
          </w:tcPr>
          <w:p>
            <w:pPr>
              <w:spacing w:after="0"/>
              <w:rPr>
                <w:sz w:val="1"/>
                <w:szCs w:val="1"/>
                <w:color w:val="auto"/>
              </w:rPr>
            </w:pPr>
          </w:p>
        </w:tc>
      </w:tr>
      <w:tr>
        <w:trPr>
          <w:trHeight w:val="285"/>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2022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775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1.440000</w:t>
            </w:r>
          </w:p>
        </w:tc>
        <w:tc>
          <w:tcPr>
            <w:tcW w:w="0" w:type="dxa"/>
            <w:vAlign w:val="bottom"/>
          </w:tcPr>
          <w:p>
            <w:pPr>
              <w:spacing w:after="0"/>
              <w:rPr>
                <w:sz w:val="1"/>
                <w:szCs w:val="1"/>
                <w:color w:val="auto"/>
              </w:rPr>
            </w:pPr>
          </w:p>
        </w:tc>
      </w:tr>
      <w:tr>
        <w:trPr>
          <w:trHeight w:val="30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Fiscal year 2021 </w:t>
            </w:r>
            <w:r>
              <w:rPr>
                <w:rFonts w:ascii="Times New Roman" w:cs="Times New Roman" w:eastAsia="Times New Roman" w:hAnsi="Times New Roman"/>
                <w:sz w:val="18"/>
                <w:szCs w:val="18"/>
                <w:color w:val="B4B4B4"/>
              </w:rPr>
              <w:t>........................................................</w:t>
            </w: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757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1.440000</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hanging="370"/>
        <w:spacing w:after="0"/>
        <w:tabs>
          <w:tab w:leader="none" w:pos="72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per share amounts are per depositary share.</w:t>
      </w:r>
    </w:p>
    <w:p>
      <w:pPr>
        <w:sectPr>
          <w:pgSz w:w="12240" w:h="15840" w:orient="portrait"/>
          <w:cols w:equalWidth="0" w:num="1">
            <w:col w:w="10240"/>
          </w:cols>
          <w:pgMar w:left="1000" w:top="78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40"/>
          </w:cols>
          <w:pgMar w:left="1000" w:top="784" w:right="1000" w:bottom="0" w:gutter="0" w:footer="0" w:header="0"/>
          <w:type w:val="continuous"/>
        </w:sectPr>
      </w:pPr>
    </w:p>
    <w:bookmarkStart w:id="85" w:name="page86"/>
    <w:bookmarkEnd w:id="85"/>
    <w:p>
      <w:pPr>
        <w:jc w:val="both"/>
        <w:ind w:firstLine="540"/>
        <w:spacing w:after="0" w:line="266" w:lineRule="auto"/>
        <w:rPr>
          <w:sz w:val="20"/>
          <w:szCs w:val="20"/>
          <w:color w:val="auto"/>
        </w:rPr>
      </w:pPr>
      <w:r>
        <w:rPr>
          <w:rFonts w:ascii="Times New Roman" w:cs="Times New Roman" w:eastAsia="Times New Roman" w:hAnsi="Times New Roman"/>
          <w:sz w:val="20"/>
          <w:szCs w:val="20"/>
          <w:color w:val="auto"/>
        </w:rPr>
        <w:t>The following table summarizes our tax characterization of distributions to stockholders for fiscal years 2023, 2022 and 2021. Distributions included in the table below are based on the fiscal tax year for which the distribution is attributed to for stockholders in accordance with rules promulgated under the Internal Revenue Code: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2"/>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8"/>
              </w:rPr>
              <w:t xml:space="preserve">Tax Characterization </w:t>
            </w:r>
            <w:r>
              <w:rPr>
                <w:rFonts w:ascii="Times New Roman" w:cs="Times New Roman" w:eastAsia="Times New Roman" w:hAnsi="Times New Roman"/>
                <w:sz w:val="20"/>
                <w:szCs w:val="20"/>
                <w:b w:val="1"/>
                <w:bCs w:val="1"/>
                <w:color w:val="auto"/>
                <w:w w:val="98"/>
                <w:vertAlign w:val="superscript"/>
              </w:rPr>
              <w:t>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1780" w:type="dxa"/>
            <w:vAlign w:val="bottom"/>
            <w:vMerge w:val="restart"/>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Distribution</w:t>
            </w:r>
          </w:p>
        </w:tc>
        <w:tc>
          <w:tcPr>
            <w:tcW w:w="122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Ordinary</w:t>
            </w:r>
          </w:p>
        </w:tc>
        <w:tc>
          <w:tcPr>
            <w:tcW w:w="920" w:type="dxa"/>
            <w:vAlign w:val="bottom"/>
            <w:vMerge w:val="restart"/>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9"/>
              </w:rPr>
              <w:t>Qualified</w:t>
            </w:r>
          </w:p>
        </w:tc>
        <w:tc>
          <w:tcPr>
            <w:tcW w:w="1400" w:type="dxa"/>
            <w:vAlign w:val="bottom"/>
          </w:tcPr>
          <w:p>
            <w:pPr>
              <w:jc w:val="center"/>
              <w:ind w:left="160"/>
              <w:spacing w:after="0"/>
              <w:rPr>
                <w:sz w:val="20"/>
                <w:szCs w:val="20"/>
                <w:color w:val="auto"/>
              </w:rPr>
            </w:pPr>
            <w:r>
              <w:rPr>
                <w:rFonts w:ascii="Times New Roman" w:cs="Times New Roman" w:eastAsia="Times New Roman" w:hAnsi="Times New Roman"/>
                <w:sz w:val="16"/>
                <w:szCs w:val="16"/>
                <w:b w:val="1"/>
                <w:bCs w:val="1"/>
                <w:color w:val="auto"/>
                <w:w w:val="99"/>
              </w:rPr>
              <w:t>Capital Gain</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Non-Dividend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Section 199A</w:t>
            </w:r>
          </w:p>
        </w:tc>
        <w:tc>
          <w:tcPr>
            <w:tcW w:w="0" w:type="dxa"/>
            <w:vAlign w:val="bottom"/>
          </w:tcPr>
          <w:p>
            <w:pPr>
              <w:spacing w:after="0"/>
              <w:rPr>
                <w:sz w:val="1"/>
                <w:szCs w:val="1"/>
                <w:color w:val="auto"/>
              </w:rPr>
            </w:pPr>
          </w:p>
        </w:tc>
      </w:tr>
      <w:tr>
        <w:trPr>
          <w:trHeight w:val="160"/>
        </w:trPr>
        <w:tc>
          <w:tcPr>
            <w:tcW w:w="2580" w:type="dxa"/>
            <w:vAlign w:val="bottom"/>
            <w:vMerge w:val="restart"/>
          </w:tcPr>
          <w:p>
            <w:pPr>
              <w:ind w:left="1220"/>
              <w:spacing w:after="0"/>
              <w:rPr>
                <w:sz w:val="20"/>
                <w:szCs w:val="20"/>
                <w:color w:val="auto"/>
              </w:rPr>
            </w:pPr>
            <w:r>
              <w:rPr>
                <w:rFonts w:ascii="Times New Roman" w:cs="Times New Roman" w:eastAsia="Times New Roman" w:hAnsi="Times New Roman"/>
                <w:sz w:val="16"/>
                <w:szCs w:val="16"/>
                <w:b w:val="1"/>
                <w:bCs w:val="1"/>
                <w:color w:val="auto"/>
              </w:rPr>
              <w:t>Tax Year</w:t>
            </w:r>
          </w:p>
        </w:tc>
        <w:tc>
          <w:tcPr>
            <w:tcW w:w="1780" w:type="dxa"/>
            <w:vAlign w:val="bottom"/>
            <w:vMerge w:val="continue"/>
          </w:tcPr>
          <w:p>
            <w:pPr>
              <w:spacing w:after="0"/>
              <w:rPr>
                <w:sz w:val="13"/>
                <w:szCs w:val="13"/>
                <w:color w:val="auto"/>
              </w:rPr>
            </w:pPr>
          </w:p>
        </w:tc>
        <w:tc>
          <w:tcPr>
            <w:tcW w:w="1220" w:type="dxa"/>
            <w:vAlign w:val="bottom"/>
          </w:tcPr>
          <w:p>
            <w:pPr>
              <w:jc w:val="center"/>
              <w:ind w:right="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Dividend Per</w:t>
            </w:r>
          </w:p>
        </w:tc>
        <w:tc>
          <w:tcPr>
            <w:tcW w:w="920" w:type="dxa"/>
            <w:vAlign w:val="bottom"/>
            <w:vMerge w:val="continue"/>
          </w:tcPr>
          <w:p>
            <w:pPr>
              <w:spacing w:after="0"/>
              <w:rPr>
                <w:sz w:val="13"/>
                <w:szCs w:val="13"/>
                <w:color w:val="auto"/>
              </w:rPr>
            </w:pPr>
          </w:p>
        </w:tc>
        <w:tc>
          <w:tcPr>
            <w:tcW w:w="1400" w:type="dxa"/>
            <w:vAlign w:val="bottom"/>
          </w:tcPr>
          <w:p>
            <w:pPr>
              <w:jc w:val="center"/>
              <w:ind w:left="140"/>
              <w:spacing w:after="0" w:line="160" w:lineRule="exact"/>
              <w:rPr>
                <w:sz w:val="20"/>
                <w:szCs w:val="20"/>
                <w:color w:val="auto"/>
              </w:rPr>
            </w:pPr>
            <w:r>
              <w:rPr>
                <w:rFonts w:ascii="Times New Roman" w:cs="Times New Roman" w:eastAsia="Times New Roman" w:hAnsi="Times New Roman"/>
                <w:sz w:val="16"/>
                <w:szCs w:val="16"/>
                <w:b w:val="1"/>
                <w:bCs w:val="1"/>
                <w:color w:val="auto"/>
                <w:w w:val="99"/>
              </w:rPr>
              <w:t>Dividend Per</w:t>
            </w:r>
          </w:p>
        </w:tc>
        <w:tc>
          <w:tcPr>
            <w:tcW w:w="12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58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tcPr>
          <w:p>
            <w:pPr>
              <w:jc w:val="center"/>
              <w:ind w:left="420"/>
              <w:spacing w:after="0" w:line="214" w:lineRule="exact"/>
              <w:rPr>
                <w:sz w:val="20"/>
                <w:szCs w:val="20"/>
                <w:color w:val="auto"/>
              </w:rPr>
            </w:pPr>
            <w:r>
              <w:rPr>
                <w:rFonts w:ascii="Times New Roman" w:cs="Times New Roman" w:eastAsia="Times New Roman" w:hAnsi="Times New Roman"/>
                <w:sz w:val="16"/>
                <w:szCs w:val="16"/>
                <w:b w:val="1"/>
                <w:bCs w:val="1"/>
                <w:color w:val="auto"/>
                <w:w w:val="93"/>
              </w:rPr>
              <w:t xml:space="preserve">Rate </w:t>
            </w:r>
            <w:r>
              <w:rPr>
                <w:rFonts w:ascii="Times New Roman" w:cs="Times New Roman" w:eastAsia="Times New Roman" w:hAnsi="Times New Roman"/>
                <w:sz w:val="20"/>
                <w:szCs w:val="20"/>
                <w:b w:val="1"/>
                <w:bCs w:val="1"/>
                <w:color w:val="auto"/>
                <w:w w:val="93"/>
                <w:vertAlign w:val="superscript"/>
              </w:rPr>
              <w:t>1</w:t>
            </w:r>
          </w:p>
        </w:tc>
        <w:tc>
          <w:tcPr>
            <w:tcW w:w="12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92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9"/>
              </w:rPr>
              <w:t>Dividends</w:t>
            </w:r>
          </w:p>
        </w:tc>
        <w:tc>
          <w:tcPr>
            <w:tcW w:w="140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Distributions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Dividend</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Series C Preferred Stock</w:t>
      </w:r>
    </w:p>
    <w:p>
      <w:pPr>
        <w:sectPr>
          <w:pgSz w:w="12240" w:h="15840" w:orient="portrait"/>
          <w:cols w:equalWidth="0" w:num="1">
            <w:col w:w="10260"/>
          </w:cols>
          <w:pgMar w:left="1000" w:top="793" w:right="980" w:bottom="0" w:gutter="0" w:footer="0" w:header="0"/>
        </w:sectPr>
      </w:pPr>
    </w:p>
    <w:p>
      <w:pPr>
        <w:spacing w:after="0" w:line="14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Fiscal year 2023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2.546340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Fiscal year 2022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1.750000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Fiscal year 2021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1.750000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Series D Preferred Stock</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2.546340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2.546340</w:t>
            </w:r>
          </w:p>
        </w:tc>
      </w:tr>
      <w:tr>
        <w:trPr>
          <w:trHeight w:val="345"/>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1.750000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r>
      <w:tr>
        <w:trPr>
          <w:trHeight w:val="345"/>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0.341718</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0.095782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1.312500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0.341718</w:t>
            </w:r>
          </w:p>
        </w:tc>
      </w:tr>
    </w:tbl>
    <w:p>
      <w:pPr>
        <w:spacing w:after="0" w:line="455" w:lineRule="exact"/>
        <w:rPr>
          <w:sz w:val="20"/>
          <w:szCs w:val="20"/>
          <w:color w:val="auto"/>
        </w:rPr>
      </w:pPr>
    </w:p>
    <w:p>
      <w:pPr>
        <w:sectPr>
          <w:pgSz w:w="12240" w:h="15840" w:orient="portrait"/>
          <w:cols w:equalWidth="0" w:num="2">
            <w:col w:w="4500" w:space="240"/>
            <w:col w:w="5520"/>
          </w:cols>
          <w:pgMar w:left="1000" w:top="793" w:right="980" w:bottom="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Fiscal year 2023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1.718750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Fiscal year 2022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1.718750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Fiscal year 2021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1.718750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Series E Preferred Stock</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Fiscal year 2023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Fiscal year 2022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Fiscal year 2021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Series F Preferred Stock</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Fiscal year 2023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1.531250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Fiscal year 2022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1.531250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Fiscal year 2021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1.531250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Series G Preferred Stock</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Fiscal year 2023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2.104360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5"/>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Fiscal year 2023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1.560000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Fiscal year 2022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1.440000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5"/>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Fiscal year 2021 </w:t>
            </w:r>
            <w:r>
              <w:rPr>
                <w:rFonts w:ascii="Times New Roman" w:cs="Times New Roman" w:eastAsia="Times New Roman" w:hAnsi="Times New Roman"/>
                <w:sz w:val="18"/>
                <w:szCs w:val="18"/>
                <w:color w:val="B4B4B4"/>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1.320000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________________________________</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ind w:left="720" w:hanging="370"/>
        <w:spacing w:after="0"/>
        <w:tabs>
          <w:tab w:leader="none" w:pos="72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Preferred stock per share amounts are per depositary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1.718750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1.718750</w:t>
            </w:r>
          </w:p>
        </w:tc>
      </w:tr>
      <w:tr>
        <w:trPr>
          <w:trHeight w:val="345"/>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1.718750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1.718750</w:t>
            </w:r>
          </w:p>
        </w:tc>
      </w:tr>
      <w:tr>
        <w:trPr>
          <w:trHeight w:val="345"/>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0.335616</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0.094072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1.289063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0.335616</w:t>
            </w:r>
          </w:p>
        </w:tc>
      </w:tr>
      <w:tr>
        <w:trPr>
          <w:trHeight w:val="690"/>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1.625000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1.625000</w:t>
            </w:r>
          </w:p>
        </w:tc>
      </w:tr>
      <w:tr>
        <w:trPr>
          <w:trHeight w:val="345"/>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1.625000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1.625000</w:t>
            </w:r>
          </w:p>
        </w:tc>
      </w:tr>
      <w:tr>
        <w:trPr>
          <w:trHeight w:val="345"/>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0.317310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0.088940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1.218750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0.317310</w:t>
            </w:r>
          </w:p>
        </w:tc>
      </w:tr>
      <w:tr>
        <w:trPr>
          <w:trHeight w:val="690"/>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1.531250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1.531250</w:t>
            </w:r>
          </w:p>
        </w:tc>
      </w:tr>
      <w:tr>
        <w:trPr>
          <w:trHeight w:val="345"/>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1.531250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1.531250</w:t>
            </w:r>
          </w:p>
        </w:tc>
      </w:tr>
      <w:tr>
        <w:trPr>
          <w:trHeight w:val="345"/>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0.299004</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0.083809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1.148438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0.299004</w:t>
            </w:r>
          </w:p>
        </w:tc>
      </w:tr>
      <w:tr>
        <w:trPr>
          <w:trHeight w:val="690"/>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2.104360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2.104360</w:t>
            </w:r>
          </w:p>
        </w:tc>
      </w:tr>
      <w:tr>
        <w:trPr>
          <w:trHeight w:val="690"/>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1.560000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1.560000</w:t>
            </w:r>
          </w:p>
        </w:tc>
      </w:tr>
      <w:tr>
        <w:trPr>
          <w:trHeight w:val="345"/>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0.669420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0.770580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0.669420</w:t>
            </w:r>
          </w:p>
        </w:tc>
      </w:tr>
      <w:tr>
        <w:trPr>
          <w:trHeight w:val="345"/>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0.095930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0.026889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1.197181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0.095930</w:t>
            </w:r>
          </w:p>
        </w:tc>
      </w:tr>
    </w:tbl>
    <w:p>
      <w:pPr>
        <w:spacing w:after="0" w:line="599" w:lineRule="exact"/>
        <w:rPr>
          <w:sz w:val="20"/>
          <w:szCs w:val="20"/>
          <w:color w:val="auto"/>
        </w:rPr>
      </w:pPr>
    </w:p>
    <w:p>
      <w:pPr>
        <w:sectPr>
          <w:pgSz w:w="12240" w:h="15840" w:orient="portrait"/>
          <w:cols w:equalWidth="0" w:num="2">
            <w:col w:w="4500" w:space="240"/>
            <w:col w:w="5520"/>
          </w:cols>
          <w:pgMar w:left="1000" w:top="793" w:right="980" w:bottom="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Accumulated Other Comprehensive Income (Loss)</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changes to accumulated OCI for fiscal years 2023, 2022 and 2021 (in millions):</w:t>
      </w:r>
    </w:p>
    <w:p>
      <w:pPr>
        <w:spacing w:after="0" w:line="200" w:lineRule="exact"/>
        <w:rPr>
          <w:sz w:val="20"/>
          <w:szCs w:val="20"/>
          <w:color w:val="auto"/>
        </w:rPr>
      </w:pPr>
    </w:p>
    <w:tbl>
      <w:tblPr>
        <w:tblLayout w:type="fixed"/>
        <w:tblInd w:w="380" w:type="dxa"/>
        <w:tblCellMar>
          <w:top w:w="0" w:type="dxa"/>
          <w:left w:w="0" w:type="dxa"/>
          <w:bottom w:w="0" w:type="dxa"/>
          <w:right w:w="0" w:type="dxa"/>
        </w:tblCellMar>
      </w:tblPr>
      <w:tr>
        <w:trPr>
          <w:trHeight w:val="217"/>
        </w:trPr>
        <w:tc>
          <w:tcPr>
            <w:tcW w:w="6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580" w:type="dxa"/>
            <w:vAlign w:val="bottom"/>
            <w:tcBorders>
              <w:bottom w:val="single" w:sz="8" w:color="auto"/>
            </w:tcBorders>
          </w:tcPr>
          <w:p>
            <w:pPr>
              <w:jc w:val="right"/>
              <w:ind w:right="298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 (Loss)</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9"/>
        </w:trPr>
        <w:tc>
          <w:tcPr>
            <w:tcW w:w="6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 xml:space="preserve">Beginning Balance </w:t>
            </w:r>
            <w:r>
              <w:rPr>
                <w:rFonts w:ascii="Times New Roman" w:cs="Times New Roman" w:eastAsia="Times New Roman" w:hAnsi="Times New Roman"/>
                <w:sz w:val="16"/>
                <w:szCs w:val="16"/>
                <w:b w:val="1"/>
                <w:bCs w:val="1"/>
                <w:color w:val="B4B4B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60" w:type="dxa"/>
            <w:vAlign w:val="bottom"/>
          </w:tcPr>
          <w:p>
            <w:pPr>
              <w:spacing w:after="0"/>
              <w:rPr>
                <w:sz w:val="19"/>
                <w:szCs w:val="19"/>
                <w:color w:val="auto"/>
              </w:rPr>
            </w:pP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55"/>
        </w:trPr>
        <w:tc>
          <w:tcPr>
            <w:tcW w:w="6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OCI before reclassifications </w:t>
            </w:r>
            <w:r>
              <w:rPr>
                <w:rFonts w:ascii="Times New Roman" w:cs="Times New Roman" w:eastAsia="Times New Roman" w:hAnsi="Times New Roman"/>
                <w:sz w:val="16"/>
                <w:szCs w:val="16"/>
                <w:color w:val="B4B4B4"/>
              </w:rPr>
              <w:t>................................................................................................................</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12"/>
        </w:trPr>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loss amounts for available-for-sale securities reclassified from accumulated OCI to realized</w:t>
            </w:r>
          </w:p>
        </w:tc>
        <w:tc>
          <w:tcPr>
            <w:tcW w:w="20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4"/>
        </w:trPr>
        <w:tc>
          <w:tcPr>
            <w:tcW w:w="6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gain (loss) on sale of investment securities, net </w:t>
            </w:r>
            <w:r>
              <w:rPr>
                <w:rFonts w:ascii="Times New Roman" w:cs="Times New Roman" w:eastAsia="Times New Roman" w:hAnsi="Times New Roman"/>
                <w:sz w:val="16"/>
                <w:szCs w:val="16"/>
                <w:color w:val="B4B4B4"/>
              </w:rPr>
              <w: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Ending Balance</w:t>
            </w:r>
            <w:r>
              <w:rPr>
                <w:rFonts w:ascii="Times New Roman" w:cs="Times New Roman" w:eastAsia="Times New Roman" w:hAnsi="Times New Roman"/>
                <w:sz w:val="16"/>
                <w:szCs w:val="16"/>
                <w:b w:val="1"/>
                <w:bCs w:val="1"/>
                <w:color w:val="B4B4B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60" w:type="dxa"/>
            <w:vAlign w:val="bottom"/>
          </w:tcPr>
          <w:p>
            <w:pPr>
              <w:spacing w:after="0"/>
              <w:rPr>
                <w:sz w:val="18"/>
                <w:szCs w:val="18"/>
                <w:color w:val="auto"/>
              </w:rPr>
            </w:pP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-56515</wp:posOffset>
            </wp:positionV>
            <wp:extent cx="1860550" cy="762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27">
                      <a:extLst>
                        <a:ext uri="{28A0092B-C50C-407E-A947-70E740481C1C}"/>
                      </a:extLst>
                    </a:blip>
                    <a:srcRect/>
                    <a:stretch>
                      <a:fillRect/>
                    </a:stretch>
                  </pic:blipFill>
                  <pic:spPr bwMode="auto">
                    <a:xfrm>
                      <a:off x="0" y="0"/>
                      <a:ext cx="1860550" cy="7620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Stock-Based Compensation</w:t>
      </w:r>
    </w:p>
    <w:p>
      <w:pPr>
        <w:spacing w:after="0" w:line="197"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During fiscal years 2023, 2022 and 2021, we granted RSU awards to employees with a grant date fair value of $11 million, $8 million and $8 million, respectively, which generally vest annually over a three-year period, and we granted RSU awards to independent directors of $1.2 million, $1.0 million and $0.9 million, respectively, which vest at the end of a one-year period from grant date. We also granted PSU awards to employees which generally vest at the end of a three-year</w:t>
      </w:r>
    </w:p>
    <w:p>
      <w:pPr>
        <w:sectPr>
          <w:pgSz w:w="12240" w:h="15840" w:orient="portrait"/>
          <w:cols w:equalWidth="0" w:num="1">
            <w:col w:w="10260"/>
          </w:cols>
          <w:pgMar w:left="1000" w:top="793" w:right="980" w:bottom="0" w:gutter="0" w:footer="0" w:header="0"/>
          <w:type w:val="continuous"/>
        </w:sect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260"/>
          </w:cols>
          <w:pgMar w:left="1000" w:top="793" w:right="980" w:bottom="0" w:gutter="0" w:footer="0" w:header="0"/>
          <w:type w:val="continuous"/>
        </w:sectPr>
      </w:pPr>
    </w:p>
    <w:bookmarkStart w:id="86" w:name="page87"/>
    <w:bookmarkEnd w:id="86"/>
    <w:p>
      <w:pPr>
        <w:jc w:val="both"/>
        <w:spacing w:after="0" w:line="256" w:lineRule="auto"/>
        <w:rPr>
          <w:sz w:val="20"/>
          <w:szCs w:val="20"/>
          <w:color w:val="auto"/>
        </w:rPr>
      </w:pPr>
      <w:r>
        <w:rPr>
          <w:rFonts w:ascii="Times New Roman" w:cs="Times New Roman" w:eastAsia="Times New Roman" w:hAnsi="Times New Roman"/>
          <w:sz w:val="20"/>
          <w:szCs w:val="20"/>
          <w:color w:val="auto"/>
        </w:rPr>
        <w:t>period provided that specified performance criteria are met. The performance criteria are based on a formula tied to our achievement of long-term economic returns consisting of the change in tangible net book value and dividends paid per common share on an absolute basis and relative to a select group of our peers. The fair value of the PSU awards granted during fiscal years 2023, 2022 and 2021 as of the grant date was $10 million, $11 million and $10 million, respectively, assuming the target levels of performance are achieved. The actual value of the awards will vary within a range of 0% to 200% of the target based on the actual performance achieved relative to the targets.</w:t>
      </w:r>
    </w:p>
    <w:p>
      <w:pPr>
        <w:spacing w:after="0" w:line="148"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Our 2016 Equity Plan, as amended, authorizes a total of 40 million shares of our common stock that may be used to satisfy awards granted under the Plan, subject to the share counting rules set forth within the Plan. As of December 31, 2023, 28.7 million shares remained available for awards under the 2016 Equity Plan. For purposes of determining the total number of shares available for awards under the 2016 Equity Plan, available shares are reduced by (i) shares issued for vested awards, net of units withheld to cover minimum statutory tax withholding requirements paid by us in cash on behalf of the employee, (ii) outstanding unvested awards, (iii) outstanding previously vested awards, if distribution of such awards has been deferred beyond the vesting date ("deferred awards"), and (iv) accrued dividend equivalent units on outstanding awards through December 31, 2023. Unvested PSU awards assume the maximum potential payout under the terms of the award. As of December 31, 2023, 1.7 million of deferred awards, including accrued dividend equivalents, were outstanding.</w:t>
      </w:r>
    </w:p>
    <w:p>
      <w:pPr>
        <w:spacing w:after="0" w:line="14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During fiscal years 2023, 2022 and 2021, we recognized total compensation expense of $15.0 million, $11.6 million and $21.4 million, respectively, for stock-based awards to employees, and we recognized other operating expense of $1.1 million, $1.0 million and $0.8 million, respectively, for stock-based awards to independent directors. Compensation expense for PSU awards is based on our estimate of the probability that the performance criteria for PSU awards will be achieved and, if applicable, includes a cumulative effect adjustment for changes in our estimate from the prior year period. As of December 31, 2023, we estimate that 66.4% of target for PSU awards granted in fiscal year 2021 will vest based on actual performance achieved through the end of the performance measurement period and that 50% and 100% of target will vest for PSU awards granted in fiscal years 2022 and 2023, respectively, based on our estimate of the probability that the performance criteria for these awards will be achieved. As of December 31, 2023, we had $17 million of unrecognized expense related to stock-based awards that we expect to recognize over a weighted average period of 1.8 years.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following tables summarizes awards under our 2016 Equity Plan for fiscal years 2023, 2022 and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6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5"/>
                <w:szCs w:val="15"/>
                <w:color w:val="auto"/>
              </w:rPr>
            </w:pP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Vest</w:t>
            </w:r>
          </w:p>
        </w:tc>
        <w:tc>
          <w:tcPr>
            <w:tcW w:w="0" w:type="dxa"/>
            <w:vAlign w:val="bottom"/>
          </w:tcPr>
          <w:p>
            <w:pPr>
              <w:spacing w:after="0"/>
              <w:rPr>
                <w:sz w:val="1"/>
                <w:szCs w:val="1"/>
                <w:color w:val="auto"/>
              </w:rPr>
            </w:pPr>
          </w:p>
        </w:tc>
      </w:tr>
      <w:tr>
        <w:trPr>
          <w:trHeight w:val="180"/>
        </w:trPr>
        <w:tc>
          <w:tcPr>
            <w:tcW w:w="6460" w:type="dxa"/>
            <w:vAlign w:val="bottom"/>
            <w:vMerge w:val="restart"/>
          </w:tcPr>
          <w:p>
            <w:pPr>
              <w:jc w:val="right"/>
              <w:ind w:right="5330"/>
              <w:spacing w:after="0"/>
              <w:rPr>
                <w:sz w:val="20"/>
                <w:szCs w:val="20"/>
                <w:color w:val="auto"/>
              </w:rPr>
            </w:pPr>
            <w:r>
              <w:rPr>
                <w:rFonts w:ascii="Times New Roman" w:cs="Times New Roman" w:eastAsia="Times New Roman" w:hAnsi="Times New Roman"/>
                <w:sz w:val="18"/>
                <w:szCs w:val="18"/>
                <w:b w:val="1"/>
                <w:bCs w:val="1"/>
                <w:color w:val="auto"/>
              </w:rPr>
              <w:t>RSU Awards</w:t>
            </w:r>
          </w:p>
        </w:tc>
        <w:tc>
          <w:tcPr>
            <w:tcW w:w="80" w:type="dxa"/>
            <w:vAlign w:val="bottom"/>
          </w:tcPr>
          <w:p>
            <w:pPr>
              <w:spacing w:after="0"/>
              <w:rPr>
                <w:sz w:val="15"/>
                <w:szCs w:val="15"/>
                <w:color w:val="auto"/>
              </w:rPr>
            </w:pP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RSU Awards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rPr>
              <w:t>Date Fair</w:t>
            </w:r>
          </w:p>
        </w:tc>
        <w:tc>
          <w:tcPr>
            <w:tcW w:w="0" w:type="dxa"/>
            <w:vAlign w:val="bottom"/>
          </w:tcPr>
          <w:p>
            <w:pPr>
              <w:spacing w:after="0"/>
              <w:rPr>
                <w:sz w:val="1"/>
                <w:szCs w:val="1"/>
                <w:color w:val="auto"/>
              </w:rPr>
            </w:pPr>
          </w:p>
        </w:tc>
      </w:tr>
      <w:tr>
        <w:trPr>
          <w:trHeight w:val="239"/>
        </w:trPr>
        <w:tc>
          <w:tcPr>
            <w:tcW w:w="64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7"/>
              </w:rPr>
              <w:t xml:space="preserve">Fair Value </w:t>
            </w:r>
            <w:r>
              <w:rPr>
                <w:rFonts w:ascii="Times New Roman" w:cs="Times New Roman" w:eastAsia="Times New Roman" w:hAnsi="Times New Roman"/>
                <w:sz w:val="23"/>
                <w:szCs w:val="23"/>
                <w:b w:val="1"/>
                <w:bCs w:val="1"/>
                <w:color w:val="auto"/>
                <w:w w:val="97"/>
                <w:vertAlign w:val="superscript"/>
              </w:rPr>
              <w:t>1</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60"/>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xml:space="preserve">Unvested balance as of December 31, 2020 </w:t>
            </w:r>
            <w:r>
              <w:rPr>
                <w:rFonts w:ascii="Times New Roman" w:cs="Times New Roman" w:eastAsia="Times New Roman" w:hAnsi="Times New Roman"/>
                <w:sz w:val="18"/>
                <w:szCs w:val="18"/>
                <w:b w:val="1"/>
                <w:bCs w:val="1"/>
                <w:color w:val="B4B4B4"/>
                <w:w w:val="99"/>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908,984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567,426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Accrued RSU dividend equivalents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84,976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(483,601)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90"/>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Forfeitures </w:t>
            </w:r>
            <w:r>
              <w:rPr>
                <w:rFonts w:ascii="Times New Roman" w:cs="Times New Roman" w:eastAsia="Times New Roman" w:hAnsi="Times New Roman"/>
                <w:sz w:val="18"/>
                <w:szCs w:val="18"/>
                <w:color w:val="B4B4B4"/>
              </w:rPr>
              <w:t>.......................................................................................................................</w:t>
            </w:r>
          </w:p>
        </w:tc>
        <w:tc>
          <w:tcPr>
            <w:tcW w:w="8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(27,758)</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xml:space="preserve">Unvested balance as of December 31, 2021 </w:t>
            </w:r>
            <w:r>
              <w:rPr>
                <w:rFonts w:ascii="Times New Roman" w:cs="Times New Roman" w:eastAsia="Times New Roman" w:hAnsi="Times New Roman"/>
                <w:sz w:val="18"/>
                <w:szCs w:val="18"/>
                <w:b w:val="1"/>
                <w:bCs w:val="1"/>
                <w:color w:val="B4B4B4"/>
                <w:w w:val="99"/>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1,050,027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687,733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Accrued RSU dividend equivalents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(558,796)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90"/>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Forfeitures </w:t>
            </w:r>
            <w:r>
              <w:rPr>
                <w:rFonts w:ascii="Times New Roman" w:cs="Times New Roman" w:eastAsia="Times New Roman" w:hAnsi="Times New Roman"/>
                <w:sz w:val="18"/>
                <w:szCs w:val="18"/>
                <w:color w:val="B4B4B4"/>
              </w:rPr>
              <w:t>.......................................................................................................................</w:t>
            </w:r>
          </w:p>
        </w:tc>
        <w:tc>
          <w:tcPr>
            <w:tcW w:w="8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xml:space="preserve">Unvested balance as of December 31, 2022 </w:t>
            </w:r>
            <w:r>
              <w:rPr>
                <w:rFonts w:ascii="Times New Roman" w:cs="Times New Roman" w:eastAsia="Times New Roman" w:hAnsi="Times New Roman"/>
                <w:sz w:val="18"/>
                <w:szCs w:val="18"/>
                <w:b w:val="1"/>
                <w:bCs w:val="1"/>
                <w:color w:val="B4B4B4"/>
                <w:w w:val="99"/>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1,333,691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1,140,758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Accrued RSU dividend equivalents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273,189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18"/>
                <w:szCs w:val="18"/>
                <w:color w:val="B4B4B4"/>
              </w:rPr>
              <w:t>..............................................................................................................................</w:t>
            </w:r>
          </w:p>
        </w:tc>
        <w:tc>
          <w:tcPr>
            <w:tcW w:w="8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(703,557)</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45"/>
        </w:trPr>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xml:space="preserve">Unvested balance as of December 31, 2023 </w:t>
            </w:r>
            <w:r>
              <w:rPr>
                <w:rFonts w:ascii="Times New Roman" w:cs="Times New Roman" w:eastAsia="Times New Roman" w:hAnsi="Times New Roman"/>
                <w:sz w:val="18"/>
                <w:szCs w:val="18"/>
                <w:b w:val="1"/>
                <w:bCs w:val="1"/>
                <w:color w:val="B4B4B4"/>
                <w:w w:val="99"/>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2,044,081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-56515</wp:posOffset>
            </wp:positionV>
            <wp:extent cx="2403475" cy="762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28">
                      <a:extLst>
                        <a:ext uri="{28A0092B-C50C-407E-A947-70E740481C1C}"/>
                      </a:extLst>
                    </a:blip>
                    <a:srcRect/>
                    <a:stretch>
                      <a:fillRect/>
                    </a:stretch>
                  </pic:blipFill>
                  <pic:spPr bwMode="auto">
                    <a:xfrm>
                      <a:off x="0" y="0"/>
                      <a:ext cx="2403475" cy="762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spacing w:after="0" w:line="10" w:lineRule="exact"/>
        <w:rPr>
          <w:sz w:val="20"/>
          <w:szCs w:val="20"/>
          <w:color w:val="auto"/>
        </w:rPr>
      </w:pPr>
    </w:p>
    <w:p>
      <w:pPr>
        <w:ind w:left="720" w:hanging="370"/>
        <w:spacing w:after="0"/>
        <w:tabs>
          <w:tab w:leader="none" w:pos="7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RSU award dividend equivalents have a weighted average grant date fair value of $0.</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260"/>
          </w:cols>
          <w:pgMar w:left="1000" w:top="793" w:right="980" w:bottom="0" w:gutter="0" w:footer="0" w:header="0"/>
          <w:type w:val="continuous"/>
        </w:sectPr>
      </w:pPr>
    </w:p>
    <w:bookmarkStart w:id="87" w:name="page88"/>
    <w:bookmarkEnd w:id="87"/>
    <w:tbl>
      <w:tblPr>
        <w:tblLayout w:type="fixed"/>
        <w:tblInd w:w="14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PSUs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6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at Target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60" w:type="dxa"/>
            <w:vAlign w:val="bottom"/>
          </w:tcPr>
          <w:p>
            <w:pPr>
              <w:spacing w:after="0"/>
              <w:rPr>
                <w:sz w:val="15"/>
                <w:szCs w:val="15"/>
                <w:color w:val="auto"/>
              </w:rPr>
            </w:pPr>
          </w:p>
        </w:tc>
        <w:tc>
          <w:tcPr>
            <w:tcW w:w="11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Vest</w:t>
            </w:r>
          </w:p>
        </w:tc>
        <w:tc>
          <w:tcPr>
            <w:tcW w:w="0" w:type="dxa"/>
            <w:vAlign w:val="bottom"/>
          </w:tcPr>
          <w:p>
            <w:pPr>
              <w:spacing w:after="0"/>
              <w:rPr>
                <w:sz w:val="1"/>
                <w:szCs w:val="1"/>
                <w:color w:val="auto"/>
              </w:rPr>
            </w:pPr>
          </w:p>
        </w:tc>
      </w:tr>
      <w:tr>
        <w:trPr>
          <w:trHeight w:val="180"/>
        </w:trPr>
        <w:tc>
          <w:tcPr>
            <w:tcW w:w="6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PSU Awards</w:t>
            </w:r>
          </w:p>
        </w:tc>
        <w:tc>
          <w:tcPr>
            <w:tcW w:w="80" w:type="dxa"/>
            <w:vAlign w:val="bottom"/>
          </w:tcPr>
          <w:p>
            <w:pPr>
              <w:spacing w:after="0"/>
              <w:rPr>
                <w:sz w:val="15"/>
                <w:szCs w:val="15"/>
                <w:color w:val="auto"/>
              </w:rPr>
            </w:pPr>
          </w:p>
        </w:tc>
        <w:tc>
          <w:tcPr>
            <w:tcW w:w="11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rPr>
              <w:t>Date Fair</w:t>
            </w:r>
          </w:p>
        </w:tc>
        <w:tc>
          <w:tcPr>
            <w:tcW w:w="0" w:type="dxa"/>
            <w:vAlign w:val="bottom"/>
          </w:tcPr>
          <w:p>
            <w:pPr>
              <w:spacing w:after="0"/>
              <w:rPr>
                <w:sz w:val="1"/>
                <w:szCs w:val="1"/>
                <w:color w:val="auto"/>
              </w:rPr>
            </w:pPr>
          </w:p>
        </w:tc>
      </w:tr>
      <w:tr>
        <w:trPr>
          <w:trHeight w:val="239"/>
        </w:trPr>
        <w:tc>
          <w:tcPr>
            <w:tcW w:w="62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8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7"/>
              </w:rPr>
              <w:t xml:space="preserve">Fair Value </w:t>
            </w:r>
            <w:r>
              <w:rPr>
                <w:rFonts w:ascii="Times New Roman" w:cs="Times New Roman" w:eastAsia="Times New Roman" w:hAnsi="Times New Roman"/>
                <w:sz w:val="23"/>
                <w:szCs w:val="23"/>
                <w:b w:val="1"/>
                <w:bCs w:val="1"/>
                <w:color w:val="auto"/>
                <w:w w:val="97"/>
                <w:vertAlign w:val="superscript"/>
              </w:rPr>
              <w:t>1</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60"/>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Unvested balance as of December 31, 2020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1,626,785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630,886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Accrued PSU dividend equivalents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157,539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0"/>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Performance adjustment - base grant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206,547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1"/>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Performance adjustment - accrued PSU dividend equivalents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(466,224)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90"/>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Forfeitures </w:t>
            </w:r>
            <w:r>
              <w:rPr>
                <w:rFonts w:ascii="Times New Roman" w:cs="Times New Roman" w:eastAsia="Times New Roman" w:hAnsi="Times New Roman"/>
                <w:sz w:val="18"/>
                <w:szCs w:val="18"/>
                <w:color w:val="B4B4B4"/>
              </w:rPr>
              <w:t>.................................................................................................................</w:t>
            </w:r>
          </w:p>
        </w:tc>
        <w:tc>
          <w:tcPr>
            <w:tcW w:w="8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xml:space="preserve">Unvested balance as of December 31, 2021 </w:t>
            </w:r>
            <w:r>
              <w:rPr>
                <w:rFonts w:ascii="Times New Roman" w:cs="Times New Roman" w:eastAsia="Times New Roman" w:hAnsi="Times New Roman"/>
                <w:sz w:val="18"/>
                <w:szCs w:val="18"/>
                <w:b w:val="1"/>
                <w:bCs w:val="1"/>
                <w:color w:val="B4B4B4"/>
                <w:w w:val="99"/>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2,212,660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826,971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Accrued PSU dividend equivalents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279,484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18"/>
                <w:szCs w:val="18"/>
                <w:color w:val="B4B4B4"/>
              </w:rPr>
              <w:t>........................................................................................................................</w:t>
            </w:r>
          </w:p>
        </w:tc>
        <w:tc>
          <w:tcPr>
            <w:tcW w:w="8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(938,540)</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60"/>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xml:space="preserve">Unvested balance as of December 31, 2022 </w:t>
            </w:r>
            <w:r>
              <w:rPr>
                <w:rFonts w:ascii="Times New Roman" w:cs="Times New Roman" w:eastAsia="Times New Roman" w:hAnsi="Times New Roman"/>
                <w:sz w:val="18"/>
                <w:szCs w:val="18"/>
                <w:b w:val="1"/>
                <w:bCs w:val="1"/>
                <w:color w:val="B4B4B4"/>
                <w:w w:val="99"/>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2,380,575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950,840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5"/>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Accrued PSU dividend equivalents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402,368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0"/>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Performance adjustment - base grant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(210,425)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1"/>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Performance adjustment - accrued PSU dividend equivalents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18"/>
                <w:szCs w:val="18"/>
                <w:color w:val="B4B4B4"/>
              </w:rPr>
              <w:t>........................................................................................................................</w:t>
            </w:r>
          </w:p>
        </w:tc>
        <w:tc>
          <w:tcPr>
            <w:tcW w:w="8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(699,128)</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45"/>
        </w:trPr>
        <w:tc>
          <w:tcPr>
            <w:tcW w:w="6200" w:type="dxa"/>
            <w:vAlign w:val="bottom"/>
          </w:tcPr>
          <w:p>
            <w:pPr>
              <w:jc w:val="right"/>
              <w:spacing w:after="0" w:line="245" w:lineRule="exact"/>
              <w:rPr>
                <w:sz w:val="20"/>
                <w:szCs w:val="20"/>
                <w:color w:val="auto"/>
              </w:rPr>
            </w:pPr>
            <w:r>
              <w:rPr>
                <w:rFonts w:ascii="Times New Roman" w:cs="Times New Roman" w:eastAsia="Times New Roman" w:hAnsi="Times New Roman"/>
                <w:sz w:val="18"/>
                <w:szCs w:val="18"/>
                <w:b w:val="1"/>
                <w:bCs w:val="1"/>
                <w:color w:val="auto"/>
              </w:rPr>
              <w:t xml:space="preserve">Unvested balance as of December 31, 2023 </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B4B4B4"/>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2,736,855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-56515</wp:posOffset>
            </wp:positionV>
            <wp:extent cx="2393950" cy="762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9">
                      <a:extLst>
                        <a:ext uri="{28A0092B-C50C-407E-A947-70E740481C1C}"/>
                      </a:extLst>
                    </a:blip>
                    <a:srcRect/>
                    <a:stretch>
                      <a:fillRect/>
                    </a:stretch>
                  </pic:blipFill>
                  <pic:spPr bwMode="auto">
                    <a:xfrm>
                      <a:off x="0" y="0"/>
                      <a:ext cx="2393950" cy="762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19" w:lineRule="exact"/>
        <w:rPr>
          <w:sz w:val="20"/>
          <w:szCs w:val="20"/>
          <w:color w:val="auto"/>
        </w:rPr>
      </w:pPr>
    </w:p>
    <w:p>
      <w:pPr>
        <w:ind w:left="720" w:hanging="370"/>
        <w:spacing w:after="0"/>
        <w:tabs>
          <w:tab w:leader="none" w:pos="7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Accrued PSU award dividend equivalents have a weighted average grant date fair value of $0.</w:t>
      </w:r>
    </w:p>
    <w:p>
      <w:pPr>
        <w:spacing w:after="0" w:line="6" w:lineRule="exact"/>
        <w:rPr>
          <w:rFonts w:ascii="Times New Roman" w:cs="Times New Roman" w:eastAsia="Times New Roman" w:hAnsi="Times New Roman"/>
          <w:sz w:val="16"/>
          <w:szCs w:val="16"/>
          <w:color w:val="auto"/>
        </w:rPr>
      </w:pPr>
    </w:p>
    <w:p>
      <w:pPr>
        <w:ind w:left="720" w:hanging="370"/>
        <w:spacing w:after="0"/>
        <w:tabs>
          <w:tab w:leader="none" w:pos="7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adjustments reflect adjustments for actual performance achieved relative to target, measured at the end of the performance period.</w:t>
      </w:r>
    </w:p>
    <w:p>
      <w:pPr>
        <w:spacing w:after="0" w:line="8" w:lineRule="exact"/>
        <w:rPr>
          <w:rFonts w:ascii="Times New Roman" w:cs="Times New Roman" w:eastAsia="Times New Roman" w:hAnsi="Times New Roman"/>
          <w:sz w:val="16"/>
          <w:szCs w:val="16"/>
          <w:color w:val="auto"/>
        </w:rPr>
      </w:pPr>
    </w:p>
    <w:p>
      <w:pPr>
        <w:jc w:val="both"/>
        <w:ind w:left="720" w:right="20" w:hanging="370"/>
        <w:spacing w:after="0" w:line="253" w:lineRule="auto"/>
        <w:tabs>
          <w:tab w:leader="none" w:pos="720" w:val="left"/>
        </w:tabs>
        <w:numPr>
          <w:ilvl w:val="0"/>
          <w:numId w:val="7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unvested balance as of December 31, 2023 assumes actual performance achievement of 66.4% of target for PSU awards granted in fiscal year 2021 that are scheduled to vest in fiscal year 2024 and target levels of performance (100%) for PSU awards granted in fiscal years 2022 and 2023. The actual number of PSUs that will vest for the 2022 and 2023 PSU awards will vary within a range of 0% to 200% of the target based on the actual performance achieved relative to the targets. As of December 31, 2023, we estimate that 50% and 100% of the 2022 and 2023 PSU awards, respectively, will vest based on our estimate of the probability that the performance criteria for the awards will be achieved.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Income Taxes</w:t>
      </w:r>
    </w:p>
    <w:p>
      <w:pPr>
        <w:spacing w:after="0" w:line="197" w:lineRule="exact"/>
        <w:rPr>
          <w:sz w:val="20"/>
          <w:szCs w:val="20"/>
          <w:color w:val="auto"/>
        </w:rPr>
      </w:pPr>
    </w:p>
    <w:p>
      <w:pPr>
        <w:jc w:val="both"/>
        <w:ind w:right="20" w:firstLine="495"/>
        <w:spacing w:after="0" w:line="254" w:lineRule="auto"/>
        <w:rPr>
          <w:sz w:val="20"/>
          <w:szCs w:val="20"/>
          <w:color w:val="auto"/>
        </w:rPr>
      </w:pPr>
      <w:r>
        <w:rPr>
          <w:rFonts w:ascii="Times New Roman" w:cs="Times New Roman" w:eastAsia="Times New Roman" w:hAnsi="Times New Roman"/>
          <w:sz w:val="20"/>
          <w:szCs w:val="20"/>
          <w:color w:val="auto"/>
        </w:rPr>
        <w:t>We did not incur an income tax liability for the years ended December 31, 2022 and 2021 and we do not expect to incur an income tax liability for the year ended December 31, 2023.</w:t>
      </w:r>
    </w:p>
    <w:p>
      <w:pPr>
        <w:spacing w:after="0" w:line="121" w:lineRule="exact"/>
        <w:rPr>
          <w:sz w:val="20"/>
          <w:szCs w:val="20"/>
          <w:color w:val="auto"/>
        </w:rPr>
      </w:pPr>
    </w:p>
    <w:p>
      <w:pPr>
        <w:jc w:val="both"/>
        <w:ind w:right="20" w:firstLine="495"/>
        <w:spacing w:after="0" w:line="235" w:lineRule="auto"/>
        <w:rPr>
          <w:sz w:val="20"/>
          <w:szCs w:val="20"/>
          <w:color w:val="auto"/>
        </w:rPr>
      </w:pPr>
      <w:r>
        <w:rPr>
          <w:rFonts w:ascii="Times New Roman" w:cs="Times New Roman" w:eastAsia="Times New Roman" w:hAnsi="Times New Roman"/>
          <w:sz w:val="20"/>
          <w:szCs w:val="20"/>
          <w:color w:val="auto"/>
        </w:rPr>
        <w:t xml:space="preserve">Based on our analysis of any potential uncertain income tax positions, we concluded that we do not have any uncertain tax positions that meet the recognition or measurement criteria of ASC Topic 740,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as of December 31, 2023 or prior periods. Our tax returns for tax years 2020 and forward are open to examination by the IRS. If we incur income tax related interest and penalties, our policy is to classify them as a component of provision for income taxes.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 </w:t>
      </w:r>
      <w:r>
        <w:rPr>
          <w:rFonts w:ascii="Times New Roman" w:cs="Times New Roman" w:eastAsia="Times New Roman" w:hAnsi="Times New Roman"/>
          <w:sz w:val="20"/>
          <w:szCs w:val="20"/>
          <w:b w:val="1"/>
          <w:bCs w:val="1"/>
          <w:i w:val="1"/>
          <w:iCs w:val="1"/>
          <w:color w:val="auto"/>
        </w:rPr>
        <w:t>Changes in and Disagreements with Accountants on Accounting and Financial Disclosure</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9A. </w:t>
      </w:r>
      <w:r>
        <w:rPr>
          <w:rFonts w:ascii="Times New Roman" w:cs="Times New Roman" w:eastAsia="Times New Roman" w:hAnsi="Times New Roman"/>
          <w:sz w:val="20"/>
          <w:szCs w:val="20"/>
          <w:b w:val="1"/>
          <w:bCs w:val="1"/>
          <w:i w:val="1"/>
          <w:iCs w:val="1"/>
          <w:color w:val="auto"/>
        </w:rPr>
        <w:t>Controls and Procedures</w:t>
      </w:r>
    </w:p>
    <w:p>
      <w:pPr>
        <w:spacing w:after="0" w:line="139"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20"/>
          <w:szCs w:val="20"/>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9" w:lineRule="exact"/>
        <w:rPr>
          <w:sz w:val="20"/>
          <w:szCs w:val="20"/>
          <w:color w:val="auto"/>
        </w:rPr>
      </w:pPr>
    </w:p>
    <w:p>
      <w:pPr>
        <w:jc w:val="both"/>
        <w:ind w:right="20" w:firstLine="495"/>
        <w:spacing w:after="0" w:line="266" w:lineRule="auto"/>
        <w:rPr>
          <w:sz w:val="20"/>
          <w:szCs w:val="20"/>
          <w:color w:val="auto"/>
        </w:rPr>
      </w:pPr>
      <w:r>
        <w:rPr>
          <w:rFonts w:ascii="Times New Roman" w:cs="Times New Roman" w:eastAsia="Times New Roman" w:hAnsi="Times New Roman"/>
          <w:sz w:val="20"/>
          <w:szCs w:val="20"/>
          <w:color w:val="auto"/>
        </w:rPr>
        <w:t>We, including our Chief Executive Officer and Chief Financial Officer, evaluated the effectiveness of the design and operation of our disclosure controls and procedures as of December 31, 2023. Based on the foregoing, our Chief Executive Officer and Chief Financial Officer concluded that our disclosure controls and procedures were effective.</w:t>
      </w:r>
    </w:p>
    <w:p>
      <w:pPr>
        <w:sectPr>
          <w:pgSz w:w="12240" w:h="15840" w:orient="portrait"/>
          <w:cols w:equalWidth="0" w:num="1">
            <w:col w:w="10260"/>
          </w:cols>
          <w:pgMar w:left="1000" w:top="939" w:right="98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60"/>
          </w:cols>
          <w:pgMar w:left="1000" w:top="939" w:right="98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139" w:lineRule="exact"/>
        <w:rPr>
          <w:sz w:val="20"/>
          <w:szCs w:val="20"/>
          <w:color w:val="auto"/>
        </w:rPr>
      </w:pPr>
    </w:p>
    <w:p>
      <w:pPr>
        <w:jc w:val="both"/>
        <w:ind w:right="20" w:firstLine="450"/>
        <w:spacing w:after="0" w:line="281" w:lineRule="auto"/>
        <w:rPr>
          <w:sz w:val="20"/>
          <w:szCs w:val="20"/>
          <w:color w:val="auto"/>
        </w:rPr>
      </w:pPr>
      <w:r>
        <w:rPr>
          <w:rFonts w:ascii="Times New Roman" w:cs="Times New Roman" w:eastAsia="Times New Roman" w:hAnsi="Times New Roman"/>
          <w:sz w:val="20"/>
          <w:szCs w:val="20"/>
          <w:color w:val="auto"/>
        </w:rPr>
        <w:t>Management Report on Internal Control over Financial Reporting is included in "Item 8. Financial Statements and Supplementary Data."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Attestation Report of Registered Public Accounting Firm</w:t>
      </w:r>
    </w:p>
    <w:p>
      <w:pPr>
        <w:spacing w:after="0" w:line="139" w:lineRule="exact"/>
        <w:rPr>
          <w:sz w:val="20"/>
          <w:szCs w:val="20"/>
          <w:color w:val="auto"/>
        </w:rPr>
      </w:pPr>
    </w:p>
    <w:p>
      <w:pPr>
        <w:jc w:val="both"/>
        <w:ind w:right="20" w:firstLine="450"/>
        <w:spacing w:after="0" w:line="281" w:lineRule="auto"/>
        <w:rPr>
          <w:sz w:val="20"/>
          <w:szCs w:val="20"/>
          <w:color w:val="auto"/>
        </w:rPr>
      </w:pPr>
      <w:r>
        <w:rPr>
          <w:rFonts w:ascii="Times New Roman" w:cs="Times New Roman" w:eastAsia="Times New Roman" w:hAnsi="Times New Roman"/>
          <w:sz w:val="20"/>
          <w:szCs w:val="20"/>
          <w:color w:val="auto"/>
        </w:rPr>
        <w:t>The attestation report of our registered public accounting firm is included in "Item 8. Financial Statements and Supplementary Data."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39"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9B. </w:t>
      </w:r>
      <w:r>
        <w:rPr>
          <w:rFonts w:ascii="Times New Roman" w:cs="Times New Roman" w:eastAsia="Times New Roman" w:hAnsi="Times New Roman"/>
          <w:sz w:val="20"/>
          <w:szCs w:val="20"/>
          <w:b w:val="1"/>
          <w:bCs w:val="1"/>
          <w:i w:val="1"/>
          <w:iCs w:val="1"/>
          <w:color w:val="auto"/>
        </w:rPr>
        <w:t>Other Information</w:t>
      </w:r>
    </w:p>
    <w:p>
      <w:pPr>
        <w:spacing w:after="0" w:line="139" w:lineRule="exact"/>
        <w:rPr>
          <w:sz w:val="20"/>
          <w:szCs w:val="20"/>
          <w:color w:val="auto"/>
        </w:rPr>
      </w:pPr>
    </w:p>
    <w:p>
      <w:pPr>
        <w:jc w:val="both"/>
        <w:ind w:right="20" w:firstLine="495"/>
        <w:spacing w:after="0" w:line="266" w:lineRule="auto"/>
        <w:rPr>
          <w:sz w:val="20"/>
          <w:szCs w:val="20"/>
          <w:color w:val="auto"/>
        </w:rPr>
      </w:pPr>
      <w:r>
        <w:rPr>
          <w:rFonts w:ascii="Times New Roman" w:cs="Times New Roman" w:eastAsia="Times New Roman" w:hAnsi="Times New Roman"/>
          <w:sz w:val="20"/>
          <w:szCs w:val="20"/>
          <w:color w:val="auto"/>
        </w:rPr>
        <w:t>During the three months ended December 31, 2023, none of our directors or officers (as defined in Rule 16a-1(f) of the Exchange Act) informed us of the adoption or termination of a "Rule 10b5-1 trading arrangement" or "non-Rule 10b5-1 trading arrangement," as those terms are defined in Regulation S-K, Item 408.</w:t>
      </w:r>
    </w:p>
    <w:p>
      <w:pPr>
        <w:spacing w:after="0" w:line="6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10. </w:t>
      </w:r>
      <w:r>
        <w:rPr>
          <w:rFonts w:ascii="Times New Roman" w:cs="Times New Roman" w:eastAsia="Times New Roman" w:hAnsi="Times New Roman"/>
          <w:sz w:val="20"/>
          <w:szCs w:val="20"/>
          <w:b w:val="1"/>
          <w:bCs w:val="1"/>
          <w:i w:val="1"/>
          <w:iCs w:val="1"/>
          <w:color w:val="auto"/>
        </w:rPr>
        <w:t>Directors, Executive Officers and Corporate Governance</w:t>
      </w:r>
    </w:p>
    <w:p>
      <w:pPr>
        <w:spacing w:after="0" w:line="139" w:lineRule="exact"/>
        <w:rPr>
          <w:sz w:val="20"/>
          <w:szCs w:val="20"/>
          <w:color w:val="auto"/>
        </w:rPr>
      </w:pPr>
    </w:p>
    <w:p>
      <w:pPr>
        <w:jc w:val="both"/>
        <w:ind w:firstLine="450"/>
        <w:spacing w:after="0" w:line="260" w:lineRule="auto"/>
        <w:rPr>
          <w:sz w:val="20"/>
          <w:szCs w:val="20"/>
          <w:color w:val="auto"/>
        </w:rPr>
      </w:pPr>
      <w:r>
        <w:rPr>
          <w:rFonts w:ascii="Times New Roman" w:cs="Times New Roman" w:eastAsia="Times New Roman" w:hAnsi="Times New Roman"/>
          <w:sz w:val="20"/>
          <w:szCs w:val="20"/>
          <w:color w:val="auto"/>
        </w:rPr>
        <w:t>Information in response to this Item is incorporated herein by reference to the information provided in our Proxy Statement for our 2024 Annual Meeting of Stockholders (the "2024 Proxy Statement") under the headings "PROPOSAL 1: ELECTION OF DIRECTORS", "EXECUTIVE OFFICERS OF REGISTRANT", and "BOARD AND GOVERNANCE MATTERS."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11. </w:t>
      </w:r>
      <w:r>
        <w:rPr>
          <w:rFonts w:ascii="Times New Roman" w:cs="Times New Roman" w:eastAsia="Times New Roman" w:hAnsi="Times New Roman"/>
          <w:sz w:val="20"/>
          <w:szCs w:val="20"/>
          <w:b w:val="1"/>
          <w:bCs w:val="1"/>
          <w:i w:val="1"/>
          <w:iCs w:val="1"/>
          <w:color w:val="auto"/>
        </w:rPr>
        <w:t>Executive Compensation</w:t>
      </w:r>
    </w:p>
    <w:p>
      <w:pPr>
        <w:spacing w:after="0" w:line="13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Information in response to this Item is incorporated herein by reference to the information provided in the 2024 Proxy Statement under the headings "PROPOSAL 1: ELECTION OF DIRECTORS", "EXECUTIVE COMPENSATION", "COMPENSATION DISCUSSION AND ANALYSIS", "REPORT OF THE COMPENSATION AND CORPORATE GOVERNANCE COMMITTEE", and "COMPENSATION COMMITTEE INTERLOCKS AND INSIDER PARTICIPATION."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12. </w:t>
      </w:r>
      <w:r>
        <w:rPr>
          <w:rFonts w:ascii="Times New Roman" w:cs="Times New Roman" w:eastAsia="Times New Roman" w:hAnsi="Times New Roman"/>
          <w:sz w:val="20"/>
          <w:szCs w:val="20"/>
          <w:b w:val="1"/>
          <w:bCs w:val="1"/>
          <w:i w:val="1"/>
          <w:iCs w:val="1"/>
          <w:color w:val="auto"/>
        </w:rPr>
        <w:t>Security Ownership of Certain Beneficial Owners and Management and Related Stockholder Matters</w:t>
      </w:r>
    </w:p>
    <w:p>
      <w:pPr>
        <w:spacing w:after="0" w:line="139" w:lineRule="exact"/>
        <w:rPr>
          <w:sz w:val="20"/>
          <w:szCs w:val="20"/>
          <w:color w:val="auto"/>
        </w:rPr>
      </w:pPr>
    </w:p>
    <w:p>
      <w:pPr>
        <w:jc w:val="both"/>
        <w:ind w:right="20" w:firstLine="450"/>
        <w:spacing w:after="0" w:line="281" w:lineRule="auto"/>
        <w:rPr>
          <w:sz w:val="20"/>
          <w:szCs w:val="20"/>
          <w:color w:val="auto"/>
        </w:rPr>
      </w:pPr>
      <w:r>
        <w:rPr>
          <w:rFonts w:ascii="Times New Roman" w:cs="Times New Roman" w:eastAsia="Times New Roman" w:hAnsi="Times New Roman"/>
          <w:sz w:val="20"/>
          <w:szCs w:val="20"/>
          <w:color w:val="auto"/>
        </w:rPr>
        <w:t>Information in response to this Item is incorporated herein by reference to the information provided in the 2024 Proxy Statement under the heading "SECURITY OWNERSHIP OF MANAGEMENT AND CERTAIN BENEFICIAL OWNERS."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13. </w:t>
      </w:r>
      <w:r>
        <w:rPr>
          <w:rFonts w:ascii="Times New Roman" w:cs="Times New Roman" w:eastAsia="Times New Roman" w:hAnsi="Times New Roman"/>
          <w:sz w:val="20"/>
          <w:szCs w:val="20"/>
          <w:b w:val="1"/>
          <w:bCs w:val="1"/>
          <w:i w:val="1"/>
          <w:iCs w:val="1"/>
          <w:color w:val="auto"/>
        </w:rPr>
        <w:t>Certain Relationships and Related Transactions, and Director Independence</w:t>
      </w:r>
    </w:p>
    <w:p>
      <w:pPr>
        <w:spacing w:after="0" w:line="139"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Information in response to this Item is incorporated herein by reference to the information provided in the 2024 Proxy Statement under the headings "CERTAIN TRANSACTIONS WITH RELATED PERSONS" and "PROPOSAL 1: ELECTION OF DIRECTORS."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14. </w:t>
      </w:r>
      <w:r>
        <w:rPr>
          <w:rFonts w:ascii="Times New Roman" w:cs="Times New Roman" w:eastAsia="Times New Roman" w:hAnsi="Times New Roman"/>
          <w:sz w:val="20"/>
          <w:szCs w:val="20"/>
          <w:b w:val="1"/>
          <w:bCs w:val="1"/>
          <w:i w:val="1"/>
          <w:iCs w:val="1"/>
          <w:color w:val="auto"/>
        </w:rPr>
        <w:t>Principal Accounting Fees and Services</w:t>
      </w:r>
    </w:p>
    <w:p>
      <w:pPr>
        <w:spacing w:after="0" w:line="139"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Information in response to this Item is incorporated herein by reference to the information provided in the 2024 Proxy Statement under the heading "PROPOSAL 3: RATIFICATION OF APPOINTMENT OF INDEPENDENT PUBLIC ACCOUNTANT."</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260"/>
          </w:cols>
          <w:pgMar w:left="1000" w:top="784" w:right="980" w:bottom="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15. </w:t>
      </w:r>
      <w:r>
        <w:rPr>
          <w:rFonts w:ascii="Times New Roman" w:cs="Times New Roman" w:eastAsia="Times New Roman" w:hAnsi="Times New Roman"/>
          <w:sz w:val="19"/>
          <w:szCs w:val="19"/>
          <w:b w:val="1"/>
          <w:bCs w:val="1"/>
          <w:i w:val="1"/>
          <w:iCs w:val="1"/>
          <w:color w:val="auto"/>
        </w:rPr>
        <w:t>Exhibits and Financial Statement Schedules</w:t>
      </w:r>
    </w:p>
    <w:p>
      <w:pPr>
        <w:spacing w:after="0" w:line="196" w:lineRule="exact"/>
        <w:rPr>
          <w:sz w:val="20"/>
          <w:szCs w:val="20"/>
          <w:color w:val="auto"/>
        </w:rPr>
      </w:pPr>
    </w:p>
    <w:p>
      <w:pPr>
        <w:ind w:left="260" w:hanging="259"/>
        <w:spacing w:after="0"/>
        <w:tabs>
          <w:tab w:leader="none" w:pos="26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List of documents filed as part of this report:</w:t>
      </w:r>
    </w:p>
    <w:p>
      <w:pPr>
        <w:spacing w:after="0" w:line="177" w:lineRule="exact"/>
        <w:rPr>
          <w:rFonts w:ascii="Times New Roman" w:cs="Times New Roman" w:eastAsia="Times New Roman" w:hAnsi="Times New Roman"/>
          <w:sz w:val="19"/>
          <w:szCs w:val="19"/>
          <w:color w:val="auto"/>
        </w:rPr>
      </w:pPr>
    </w:p>
    <w:p>
      <w:pPr>
        <w:ind w:left="1520" w:hanging="427"/>
        <w:spacing w:after="0"/>
        <w:tabs>
          <w:tab w:leader="none" w:pos="1520"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financial statements are filed herewith:</w:t>
      </w:r>
    </w:p>
    <w:p>
      <w:pPr>
        <w:spacing w:after="0" w:line="17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Consolidated Balance Sheets as of December 31, 2023 and 2022</w:t>
      </w:r>
    </w:p>
    <w:p>
      <w:pPr>
        <w:spacing w:after="0" w:line="3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Consolidated Statements of Comprehensive Income for fiscal years 2023, 2022 and 2021</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Consolidated Statements of Stockholders' Equity for fiscal years 2023, 2022 and 2021</w:t>
      </w:r>
    </w:p>
    <w:p>
      <w:pPr>
        <w:spacing w:after="0" w:line="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9"/>
          <w:szCs w:val="19"/>
          <w:color w:val="auto"/>
        </w:rPr>
        <w:t>Consolidated Statements of Cash Flows for fiscal years 2023,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40" w:type="dxa"/>
            <w:vAlign w:val="bottom"/>
            <w:gridSpan w:val="3"/>
          </w:tcPr>
          <w:p>
            <w:pPr>
              <w:ind w:left="180"/>
              <w:spacing w:after="0"/>
              <w:rPr>
                <w:sz w:val="20"/>
                <w:szCs w:val="20"/>
                <w:color w:val="auto"/>
              </w:rPr>
            </w:pPr>
            <w:r>
              <w:rPr>
                <w:rFonts w:ascii="Times New Roman" w:cs="Times New Roman" w:eastAsia="Times New Roman" w:hAnsi="Times New Roman"/>
                <w:sz w:val="19"/>
                <w:szCs w:val="19"/>
                <w:color w:val="auto"/>
              </w:rPr>
              <w:t>(2)  The following exhibits are filed herewith or incorporated herein by reference</w:t>
            </w:r>
          </w:p>
        </w:tc>
      </w:tr>
      <w:tr>
        <w:trPr>
          <w:trHeight w:val="333"/>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4"/>
              </w:rPr>
              <w:t>Exhibit No.</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396"/>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AGNC Investment Corp. Amended and Restated Certificate of Incorporation, as amended, incorporated by</w:t>
            </w:r>
          </w:p>
        </w:tc>
      </w:tr>
      <w:tr>
        <w:trPr>
          <w:trHeight w:val="233"/>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reference from Exhibit 3.1 of Form 10-K for the year ended December 31, 2021 (File No. 001-34057), filed</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February 23, 2022.</w:t>
            </w:r>
          </w:p>
        </w:tc>
      </w:tr>
      <w:tr>
        <w:trPr>
          <w:trHeight w:val="388"/>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*3.2</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AGNC Investment Corp. Amended and Restated Bylaws, as amended, incorporated herein by reference to</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Exhibit 3.1 of Form 8-K (File No. 001-34057), filed July 21, 2023.</w:t>
            </w:r>
          </w:p>
        </w:tc>
      </w:tr>
      <w:tr>
        <w:trPr>
          <w:trHeight w:val="388"/>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*3.3</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Designations of 7.00% Series C Fixed-to-Floating Rate Cumulative Redeemable Preferred</w:t>
            </w:r>
          </w:p>
        </w:tc>
      </w:tr>
      <w:tr>
        <w:trPr>
          <w:trHeight w:val="233"/>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Stock, incorporated herein by reference to Exhibit 3.5 of Form 8-A (File No. 001-34057), filed August 18,</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2017.</w:t>
            </w:r>
          </w:p>
        </w:tc>
        <w:tc>
          <w:tcPr>
            <w:tcW w:w="7800" w:type="dxa"/>
            <w:vAlign w:val="bottom"/>
          </w:tcPr>
          <w:p>
            <w:pPr>
              <w:spacing w:after="0"/>
              <w:rPr>
                <w:sz w:val="21"/>
                <w:szCs w:val="21"/>
                <w:color w:val="auto"/>
              </w:rPr>
            </w:pPr>
          </w:p>
        </w:tc>
      </w:tr>
      <w:tr>
        <w:trPr>
          <w:trHeight w:val="388"/>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*3.4</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Elimination of 8.000% Series A Cumulative Redeemable Preferred Stock, incorporated herein</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by reference to Exhibit 3.1 of Form 8-K (File No 001-34057), filed October 26, 2017.</w:t>
            </w:r>
          </w:p>
        </w:tc>
      </w:tr>
      <w:tr>
        <w:trPr>
          <w:trHeight w:val="388"/>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*3.5</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Designations of 6.875% Series D Fixed-to-Floating Rate Cumulative Redeemable Preferred</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Stock, incorporated herein by reference to Exhibit 3.5 of Form 8-A (File No 001-34057), filed March 6, 2019.</w:t>
            </w:r>
          </w:p>
        </w:tc>
      </w:tr>
      <w:tr>
        <w:trPr>
          <w:trHeight w:val="388"/>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*3.6</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Designations of 6.50% Series E Fixed-to-Floating Rate Cumulative Redeemable Preferred</w:t>
            </w:r>
          </w:p>
        </w:tc>
      </w:tr>
      <w:tr>
        <w:trPr>
          <w:trHeight w:val="233"/>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Stock, incorporated herein by reference to Exhibit 3.6 of Form 8-A (File No 001-34057), filed October 3,</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2019.</w:t>
            </w:r>
          </w:p>
        </w:tc>
        <w:tc>
          <w:tcPr>
            <w:tcW w:w="7800" w:type="dxa"/>
            <w:vAlign w:val="bottom"/>
          </w:tcPr>
          <w:p>
            <w:pPr>
              <w:spacing w:after="0"/>
              <w:rPr>
                <w:sz w:val="21"/>
                <w:szCs w:val="21"/>
                <w:color w:val="auto"/>
              </w:rPr>
            </w:pPr>
          </w:p>
        </w:tc>
      </w:tr>
      <w:tr>
        <w:trPr>
          <w:trHeight w:val="388"/>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*3.7</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Elimination of 7.750% Series B Cumulative Redeemable Preferred Stock, incorporated herein</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by reference to Exhibit 3.1 of Form 8-K (File No 001-34057), filed December 13, 2019.</w:t>
            </w:r>
          </w:p>
        </w:tc>
      </w:tr>
      <w:tr>
        <w:trPr>
          <w:trHeight w:val="388"/>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*3.8</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Designations of 6.125% Series F Fixed-to-Floating Rate Cumulative Redeemable Preferred</w:t>
            </w:r>
          </w:p>
        </w:tc>
      </w:tr>
      <w:tr>
        <w:trPr>
          <w:trHeight w:val="233"/>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Stock, incorporated herein by reference to Exhibit 3.6 of Form 8-A (File No 001-34057), filed February 11,</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2020.</w:t>
            </w:r>
          </w:p>
        </w:tc>
        <w:tc>
          <w:tcPr>
            <w:tcW w:w="7800" w:type="dxa"/>
            <w:vAlign w:val="bottom"/>
          </w:tcPr>
          <w:p>
            <w:pPr>
              <w:spacing w:after="0"/>
              <w:rPr>
                <w:sz w:val="21"/>
                <w:szCs w:val="21"/>
                <w:color w:val="auto"/>
              </w:rPr>
            </w:pPr>
          </w:p>
        </w:tc>
      </w:tr>
      <w:tr>
        <w:trPr>
          <w:trHeight w:val="388"/>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*3.9</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Designations of 7.75% Series G Fixed-Rate Reset Cumulative Redeemable Preferred Stock,</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incorporated herein by reference to Exhibit 3.7 of Form 8-A (File No 001-34057), filed September 14, 2022.</w:t>
            </w:r>
          </w:p>
        </w:tc>
      </w:tr>
      <w:tr>
        <w:trPr>
          <w:trHeight w:val="388"/>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*4.1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Instruments defining the rights of holders of securities: See Article IV of our Amended and Restated</w:t>
            </w:r>
          </w:p>
        </w:tc>
      </w:tr>
      <w:tr>
        <w:trPr>
          <w:trHeight w:val="233"/>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Certificate of Incorporation, as amended, incorporated herein by reference to Exhibit 3.1 of Form 10-K for the</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year ended December 31, 2021 (File No. 001-34057), filed February 23, 2022.</w:t>
            </w:r>
          </w:p>
        </w:tc>
      </w:tr>
      <w:tr>
        <w:trPr>
          <w:trHeight w:val="388"/>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*4.2</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Instruments defining the rights of holders of securities: See Article VI of our Amended and Restated Bylaws,</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as amended, incorporated herein by reference to Exhibit 3.1 of Form 8-K, filed July 21, 2023.</w:t>
            </w:r>
          </w:p>
        </w:tc>
      </w:tr>
      <w:tr>
        <w:trPr>
          <w:trHeight w:val="388"/>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*4.3</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Form of Certificate for Common Stock, incorporated herein by reference to Exhibit 4.3 of Form 10-Q for the</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quarter ended September 30, 2022 (File No. 001-34057), filed November 7, 2022.</w:t>
            </w:r>
          </w:p>
        </w:tc>
      </w:tr>
      <w:tr>
        <w:trPr>
          <w:trHeight w:val="388"/>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*4.4</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Specimen 7.00% Series C Fixed-to-Floating Rate Cumulative Redeemable Preferred Stock Certificate,</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incorporated herein by reference to Exhibit 4.1 of Form 8-A (File No. 001-34057), filed August 18, 2017.</w:t>
            </w:r>
          </w:p>
        </w:tc>
      </w:tr>
      <w:tr>
        <w:trPr>
          <w:trHeight w:val="388"/>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auto"/>
              </w:rPr>
              <w:t>*4.5</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Specimen 6.875% Series D Fixed-to-Floating Rate Cumulative Redeemable Preferred Stock Certificate,</w:t>
            </w:r>
          </w:p>
        </w:tc>
      </w:tr>
      <w:tr>
        <w:trPr>
          <w:trHeight w:val="253"/>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incorporated herein by reference to Exhibit 4.1 of Form 8-A (File No. 001-34057), filed March 6, 2019.</w:t>
            </w:r>
          </w:p>
        </w:tc>
      </w:tr>
    </w:tbl>
    <w:p>
      <w:pPr>
        <w:spacing w:after="0" w:line="200" w:lineRule="exact"/>
        <w:rPr>
          <w:sz w:val="20"/>
          <w:szCs w:val="20"/>
          <w:color w:val="auto"/>
        </w:rPr>
      </w:pPr>
    </w:p>
    <w:p>
      <w:pPr>
        <w:sectPr>
          <w:pgSz w:w="11880" w:h="15480" w:orient="portrait"/>
          <w:cols w:equalWidth="0" w:num="1">
            <w:col w:w="9960"/>
          </w:cols>
          <w:pgMar w:left="960" w:top="815" w:right="96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1880" w:h="15480" w:orient="portrait"/>
          <w:cols w:equalWidth="0" w:num="1">
            <w:col w:w="9960"/>
          </w:cols>
          <w:pgMar w:left="960" w:top="815" w:right="960" w:bottom="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3"/>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*4.6</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Specimen 6.50% Series E Fixed-to-Floating Rate Cumulative Redeemable Preferred Stock Certificate,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incorporated herein by reference to Exhibit 4.1 of Form 8-A (File No. 001-34057), filed October 3, 2019.</w:t>
            </w: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*4.7</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Specimen 6.125% Series F Fixed-to-Floating Rate Cumulative Redeemable Preferred Stock Certificate,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incorporated herein by reference to Exhibit 4.1 of Form 8-A (File No 001-34057), filed February 11, 2020.</w:t>
            </w: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*4.8</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Specimen  7.75%  Series  G  Fixed-Rate  Reset  Cumulative  Redeemable  Preferred  Stock  Certificate,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incorporated herein by reference to Exhibit 4.1 of Form 8-A (File No 001-34057), filed September 14, 2022.</w:t>
            </w: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*4.9</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Deposit Agreement relating to 7.00% Series C Fixed-to-Floating Rate Cumulative Redeemable Preferred</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Stock, dated August 22, 2017, among AGNC Investment Corp., Computershare Inc. and Computershare</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Trust Company, N.A., jointly as depositary, incorporated herein by reference to Exhibit 4.2 of Form 8-K (File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No. 001-34057) filed August 22, 2017.</w:t>
            </w: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*4.10</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Form of Depositary Receipt representing 1/1,000th of a share of 7.00% Series C Fixed-to-Floating Rate</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Cumulative Redeemable Preferred Stock (included as part of Exhibit 4.9), incorporated herein by reference to</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Exhibit A of Exhibit 4.2 of Form 8-K (File No. 001-34057) filed August 22, 2017.</w:t>
            </w: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*4.11</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Deposit Agreement relating to 6.875% Series D Fixed-to-Floating Rate Cumulative Redeemable Preferred</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Stock, dated March 6, 2019, among AGNC Investment Corp., Computershare Inc. and Computershare Trust</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Company, N.A., jointly as depositary, incorporated herein by reference to Exhibit 4.2 of Form 8-K (File No.</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001-34057) filed March 6, 2019.</w:t>
            </w: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*4.12</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Form of Depositary Receipt representing 1/1,000th of a share of 6.875% Series D Fixed-to-Floating Rate</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Cumulative Redeemable Preferred Stock (included as part of Exhibit 4.11), incorporated herein by reference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 Exhibit A of Exhibit 4.2 of Form 8-K (File No. 001-34057) filed March 6, 2019.</w:t>
            </w: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*4.13</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Deposit Agreement relating to 6.50% Series E Fixed-to-Floating Rate Cumulative Redeemable Preferred</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Stock, dated October 3, 2019, among AGNC Investment Corp., Computershare Inc. and Computershare Trust</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Company, N.A., jointly as depositary, incorporated herein by reference to Exhibit 4.2 of Form 8-K (File No.</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001-34057) filed October 3, 2019.</w:t>
            </w: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*4.14</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Form of Depositary Receipt representing 1/1,000th of a share of 6.50% Series E Fixed-to-Floating Rate</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Cumulative Redeemable Preferred Stock (included as part of Exhibit 4.13), incorporated herein by reference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 Exhibit A of Exhibit 4.2 of Form 8-K (File No. 001-34057) filed October 3, 2019.</w:t>
            </w: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*4.15</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Deposit Agreement relating to 6.125% Series F Fixed-to-Floating Rate Cumulative Redeemable Preferred</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Stock, dated February 11, 2020, among AGNC Investment Corp., Computershare Inc. and Computershare</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Trust Company, N.A., jointly as depositary, incorporated herein by reference to Exhibit 4.1 of Form 8-K (File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No. 001-34057) filed February 11, 2020.</w:t>
            </w: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*4.16</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Form of Depositary Receipt representing 1/1,000th of a share of 6.125% Series F Fixed-to-Floating Rate</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Cumulative Redeemable Preferred Stock (included as part of Exhibit 4.15), incorporated herein by reference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 Exhibit A of Exhibit 4.1 of Form 8-K (File No. 001-34057) filed February 11, 2020.</w:t>
            </w: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*4.17</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Deposit Agreement relating to 7.75% Series G Fixed-Rate Reset Cumulative Redeemable Preferred Stock,</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dated September 14, 2022, among AGNC Investment Corp., Computershare Inc. and Computershare Trust</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Company, N.A., jointly as depositary, incorporated herein by reference to Exhibit 4.2 of Form 8-K (File No.</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001-34057) filed September 14, 2022.</w:t>
            </w: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*4.18</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Form of Depositary Receipt representing 1/1,000th of a share of 7.75% Series G Fixed-Rate Reset</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Cumulative Redeemable Preferred Stock (included as part of Exhibit 4.17), incorporated herein by reference</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 Exhibit A of Exhibit 4.2 of Form 8-K (File No. 001-34057) filed September 14, 2022.</w:t>
            </w:r>
          </w:p>
        </w:tc>
      </w:tr>
      <w:tr>
        <w:trPr>
          <w:trHeight w:val="408"/>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4.19</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Description of the Registrant’s Securities, filed herewith.</w:t>
            </w: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 10.1</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Form of Indemnification Agreement, incorporated herein by reference to Exhibit 10.1 of Form 8-K (File No.</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001-34057) filed October 25, 2021.</w:t>
            </w:r>
          </w:p>
        </w:tc>
      </w:tr>
      <w:tr>
        <w:trPr>
          <w:trHeight w:val="388"/>
        </w:trPr>
        <w:tc>
          <w:tcPr>
            <w:tcW w:w="1000" w:type="dxa"/>
            <w:vAlign w:val="bottom"/>
          </w:tcPr>
          <w:p>
            <w:pPr>
              <w:spacing w:after="0"/>
              <w:rPr>
                <w:sz w:val="20"/>
                <w:szCs w:val="20"/>
                <w:color w:val="auto"/>
              </w:rPr>
            </w:pPr>
            <w:r>
              <w:rPr>
                <w:rFonts w:ascii="Times New Roman" w:cs="Times New Roman" w:eastAsia="Times New Roman" w:hAnsi="Times New Roman"/>
                <w:sz w:val="19"/>
                <w:szCs w:val="19"/>
                <w:color w:val="auto"/>
              </w:rPr>
              <w:t>†* 10.2</w:t>
            </w: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Fifth Amended and Restated Employment Agreement, dated December 10, 2020, by and between AGNC</w:t>
            </w:r>
          </w:p>
        </w:tc>
      </w:tr>
      <w:tr>
        <w:trPr>
          <w:trHeight w:val="233"/>
        </w:trPr>
        <w:tc>
          <w:tcPr>
            <w:tcW w:w="100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Mortgage Management, LLC and Gary Kain, incorporated herein by reference to Exhibit 10.1 of Form 8-K</w:t>
            </w:r>
          </w:p>
        </w:tc>
      </w:tr>
      <w:tr>
        <w:trPr>
          <w:trHeight w:val="253"/>
        </w:trPr>
        <w:tc>
          <w:tcPr>
            <w:tcW w:w="1000" w:type="dxa"/>
            <w:vAlign w:val="bottom"/>
          </w:tcPr>
          <w:p>
            <w:pPr>
              <w:spacing w:after="0"/>
              <w:rPr>
                <w:sz w:val="21"/>
                <w:szCs w:val="21"/>
                <w:color w:val="auto"/>
              </w:rPr>
            </w:pPr>
          </w:p>
        </w:tc>
        <w:tc>
          <w:tcPr>
            <w:tcW w:w="89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(File No. 001-34057), filed December 10, 2020.</w:t>
            </w:r>
          </w:p>
        </w:tc>
      </w:tr>
    </w:tbl>
    <w:p>
      <w:pPr>
        <w:spacing w:after="0" w:line="200" w:lineRule="exact"/>
        <w:rPr>
          <w:sz w:val="20"/>
          <w:szCs w:val="20"/>
          <w:color w:val="auto"/>
        </w:rPr>
      </w:pPr>
    </w:p>
    <w:p>
      <w:pPr>
        <w:sectPr>
          <w:pgSz w:w="11880" w:h="15480" w:orient="portrait"/>
          <w:cols w:equalWidth="0" w:num="1">
            <w:col w:w="9960"/>
          </w:cols>
          <w:pgMar w:left="960" w:top="822" w:right="960" w:bottom="0"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ectPr>
          <w:pgSz w:w="11880" w:h="15480" w:orient="portrait"/>
          <w:cols w:equalWidth="0" w:num="1">
            <w:col w:w="9960"/>
          </w:cols>
          <w:pgMar w:left="960" w:top="822" w:right="960" w:bottom="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3"/>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10.3</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Second Amended and Restated Employment Agreement, dated December 10, 2020, by and between AGNC</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Mortgage Management, LLC and Peter Federico, incorporated herein by reference to Exhibit 10.2 of Form 8-</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K (File No. 001-34057), filed December 10, 2020.</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10.4</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First Amendment to Second Amended and Restated Employment Agreement dated January 31, 2023 between</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AGNC Mortgage Management, LLC and Peter Federico, incorporated herein by reference to Exhibit 10.4 of</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10-K (File No. 001-34057), filed February 27, 2023.</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10.5</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Second Amended and Restated Employment Agreement, dated December 10, 2020, by and between AGNC</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Mortgage Management, LLC and Christopher Kuehl, incorporated herein by reference to Exhibit 10.3 of</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8-K (File No. 001-34057), filed December 10, 2020.</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10.6</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First Amendment to Second Amended and Restated Employment Agreement dated January 31, 2023 between</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AGNC Mortgage Management, LLC and Christopher Kuehl, incorporated herein by reference to Exhibit 10.6</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of Form 10-K (File No. 001-34057), filed February 27, 2023.</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10.7</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Amended and Restated Employment Agreement, dated January 22, 2021, by and between AGNC Mortgage</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Management, LLC and Bernice Bell, incorporated herein by reference to Exhibit 10.1 of Form 8-K (File No.</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001-34057), filed January 22, 2021.</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10.8</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First Amendment to Amended and Restated Employment Agreement dated January 21, 2022 between AGNC</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Mortgage Management, LLC and Bernice Bell, incorporated herein by reference to Exhibit 10.1 of Form 8-K</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(File No. 001-34057), filed January 21, 2022.</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10.9</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Second Amendment to Amended and Restated Employment Agreement dated January 31, 2023 between</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AGNC Mortgage Management, LLC and Bernice Bell, incorporated by reference to Exhibit 10.3 of Form 8-K</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(File No. 001-34057), filed February 3, 2023.</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10.10</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Amended and Restated Employment Agreement, dated January 22, 2021, by and between AGNC Mortgage</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Management, LLC and Kenneth Pollack, incorporated herein by reference to Exhibit 10.15 of Form 10-K</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(File No. 001-34057), filed February 26, 2021.</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10.11</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First Amendment to Amended and Restated Employment Agreement dated January 21, 2022 between AGNC</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Mortgage Management, LLC and Kenneth Pollack, incorporated herein by reference to Exhibit 10.2 of Form</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8-K (File No. 001-34057), filed January 21, 2022.</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†*10.12</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Second Amendment to Amended and Restated Employment Agreement dated January 31, 2023 between</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AGNC Mortgage Management, LLC and Kenneth Pollack, incorporated by reference to Exhibit 10.4 of Form</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8-K (File No. 001-34057), filed February 3, 2023.</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10.13</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Amended and Restated AGNC Investment Corp. 2016 Equity and Incentive Compensation Plan, incorporated</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herein by reference to Exhibit 10.11 of Form 10-K (File No, 001-34057), filed February 23, 2022.</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10.14</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 Equity and Incentive Compensation Plan Restricted Stock Unit</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Agreement for Non-Employee Directors, incorporated herein by reference to Exhibit 10.14 of Form 10-K</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(File No. 001-34057), filed February 26, 2018.</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10.15</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 Equity and Incentive Compensation Plan Deferred Stock Unit</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Agreement incorporated herein by reference to Exhibit 10 of Form 10-Q for the quarter ended September 30,</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2018 (File No. 001-34057), filed November 5, 2018.</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10.16</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 Equity and Incentive Compensation Plan Restricted Stock Unit</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Agreement for Section 16 Officers with Retirement Provisions, incorporated herein by reference to Exhibit</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10.26 of Form 10-K (File No. 001-34057), filed February 26, 2021.</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10.17</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 Equity and Incentive Compensation Plan Performance-Based</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Restricted Stock Unit Agreement for Section 16 Officers with Retirement Provisions, incorporated herein by</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reference to Exhibit 10.27 of Form 10-K (File No. 001-34057), filed February 26, 2021.</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10.18</w:t>
            </w: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 Equity and Incentive Compensation Plan Restricted Stock Unit</w:t>
            </w:r>
          </w:p>
        </w:tc>
      </w:tr>
      <w:tr>
        <w:trPr>
          <w:trHeight w:val="233"/>
        </w:trPr>
        <w:tc>
          <w:tcPr>
            <w:tcW w:w="1040" w:type="dxa"/>
            <w:vAlign w:val="bottom"/>
          </w:tcPr>
          <w:p>
            <w:pPr>
              <w:spacing w:after="0"/>
              <w:rPr>
                <w:sz w:val="20"/>
                <w:szCs w:val="20"/>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Agreement for Section 16 Officers with Employment Contracts, incorporated herein by reference to Exhibit</w:t>
            </w:r>
          </w:p>
        </w:tc>
      </w:tr>
      <w:tr>
        <w:trPr>
          <w:trHeight w:val="253"/>
        </w:trPr>
        <w:tc>
          <w:tcPr>
            <w:tcW w:w="1040" w:type="dxa"/>
            <w:vAlign w:val="bottom"/>
          </w:tcPr>
          <w:p>
            <w:pPr>
              <w:spacing w:after="0"/>
              <w:rPr>
                <w:sz w:val="21"/>
                <w:szCs w:val="21"/>
                <w:color w:val="auto"/>
              </w:rPr>
            </w:pPr>
          </w:p>
        </w:tc>
        <w:tc>
          <w:tcPr>
            <w:tcW w:w="892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10.28 of Form 10-K (File No. 001-34057), filed February 26, 2021.</w:t>
            </w:r>
          </w:p>
        </w:tc>
      </w:tr>
    </w:tbl>
    <w:p>
      <w:pPr>
        <w:spacing w:after="0" w:line="200" w:lineRule="exact"/>
        <w:rPr>
          <w:sz w:val="20"/>
          <w:szCs w:val="20"/>
          <w:color w:val="auto"/>
        </w:rPr>
      </w:pPr>
    </w:p>
    <w:p>
      <w:pPr>
        <w:sectPr>
          <w:pgSz w:w="11880" w:h="15480" w:orient="portrait"/>
          <w:cols w:equalWidth="0" w:num="1">
            <w:col w:w="9960"/>
          </w:cols>
          <w:pgMar w:left="960" w:top="822" w:right="960" w:bottom="0" w:gutter="0" w:footer="0" w:header="0"/>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ectPr>
          <w:pgSz w:w="11880" w:h="15480" w:orient="portrait"/>
          <w:cols w:equalWidth="0" w:num="1">
            <w:col w:w="9960"/>
          </w:cols>
          <w:pgMar w:left="960" w:top="822" w:right="960" w:bottom="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33"/>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10.19</w:t>
            </w:r>
          </w:p>
        </w:tc>
        <w:tc>
          <w:tcPr>
            <w:tcW w:w="34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w:t>
            </w:r>
          </w:p>
        </w:tc>
        <w:tc>
          <w:tcPr>
            <w:tcW w:w="54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Equity and Incentive Compensation Plan Performance-Based</w:t>
            </w:r>
          </w:p>
        </w:tc>
      </w:tr>
      <w:tr>
        <w:trPr>
          <w:trHeight w:val="233"/>
        </w:trPr>
        <w:tc>
          <w:tcPr>
            <w:tcW w:w="1040" w:type="dxa"/>
            <w:vAlign w:val="bottom"/>
          </w:tcPr>
          <w:p>
            <w:pPr>
              <w:spacing w:after="0"/>
              <w:rPr>
                <w:sz w:val="20"/>
                <w:szCs w:val="20"/>
                <w:color w:val="auto"/>
              </w:rPr>
            </w:pPr>
          </w:p>
        </w:tc>
        <w:tc>
          <w:tcPr>
            <w:tcW w:w="886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Restricted Stock Unit Agreement for Section 16 Officers with Employment Contracts, incorporated herein by</w:t>
            </w:r>
          </w:p>
        </w:tc>
      </w:tr>
      <w:tr>
        <w:trPr>
          <w:trHeight w:val="253"/>
        </w:trPr>
        <w:tc>
          <w:tcPr>
            <w:tcW w:w="1040" w:type="dxa"/>
            <w:vAlign w:val="bottom"/>
          </w:tcPr>
          <w:p>
            <w:pPr>
              <w:spacing w:after="0"/>
              <w:rPr>
                <w:sz w:val="21"/>
                <w:szCs w:val="21"/>
                <w:color w:val="auto"/>
              </w:rPr>
            </w:pPr>
          </w:p>
        </w:tc>
        <w:tc>
          <w:tcPr>
            <w:tcW w:w="886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reference to Exhibit 10.29 of Form 10-K (File No. 001-34057), filed February 26, 2021.</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10.20</w:t>
            </w:r>
          </w:p>
        </w:tc>
        <w:tc>
          <w:tcPr>
            <w:tcW w:w="34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w:t>
            </w:r>
          </w:p>
        </w:tc>
        <w:tc>
          <w:tcPr>
            <w:tcW w:w="54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Equity and Incentive Compensation Plan Restricted Stock Unit</w:t>
            </w:r>
          </w:p>
        </w:tc>
      </w:tr>
      <w:tr>
        <w:trPr>
          <w:trHeight w:val="253"/>
        </w:trPr>
        <w:tc>
          <w:tcPr>
            <w:tcW w:w="1040" w:type="dxa"/>
            <w:vAlign w:val="bottom"/>
          </w:tcPr>
          <w:p>
            <w:pPr>
              <w:spacing w:after="0"/>
              <w:rPr>
                <w:sz w:val="21"/>
                <w:szCs w:val="21"/>
                <w:color w:val="auto"/>
              </w:rPr>
            </w:pPr>
          </w:p>
        </w:tc>
        <w:tc>
          <w:tcPr>
            <w:tcW w:w="886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Agreement for Section 16 Officers with Retirement Plan Language, filed herewith.</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 10.21</w:t>
            </w:r>
          </w:p>
        </w:tc>
        <w:tc>
          <w:tcPr>
            <w:tcW w:w="344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Form of AGNC Investment Corp. 2016</w:t>
            </w:r>
          </w:p>
        </w:tc>
        <w:tc>
          <w:tcPr>
            <w:tcW w:w="54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Equity and Incentive Compensation Plan Performance-Based</w:t>
            </w:r>
          </w:p>
        </w:tc>
      </w:tr>
      <w:tr>
        <w:trPr>
          <w:trHeight w:val="253"/>
        </w:trPr>
        <w:tc>
          <w:tcPr>
            <w:tcW w:w="1040" w:type="dxa"/>
            <w:vAlign w:val="bottom"/>
          </w:tcPr>
          <w:p>
            <w:pPr>
              <w:spacing w:after="0"/>
              <w:rPr>
                <w:sz w:val="21"/>
                <w:szCs w:val="21"/>
                <w:color w:val="auto"/>
              </w:rPr>
            </w:pPr>
          </w:p>
        </w:tc>
        <w:tc>
          <w:tcPr>
            <w:tcW w:w="886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Restricted Stock Unit Agreement for Section 16 Officers with Retirement Plan Language, filed herewith.</w:t>
            </w:r>
          </w:p>
        </w:tc>
      </w:tr>
      <w:tr>
        <w:trPr>
          <w:trHeight w:val="388"/>
        </w:trPr>
        <w:tc>
          <w:tcPr>
            <w:tcW w:w="1040" w:type="dxa"/>
            <w:vAlign w:val="bottom"/>
          </w:tcPr>
          <w:p>
            <w:pPr>
              <w:spacing w:after="0"/>
              <w:rPr>
                <w:sz w:val="20"/>
                <w:szCs w:val="20"/>
                <w:color w:val="auto"/>
              </w:rPr>
            </w:pPr>
            <w:r>
              <w:rPr>
                <w:rFonts w:ascii="Times New Roman" w:cs="Times New Roman" w:eastAsia="Times New Roman" w:hAnsi="Times New Roman"/>
                <w:sz w:val="19"/>
                <w:szCs w:val="19"/>
                <w:color w:val="auto"/>
              </w:rPr>
              <w:t>*14</w:t>
            </w:r>
          </w:p>
        </w:tc>
        <w:tc>
          <w:tcPr>
            <w:tcW w:w="886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AGNC Investment Corp. Code of Ethics and Conduct, adopted July 20, 2023, incorporated herein by</w:t>
            </w:r>
          </w:p>
        </w:tc>
      </w:tr>
      <w:tr>
        <w:trPr>
          <w:trHeight w:val="253"/>
        </w:trPr>
        <w:tc>
          <w:tcPr>
            <w:tcW w:w="1040" w:type="dxa"/>
            <w:vAlign w:val="bottom"/>
          </w:tcPr>
          <w:p>
            <w:pPr>
              <w:spacing w:after="0"/>
              <w:rPr>
                <w:sz w:val="21"/>
                <w:szCs w:val="21"/>
                <w:color w:val="auto"/>
              </w:rPr>
            </w:pPr>
          </w:p>
        </w:tc>
        <w:tc>
          <w:tcPr>
            <w:tcW w:w="8860" w:type="dxa"/>
            <w:vAlign w:val="bottom"/>
            <w:gridSpan w:val="2"/>
          </w:tcPr>
          <w:p>
            <w:pPr>
              <w:ind w:left="360"/>
              <w:spacing w:after="0"/>
              <w:rPr>
                <w:sz w:val="20"/>
                <w:szCs w:val="20"/>
                <w:color w:val="auto"/>
              </w:rPr>
            </w:pPr>
            <w:r>
              <w:rPr>
                <w:rFonts w:ascii="Times New Roman" w:cs="Times New Roman" w:eastAsia="Times New Roman" w:hAnsi="Times New Roman"/>
                <w:sz w:val="19"/>
                <w:szCs w:val="19"/>
                <w:color w:val="auto"/>
              </w:rPr>
              <w:t>reference to Exhibit 14 of Form 10-Q (File No. 001-34057), filed August 3, 2023.</w:t>
            </w:r>
          </w:p>
        </w:tc>
      </w:tr>
    </w:tbl>
    <w:p>
      <w:pPr>
        <w:spacing w:after="0" w:line="155" w:lineRule="exact"/>
        <w:rPr>
          <w:sz w:val="20"/>
          <w:szCs w:val="20"/>
          <w:color w:val="auto"/>
        </w:rPr>
      </w:pPr>
    </w:p>
    <w:p>
      <w:pPr>
        <w:ind w:left="1400" w:hanging="1399"/>
        <w:spacing w:after="0"/>
        <w:tabs>
          <w:tab w:leader="none" w:pos="140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Subsidiaries of the Company and jurisdiction of incorporation:</w:t>
      </w:r>
    </w:p>
    <w:p>
      <w:pPr>
        <w:spacing w:after="0" w:line="189" w:lineRule="exact"/>
        <w:rPr>
          <w:rFonts w:ascii="Times New Roman" w:cs="Times New Roman" w:eastAsia="Times New Roman" w:hAnsi="Times New Roman"/>
          <w:sz w:val="19"/>
          <w:szCs w:val="19"/>
          <w:color w:val="auto"/>
        </w:rPr>
      </w:pPr>
    </w:p>
    <w:p>
      <w:pPr>
        <w:ind w:left="1660" w:hanging="261"/>
        <w:spacing w:after="0"/>
        <w:tabs>
          <w:tab w:leader="none" w:pos="1660"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AGNC TRS, LLC, a Delaware limited liability company</w:t>
      </w:r>
    </w:p>
    <w:p>
      <w:pPr>
        <w:spacing w:after="0" w:line="189" w:lineRule="exact"/>
        <w:rPr>
          <w:rFonts w:ascii="Times New Roman" w:cs="Times New Roman" w:eastAsia="Times New Roman" w:hAnsi="Times New Roman"/>
          <w:sz w:val="19"/>
          <w:szCs w:val="19"/>
          <w:color w:val="auto"/>
        </w:rPr>
      </w:pPr>
    </w:p>
    <w:p>
      <w:pPr>
        <w:ind w:left="1660" w:hanging="261"/>
        <w:spacing w:after="0"/>
        <w:tabs>
          <w:tab w:leader="none" w:pos="1660"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Bethesda Securities, LLC, a Delaware limited liability company</w:t>
      </w:r>
    </w:p>
    <w:p>
      <w:pPr>
        <w:spacing w:after="0" w:line="189" w:lineRule="exact"/>
        <w:rPr>
          <w:rFonts w:ascii="Times New Roman" w:cs="Times New Roman" w:eastAsia="Times New Roman" w:hAnsi="Times New Roman"/>
          <w:sz w:val="19"/>
          <w:szCs w:val="19"/>
          <w:color w:val="auto"/>
        </w:rPr>
      </w:pPr>
    </w:p>
    <w:p>
      <w:pPr>
        <w:ind w:left="1660" w:hanging="261"/>
        <w:spacing w:after="0"/>
        <w:tabs>
          <w:tab w:leader="none" w:pos="1660"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AGNC Mortgage Management, LLC, a Delaware limited liability company</w:t>
      </w:r>
    </w:p>
    <w:p>
      <w:pPr>
        <w:spacing w:after="0" w:line="189" w:lineRule="exact"/>
        <w:rPr>
          <w:sz w:val="20"/>
          <w:szCs w:val="20"/>
          <w:color w:val="auto"/>
        </w:rPr>
      </w:pPr>
    </w:p>
    <w:p>
      <w:pPr>
        <w:ind w:left="1400" w:hanging="1399"/>
        <w:spacing w:after="0"/>
        <w:tabs>
          <w:tab w:leader="none" w:pos="14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 of Ernst &amp; Young LLP, filed herewith.</w:t>
      </w:r>
    </w:p>
    <w:p>
      <w:pPr>
        <w:spacing w:after="0" w:line="189" w:lineRule="exact"/>
        <w:rPr>
          <w:rFonts w:ascii="Times New Roman" w:cs="Times New Roman" w:eastAsia="Times New Roman" w:hAnsi="Times New Roman"/>
          <w:sz w:val="19"/>
          <w:szCs w:val="19"/>
          <w:color w:val="auto"/>
        </w:rPr>
      </w:pPr>
    </w:p>
    <w:p>
      <w:pPr>
        <w:ind w:left="1400" w:hanging="1399"/>
        <w:spacing w:after="0"/>
        <w:tabs>
          <w:tab w:leader="none" w:pos="14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Powers of Attorney of directors, filed herewith.</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31.1</w:t>
      </w:r>
      <w:r>
        <w:rPr>
          <w:sz w:val="20"/>
          <w:szCs w:val="20"/>
          <w:color w:val="auto"/>
        </w:rPr>
        <w:tab/>
      </w:r>
      <w:r>
        <w:rPr>
          <w:rFonts w:ascii="Times New Roman" w:cs="Times New Roman" w:eastAsia="Times New Roman" w:hAnsi="Times New Roman"/>
          <w:sz w:val="19"/>
          <w:szCs w:val="19"/>
          <w:color w:val="auto"/>
        </w:rPr>
        <w:t>Certification of CEO Pursuant to Section 302(a) of the Sarbanes-Oxley Act of 2002.</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31.2</w:t>
      </w:r>
      <w:r>
        <w:rPr>
          <w:sz w:val="20"/>
          <w:szCs w:val="20"/>
          <w:color w:val="auto"/>
        </w:rPr>
        <w:tab/>
      </w:r>
      <w:r>
        <w:rPr>
          <w:rFonts w:ascii="Times New Roman" w:cs="Times New Roman" w:eastAsia="Times New Roman" w:hAnsi="Times New Roman"/>
          <w:sz w:val="19"/>
          <w:szCs w:val="19"/>
          <w:color w:val="auto"/>
        </w:rPr>
        <w:t>Certification of CFO Pursuant to Section 302(a) of the Sarbanes-Oxley Act of 2002.</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32</w:t>
      </w:r>
      <w:r>
        <w:rPr>
          <w:sz w:val="20"/>
          <w:szCs w:val="20"/>
          <w:color w:val="auto"/>
        </w:rPr>
        <w:tab/>
      </w:r>
      <w:r>
        <w:rPr>
          <w:rFonts w:ascii="Times New Roman" w:cs="Times New Roman" w:eastAsia="Times New Roman" w:hAnsi="Times New Roman"/>
          <w:sz w:val="19"/>
          <w:szCs w:val="19"/>
          <w:color w:val="auto"/>
        </w:rPr>
        <w:t>Certification of CEO and CFO Pursuant to Section 906 of the Sarbanes-Oxley Act of 2002.</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97.1</w:t>
      </w:r>
      <w:r>
        <w:rPr>
          <w:sz w:val="20"/>
          <w:szCs w:val="20"/>
          <w:color w:val="auto"/>
        </w:rPr>
        <w:tab/>
      </w:r>
      <w:r>
        <w:rPr>
          <w:rFonts w:ascii="Times New Roman" w:cs="Times New Roman" w:eastAsia="Times New Roman" w:hAnsi="Times New Roman"/>
          <w:sz w:val="19"/>
          <w:szCs w:val="19"/>
          <w:color w:val="auto"/>
        </w:rPr>
        <w:t>AGNC Investment Corp. Compensation Clawback Policy, filed herewith.</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101.INS**</w:t>
      </w:r>
      <w:r>
        <w:rPr>
          <w:sz w:val="20"/>
          <w:szCs w:val="20"/>
          <w:color w:val="auto"/>
        </w:rPr>
        <w:tab/>
      </w:r>
      <w:r>
        <w:rPr>
          <w:rFonts w:ascii="Times New Roman" w:cs="Times New Roman" w:eastAsia="Times New Roman" w:hAnsi="Times New Roman"/>
          <w:sz w:val="19"/>
          <w:szCs w:val="19"/>
          <w:color w:val="auto"/>
        </w:rPr>
        <w:t>The instance document does not appear in the interactive data file because its XBRL tags are embedded</w:t>
      </w:r>
    </w:p>
    <w:p>
      <w:pPr>
        <w:spacing w:after="0" w:line="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9"/>
          <w:szCs w:val="19"/>
          <w:color w:val="auto"/>
        </w:rPr>
        <w:t>within the inline XBRL document</w:t>
      </w:r>
    </w:p>
    <w:p>
      <w:pPr>
        <w:spacing w:after="0" w:line="16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101.SCH**</w:t>
      </w:r>
      <w:r>
        <w:rPr>
          <w:sz w:val="20"/>
          <w:szCs w:val="20"/>
          <w:color w:val="auto"/>
        </w:rPr>
        <w:tab/>
      </w:r>
      <w:r>
        <w:rPr>
          <w:rFonts w:ascii="Times New Roman" w:cs="Times New Roman" w:eastAsia="Times New Roman" w:hAnsi="Times New Roman"/>
          <w:sz w:val="19"/>
          <w:szCs w:val="19"/>
          <w:color w:val="auto"/>
        </w:rPr>
        <w:t>XBRL Taxonomy Extension Schema Document</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101.CAL**</w:t>
      </w:r>
      <w:r>
        <w:rPr>
          <w:sz w:val="20"/>
          <w:szCs w:val="20"/>
          <w:color w:val="auto"/>
        </w:rPr>
        <w:tab/>
      </w:r>
      <w:r>
        <w:rPr>
          <w:rFonts w:ascii="Times New Roman" w:cs="Times New Roman" w:eastAsia="Times New Roman" w:hAnsi="Times New Roman"/>
          <w:sz w:val="19"/>
          <w:szCs w:val="19"/>
          <w:color w:val="auto"/>
        </w:rPr>
        <w:t>XBRL Taxonomy Extension Calculation Linkbase Document</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101.LAB**</w:t>
      </w:r>
      <w:r>
        <w:rPr>
          <w:sz w:val="20"/>
          <w:szCs w:val="20"/>
          <w:color w:val="auto"/>
        </w:rPr>
        <w:tab/>
      </w:r>
      <w:r>
        <w:rPr>
          <w:rFonts w:ascii="Times New Roman" w:cs="Times New Roman" w:eastAsia="Times New Roman" w:hAnsi="Times New Roman"/>
          <w:sz w:val="19"/>
          <w:szCs w:val="19"/>
          <w:color w:val="auto"/>
        </w:rPr>
        <w:t>XBRL Taxonomy Extension Labels Linkbase Document</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101.PRE**</w:t>
      </w:r>
      <w:r>
        <w:rPr>
          <w:sz w:val="20"/>
          <w:szCs w:val="20"/>
          <w:color w:val="auto"/>
        </w:rPr>
        <w:tab/>
      </w:r>
      <w:r>
        <w:rPr>
          <w:rFonts w:ascii="Times New Roman" w:cs="Times New Roman" w:eastAsia="Times New Roman" w:hAnsi="Times New Roman"/>
          <w:sz w:val="19"/>
          <w:szCs w:val="19"/>
          <w:color w:val="auto"/>
        </w:rPr>
        <w:t>XBRL Taxonomy Extension Presentation Linkbase Document</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color w:val="auto"/>
        </w:rPr>
        <w:t>101.DEF**</w:t>
      </w:r>
      <w:r>
        <w:rPr>
          <w:sz w:val="20"/>
          <w:szCs w:val="20"/>
          <w:color w:val="auto"/>
        </w:rPr>
        <w:tab/>
      </w:r>
      <w:r>
        <w:rPr>
          <w:rFonts w:ascii="Times New Roman" w:cs="Times New Roman" w:eastAsia="Times New Roman" w:hAnsi="Times New Roman"/>
          <w:sz w:val="19"/>
          <w:szCs w:val="19"/>
          <w:color w:val="auto"/>
        </w:rPr>
        <w:t>XBRL Taxonomy Extension Definition Linkbase Document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w:t>
      </w:r>
    </w:p>
    <w:p>
      <w:pPr>
        <w:ind w:left="700" w:hanging="699"/>
        <w:spacing w:after="0"/>
        <w:tabs>
          <w:tab w:leader="none" w:pos="70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Previously filed</w:t>
      </w:r>
    </w:p>
    <w:p>
      <w:pPr>
        <w:spacing w:after="0" w:line="12" w:lineRule="exact"/>
        <w:rPr>
          <w:sz w:val="20"/>
          <w:szCs w:val="20"/>
          <w:color w:val="auto"/>
        </w:rPr>
      </w:pPr>
    </w:p>
    <w:p>
      <w:pPr>
        <w:ind w:left="700" w:right="200" w:hanging="699"/>
        <w:spacing w:after="0" w:line="255" w:lineRule="auto"/>
        <w:tabs>
          <w:tab w:leader="none" w:pos="70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exhibit is being furnished rather than filed, and shall not be deemed incorporated by reference into any filing, in accordance with Item 601 of Regulation S-K</w:t>
      </w:r>
    </w:p>
    <w:p>
      <w:pPr>
        <w:spacing w:after="0" w:line="2" w:lineRule="exact"/>
        <w:rPr>
          <w:sz w:val="20"/>
          <w:szCs w:val="20"/>
          <w:color w:val="auto"/>
        </w:rPr>
      </w:pPr>
    </w:p>
    <w:p>
      <w:pPr>
        <w:ind w:left="700" w:hanging="699"/>
        <w:spacing w:after="0"/>
        <w:tabs>
          <w:tab w:leader="none" w:pos="70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contract or compensatory plan or arrangement</w:t>
      </w:r>
    </w:p>
    <w:p>
      <w:pPr>
        <w:spacing w:after="0" w:line="227" w:lineRule="exact"/>
        <w:rPr>
          <w:rFonts w:ascii="Times New Roman" w:cs="Times New Roman" w:eastAsia="Times New Roman" w:hAnsi="Times New Roman"/>
          <w:sz w:val="19"/>
          <w:szCs w:val="19"/>
          <w:color w:val="auto"/>
        </w:rPr>
      </w:pPr>
    </w:p>
    <w:p>
      <w:pPr>
        <w:ind w:left="920" w:hanging="439"/>
        <w:spacing w:after="0"/>
        <w:tabs>
          <w:tab w:leader="none" w:pos="920"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Exhibits</w:t>
      </w:r>
    </w:p>
    <w:p>
      <w:pPr>
        <w:spacing w:after="0" w:line="34" w:lineRule="exact"/>
        <w:rPr>
          <w:rFonts w:ascii="Times New Roman" w:cs="Times New Roman" w:eastAsia="Times New Roman" w:hAnsi="Times New Roman"/>
          <w:sz w:val="19"/>
          <w:szCs w:val="19"/>
          <w:color w:val="auto"/>
        </w:rPr>
      </w:pPr>
    </w:p>
    <w:p>
      <w:pPr>
        <w:ind w:left="9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 the exhibits filed herewith.</w:t>
      </w:r>
    </w:p>
    <w:p>
      <w:pPr>
        <w:spacing w:after="0" w:line="227" w:lineRule="exact"/>
        <w:rPr>
          <w:rFonts w:ascii="Times New Roman" w:cs="Times New Roman" w:eastAsia="Times New Roman" w:hAnsi="Times New Roman"/>
          <w:sz w:val="19"/>
          <w:szCs w:val="19"/>
          <w:color w:val="auto"/>
        </w:rPr>
      </w:pPr>
    </w:p>
    <w:p>
      <w:pPr>
        <w:ind w:left="920" w:right="5900" w:hanging="439"/>
        <w:spacing w:after="0" w:line="293" w:lineRule="auto"/>
        <w:tabs>
          <w:tab w:leader="none" w:pos="920"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financial statement schedules None.</w:t>
      </w:r>
    </w:p>
    <w:p>
      <w:pPr>
        <w:sectPr>
          <w:pgSz w:w="11880" w:h="15480" w:orient="portrait"/>
          <w:cols w:equalWidth="0" w:num="1">
            <w:col w:w="9960"/>
          </w:cols>
          <w:pgMar w:left="960" w:top="8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83</w:t>
      </w:r>
    </w:p>
    <w:p>
      <w:pPr>
        <w:sectPr>
          <w:pgSz w:w="11880" w:h="15480" w:orient="portrait"/>
          <w:cols w:equalWidth="0" w:num="1">
            <w:col w:w="9960"/>
          </w:cols>
          <w:pgMar w:left="960" w:top="822" w:right="960" w:bottom="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7" w:lineRule="exact"/>
        <w:rPr>
          <w:sz w:val="20"/>
          <w:szCs w:val="20"/>
          <w:color w:val="auto"/>
        </w:rPr>
      </w:pPr>
    </w:p>
    <w:p>
      <w:pPr>
        <w:ind w:right="560" w:firstLine="495"/>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Company has duly caused this report to be signed on its behalf by the undersigned, thereunto duly authorized.</w:t>
      </w:r>
    </w:p>
    <w:p>
      <w:pPr>
        <w:spacing w:after="0" w:line="24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AGNC I</w:t>
      </w:r>
      <w:r>
        <w:rPr>
          <w:rFonts w:ascii="Times New Roman" w:cs="Times New Roman" w:eastAsia="Times New Roman" w:hAnsi="Times New Roman"/>
          <w:sz w:val="16"/>
          <w:szCs w:val="16"/>
          <w:color w:val="auto"/>
        </w:rPr>
        <w:t>NVESTMENT</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6"/>
          <w:szCs w:val="16"/>
          <w:color w:val="auto"/>
        </w:rPr>
        <w:t>ORP</w:t>
      </w:r>
      <w:r>
        <w:rPr>
          <w:rFonts w:ascii="Times New Roman" w:cs="Times New Roman" w:eastAsia="Times New Roman" w:hAnsi="Times New Roman"/>
          <w:sz w:val="20"/>
          <w:szCs w:val="20"/>
          <w:color w:val="auto"/>
        </w:rPr>
        <w:t>.</w:t>
      </w:r>
    </w:p>
    <w:p>
      <w:pPr>
        <w:spacing w:after="0" w:line="132" w:lineRule="exact"/>
        <w:rPr>
          <w:sz w:val="20"/>
          <w:szCs w:val="20"/>
          <w:color w:val="auto"/>
        </w:rPr>
      </w:pPr>
    </w:p>
    <w:tbl>
      <w:tblPr>
        <w:tblLayout w:type="fixed"/>
        <w:tblInd w:w="5100" w:type="dxa"/>
        <w:tblCellMar>
          <w:top w:w="0" w:type="dxa"/>
          <w:left w:w="0" w:type="dxa"/>
          <w:bottom w:w="0" w:type="dxa"/>
          <w:right w:w="0" w:type="dxa"/>
        </w:tblCellMar>
      </w:tblPr>
      <w:tr>
        <w:trPr>
          <w:trHeight w:val="26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  P</w:t>
            </w:r>
            <w:r>
              <w:rPr>
                <w:rFonts w:ascii="Times New Roman" w:cs="Times New Roman" w:eastAsia="Times New Roman" w:hAnsi="Times New Roman"/>
                <w:sz w:val="16"/>
                <w:szCs w:val="16"/>
                <w:color w:val="auto"/>
              </w:rPr>
              <w:t>ETER</w:t>
            </w:r>
            <w:r>
              <w:rPr>
                <w:rFonts w:ascii="Times New Roman" w:cs="Times New Roman" w:eastAsia="Times New Roman" w:hAnsi="Times New Roman"/>
                <w:sz w:val="20"/>
                <w:szCs w:val="20"/>
                <w:color w:val="auto"/>
              </w:rPr>
              <w:t xml:space="preserve"> J. F</w:t>
            </w:r>
            <w:r>
              <w:rPr>
                <w:rFonts w:ascii="Times New Roman" w:cs="Times New Roman" w:eastAsia="Times New Roman" w:hAnsi="Times New Roman"/>
                <w:sz w:val="16"/>
                <w:szCs w:val="16"/>
                <w:color w:val="auto"/>
              </w:rPr>
              <w:t>EDERICO</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6"/>
                <w:szCs w:val="6"/>
                <w:color w:val="auto"/>
              </w:rPr>
            </w:pPr>
          </w:p>
        </w:tc>
        <w:tc>
          <w:tcPr>
            <w:tcW w:w="4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0" w:type="dxa"/>
            <w:vAlign w:val="bottom"/>
          </w:tcPr>
          <w:p>
            <w:pPr>
              <w:spacing w:after="0"/>
              <w:rPr>
                <w:sz w:val="16"/>
                <w:szCs w:val="16"/>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Peter J. Federico</w:t>
            </w: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46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President and</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Chief Executive Officer (Principal Executive Officer)</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Date: February 22, 2024</w:t>
      </w:r>
    </w:p>
    <w:p>
      <w:pPr>
        <w:spacing w:after="0" w:line="215" w:lineRule="exact"/>
        <w:rPr>
          <w:sz w:val="20"/>
          <w:szCs w:val="20"/>
          <w:color w:val="auto"/>
        </w:rPr>
      </w:pPr>
    </w:p>
    <w:p>
      <w:pPr>
        <w:jc w:val="both"/>
        <w:ind w:firstLine="492"/>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37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700" w:type="dxa"/>
            <w:vAlign w:val="bottom"/>
          </w:tcPr>
          <w:p>
            <w:pPr>
              <w:spacing w:after="0"/>
              <w:rPr>
                <w:sz w:val="13"/>
                <w:szCs w:val="13"/>
                <w:color w:val="auto"/>
              </w:rPr>
            </w:pPr>
          </w:p>
        </w:tc>
        <w:tc>
          <w:tcPr>
            <w:tcW w:w="8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Director, President and Chief</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20"/>
                <w:szCs w:val="20"/>
                <w:color w:val="auto"/>
              </w:rPr>
              <w:t>/s/</w:t>
            </w:r>
          </w:p>
        </w:tc>
        <w:tc>
          <w:tcPr>
            <w:tcW w:w="2080" w:type="dxa"/>
            <w:vAlign w:val="bottom"/>
            <w:gridSpan w:val="3"/>
            <w:vMerge w:val="restart"/>
          </w:tcPr>
          <w:p>
            <w:pPr>
              <w:jc w:val="center"/>
              <w:ind w:right="540"/>
              <w:spacing w:after="0"/>
              <w:rPr>
                <w:sz w:val="20"/>
                <w:szCs w:val="20"/>
                <w:color w:val="auto"/>
              </w:rPr>
            </w:pPr>
            <w:r>
              <w:rPr>
                <w:rFonts w:ascii="Times New Roman" w:cs="Times New Roman" w:eastAsia="Times New Roman" w:hAnsi="Times New Roman"/>
                <w:sz w:val="20"/>
                <w:szCs w:val="20"/>
                <w:color w:val="auto"/>
                <w:w w:val="99"/>
              </w:rPr>
              <w:t>P</w:t>
            </w:r>
            <w:r>
              <w:rPr>
                <w:rFonts w:ascii="Times New Roman" w:cs="Times New Roman" w:eastAsia="Times New Roman" w:hAnsi="Times New Roman"/>
                <w:sz w:val="16"/>
                <w:szCs w:val="16"/>
                <w:color w:val="auto"/>
                <w:w w:val="99"/>
              </w:rPr>
              <w:t>ETER</w:t>
            </w:r>
            <w:r>
              <w:rPr>
                <w:rFonts w:ascii="Times New Roman" w:cs="Times New Roman" w:eastAsia="Times New Roman" w:hAnsi="Times New Roman"/>
                <w:sz w:val="20"/>
                <w:szCs w:val="20"/>
                <w:color w:val="auto"/>
                <w:w w:val="99"/>
              </w:rPr>
              <w:t xml:space="preserve"> J. F</w:t>
            </w:r>
            <w:r>
              <w:rPr>
                <w:rFonts w:ascii="Times New Roman" w:cs="Times New Roman" w:eastAsia="Times New Roman" w:hAnsi="Times New Roman"/>
                <w:sz w:val="16"/>
                <w:szCs w:val="16"/>
                <w:color w:val="auto"/>
                <w:w w:val="99"/>
              </w:rPr>
              <w:t>EDERICO</w:t>
            </w:r>
          </w:p>
        </w:tc>
        <w:tc>
          <w:tcPr>
            <w:tcW w:w="2860" w:type="dxa"/>
            <w:vAlign w:val="bottom"/>
            <w:gridSpan w:val="3"/>
          </w:tcPr>
          <w:p>
            <w:pPr>
              <w:ind w:left="60"/>
              <w:spacing w:after="0" w:line="200" w:lineRule="exact"/>
              <w:rPr>
                <w:sz w:val="20"/>
                <w:szCs w:val="20"/>
                <w:color w:val="auto"/>
              </w:rPr>
            </w:pPr>
            <w:r>
              <w:rPr>
                <w:rFonts w:ascii="Times New Roman" w:cs="Times New Roman" w:eastAsia="Times New Roman" w:hAnsi="Times New Roman"/>
                <w:sz w:val="20"/>
                <w:szCs w:val="20"/>
                <w:color w:val="auto"/>
              </w:rPr>
              <w:t>Executive Officer (Principal</w:t>
            </w: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22, 2024</w:t>
            </w:r>
          </w:p>
        </w:tc>
        <w:tc>
          <w:tcPr>
            <w:tcW w:w="0" w:type="dxa"/>
            <w:vAlign w:val="bottom"/>
          </w:tcPr>
          <w:p>
            <w:pPr>
              <w:spacing w:after="0"/>
              <w:rPr>
                <w:sz w:val="1"/>
                <w:szCs w:val="1"/>
                <w:color w:val="auto"/>
              </w:rPr>
            </w:pPr>
          </w:p>
        </w:tc>
      </w:tr>
      <w:tr>
        <w:trPr>
          <w:trHeight w:val="263"/>
        </w:trPr>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2080" w:type="dxa"/>
            <w:vAlign w:val="bottom"/>
            <w:tcBorders>
              <w:bottom w:val="single" w:sz="8" w:color="auto"/>
            </w:tcBorders>
            <w:gridSpan w:val="3"/>
            <w:vMerge w:val="continue"/>
          </w:tcPr>
          <w:p>
            <w:pPr>
              <w:spacing w:after="0"/>
              <w:rPr>
                <w:sz w:val="22"/>
                <w:szCs w:val="22"/>
                <w:color w:val="auto"/>
              </w:rPr>
            </w:pPr>
          </w:p>
        </w:tc>
        <w:tc>
          <w:tcPr>
            <w:tcW w:w="2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Executive Officer)</w:t>
            </w:r>
          </w:p>
        </w:tc>
        <w:tc>
          <w:tcPr>
            <w:tcW w:w="15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8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8"/>
              </w:rPr>
              <w:t>Peter J. Federico</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5"/>
        </w:trPr>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Executive Vice President and</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60" w:type="dxa"/>
            <w:vAlign w:val="bottom"/>
            <w:gridSpan w:val="3"/>
          </w:tcPr>
          <w:p>
            <w:pPr>
              <w:ind w:left="60"/>
              <w:spacing w:after="0" w:line="200" w:lineRule="exact"/>
              <w:rPr>
                <w:sz w:val="20"/>
                <w:szCs w:val="20"/>
                <w:color w:val="auto"/>
              </w:rPr>
            </w:pPr>
            <w:r>
              <w:rPr>
                <w:rFonts w:ascii="Times New Roman" w:cs="Times New Roman" w:eastAsia="Times New Roman" w:hAnsi="Times New Roman"/>
                <w:sz w:val="20"/>
                <w:szCs w:val="20"/>
                <w:color w:val="auto"/>
              </w:rPr>
              <w:t>Chief Financial Officer (Principal</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8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20"/>
                <w:szCs w:val="20"/>
                <w:color w:val="auto"/>
                <w:w w:val="99"/>
              </w:rPr>
              <w:t>B</w:t>
            </w:r>
            <w:r>
              <w:rPr>
                <w:rFonts w:ascii="Times New Roman" w:cs="Times New Roman" w:eastAsia="Times New Roman" w:hAnsi="Times New Roman"/>
                <w:sz w:val="16"/>
                <w:szCs w:val="16"/>
                <w:color w:val="auto"/>
                <w:w w:val="99"/>
              </w:rPr>
              <w:t>ERNICE</w:t>
            </w:r>
            <w:r>
              <w:rPr>
                <w:rFonts w:ascii="Times New Roman" w:cs="Times New Roman" w:eastAsia="Times New Roman" w:hAnsi="Times New Roman"/>
                <w:sz w:val="20"/>
                <w:szCs w:val="20"/>
                <w:color w:val="auto"/>
                <w:w w:val="99"/>
              </w:rPr>
              <w:t xml:space="preserve"> E. B</w:t>
            </w:r>
            <w:r>
              <w:rPr>
                <w:rFonts w:ascii="Times New Roman" w:cs="Times New Roman" w:eastAsia="Times New Roman" w:hAnsi="Times New Roman"/>
                <w:sz w:val="16"/>
                <w:szCs w:val="16"/>
                <w:color w:val="auto"/>
                <w:w w:val="99"/>
              </w:rPr>
              <w:t>ELL</w:t>
            </w:r>
          </w:p>
        </w:tc>
        <w:tc>
          <w:tcPr>
            <w:tcW w:w="2860" w:type="dxa"/>
            <w:vAlign w:val="bottom"/>
            <w:gridSpan w:val="3"/>
          </w:tcPr>
          <w:p>
            <w:pPr>
              <w:ind w:left="60"/>
              <w:spacing w:after="0" w:line="200" w:lineRule="exact"/>
              <w:rPr>
                <w:sz w:val="20"/>
                <w:szCs w:val="20"/>
                <w:color w:val="auto"/>
              </w:rPr>
            </w:pPr>
            <w:r>
              <w:rPr>
                <w:rFonts w:ascii="Times New Roman" w:cs="Times New Roman" w:eastAsia="Times New Roman" w:hAnsi="Times New Roman"/>
                <w:sz w:val="20"/>
                <w:szCs w:val="20"/>
                <w:color w:val="auto"/>
              </w:rPr>
              <w:t>Financial Officer and Principal</w:t>
            </w: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February 22, 2024</w:t>
            </w:r>
          </w:p>
        </w:tc>
        <w:tc>
          <w:tcPr>
            <w:tcW w:w="0" w:type="dxa"/>
            <w:vAlign w:val="bottom"/>
          </w:tcPr>
          <w:p>
            <w:pPr>
              <w:spacing w:after="0"/>
              <w:rPr>
                <w:sz w:val="1"/>
                <w:szCs w:val="1"/>
                <w:color w:val="auto"/>
              </w:rPr>
            </w:pPr>
          </w:p>
        </w:tc>
      </w:tr>
      <w:tr>
        <w:trPr>
          <w:trHeight w:val="263"/>
        </w:trPr>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/s/</w:t>
            </w:r>
          </w:p>
        </w:tc>
        <w:tc>
          <w:tcPr>
            <w:tcW w:w="2080" w:type="dxa"/>
            <w:vAlign w:val="bottom"/>
            <w:tcBorders>
              <w:bottom w:val="single" w:sz="8" w:color="auto"/>
            </w:tcBorders>
            <w:gridSpan w:val="3"/>
            <w:vMerge w:val="continue"/>
          </w:tcPr>
          <w:p>
            <w:pPr>
              <w:spacing w:after="0"/>
              <w:rPr>
                <w:sz w:val="22"/>
                <w:szCs w:val="22"/>
                <w:color w:val="auto"/>
              </w:rPr>
            </w:pPr>
          </w:p>
        </w:tc>
        <w:tc>
          <w:tcPr>
            <w:tcW w:w="2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Accounting Officer)</w:t>
            </w:r>
          </w:p>
        </w:tc>
        <w:tc>
          <w:tcPr>
            <w:tcW w:w="15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8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8"/>
              </w:rPr>
              <w:t>Bernice E. Bell</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8"/>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w w:val="94"/>
              </w:rPr>
              <w:t>/s/</w:t>
            </w:r>
          </w:p>
        </w:tc>
        <w:tc>
          <w:tcPr>
            <w:tcW w:w="208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20"/>
                <w:szCs w:val="20"/>
                <w:color w:val="auto"/>
                <w:w w:val="99"/>
              </w:rPr>
              <w:t>G</w:t>
            </w:r>
            <w:r>
              <w:rPr>
                <w:rFonts w:ascii="Times New Roman" w:cs="Times New Roman" w:eastAsia="Times New Roman" w:hAnsi="Times New Roman"/>
                <w:sz w:val="16"/>
                <w:szCs w:val="16"/>
                <w:color w:val="auto"/>
                <w:w w:val="99"/>
              </w:rPr>
              <w:t>ARY</w:t>
            </w:r>
            <w:r>
              <w:rPr>
                <w:rFonts w:ascii="Times New Roman" w:cs="Times New Roman" w:eastAsia="Times New Roman" w:hAnsi="Times New Roman"/>
                <w:sz w:val="20"/>
                <w:szCs w:val="20"/>
                <w:color w:val="auto"/>
                <w:w w:val="99"/>
              </w:rPr>
              <w:t xml:space="preserve"> D. K</w:t>
            </w:r>
            <w:r>
              <w:rPr>
                <w:rFonts w:ascii="Times New Roman" w:cs="Times New Roman" w:eastAsia="Times New Roman" w:hAnsi="Times New Roman"/>
                <w:sz w:val="16"/>
                <w:szCs w:val="16"/>
                <w:color w:val="auto"/>
                <w:w w:val="99"/>
              </w:rPr>
              <w:t>AIN</w:t>
            </w:r>
          </w:p>
        </w:tc>
        <w:tc>
          <w:tcPr>
            <w:tcW w:w="2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Director, Executive Chair</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February 22, 2024</w:t>
            </w:r>
          </w:p>
        </w:tc>
        <w:tc>
          <w:tcPr>
            <w:tcW w:w="0" w:type="dxa"/>
            <w:vAlign w:val="bottom"/>
          </w:tcPr>
          <w:p>
            <w:pPr>
              <w:spacing w:after="0"/>
              <w:rPr>
                <w:sz w:val="1"/>
                <w:szCs w:val="1"/>
                <w:color w:val="auto"/>
              </w:rPr>
            </w:pPr>
          </w:p>
        </w:tc>
      </w:tr>
      <w:tr>
        <w:trPr>
          <w:trHeight w:val="272"/>
        </w:trPr>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8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8"/>
              </w:rPr>
              <w:t>Gary D. Kain</w:t>
            </w:r>
          </w:p>
        </w:tc>
        <w:tc>
          <w:tcPr>
            <w:tcW w:w="1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8"/>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left="336"/>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February 22, 2024</w:t>
            </w: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8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8"/>
              </w:rPr>
              <w:t>Donna J. Blank</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8"/>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left="336"/>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February 22, 2024</w:t>
            </w: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8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9"/>
              </w:rPr>
              <w:t>Morris A. Davis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8"/>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left="336"/>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February 22, 2024</w:t>
            </w: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8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John D. Fisk</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8"/>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left="336"/>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February 22, 2024</w:t>
            </w:r>
          </w:p>
        </w:tc>
        <w:tc>
          <w:tcPr>
            <w:tcW w:w="0" w:type="dxa"/>
            <w:vAlign w:val="bottom"/>
          </w:tcPr>
          <w:p>
            <w:pPr>
              <w:spacing w:after="0"/>
              <w:rPr>
                <w:sz w:val="1"/>
                <w:szCs w:val="1"/>
                <w:color w:val="auto"/>
              </w:rPr>
            </w:pPr>
          </w:p>
        </w:tc>
      </w:tr>
      <w:tr>
        <w:trPr>
          <w:trHeight w:val="272"/>
        </w:trPr>
        <w:tc>
          <w:tcPr>
            <w:tcW w:w="480" w:type="dxa"/>
            <w:vAlign w:val="bottom"/>
          </w:tcPr>
          <w:p>
            <w:pPr>
              <w:spacing w:after="0"/>
              <w:rPr>
                <w:sz w:val="23"/>
                <w:szCs w:val="23"/>
                <w:color w:val="auto"/>
              </w:rPr>
            </w:pPr>
          </w:p>
        </w:tc>
        <w:tc>
          <w:tcPr>
            <w:tcW w:w="3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Andrew A. Johnson, Jr.</w:t>
            </w:r>
          </w:p>
        </w:tc>
        <w:tc>
          <w:tcPr>
            <w:tcW w:w="1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8"/>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left="336"/>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February 22, 2024</w:t>
            </w: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8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Prue B. Larocca</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8"/>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left="336"/>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February 22, 2024</w:t>
            </w: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8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9"/>
              </w:rPr>
              <w:t>Paul E. Mullings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8"/>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left="336"/>
              <w:spacing w:after="0"/>
              <w:rPr>
                <w:sz w:val="20"/>
                <w:szCs w:val="20"/>
                <w:color w:val="auto"/>
              </w:rPr>
            </w:pPr>
            <w:r>
              <w:rPr>
                <w:rFonts w:ascii="Times New Roman" w:cs="Times New Roman" w:eastAsia="Times New Roman" w:hAnsi="Times New Roman"/>
                <w:sz w:val="20"/>
                <w:szCs w:val="20"/>
                <w:color w:val="auto"/>
                <w:w w:val="99"/>
              </w:rPr>
              <w:t>*</w:t>
            </w:r>
          </w:p>
        </w:tc>
        <w:tc>
          <w:tcPr>
            <w:tcW w:w="1320" w:type="dxa"/>
            <w:vAlign w:val="bottom"/>
            <w:tcBorders>
              <w:bottom w:val="single" w:sz="8" w:color="auto"/>
            </w:tcBorders>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February 22, 2024</w:t>
            </w: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8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9"/>
              </w:rPr>
              <w:t>Frances R. Spark</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3"/>
        </w:trPr>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3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20"/>
                <w:szCs w:val="20"/>
                <w:color w:val="auto"/>
              </w:rPr>
              <w:t>K</w:t>
            </w:r>
            <w:r>
              <w:rPr>
                <w:rFonts w:ascii="Times New Roman" w:cs="Times New Roman" w:eastAsia="Times New Roman" w:hAnsi="Times New Roman"/>
                <w:sz w:val="16"/>
                <w:szCs w:val="16"/>
                <w:color w:val="auto"/>
              </w:rPr>
              <w:t>ENNETH</w:t>
            </w:r>
            <w:r>
              <w:rPr>
                <w:rFonts w:ascii="Times New Roman" w:cs="Times New Roman" w:eastAsia="Times New Roman" w:hAnsi="Times New Roman"/>
                <w:sz w:val="18"/>
                <w:szCs w:val="18"/>
                <w:color w:val="auto"/>
              </w:rPr>
              <w:t xml:space="preserve"> L. </w:t>
            </w:r>
            <w:r>
              <w:rPr>
                <w:rFonts w:ascii="Times New Roman" w:cs="Times New Roman" w:eastAsia="Times New Roman" w:hAnsi="Times New Roman"/>
                <w:sz w:val="20"/>
                <w:szCs w:val="20"/>
                <w:color w:val="auto"/>
              </w:rPr>
              <w:t>P</w:t>
            </w:r>
            <w:r>
              <w:rPr>
                <w:rFonts w:ascii="Times New Roman" w:cs="Times New Roman" w:eastAsia="Times New Roman" w:hAnsi="Times New Roman"/>
                <w:sz w:val="16"/>
                <w:szCs w:val="16"/>
                <w:color w:val="auto"/>
              </w:rPr>
              <w:t>OLLACK</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8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Kenneth L. Pollack</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8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i w:val="1"/>
                <w:iCs w:val="1"/>
                <w:color w:val="auto"/>
                <w:w w:val="99"/>
              </w:rPr>
              <w:t>Attorney-in-fact</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786" w:right="1000" w:bottom="0" w:gutter="0" w:footer="0" w:header="0"/>
        </w:sect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240"/>
          </w:cols>
          <w:pgMar w:left="1000" w:top="786" w:right="1000" w:bottom="0" w:gutter="0" w:footer="0" w:header="0"/>
          <w:type w:val="continuous"/>
        </w:sectPr>
      </w:pPr>
    </w:p>
    <w:bookmarkStart w:id="94" w:name="page95"/>
    <w:bookmarkEnd w:id="94"/>
    <w:p>
      <w:pPr>
        <w:spacing w:after="0"/>
        <w:rPr>
          <w:sz w:val="20"/>
          <w:szCs w:val="20"/>
          <w:color w:val="auto"/>
        </w:rPr>
      </w:pPr>
      <w:r>
        <w:rPr>
          <w:rFonts w:ascii="Arial" w:cs="Arial" w:eastAsia="Arial" w:hAnsi="Arial"/>
          <w:sz w:val="24"/>
          <w:szCs w:val="24"/>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165" cy="9829165"/>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165" cy="9829165"/>
                        </a:xfrm>
                        <a:prstGeom prst="rect">
                          <a:avLst/>
                        </a:prstGeom>
                        <a:solidFill>
                          <a:srgbClr val="000000"/>
                        </a:solidFill>
                      </wps:spPr>
                      <wps:bodyPr/>
                    </wps:wsp>
                  </a:graphicData>
                </a:graphic>
              </wp:anchor>
            </w:drawing>
          </mc:Choice>
          <mc:Fallback>
            <w:pict>
              <v:rect id="Shape 154" o:spid="_x0000_s1179" style="position:absolute;margin-left:0pt;margin-top:0pt;width:593.95pt;height:773.9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1713865</wp:posOffset>
                </wp:positionH>
                <wp:positionV relativeFrom="paragraph">
                  <wp:posOffset>-20955</wp:posOffset>
                </wp:positionV>
                <wp:extent cx="491490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14900" cy="4763"/>
                        </a:xfrm>
                        <a:prstGeom prst="line">
                          <a:avLst/>
                        </a:prstGeom>
                        <a:solidFill>
                          <a:srgbClr val="FFFFFF"/>
                        </a:solidFill>
                        <a:ln w="6350">
                          <a:solidFill>
                            <a:srgbClr val="CCCCCC"/>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5pt,-1.6499pt" to="521.95pt,-1.6499pt" o:allowincell="f" strokecolor="#CCCCCC" strokeweight="0.5pt"/>
            </w:pict>
          </mc:Fallback>
        </mc:AlternateContent>
      </w:r>
    </w:p>
    <w:p>
      <w:pPr>
        <w:sectPr>
          <w:pgSz w:w="11880" w:h="15479" w:orient="portrait"/>
          <w:cols w:equalWidth="0" w:num="1">
            <w:col w:w="10440"/>
          </w:cols>
          <w:pgMar w:left="720" w:top="1128" w:right="71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Gary D. Kain</w:t>
      </w:r>
    </w:p>
    <w:p>
      <w:pPr>
        <w:spacing w:after="0"/>
        <w:rPr>
          <w:sz w:val="20"/>
          <w:szCs w:val="20"/>
          <w:color w:val="auto"/>
        </w:rPr>
      </w:pPr>
      <w:r>
        <w:rPr>
          <w:rFonts w:ascii="Arial" w:cs="Arial" w:eastAsia="Arial" w:hAnsi="Arial"/>
          <w:sz w:val="16"/>
          <w:szCs w:val="16"/>
          <w:color w:val="FFFFFF"/>
        </w:rPr>
        <w:t>Executive Chair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John D. Fisk</w:t>
      </w:r>
    </w:p>
    <w:p>
      <w:pPr>
        <w:spacing w:after="0"/>
        <w:rPr>
          <w:sz w:val="20"/>
          <w:szCs w:val="20"/>
          <w:color w:val="auto"/>
        </w:rPr>
      </w:pPr>
      <w:r>
        <w:rPr>
          <w:rFonts w:ascii="Arial" w:cs="Arial" w:eastAsia="Arial" w:hAnsi="Arial"/>
          <w:sz w:val="16"/>
          <w:szCs w:val="16"/>
          <w:color w:val="FFFFFF"/>
        </w:rPr>
        <w:t>Independent Director</w:t>
      </w:r>
    </w:p>
    <w:p>
      <w:pPr>
        <w:spacing w:after="0" w:line="200" w:lineRule="exact"/>
        <w:rPr>
          <w:sz w:val="20"/>
          <w:szCs w:val="20"/>
          <w:color w:val="auto"/>
        </w:rPr>
      </w:pPr>
    </w:p>
    <w:p>
      <w:pPr>
        <w:sectPr>
          <w:pgSz w:w="11880" w:h="15479" w:orient="portrait"/>
          <w:cols w:equalWidth="0" w:num="2">
            <w:col w:w="4700" w:space="720"/>
            <w:col w:w="5020"/>
          </w:cols>
          <w:pgMar w:left="720" w:top="1128"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FFFFFF"/>
        </w:rPr>
        <w:t>Prue B. Larocca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FFFFFF"/>
        </w:rPr>
        <w:t>Lead Independent Director and Vice 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Andrew A. Johnson, Jr.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FFFFFF"/>
        </w:rPr>
        <w:t>Independent Director</w:t>
      </w:r>
    </w:p>
    <w:p>
      <w:pPr>
        <w:spacing w:after="0" w:line="200" w:lineRule="exact"/>
        <w:rPr>
          <w:sz w:val="20"/>
          <w:szCs w:val="20"/>
          <w:color w:val="auto"/>
        </w:rPr>
      </w:pPr>
    </w:p>
    <w:p>
      <w:pPr>
        <w:sectPr>
          <w:pgSz w:w="11880" w:h="15479" w:orient="portrait"/>
          <w:cols w:equalWidth="0" w:num="2">
            <w:col w:w="4700" w:space="720"/>
            <w:col w:w="5020"/>
          </w:cols>
          <w:pgMar w:left="720" w:top="1128"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FFFFFF"/>
        </w:rPr>
        <w:t>Donna J. Blank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FFFFFF"/>
        </w:rPr>
        <w:t>Independent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Paul E. Mullings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FFFFFF"/>
        </w:rPr>
        <w:t>Independent Director</w:t>
      </w:r>
    </w:p>
    <w:p>
      <w:pPr>
        <w:spacing w:after="0" w:line="200" w:lineRule="exact"/>
        <w:rPr>
          <w:sz w:val="20"/>
          <w:szCs w:val="20"/>
          <w:color w:val="auto"/>
        </w:rPr>
      </w:pPr>
    </w:p>
    <w:p>
      <w:pPr>
        <w:sectPr>
          <w:pgSz w:w="11880" w:h="15479" w:orient="portrait"/>
          <w:cols w:equalWidth="0" w:num="2">
            <w:col w:w="4700" w:space="720"/>
            <w:col w:w="5020"/>
          </w:cols>
          <w:pgMar w:left="720" w:top="1128"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FFFFFF"/>
        </w:rPr>
        <w:t>Morris A. Davis, Ph.D.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FFFFFF"/>
        </w:rPr>
        <w:t>Independent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Frances R. Spark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FFFFFF"/>
        </w:rPr>
        <w:t>Independent Director</w:t>
      </w:r>
    </w:p>
    <w:p>
      <w:pPr>
        <w:spacing w:after="0" w:line="200" w:lineRule="exact"/>
        <w:rPr>
          <w:sz w:val="20"/>
          <w:szCs w:val="20"/>
          <w:color w:val="auto"/>
        </w:rPr>
      </w:pPr>
    </w:p>
    <w:p>
      <w:pPr>
        <w:sectPr>
          <w:pgSz w:w="11880" w:h="15479" w:orient="portrait"/>
          <w:cols w:equalWidth="0" w:num="2">
            <w:col w:w="4700" w:space="720"/>
            <w:col w:w="5020"/>
          </w:cols>
          <w:pgMar w:left="720" w:top="1128" w:right="719" w:bottom="1440" w:gutter="0" w:footer="0" w:header="0"/>
          <w:type w:val="continuous"/>
        </w:sectPr>
      </w:pPr>
    </w:p>
    <w:p>
      <w:pPr>
        <w:spacing w:after="0"/>
        <w:rPr>
          <w:sz w:val="20"/>
          <w:szCs w:val="20"/>
          <w:color w:val="auto"/>
        </w:rPr>
      </w:pPr>
      <w:r>
        <w:rPr>
          <w:rFonts w:ascii="Arial" w:cs="Arial" w:eastAsia="Arial" w:hAnsi="Arial"/>
          <w:sz w:val="16"/>
          <w:szCs w:val="16"/>
          <w:b w:val="1"/>
          <w:bCs w:val="1"/>
          <w:color w:val="FFFFFF"/>
        </w:rPr>
        <w:t>Peter J. Federico</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FFFFFF"/>
        </w:rPr>
        <w:t>President and Chief Executive Officer</w:t>
      </w:r>
    </w:p>
    <w:p>
      <w:pPr>
        <w:sectPr>
          <w:pgSz w:w="11880" w:h="15479" w:orient="portrait"/>
          <w:cols w:equalWidth="0" w:num="1">
            <w:col w:w="10440"/>
          </w:cols>
          <w:pgMar w:left="720" w:top="1128" w:right="71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4"/>
          <w:szCs w:val="24"/>
          <w:color w:val="FFFFFF"/>
        </w:rPr>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1713865</wp:posOffset>
                </wp:positionH>
                <wp:positionV relativeFrom="paragraph">
                  <wp:posOffset>-26670</wp:posOffset>
                </wp:positionV>
                <wp:extent cx="491490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14900" cy="4763"/>
                        </a:xfrm>
                        <a:prstGeom prst="line">
                          <a:avLst/>
                        </a:prstGeom>
                        <a:solidFill>
                          <a:srgbClr val="FFFFFF"/>
                        </a:solidFill>
                        <a:ln w="6350">
                          <a:solidFill>
                            <a:srgbClr val="CCCCCC"/>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5pt,-2.0999pt" to="521.95pt,-2.0999pt" o:allowincell="f" strokecolor="#CCCCCC" strokeweight="0.5pt"/>
            </w:pict>
          </mc:Fallback>
        </mc:AlternateConten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60" w:type="dxa"/>
            <w:vAlign w:val="bottom"/>
            <w:gridSpan w:val="2"/>
          </w:tcPr>
          <w:p>
            <w:pPr>
              <w:spacing w:after="0"/>
              <w:rPr>
                <w:sz w:val="20"/>
                <w:szCs w:val="20"/>
                <w:color w:val="auto"/>
              </w:rPr>
            </w:pPr>
            <w:r>
              <w:rPr>
                <w:rFonts w:ascii="Arial" w:cs="Arial" w:eastAsia="Arial" w:hAnsi="Arial"/>
                <w:sz w:val="16"/>
                <w:szCs w:val="16"/>
                <w:b w:val="1"/>
                <w:bCs w:val="1"/>
                <w:color w:val="FFFFFF"/>
              </w:rPr>
              <w:t>Peter J. Federico</w:t>
            </w:r>
          </w:p>
        </w:tc>
        <w:tc>
          <w:tcPr>
            <w:tcW w:w="5480" w:type="dxa"/>
            <w:vAlign w:val="bottom"/>
          </w:tcPr>
          <w:p>
            <w:pPr>
              <w:ind w:left="460"/>
              <w:spacing w:after="0"/>
              <w:rPr>
                <w:sz w:val="20"/>
                <w:szCs w:val="20"/>
                <w:color w:val="auto"/>
              </w:rPr>
            </w:pPr>
            <w:r>
              <w:rPr>
                <w:rFonts w:ascii="Arial" w:cs="Arial" w:eastAsia="Arial" w:hAnsi="Arial"/>
                <w:sz w:val="16"/>
                <w:szCs w:val="16"/>
                <w:b w:val="1"/>
                <w:bCs w:val="1"/>
                <w:color w:val="FFFFFF"/>
              </w:rPr>
              <w:t>Christopher J. Kuehl</w:t>
            </w:r>
          </w:p>
        </w:tc>
        <w:tc>
          <w:tcPr>
            <w:tcW w:w="0" w:type="dxa"/>
            <w:vAlign w:val="bottom"/>
          </w:tcPr>
          <w:p>
            <w:pPr>
              <w:spacing w:after="0"/>
              <w:rPr>
                <w:sz w:val="1"/>
                <w:szCs w:val="1"/>
                <w:color w:val="auto"/>
              </w:rPr>
            </w:pPr>
          </w:p>
        </w:tc>
      </w:tr>
      <w:tr>
        <w:trPr>
          <w:trHeight w:val="341"/>
        </w:trPr>
        <w:tc>
          <w:tcPr>
            <w:tcW w:w="4960" w:type="dxa"/>
            <w:vAlign w:val="bottom"/>
            <w:gridSpan w:val="2"/>
          </w:tcPr>
          <w:p>
            <w:pPr>
              <w:spacing w:after="0"/>
              <w:rPr>
                <w:sz w:val="20"/>
                <w:szCs w:val="20"/>
                <w:color w:val="auto"/>
              </w:rPr>
            </w:pPr>
            <w:r>
              <w:rPr>
                <w:rFonts w:ascii="Arial" w:cs="Arial" w:eastAsia="Arial" w:hAnsi="Arial"/>
                <w:sz w:val="16"/>
                <w:szCs w:val="16"/>
                <w:color w:val="FFFFFF"/>
              </w:rPr>
              <w:t>President and Chief Executive Officer</w:t>
            </w:r>
          </w:p>
        </w:tc>
        <w:tc>
          <w:tcPr>
            <w:tcW w:w="5480" w:type="dxa"/>
            <w:vAlign w:val="bottom"/>
          </w:tcPr>
          <w:p>
            <w:pPr>
              <w:ind w:left="460"/>
              <w:spacing w:after="0"/>
              <w:rPr>
                <w:sz w:val="20"/>
                <w:szCs w:val="20"/>
                <w:color w:val="auto"/>
              </w:rPr>
            </w:pPr>
            <w:r>
              <w:rPr>
                <w:rFonts w:ascii="Arial" w:cs="Arial" w:eastAsia="Arial" w:hAnsi="Arial"/>
                <w:sz w:val="16"/>
                <w:szCs w:val="16"/>
                <w:color w:val="FFFFFF"/>
              </w:rPr>
              <w:t>Executive Vice President and Chief Investment Officer</w:t>
            </w:r>
          </w:p>
        </w:tc>
        <w:tc>
          <w:tcPr>
            <w:tcW w:w="0" w:type="dxa"/>
            <w:vAlign w:val="bottom"/>
          </w:tcPr>
          <w:p>
            <w:pPr>
              <w:spacing w:after="0"/>
              <w:rPr>
                <w:sz w:val="1"/>
                <w:szCs w:val="1"/>
                <w:color w:val="auto"/>
              </w:rPr>
            </w:pPr>
          </w:p>
        </w:tc>
      </w:tr>
      <w:tr>
        <w:trPr>
          <w:trHeight w:val="235"/>
        </w:trPr>
        <w:tc>
          <w:tcPr>
            <w:tcW w:w="4960" w:type="dxa"/>
            <w:vAlign w:val="bottom"/>
            <w:gridSpan w:val="2"/>
          </w:tcPr>
          <w:p>
            <w:pPr>
              <w:spacing w:after="0"/>
              <w:rPr>
                <w:sz w:val="20"/>
                <w:szCs w:val="20"/>
                <w:color w:val="auto"/>
              </w:rPr>
            </w:pPr>
            <w:r>
              <w:rPr>
                <w:rFonts w:ascii="Arial" w:cs="Arial" w:eastAsia="Arial" w:hAnsi="Arial"/>
                <w:sz w:val="16"/>
                <w:szCs w:val="16"/>
                <w:b w:val="1"/>
                <w:bCs w:val="1"/>
                <w:color w:val="FFFFFF"/>
              </w:rPr>
              <w:t>Bernice E. Bell</w:t>
            </w:r>
          </w:p>
        </w:tc>
        <w:tc>
          <w:tcPr>
            <w:tcW w:w="5480" w:type="dxa"/>
            <w:vAlign w:val="bottom"/>
          </w:tcPr>
          <w:p>
            <w:pPr>
              <w:ind w:left="460"/>
              <w:spacing w:after="0"/>
              <w:rPr>
                <w:sz w:val="20"/>
                <w:szCs w:val="20"/>
                <w:color w:val="auto"/>
              </w:rPr>
            </w:pPr>
            <w:r>
              <w:rPr>
                <w:rFonts w:ascii="Arial" w:cs="Arial" w:eastAsia="Arial" w:hAnsi="Arial"/>
                <w:sz w:val="16"/>
                <w:szCs w:val="16"/>
                <w:b w:val="1"/>
                <w:bCs w:val="1"/>
                <w:color w:val="FFFFFF"/>
              </w:rPr>
              <w:t>Kenneth L. Pollack</w:t>
            </w:r>
          </w:p>
        </w:tc>
        <w:tc>
          <w:tcPr>
            <w:tcW w:w="0" w:type="dxa"/>
            <w:vAlign w:val="bottom"/>
          </w:tcPr>
          <w:p>
            <w:pPr>
              <w:spacing w:after="0"/>
              <w:rPr>
                <w:sz w:val="1"/>
                <w:szCs w:val="1"/>
                <w:color w:val="auto"/>
              </w:rPr>
            </w:pPr>
          </w:p>
        </w:tc>
      </w:tr>
      <w:tr>
        <w:trPr>
          <w:trHeight w:val="192"/>
        </w:trPr>
        <w:tc>
          <w:tcPr>
            <w:tcW w:w="4960" w:type="dxa"/>
            <w:vAlign w:val="bottom"/>
            <w:gridSpan w:val="2"/>
          </w:tcPr>
          <w:p>
            <w:pPr>
              <w:spacing w:after="0"/>
              <w:rPr>
                <w:sz w:val="20"/>
                <w:szCs w:val="20"/>
                <w:color w:val="auto"/>
              </w:rPr>
            </w:pPr>
            <w:r>
              <w:rPr>
                <w:rFonts w:ascii="Arial" w:cs="Arial" w:eastAsia="Arial" w:hAnsi="Arial"/>
                <w:sz w:val="16"/>
                <w:szCs w:val="16"/>
                <w:color w:val="FFFFFF"/>
              </w:rPr>
              <w:t>Executive Vice President and Chief Financial Officer</w:t>
            </w:r>
          </w:p>
        </w:tc>
        <w:tc>
          <w:tcPr>
            <w:tcW w:w="5480" w:type="dxa"/>
            <w:vAlign w:val="bottom"/>
          </w:tcPr>
          <w:p>
            <w:pPr>
              <w:ind w:left="460"/>
              <w:spacing w:after="0"/>
              <w:rPr>
                <w:sz w:val="20"/>
                <w:szCs w:val="20"/>
                <w:color w:val="auto"/>
              </w:rPr>
            </w:pPr>
            <w:r>
              <w:rPr>
                <w:rFonts w:ascii="Arial" w:cs="Arial" w:eastAsia="Arial" w:hAnsi="Arial"/>
                <w:sz w:val="16"/>
                <w:szCs w:val="16"/>
                <w:color w:val="FFFFFF"/>
              </w:rPr>
              <w:t>Executive Vice President, General Counsel,</w:t>
            </w:r>
          </w:p>
        </w:tc>
        <w:tc>
          <w:tcPr>
            <w:tcW w:w="0" w:type="dxa"/>
            <w:vAlign w:val="bottom"/>
          </w:tcPr>
          <w:p>
            <w:pPr>
              <w:spacing w:after="0"/>
              <w:rPr>
                <w:sz w:val="1"/>
                <w:szCs w:val="1"/>
                <w:color w:val="auto"/>
              </w:rPr>
            </w:pPr>
          </w:p>
        </w:tc>
      </w:tr>
      <w:tr>
        <w:trPr>
          <w:trHeight w:val="341"/>
        </w:trPr>
        <w:tc>
          <w:tcPr>
            <w:tcW w:w="4960" w:type="dxa"/>
            <w:vAlign w:val="bottom"/>
            <w:gridSpan w:val="2"/>
            <w:vMerge w:val="restart"/>
          </w:tcPr>
          <w:p>
            <w:pPr>
              <w:spacing w:after="0"/>
              <w:rPr>
                <w:sz w:val="20"/>
                <w:szCs w:val="20"/>
                <w:color w:val="auto"/>
              </w:rPr>
            </w:pPr>
            <w:r>
              <w:rPr>
                <w:rFonts w:ascii="Arial" w:cs="Arial" w:eastAsia="Arial" w:hAnsi="Arial"/>
                <w:sz w:val="16"/>
                <w:szCs w:val="16"/>
                <w:b w:val="1"/>
                <w:bCs w:val="1"/>
                <w:color w:val="FFFFFF"/>
              </w:rPr>
              <w:t>Gary D. Kain</w:t>
            </w:r>
          </w:p>
        </w:tc>
        <w:tc>
          <w:tcPr>
            <w:tcW w:w="5480" w:type="dxa"/>
            <w:vAlign w:val="bottom"/>
          </w:tcPr>
          <w:p>
            <w:pPr>
              <w:ind w:left="460"/>
              <w:spacing w:after="0"/>
              <w:rPr>
                <w:sz w:val="20"/>
                <w:szCs w:val="20"/>
                <w:color w:val="auto"/>
              </w:rPr>
            </w:pPr>
            <w:r>
              <w:rPr>
                <w:rFonts w:ascii="Arial" w:cs="Arial" w:eastAsia="Arial" w:hAnsi="Arial"/>
                <w:sz w:val="16"/>
                <w:szCs w:val="16"/>
                <w:color w:val="FFFFFF"/>
              </w:rPr>
              <w:t>Chief Compliance Officer and Secretary</w:t>
            </w:r>
          </w:p>
        </w:tc>
        <w:tc>
          <w:tcPr>
            <w:tcW w:w="0" w:type="dxa"/>
            <w:vAlign w:val="bottom"/>
          </w:tcPr>
          <w:p>
            <w:pPr>
              <w:spacing w:after="0"/>
              <w:rPr>
                <w:sz w:val="1"/>
                <w:szCs w:val="1"/>
                <w:color w:val="auto"/>
              </w:rPr>
            </w:pPr>
          </w:p>
        </w:tc>
      </w:tr>
      <w:tr>
        <w:trPr>
          <w:trHeight w:val="43"/>
        </w:trPr>
        <w:tc>
          <w:tcPr>
            <w:tcW w:w="4960" w:type="dxa"/>
            <w:vAlign w:val="bottom"/>
            <w:gridSpan w:val="2"/>
            <w:vMerge w:val="continue"/>
          </w:tcPr>
          <w:p>
            <w:pPr>
              <w:spacing w:after="0"/>
              <w:rPr>
                <w:sz w:val="3"/>
                <w:szCs w:val="3"/>
                <w:color w:val="auto"/>
              </w:rPr>
            </w:pPr>
          </w:p>
        </w:tc>
        <w:tc>
          <w:tcPr>
            <w:tcW w:w="5480" w:type="dxa"/>
            <w:vAlign w:val="bottom"/>
            <w:vMerge w:val="restart"/>
          </w:tcPr>
          <w:p>
            <w:pPr>
              <w:ind w:left="460"/>
              <w:spacing w:after="0"/>
              <w:rPr>
                <w:sz w:val="20"/>
                <w:szCs w:val="20"/>
                <w:color w:val="auto"/>
              </w:rPr>
            </w:pPr>
            <w:r>
              <w:rPr>
                <w:rFonts w:ascii="Arial" w:cs="Arial" w:eastAsia="Arial" w:hAnsi="Arial"/>
                <w:sz w:val="16"/>
                <w:szCs w:val="16"/>
                <w:b w:val="1"/>
                <w:bCs w:val="1"/>
                <w:color w:val="FFFFFF"/>
              </w:rPr>
              <w:t>Sean P. Reid</w:t>
            </w:r>
          </w:p>
        </w:tc>
        <w:tc>
          <w:tcPr>
            <w:tcW w:w="0" w:type="dxa"/>
            <w:vAlign w:val="bottom"/>
          </w:tcPr>
          <w:p>
            <w:pPr>
              <w:spacing w:after="0"/>
              <w:rPr>
                <w:sz w:val="1"/>
                <w:szCs w:val="1"/>
                <w:color w:val="auto"/>
              </w:rPr>
            </w:pPr>
          </w:p>
        </w:tc>
      </w:tr>
      <w:tr>
        <w:trPr>
          <w:trHeight w:val="192"/>
        </w:trPr>
        <w:tc>
          <w:tcPr>
            <w:tcW w:w="4960" w:type="dxa"/>
            <w:vAlign w:val="bottom"/>
            <w:gridSpan w:val="2"/>
          </w:tcPr>
          <w:p>
            <w:pPr>
              <w:spacing w:after="0"/>
              <w:rPr>
                <w:sz w:val="20"/>
                <w:szCs w:val="20"/>
                <w:color w:val="auto"/>
              </w:rPr>
            </w:pPr>
            <w:r>
              <w:rPr>
                <w:rFonts w:ascii="Arial" w:cs="Arial" w:eastAsia="Arial" w:hAnsi="Arial"/>
                <w:sz w:val="16"/>
                <w:szCs w:val="16"/>
                <w:color w:val="FFFFFF"/>
              </w:rPr>
              <w:t>Executive Chair</w:t>
            </w:r>
          </w:p>
        </w:tc>
        <w:tc>
          <w:tcPr>
            <w:tcW w:w="5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480" w:type="dxa"/>
            <w:vAlign w:val="bottom"/>
          </w:tcPr>
          <w:p>
            <w:pPr>
              <w:ind w:left="460"/>
              <w:spacing w:after="0"/>
              <w:rPr>
                <w:sz w:val="20"/>
                <w:szCs w:val="20"/>
                <w:color w:val="auto"/>
              </w:rPr>
            </w:pPr>
            <w:r>
              <w:rPr>
                <w:rFonts w:ascii="Arial" w:cs="Arial" w:eastAsia="Arial" w:hAnsi="Arial"/>
                <w:sz w:val="16"/>
                <w:szCs w:val="16"/>
                <w:color w:val="FFFFFF"/>
              </w:rPr>
              <w:t>Executive Vice President, Strategy</w:t>
            </w:r>
          </w:p>
        </w:tc>
        <w:tc>
          <w:tcPr>
            <w:tcW w:w="0" w:type="dxa"/>
            <w:vAlign w:val="bottom"/>
          </w:tcPr>
          <w:p>
            <w:pPr>
              <w:spacing w:after="0"/>
              <w:rPr>
                <w:sz w:val="1"/>
                <w:szCs w:val="1"/>
                <w:color w:val="auto"/>
              </w:rPr>
            </w:pPr>
          </w:p>
        </w:tc>
      </w:tr>
      <w:tr>
        <w:trPr>
          <w:trHeight w:val="341"/>
        </w:trPr>
        <w:tc>
          <w:tcPr>
            <w:tcW w:w="3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80" w:type="dxa"/>
            <w:vAlign w:val="bottom"/>
          </w:tcPr>
          <w:p>
            <w:pPr>
              <w:ind w:left="460"/>
              <w:spacing w:after="0"/>
              <w:rPr>
                <w:sz w:val="20"/>
                <w:szCs w:val="20"/>
                <w:color w:val="auto"/>
              </w:rPr>
            </w:pPr>
            <w:r>
              <w:rPr>
                <w:rFonts w:ascii="Arial" w:cs="Arial" w:eastAsia="Arial" w:hAnsi="Arial"/>
                <w:sz w:val="16"/>
                <w:szCs w:val="16"/>
                <w:color w:val="FFFFFF"/>
              </w:rPr>
              <w:t>and Corporate Development</w:t>
            </w:r>
          </w:p>
        </w:tc>
        <w:tc>
          <w:tcPr>
            <w:tcW w:w="0" w:type="dxa"/>
            <w:vAlign w:val="bottom"/>
          </w:tcPr>
          <w:p>
            <w:pPr>
              <w:spacing w:after="0"/>
              <w:rPr>
                <w:sz w:val="1"/>
                <w:szCs w:val="1"/>
                <w:color w:val="auto"/>
              </w:rPr>
            </w:pPr>
          </w:p>
        </w:tc>
      </w:tr>
      <w:tr>
        <w:trPr>
          <w:trHeight w:val="385"/>
        </w:trPr>
        <w:tc>
          <w:tcPr>
            <w:tcW w:w="3240" w:type="dxa"/>
            <w:vAlign w:val="bottom"/>
            <w:vMerge w:val="restart"/>
          </w:tcPr>
          <w:p>
            <w:pPr>
              <w:spacing w:after="0"/>
              <w:rPr>
                <w:sz w:val="20"/>
                <w:szCs w:val="20"/>
                <w:color w:val="auto"/>
              </w:rPr>
            </w:pPr>
            <w:r>
              <w:rPr>
                <w:rFonts w:ascii="Arial" w:cs="Arial" w:eastAsia="Arial" w:hAnsi="Arial"/>
                <w:sz w:val="24"/>
                <w:szCs w:val="24"/>
                <w:color w:val="auto"/>
              </w:rPr>
              <w:t>Corporate Information</w:t>
            </w:r>
          </w:p>
        </w:tc>
        <w:tc>
          <w:tcPr>
            <w:tcW w:w="1720" w:type="dxa"/>
            <w:vAlign w:val="bottom"/>
            <w:tcBorders>
              <w:bottom w:val="single" w:sz="8" w:color="CCCCCC"/>
            </w:tcBorders>
          </w:tcPr>
          <w:p>
            <w:pPr>
              <w:spacing w:after="0"/>
              <w:rPr>
                <w:sz w:val="24"/>
                <w:szCs w:val="24"/>
                <w:color w:val="auto"/>
              </w:rPr>
            </w:pPr>
          </w:p>
        </w:tc>
        <w:tc>
          <w:tcPr>
            <w:tcW w:w="548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240" w:type="dxa"/>
            <w:vAlign w:val="bottom"/>
            <w:vMerge w:val="continue"/>
          </w:tcPr>
          <w:p>
            <w:pPr>
              <w:spacing w:after="0"/>
              <w:rPr>
                <w:sz w:val="22"/>
                <w:szCs w:val="22"/>
                <w:color w:val="auto"/>
              </w:rPr>
            </w:pPr>
          </w:p>
        </w:tc>
        <w:tc>
          <w:tcPr>
            <w:tcW w:w="172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3"/>
        </w:trPr>
        <w:tc>
          <w:tcPr>
            <w:tcW w:w="4960" w:type="dxa"/>
            <w:vAlign w:val="bottom"/>
            <w:gridSpan w:val="2"/>
          </w:tcPr>
          <w:p>
            <w:pPr>
              <w:spacing w:after="0"/>
              <w:rPr>
                <w:sz w:val="20"/>
                <w:szCs w:val="20"/>
                <w:color w:val="auto"/>
              </w:rPr>
            </w:pPr>
            <w:r>
              <w:rPr>
                <w:rFonts w:ascii="Arial" w:cs="Arial" w:eastAsia="Arial" w:hAnsi="Arial"/>
                <w:sz w:val="16"/>
                <w:szCs w:val="16"/>
                <w:b w:val="1"/>
                <w:bCs w:val="1"/>
                <w:color w:val="FFFFFF"/>
              </w:rPr>
              <w:t>Auditors</w:t>
            </w:r>
          </w:p>
        </w:tc>
        <w:tc>
          <w:tcPr>
            <w:tcW w:w="5480" w:type="dxa"/>
            <w:vAlign w:val="bottom"/>
          </w:tcPr>
          <w:p>
            <w:pPr>
              <w:ind w:left="460"/>
              <w:spacing w:after="0"/>
              <w:rPr>
                <w:sz w:val="20"/>
                <w:szCs w:val="20"/>
                <w:color w:val="auto"/>
              </w:rPr>
            </w:pPr>
            <w:r>
              <w:rPr>
                <w:rFonts w:ascii="Arial" w:cs="Arial" w:eastAsia="Arial" w:hAnsi="Arial"/>
                <w:sz w:val="16"/>
                <w:szCs w:val="16"/>
                <w:b w:val="1"/>
                <w:bCs w:val="1"/>
                <w:color w:val="FFFFFF"/>
              </w:rPr>
              <w:t>Financial Publications</w:t>
            </w:r>
          </w:p>
        </w:tc>
        <w:tc>
          <w:tcPr>
            <w:tcW w:w="0" w:type="dxa"/>
            <w:vAlign w:val="bottom"/>
          </w:tcPr>
          <w:p>
            <w:pPr>
              <w:spacing w:after="0"/>
              <w:rPr>
                <w:sz w:val="1"/>
                <w:szCs w:val="1"/>
                <w:color w:val="auto"/>
              </w:rPr>
            </w:pPr>
          </w:p>
        </w:tc>
      </w:tr>
      <w:tr>
        <w:trPr>
          <w:trHeight w:val="192"/>
        </w:trPr>
        <w:tc>
          <w:tcPr>
            <w:tcW w:w="4960" w:type="dxa"/>
            <w:vAlign w:val="bottom"/>
            <w:gridSpan w:val="2"/>
          </w:tcPr>
          <w:p>
            <w:pPr>
              <w:spacing w:after="0"/>
              <w:rPr>
                <w:sz w:val="20"/>
                <w:szCs w:val="20"/>
                <w:color w:val="auto"/>
              </w:rPr>
            </w:pPr>
            <w:r>
              <w:rPr>
                <w:rFonts w:ascii="Arial" w:cs="Arial" w:eastAsia="Arial" w:hAnsi="Arial"/>
                <w:sz w:val="16"/>
                <w:szCs w:val="16"/>
                <w:color w:val="FFFFFF"/>
              </w:rPr>
              <w:t>Ernst &amp; Young LLP</w:t>
            </w:r>
          </w:p>
        </w:tc>
        <w:tc>
          <w:tcPr>
            <w:tcW w:w="5480" w:type="dxa"/>
            <w:vAlign w:val="bottom"/>
          </w:tcPr>
          <w:p>
            <w:pPr>
              <w:ind w:left="460"/>
              <w:spacing w:after="0"/>
              <w:rPr>
                <w:sz w:val="20"/>
                <w:szCs w:val="20"/>
                <w:color w:val="auto"/>
              </w:rPr>
            </w:pPr>
            <w:r>
              <w:rPr>
                <w:rFonts w:ascii="Arial" w:cs="Arial" w:eastAsia="Arial" w:hAnsi="Arial"/>
                <w:sz w:val="16"/>
                <w:szCs w:val="16"/>
                <w:color w:val="FFFFFF"/>
              </w:rPr>
              <w:t>Stockholders may receive a copy of our 2023 Annual</w:t>
            </w:r>
          </w:p>
        </w:tc>
        <w:tc>
          <w:tcPr>
            <w:tcW w:w="0" w:type="dxa"/>
            <w:vAlign w:val="bottom"/>
          </w:tcPr>
          <w:p>
            <w:pPr>
              <w:spacing w:after="0"/>
              <w:rPr>
                <w:sz w:val="1"/>
                <w:szCs w:val="1"/>
                <w:color w:val="auto"/>
              </w:rPr>
            </w:pPr>
          </w:p>
        </w:tc>
      </w:tr>
      <w:tr>
        <w:trPr>
          <w:trHeight w:val="192"/>
        </w:trPr>
        <w:tc>
          <w:tcPr>
            <w:tcW w:w="4960" w:type="dxa"/>
            <w:vAlign w:val="bottom"/>
            <w:gridSpan w:val="2"/>
          </w:tcPr>
          <w:p>
            <w:pPr>
              <w:spacing w:after="0"/>
              <w:rPr>
                <w:sz w:val="20"/>
                <w:szCs w:val="20"/>
                <w:color w:val="auto"/>
              </w:rPr>
            </w:pPr>
            <w:r>
              <w:rPr>
                <w:rFonts w:ascii="Arial" w:cs="Arial" w:eastAsia="Arial" w:hAnsi="Arial"/>
                <w:sz w:val="16"/>
                <w:szCs w:val="16"/>
                <w:color w:val="FFFFFF"/>
              </w:rPr>
              <w:t>Tysons, VA</w:t>
            </w:r>
          </w:p>
        </w:tc>
        <w:tc>
          <w:tcPr>
            <w:tcW w:w="5480" w:type="dxa"/>
            <w:vAlign w:val="bottom"/>
          </w:tcPr>
          <w:p>
            <w:pPr>
              <w:ind w:left="460"/>
              <w:spacing w:after="0"/>
              <w:rPr>
                <w:sz w:val="20"/>
                <w:szCs w:val="20"/>
                <w:color w:val="auto"/>
              </w:rPr>
            </w:pPr>
            <w:r>
              <w:rPr>
                <w:rFonts w:ascii="Arial" w:cs="Arial" w:eastAsia="Arial" w:hAnsi="Arial"/>
                <w:sz w:val="16"/>
                <w:szCs w:val="16"/>
                <w:color w:val="FFFFFF"/>
              </w:rPr>
              <w:t>Report on Form 10-K and our quarterly reports on Form</w:t>
            </w:r>
          </w:p>
        </w:tc>
        <w:tc>
          <w:tcPr>
            <w:tcW w:w="0" w:type="dxa"/>
            <w:vAlign w:val="bottom"/>
          </w:tcPr>
          <w:p>
            <w:pPr>
              <w:spacing w:after="0"/>
              <w:rPr>
                <w:sz w:val="1"/>
                <w:szCs w:val="1"/>
                <w:color w:val="auto"/>
              </w:rPr>
            </w:pPr>
          </w:p>
        </w:tc>
      </w:tr>
      <w:tr>
        <w:trPr>
          <w:trHeight w:val="192"/>
        </w:trPr>
        <w:tc>
          <w:tcPr>
            <w:tcW w:w="4960" w:type="dxa"/>
            <w:vAlign w:val="bottom"/>
            <w:gridSpan w:val="2"/>
            <w:vMerge w:val="restart"/>
          </w:tcPr>
          <w:p>
            <w:pPr>
              <w:spacing w:after="0"/>
              <w:rPr>
                <w:sz w:val="20"/>
                <w:szCs w:val="20"/>
                <w:color w:val="auto"/>
              </w:rPr>
            </w:pPr>
            <w:r>
              <w:rPr>
                <w:rFonts w:ascii="Arial" w:cs="Arial" w:eastAsia="Arial" w:hAnsi="Arial"/>
                <w:sz w:val="16"/>
                <w:szCs w:val="16"/>
                <w:b w:val="1"/>
                <w:bCs w:val="1"/>
                <w:color w:val="FFFFFF"/>
              </w:rPr>
              <w:t>Legal Counsel</w:t>
            </w:r>
          </w:p>
        </w:tc>
        <w:tc>
          <w:tcPr>
            <w:tcW w:w="5480" w:type="dxa"/>
            <w:vAlign w:val="bottom"/>
          </w:tcPr>
          <w:p>
            <w:pPr>
              <w:ind w:left="460"/>
              <w:spacing w:after="0"/>
              <w:rPr>
                <w:sz w:val="20"/>
                <w:szCs w:val="20"/>
                <w:color w:val="auto"/>
              </w:rPr>
            </w:pPr>
            <w:r>
              <w:rPr>
                <w:rFonts w:ascii="Arial" w:cs="Arial" w:eastAsia="Arial" w:hAnsi="Arial"/>
                <w:sz w:val="16"/>
                <w:szCs w:val="16"/>
                <w:color w:val="FFFFFF"/>
              </w:rPr>
              <w:t>10-Q filed with the Securities and Exchange Commission</w:t>
            </w:r>
          </w:p>
        </w:tc>
        <w:tc>
          <w:tcPr>
            <w:tcW w:w="0" w:type="dxa"/>
            <w:vAlign w:val="bottom"/>
          </w:tcPr>
          <w:p>
            <w:pPr>
              <w:spacing w:after="0"/>
              <w:rPr>
                <w:sz w:val="1"/>
                <w:szCs w:val="1"/>
                <w:color w:val="auto"/>
              </w:rPr>
            </w:pPr>
          </w:p>
        </w:tc>
      </w:tr>
      <w:tr>
        <w:trPr>
          <w:trHeight w:val="192"/>
        </w:trPr>
        <w:tc>
          <w:tcPr>
            <w:tcW w:w="4960" w:type="dxa"/>
            <w:vAlign w:val="bottom"/>
            <w:gridSpan w:val="2"/>
            <w:vMerge w:val="continue"/>
          </w:tcPr>
          <w:p>
            <w:pPr>
              <w:spacing w:after="0"/>
              <w:rPr>
                <w:sz w:val="16"/>
                <w:szCs w:val="16"/>
                <w:color w:val="auto"/>
              </w:rPr>
            </w:pPr>
          </w:p>
        </w:tc>
        <w:tc>
          <w:tcPr>
            <w:tcW w:w="5480" w:type="dxa"/>
            <w:vAlign w:val="bottom"/>
          </w:tcPr>
          <w:p>
            <w:pPr>
              <w:ind w:left="460"/>
              <w:spacing w:after="0"/>
              <w:rPr>
                <w:sz w:val="20"/>
                <w:szCs w:val="20"/>
                <w:color w:val="auto"/>
              </w:rPr>
            </w:pPr>
            <w:r>
              <w:rPr>
                <w:rFonts w:ascii="Arial" w:cs="Arial" w:eastAsia="Arial" w:hAnsi="Arial"/>
                <w:sz w:val="16"/>
                <w:szCs w:val="16"/>
                <w:color w:val="FFFFFF"/>
              </w:rPr>
              <w:t>on our website at www.AGNC.com or by writing to:</w:t>
            </w:r>
          </w:p>
        </w:tc>
        <w:tc>
          <w:tcPr>
            <w:tcW w:w="0" w:type="dxa"/>
            <w:vAlign w:val="bottom"/>
          </w:tcPr>
          <w:p>
            <w:pPr>
              <w:spacing w:after="0"/>
              <w:rPr>
                <w:sz w:val="1"/>
                <w:szCs w:val="1"/>
                <w:color w:val="auto"/>
              </w:rPr>
            </w:pPr>
          </w:p>
        </w:tc>
      </w:tr>
      <w:tr>
        <w:trPr>
          <w:trHeight w:val="192"/>
        </w:trPr>
        <w:tc>
          <w:tcPr>
            <w:tcW w:w="4960" w:type="dxa"/>
            <w:vAlign w:val="bottom"/>
            <w:gridSpan w:val="2"/>
          </w:tcPr>
          <w:p>
            <w:pPr>
              <w:spacing w:after="0"/>
              <w:rPr>
                <w:sz w:val="20"/>
                <w:szCs w:val="20"/>
                <w:color w:val="auto"/>
              </w:rPr>
            </w:pPr>
            <w:r>
              <w:rPr>
                <w:rFonts w:ascii="Arial" w:cs="Arial" w:eastAsia="Arial" w:hAnsi="Arial"/>
                <w:sz w:val="16"/>
                <w:szCs w:val="16"/>
                <w:color w:val="FFFFFF"/>
              </w:rPr>
              <w:t>Skadden, Arps, Slate, Meagher &amp; Flom LLP</w:t>
            </w:r>
          </w:p>
        </w:tc>
        <w:tc>
          <w:tcPr>
            <w:tcW w:w="5480" w:type="dxa"/>
            <w:vAlign w:val="bottom"/>
            <w:vMerge w:val="restart"/>
          </w:tcPr>
          <w:p>
            <w:pPr>
              <w:ind w:left="460"/>
              <w:spacing w:after="0"/>
              <w:rPr>
                <w:sz w:val="20"/>
                <w:szCs w:val="20"/>
                <w:color w:val="auto"/>
              </w:rPr>
            </w:pPr>
            <w:r>
              <w:rPr>
                <w:rFonts w:ascii="Arial" w:cs="Arial" w:eastAsia="Arial" w:hAnsi="Arial"/>
                <w:sz w:val="16"/>
                <w:szCs w:val="16"/>
                <w:color w:val="FFFFFF"/>
              </w:rPr>
              <w:t>AGNC Investment Corp.</w:t>
            </w:r>
          </w:p>
        </w:tc>
        <w:tc>
          <w:tcPr>
            <w:tcW w:w="0" w:type="dxa"/>
            <w:vAlign w:val="bottom"/>
          </w:tcPr>
          <w:p>
            <w:pPr>
              <w:spacing w:after="0"/>
              <w:rPr>
                <w:sz w:val="1"/>
                <w:szCs w:val="1"/>
                <w:color w:val="auto"/>
              </w:rPr>
            </w:pPr>
          </w:p>
        </w:tc>
      </w:tr>
      <w:tr>
        <w:trPr>
          <w:trHeight w:val="192"/>
        </w:trPr>
        <w:tc>
          <w:tcPr>
            <w:tcW w:w="4960" w:type="dxa"/>
            <w:vAlign w:val="bottom"/>
            <w:gridSpan w:val="2"/>
          </w:tcPr>
          <w:p>
            <w:pPr>
              <w:spacing w:after="0"/>
              <w:rPr>
                <w:sz w:val="20"/>
                <w:szCs w:val="20"/>
                <w:color w:val="auto"/>
              </w:rPr>
            </w:pPr>
            <w:r>
              <w:rPr>
                <w:rFonts w:ascii="Arial" w:cs="Arial" w:eastAsia="Arial" w:hAnsi="Arial"/>
                <w:sz w:val="16"/>
                <w:szCs w:val="16"/>
                <w:color w:val="FFFFFF"/>
              </w:rPr>
              <w:t>New York, NY</w:t>
            </w:r>
          </w:p>
        </w:tc>
        <w:tc>
          <w:tcPr>
            <w:tcW w:w="5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60" w:type="dxa"/>
            <w:vAlign w:val="bottom"/>
            <w:gridSpan w:val="2"/>
            <w:vMerge w:val="restart"/>
          </w:tcPr>
          <w:p>
            <w:pPr>
              <w:spacing w:after="0"/>
              <w:rPr>
                <w:sz w:val="20"/>
                <w:szCs w:val="20"/>
                <w:color w:val="auto"/>
              </w:rPr>
            </w:pPr>
            <w:r>
              <w:rPr>
                <w:rFonts w:ascii="Arial" w:cs="Arial" w:eastAsia="Arial" w:hAnsi="Arial"/>
                <w:sz w:val="16"/>
                <w:szCs w:val="16"/>
                <w:b w:val="1"/>
                <w:bCs w:val="1"/>
                <w:color w:val="FFFFFF"/>
              </w:rPr>
              <w:t>Equity Securities</w:t>
            </w:r>
          </w:p>
        </w:tc>
        <w:tc>
          <w:tcPr>
            <w:tcW w:w="5480" w:type="dxa"/>
            <w:vAlign w:val="bottom"/>
          </w:tcPr>
          <w:p>
            <w:pPr>
              <w:ind w:left="460"/>
              <w:spacing w:after="0"/>
              <w:rPr>
                <w:sz w:val="20"/>
                <w:szCs w:val="20"/>
                <w:color w:val="auto"/>
              </w:rPr>
            </w:pPr>
            <w:r>
              <w:rPr>
                <w:rFonts w:ascii="Arial" w:cs="Arial" w:eastAsia="Arial" w:hAnsi="Arial"/>
                <w:sz w:val="16"/>
                <w:szCs w:val="16"/>
                <w:color w:val="FFFFFF"/>
              </w:rPr>
              <w:t>Investor Relations</w:t>
            </w:r>
          </w:p>
        </w:tc>
        <w:tc>
          <w:tcPr>
            <w:tcW w:w="0" w:type="dxa"/>
            <w:vAlign w:val="bottom"/>
          </w:tcPr>
          <w:p>
            <w:pPr>
              <w:spacing w:after="0"/>
              <w:rPr>
                <w:sz w:val="1"/>
                <w:szCs w:val="1"/>
                <w:color w:val="auto"/>
              </w:rPr>
            </w:pPr>
          </w:p>
        </w:tc>
      </w:tr>
      <w:tr>
        <w:trPr>
          <w:trHeight w:val="192"/>
        </w:trPr>
        <w:tc>
          <w:tcPr>
            <w:tcW w:w="4960" w:type="dxa"/>
            <w:vAlign w:val="bottom"/>
            <w:gridSpan w:val="2"/>
            <w:vMerge w:val="continue"/>
          </w:tcPr>
          <w:p>
            <w:pPr>
              <w:spacing w:after="0"/>
              <w:rPr>
                <w:sz w:val="16"/>
                <w:szCs w:val="16"/>
                <w:color w:val="auto"/>
              </w:rPr>
            </w:pPr>
          </w:p>
        </w:tc>
        <w:tc>
          <w:tcPr>
            <w:tcW w:w="5480" w:type="dxa"/>
            <w:vAlign w:val="bottom"/>
          </w:tcPr>
          <w:p>
            <w:pPr>
              <w:ind w:left="460"/>
              <w:spacing w:after="0"/>
              <w:rPr>
                <w:sz w:val="20"/>
                <w:szCs w:val="20"/>
                <w:color w:val="auto"/>
              </w:rPr>
            </w:pPr>
            <w:r>
              <w:rPr>
                <w:rFonts w:ascii="Arial" w:cs="Arial" w:eastAsia="Arial" w:hAnsi="Arial"/>
                <w:sz w:val="16"/>
                <w:szCs w:val="16"/>
                <w:color w:val="FFFFFF"/>
              </w:rPr>
              <w:t>7373 Wisconsin Avenue</w:t>
            </w:r>
          </w:p>
        </w:tc>
        <w:tc>
          <w:tcPr>
            <w:tcW w:w="0" w:type="dxa"/>
            <w:vAlign w:val="bottom"/>
          </w:tcPr>
          <w:p>
            <w:pPr>
              <w:spacing w:after="0"/>
              <w:rPr>
                <w:sz w:val="1"/>
                <w:szCs w:val="1"/>
                <w:color w:val="auto"/>
              </w:rPr>
            </w:pPr>
          </w:p>
        </w:tc>
      </w:tr>
      <w:tr>
        <w:trPr>
          <w:trHeight w:val="192"/>
        </w:trPr>
        <w:tc>
          <w:tcPr>
            <w:tcW w:w="4960" w:type="dxa"/>
            <w:vAlign w:val="bottom"/>
            <w:gridSpan w:val="2"/>
          </w:tcPr>
          <w:p>
            <w:pPr>
              <w:spacing w:after="0"/>
              <w:rPr>
                <w:sz w:val="20"/>
                <w:szCs w:val="20"/>
                <w:color w:val="auto"/>
              </w:rPr>
            </w:pPr>
            <w:r>
              <w:rPr>
                <w:rFonts w:ascii="Arial" w:cs="Arial" w:eastAsia="Arial" w:hAnsi="Arial"/>
                <w:sz w:val="16"/>
                <w:szCs w:val="16"/>
                <w:color w:val="FFFFFF"/>
              </w:rPr>
              <w:t>Common Stock</w:t>
            </w:r>
          </w:p>
        </w:tc>
        <w:tc>
          <w:tcPr>
            <w:tcW w:w="5480" w:type="dxa"/>
            <w:vAlign w:val="bottom"/>
          </w:tcPr>
          <w:p>
            <w:pPr>
              <w:ind w:left="460"/>
              <w:spacing w:after="0"/>
              <w:rPr>
                <w:sz w:val="20"/>
                <w:szCs w:val="20"/>
                <w:color w:val="auto"/>
              </w:rPr>
            </w:pPr>
            <w:r>
              <w:rPr>
                <w:rFonts w:ascii="Arial" w:cs="Arial" w:eastAsia="Arial" w:hAnsi="Arial"/>
                <w:sz w:val="16"/>
                <w:szCs w:val="16"/>
                <w:color w:val="FFFFFF"/>
              </w:rPr>
              <w:t>22nd Floor</w:t>
            </w:r>
          </w:p>
        </w:tc>
        <w:tc>
          <w:tcPr>
            <w:tcW w:w="0" w:type="dxa"/>
            <w:vAlign w:val="bottom"/>
          </w:tcPr>
          <w:p>
            <w:pPr>
              <w:spacing w:after="0"/>
              <w:rPr>
                <w:sz w:val="1"/>
                <w:szCs w:val="1"/>
                <w:color w:val="auto"/>
              </w:rPr>
            </w:pPr>
          </w:p>
        </w:tc>
      </w:tr>
      <w:tr>
        <w:trPr>
          <w:trHeight w:val="341"/>
        </w:trPr>
        <w:tc>
          <w:tcPr>
            <w:tcW w:w="4960" w:type="dxa"/>
            <w:vAlign w:val="bottom"/>
            <w:gridSpan w:val="2"/>
          </w:tcPr>
          <w:p>
            <w:pPr>
              <w:spacing w:after="0"/>
              <w:rPr>
                <w:sz w:val="20"/>
                <w:szCs w:val="20"/>
                <w:color w:val="auto"/>
              </w:rPr>
            </w:pPr>
            <w:r>
              <w:rPr>
                <w:rFonts w:ascii="Arial" w:cs="Arial" w:eastAsia="Arial" w:hAnsi="Arial"/>
                <w:sz w:val="16"/>
                <w:szCs w:val="16"/>
                <w:color w:val="FFFFFF"/>
              </w:rPr>
              <w:t>Nasdaq: AGNC</w:t>
            </w:r>
          </w:p>
        </w:tc>
        <w:tc>
          <w:tcPr>
            <w:tcW w:w="5480" w:type="dxa"/>
            <w:vAlign w:val="bottom"/>
          </w:tcPr>
          <w:p>
            <w:pPr>
              <w:ind w:left="460"/>
              <w:spacing w:after="0"/>
              <w:rPr>
                <w:sz w:val="20"/>
                <w:szCs w:val="20"/>
                <w:color w:val="auto"/>
              </w:rPr>
            </w:pPr>
            <w:r>
              <w:rPr>
                <w:rFonts w:ascii="Arial" w:cs="Arial" w:eastAsia="Arial" w:hAnsi="Arial"/>
                <w:sz w:val="16"/>
                <w:szCs w:val="16"/>
                <w:color w:val="FFFFFF"/>
              </w:rPr>
              <w:t>Bethesda, MD 20814</w:t>
            </w:r>
          </w:p>
        </w:tc>
        <w:tc>
          <w:tcPr>
            <w:tcW w:w="0" w:type="dxa"/>
            <w:vAlign w:val="bottom"/>
          </w:tcPr>
          <w:p>
            <w:pPr>
              <w:spacing w:after="0"/>
              <w:rPr>
                <w:sz w:val="1"/>
                <w:szCs w:val="1"/>
                <w:color w:val="auto"/>
              </w:rPr>
            </w:pPr>
          </w:p>
        </w:tc>
      </w:tr>
      <w:tr>
        <w:trPr>
          <w:trHeight w:val="235"/>
        </w:trPr>
        <w:tc>
          <w:tcPr>
            <w:tcW w:w="4960" w:type="dxa"/>
            <w:vAlign w:val="bottom"/>
            <w:gridSpan w:val="2"/>
          </w:tcPr>
          <w:p>
            <w:pPr>
              <w:spacing w:after="0"/>
              <w:rPr>
                <w:sz w:val="20"/>
                <w:szCs w:val="20"/>
                <w:color w:val="auto"/>
              </w:rPr>
            </w:pPr>
            <w:r>
              <w:rPr>
                <w:rFonts w:ascii="Arial" w:cs="Arial" w:eastAsia="Arial" w:hAnsi="Arial"/>
                <w:sz w:val="16"/>
                <w:szCs w:val="16"/>
                <w:color w:val="FFFFFF"/>
              </w:rPr>
              <w:t>Preferred Stock</w:t>
            </w:r>
          </w:p>
        </w:tc>
        <w:tc>
          <w:tcPr>
            <w:tcW w:w="5480" w:type="dxa"/>
            <w:vAlign w:val="bottom"/>
          </w:tcPr>
          <w:p>
            <w:pPr>
              <w:ind w:left="460"/>
              <w:spacing w:after="0"/>
              <w:rPr>
                <w:sz w:val="20"/>
                <w:szCs w:val="20"/>
                <w:color w:val="auto"/>
              </w:rPr>
            </w:pPr>
            <w:r>
              <w:rPr>
                <w:rFonts w:ascii="Arial" w:cs="Arial" w:eastAsia="Arial" w:hAnsi="Arial"/>
                <w:sz w:val="16"/>
                <w:szCs w:val="16"/>
                <w:b w:val="1"/>
                <w:bCs w:val="1"/>
                <w:color w:val="FFFFFF"/>
              </w:rPr>
              <w:t>Investor Inquiries</w:t>
            </w:r>
          </w:p>
        </w:tc>
        <w:tc>
          <w:tcPr>
            <w:tcW w:w="0" w:type="dxa"/>
            <w:vAlign w:val="bottom"/>
          </w:tcPr>
          <w:p>
            <w:pPr>
              <w:spacing w:after="0"/>
              <w:rPr>
                <w:sz w:val="1"/>
                <w:szCs w:val="1"/>
                <w:color w:val="auto"/>
              </w:rPr>
            </w:pPr>
          </w:p>
        </w:tc>
      </w:tr>
      <w:tr>
        <w:trPr>
          <w:trHeight w:val="192"/>
        </w:trPr>
        <w:tc>
          <w:tcPr>
            <w:tcW w:w="4960" w:type="dxa"/>
            <w:vAlign w:val="bottom"/>
            <w:gridSpan w:val="2"/>
          </w:tcPr>
          <w:p>
            <w:pPr>
              <w:spacing w:after="0"/>
              <w:rPr>
                <w:sz w:val="20"/>
                <w:szCs w:val="20"/>
                <w:color w:val="auto"/>
              </w:rPr>
            </w:pPr>
            <w:r>
              <w:rPr>
                <w:rFonts w:ascii="Arial" w:cs="Arial" w:eastAsia="Arial" w:hAnsi="Arial"/>
                <w:sz w:val="16"/>
                <w:szCs w:val="16"/>
                <w:color w:val="FFFFFF"/>
              </w:rPr>
              <w:t>Nasdaq: AGNCN, AGNCM, AGNCO, AGNCP, AGNCL</w:t>
            </w:r>
          </w:p>
        </w:tc>
        <w:tc>
          <w:tcPr>
            <w:tcW w:w="5480" w:type="dxa"/>
            <w:vAlign w:val="bottom"/>
          </w:tcPr>
          <w:p>
            <w:pPr>
              <w:ind w:left="460"/>
              <w:spacing w:after="0"/>
              <w:rPr>
                <w:sz w:val="20"/>
                <w:szCs w:val="20"/>
                <w:color w:val="auto"/>
              </w:rPr>
            </w:pPr>
            <w:r>
              <w:rPr>
                <w:rFonts w:ascii="Arial" w:cs="Arial" w:eastAsia="Arial" w:hAnsi="Arial"/>
                <w:sz w:val="16"/>
                <w:szCs w:val="16"/>
                <w:color w:val="FFFFFF"/>
              </w:rPr>
              <w:t>Stockholders, securities analysts, portfolio managers</w:t>
            </w:r>
          </w:p>
        </w:tc>
        <w:tc>
          <w:tcPr>
            <w:tcW w:w="0" w:type="dxa"/>
            <w:vAlign w:val="bottom"/>
          </w:tcPr>
          <w:p>
            <w:pPr>
              <w:spacing w:after="0"/>
              <w:rPr>
                <w:sz w:val="1"/>
                <w:szCs w:val="1"/>
                <w:color w:val="auto"/>
              </w:rPr>
            </w:pPr>
          </w:p>
        </w:tc>
      </w:tr>
      <w:tr>
        <w:trPr>
          <w:trHeight w:val="192"/>
        </w:trPr>
        <w:tc>
          <w:tcPr>
            <w:tcW w:w="4960" w:type="dxa"/>
            <w:vAlign w:val="bottom"/>
            <w:gridSpan w:val="2"/>
            <w:vMerge w:val="restart"/>
          </w:tcPr>
          <w:p>
            <w:pPr>
              <w:spacing w:after="0"/>
              <w:rPr>
                <w:sz w:val="20"/>
                <w:szCs w:val="20"/>
                <w:color w:val="auto"/>
              </w:rPr>
            </w:pPr>
            <w:r>
              <w:rPr>
                <w:rFonts w:ascii="Arial" w:cs="Arial" w:eastAsia="Arial" w:hAnsi="Arial"/>
                <w:sz w:val="16"/>
                <w:szCs w:val="16"/>
                <w:b w:val="1"/>
                <w:bCs w:val="1"/>
                <w:color w:val="FFFFFF"/>
              </w:rPr>
              <w:t>Transfer Agent and Registrar</w:t>
            </w:r>
          </w:p>
        </w:tc>
        <w:tc>
          <w:tcPr>
            <w:tcW w:w="5480" w:type="dxa"/>
            <w:vAlign w:val="bottom"/>
          </w:tcPr>
          <w:p>
            <w:pPr>
              <w:ind w:left="460"/>
              <w:spacing w:after="0"/>
              <w:rPr>
                <w:sz w:val="20"/>
                <w:szCs w:val="20"/>
                <w:color w:val="auto"/>
              </w:rPr>
            </w:pPr>
            <w:r>
              <w:rPr>
                <w:rFonts w:ascii="Arial" w:cs="Arial" w:eastAsia="Arial" w:hAnsi="Arial"/>
                <w:sz w:val="16"/>
                <w:szCs w:val="16"/>
                <w:color w:val="FFFFFF"/>
              </w:rPr>
              <w:t>and others seeking information about our business</w:t>
            </w:r>
          </w:p>
        </w:tc>
        <w:tc>
          <w:tcPr>
            <w:tcW w:w="0" w:type="dxa"/>
            <w:vAlign w:val="bottom"/>
          </w:tcPr>
          <w:p>
            <w:pPr>
              <w:spacing w:after="0"/>
              <w:rPr>
                <w:sz w:val="1"/>
                <w:szCs w:val="1"/>
                <w:color w:val="auto"/>
              </w:rPr>
            </w:pPr>
          </w:p>
        </w:tc>
      </w:tr>
      <w:tr>
        <w:trPr>
          <w:trHeight w:val="192"/>
        </w:trPr>
        <w:tc>
          <w:tcPr>
            <w:tcW w:w="4960" w:type="dxa"/>
            <w:vAlign w:val="bottom"/>
            <w:gridSpan w:val="2"/>
            <w:vMerge w:val="continue"/>
          </w:tcPr>
          <w:p>
            <w:pPr>
              <w:spacing w:after="0"/>
              <w:rPr>
                <w:sz w:val="16"/>
                <w:szCs w:val="16"/>
                <w:color w:val="auto"/>
              </w:rPr>
            </w:pPr>
          </w:p>
        </w:tc>
        <w:tc>
          <w:tcPr>
            <w:tcW w:w="5480" w:type="dxa"/>
            <w:vAlign w:val="bottom"/>
          </w:tcPr>
          <w:p>
            <w:pPr>
              <w:ind w:left="460"/>
              <w:spacing w:after="0"/>
              <w:rPr>
                <w:sz w:val="20"/>
                <w:szCs w:val="20"/>
                <w:color w:val="auto"/>
              </w:rPr>
            </w:pPr>
            <w:r>
              <w:rPr>
                <w:rFonts w:ascii="Arial" w:cs="Arial" w:eastAsia="Arial" w:hAnsi="Arial"/>
                <w:sz w:val="16"/>
                <w:szCs w:val="16"/>
                <w:color w:val="FFFFFF"/>
              </w:rPr>
              <w:t>operations and financial performance are invited to</w:t>
            </w:r>
          </w:p>
        </w:tc>
        <w:tc>
          <w:tcPr>
            <w:tcW w:w="0" w:type="dxa"/>
            <w:vAlign w:val="bottom"/>
          </w:tcPr>
          <w:p>
            <w:pPr>
              <w:spacing w:after="0"/>
              <w:rPr>
                <w:sz w:val="1"/>
                <w:szCs w:val="1"/>
                <w:color w:val="auto"/>
              </w:rPr>
            </w:pPr>
          </w:p>
        </w:tc>
      </w:tr>
      <w:tr>
        <w:trPr>
          <w:trHeight w:val="192"/>
        </w:trPr>
        <w:tc>
          <w:tcPr>
            <w:tcW w:w="4960" w:type="dxa"/>
            <w:vAlign w:val="bottom"/>
            <w:gridSpan w:val="2"/>
          </w:tcPr>
          <w:p>
            <w:pPr>
              <w:spacing w:after="0"/>
              <w:rPr>
                <w:sz w:val="20"/>
                <w:szCs w:val="20"/>
                <w:color w:val="auto"/>
              </w:rPr>
            </w:pPr>
            <w:r>
              <w:rPr>
                <w:rFonts w:ascii="Arial" w:cs="Arial" w:eastAsia="Arial" w:hAnsi="Arial"/>
                <w:sz w:val="16"/>
                <w:szCs w:val="16"/>
                <w:color w:val="FFFFFF"/>
              </w:rPr>
              <w:t>Computershare Trust Company, N.A.</w:t>
            </w:r>
          </w:p>
        </w:tc>
        <w:tc>
          <w:tcPr>
            <w:tcW w:w="5480" w:type="dxa"/>
            <w:vAlign w:val="bottom"/>
          </w:tcPr>
          <w:p>
            <w:pPr>
              <w:ind w:left="460"/>
              <w:spacing w:after="0"/>
              <w:rPr>
                <w:sz w:val="20"/>
                <w:szCs w:val="20"/>
                <w:color w:val="auto"/>
              </w:rPr>
            </w:pPr>
            <w:r>
              <w:rPr>
                <w:rFonts w:ascii="Arial" w:cs="Arial" w:eastAsia="Arial" w:hAnsi="Arial"/>
                <w:sz w:val="16"/>
                <w:szCs w:val="16"/>
                <w:color w:val="FFFFFF"/>
              </w:rPr>
              <w:t>contact Investor Relations at: (301) 968-9300 or</w:t>
            </w:r>
          </w:p>
        </w:tc>
        <w:tc>
          <w:tcPr>
            <w:tcW w:w="0" w:type="dxa"/>
            <w:vAlign w:val="bottom"/>
          </w:tcPr>
          <w:p>
            <w:pPr>
              <w:spacing w:after="0"/>
              <w:rPr>
                <w:sz w:val="1"/>
                <w:szCs w:val="1"/>
                <w:color w:val="auto"/>
              </w:rPr>
            </w:pPr>
          </w:p>
        </w:tc>
      </w:tr>
      <w:tr>
        <w:trPr>
          <w:trHeight w:val="192"/>
        </w:trPr>
        <w:tc>
          <w:tcPr>
            <w:tcW w:w="4960" w:type="dxa"/>
            <w:vAlign w:val="bottom"/>
            <w:gridSpan w:val="2"/>
          </w:tcPr>
          <w:p>
            <w:pPr>
              <w:spacing w:after="0"/>
              <w:rPr>
                <w:sz w:val="20"/>
                <w:szCs w:val="20"/>
                <w:color w:val="auto"/>
              </w:rPr>
            </w:pPr>
            <w:r>
              <w:rPr>
                <w:rFonts w:ascii="Arial" w:cs="Arial" w:eastAsia="Arial" w:hAnsi="Arial"/>
                <w:sz w:val="16"/>
                <w:szCs w:val="16"/>
                <w:color w:val="FFFFFF"/>
              </w:rPr>
              <w:t>Investor Services</w:t>
            </w:r>
          </w:p>
        </w:tc>
        <w:tc>
          <w:tcPr>
            <w:tcW w:w="5480" w:type="dxa"/>
            <w:vAlign w:val="bottom"/>
          </w:tcPr>
          <w:p>
            <w:pPr>
              <w:ind w:left="460"/>
              <w:spacing w:after="0"/>
              <w:rPr>
                <w:sz w:val="20"/>
                <w:szCs w:val="20"/>
                <w:color w:val="auto"/>
              </w:rPr>
            </w:pPr>
            <w:r>
              <w:rPr>
                <w:rFonts w:ascii="Arial" w:cs="Arial" w:eastAsia="Arial" w:hAnsi="Arial"/>
                <w:sz w:val="16"/>
                <w:szCs w:val="16"/>
                <w:color w:val="FFFFFF"/>
              </w:rPr>
              <w:t>IR@AGNC.com.</w:t>
            </w:r>
          </w:p>
        </w:tc>
        <w:tc>
          <w:tcPr>
            <w:tcW w:w="0" w:type="dxa"/>
            <w:vAlign w:val="bottom"/>
          </w:tcPr>
          <w:p>
            <w:pPr>
              <w:spacing w:after="0"/>
              <w:rPr>
                <w:sz w:val="1"/>
                <w:szCs w:val="1"/>
                <w:color w:val="auto"/>
              </w:rPr>
            </w:pPr>
          </w:p>
        </w:tc>
      </w:tr>
      <w:tr>
        <w:trPr>
          <w:trHeight w:val="192"/>
        </w:trPr>
        <w:tc>
          <w:tcPr>
            <w:tcW w:w="4960" w:type="dxa"/>
            <w:vAlign w:val="bottom"/>
            <w:gridSpan w:val="2"/>
          </w:tcPr>
          <w:p>
            <w:pPr>
              <w:spacing w:after="0"/>
              <w:rPr>
                <w:sz w:val="20"/>
                <w:szCs w:val="20"/>
                <w:color w:val="auto"/>
              </w:rPr>
            </w:pPr>
            <w:r>
              <w:rPr>
                <w:rFonts w:ascii="Arial" w:cs="Arial" w:eastAsia="Arial" w:hAnsi="Arial"/>
                <w:sz w:val="16"/>
                <w:szCs w:val="16"/>
                <w:color w:val="FFFFFF"/>
              </w:rPr>
              <w:t>P.O. Box 43006</w:t>
            </w:r>
          </w:p>
        </w:tc>
        <w:tc>
          <w:tcPr>
            <w:tcW w:w="5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60" w:type="dxa"/>
            <w:vAlign w:val="bottom"/>
            <w:gridSpan w:val="2"/>
          </w:tcPr>
          <w:p>
            <w:pPr>
              <w:spacing w:after="0"/>
              <w:rPr>
                <w:sz w:val="20"/>
                <w:szCs w:val="20"/>
                <w:color w:val="auto"/>
              </w:rPr>
            </w:pPr>
            <w:r>
              <w:rPr>
                <w:rFonts w:ascii="Arial" w:cs="Arial" w:eastAsia="Arial" w:hAnsi="Arial"/>
                <w:sz w:val="16"/>
                <w:szCs w:val="16"/>
                <w:color w:val="FFFFFF"/>
              </w:rPr>
              <w:t>Providence, RI 02940-3006</w:t>
            </w:r>
          </w:p>
        </w:tc>
        <w:tc>
          <w:tcPr>
            <w:tcW w:w="5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tcPr>
          <w:p>
            <w:pPr>
              <w:spacing w:after="0"/>
              <w:rPr>
                <w:sz w:val="20"/>
                <w:szCs w:val="20"/>
                <w:color w:val="auto"/>
              </w:rPr>
            </w:pPr>
            <w:r>
              <w:rPr>
                <w:rFonts w:ascii="Arial" w:cs="Arial" w:eastAsia="Arial" w:hAnsi="Arial"/>
                <w:sz w:val="16"/>
                <w:szCs w:val="16"/>
                <w:color w:val="FFFFFF"/>
              </w:rPr>
              <w:t>(800) 733-5001</w:t>
            </w:r>
          </w:p>
        </w:tc>
        <w:tc>
          <w:tcPr>
            <w:tcW w:w="17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4960" w:type="dxa"/>
            <w:vAlign w:val="bottom"/>
            <w:gridSpan w:val="2"/>
          </w:tcPr>
          <w:p>
            <w:pPr>
              <w:spacing w:after="0"/>
              <w:rPr>
                <w:sz w:val="20"/>
                <w:szCs w:val="20"/>
                <w:color w:val="auto"/>
              </w:rPr>
            </w:pPr>
            <w:r>
              <w:rPr>
                <w:rFonts w:ascii="Arial" w:cs="Arial" w:eastAsia="Arial" w:hAnsi="Arial"/>
                <w:sz w:val="16"/>
                <w:szCs w:val="16"/>
                <w:color w:val="FFFFFF"/>
              </w:rPr>
              <w:t>www.computershare.com/investor</w:t>
            </w: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79" w:orient="portrait"/>
          <w:cols w:equalWidth="0" w:num="1">
            <w:col w:w="10440"/>
          </w:cols>
          <w:pgMar w:left="720" w:top="1128" w:right="719" w:bottom="1440" w:gutter="0" w:footer="0" w:header="0"/>
          <w:type w:val="continuous"/>
        </w:sectPr>
      </w:pPr>
    </w:p>
    <w:bookmarkStart w:id="95" w:name="page96"/>
    <w:bookmarkEnd w:id="95"/>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8011"/>
        </w:trPr>
        <w:tc>
          <w:tcPr>
            <w:tcW w:w="1080" w:type="dxa"/>
            <w:vAlign w:val="bottom"/>
            <w:shd w:val="clear" w:color="auto" w:fill="000000"/>
          </w:tcPr>
          <w:p>
            <w:pPr>
              <w:spacing w:after="0"/>
              <w:rPr>
                <w:sz w:val="24"/>
                <w:szCs w:val="24"/>
                <w:color w:val="auto"/>
              </w:rPr>
            </w:pPr>
          </w:p>
        </w:tc>
        <w:tc>
          <w:tcPr>
            <w:tcW w:w="4140" w:type="dxa"/>
            <w:vAlign w:val="bottom"/>
            <w:shd w:val="clear" w:color="auto" w:fill="000000"/>
          </w:tcPr>
          <w:p>
            <w:pPr>
              <w:spacing w:after="0"/>
              <w:rPr>
                <w:sz w:val="24"/>
                <w:szCs w:val="24"/>
                <w:color w:val="auto"/>
              </w:rPr>
            </w:pPr>
          </w:p>
        </w:tc>
        <w:tc>
          <w:tcPr>
            <w:tcW w:w="2180" w:type="dxa"/>
            <w:vAlign w:val="bottom"/>
            <w:shd w:val="clear" w:color="auto" w:fill="000000"/>
          </w:tcPr>
          <w:p>
            <w:pPr>
              <w:spacing w:after="0"/>
              <w:rPr>
                <w:sz w:val="24"/>
                <w:szCs w:val="24"/>
                <w:color w:val="auto"/>
              </w:rPr>
            </w:pPr>
          </w:p>
        </w:tc>
        <w:tc>
          <w:tcPr>
            <w:tcW w:w="4480" w:type="dxa"/>
            <w:vAlign w:val="bottom"/>
            <w:shd w:val="clear" w:color="auto" w:fill="000000"/>
          </w:tcPr>
          <w:p>
            <w:pPr>
              <w:spacing w:after="0"/>
              <w:rPr>
                <w:sz w:val="24"/>
                <w:szCs w:val="24"/>
                <w:color w:val="auto"/>
              </w:rPr>
            </w:pPr>
          </w:p>
        </w:tc>
      </w:tr>
      <w:tr>
        <w:trPr>
          <w:trHeight w:val="2028"/>
        </w:trPr>
        <w:tc>
          <w:tcPr>
            <w:tcW w:w="1080" w:type="dxa"/>
            <w:vAlign w:val="bottom"/>
            <w:shd w:val="clear" w:color="auto" w:fill="000000"/>
          </w:tcPr>
          <w:p>
            <w:pPr>
              <w:spacing w:after="0"/>
              <w:rPr>
                <w:sz w:val="24"/>
                <w:szCs w:val="24"/>
                <w:color w:val="auto"/>
              </w:rPr>
            </w:pPr>
          </w:p>
        </w:tc>
        <w:tc>
          <w:tcPr>
            <w:tcW w:w="4140" w:type="dxa"/>
            <w:vAlign w:val="bottom"/>
            <w:shd w:val="clear" w:color="auto" w:fill="3C60AC"/>
          </w:tcPr>
          <w:p>
            <w:pPr>
              <w:ind w:left="1240"/>
              <w:spacing w:after="0"/>
              <w:rPr>
                <w:sz w:val="20"/>
                <w:szCs w:val="20"/>
                <w:color w:val="auto"/>
              </w:rPr>
            </w:pPr>
            <w:r>
              <w:rPr>
                <w:rFonts w:ascii="Arial" w:cs="Arial" w:eastAsia="Arial" w:hAnsi="Arial"/>
                <w:sz w:val="20"/>
                <w:szCs w:val="20"/>
                <w:color w:val="FFFFFF"/>
              </w:rPr>
              <w:t>7373 Wisconsin Avenue</w:t>
            </w:r>
          </w:p>
        </w:tc>
        <w:tc>
          <w:tcPr>
            <w:tcW w:w="2180" w:type="dxa"/>
            <w:vAlign w:val="bottom"/>
            <w:shd w:val="clear" w:color="auto" w:fill="3C60AC"/>
          </w:tcPr>
          <w:p>
            <w:pPr>
              <w:ind w:left="240"/>
              <w:spacing w:after="0"/>
              <w:rPr>
                <w:sz w:val="20"/>
                <w:szCs w:val="20"/>
                <w:color w:val="auto"/>
              </w:rPr>
            </w:pPr>
            <w:r>
              <w:rPr>
                <w:rFonts w:ascii="Arial" w:cs="Arial" w:eastAsia="Arial" w:hAnsi="Arial"/>
                <w:sz w:val="20"/>
                <w:szCs w:val="20"/>
                <w:color w:val="FFFFFF"/>
              </w:rPr>
              <w:t>(301) 968-9315</w:t>
            </w:r>
          </w:p>
        </w:tc>
        <w:tc>
          <w:tcPr>
            <w:tcW w:w="4480" w:type="dxa"/>
            <w:vAlign w:val="bottom"/>
            <w:shd w:val="clear" w:color="auto" w:fill="3C60AC"/>
          </w:tcPr>
          <w:p>
            <w:pPr>
              <w:ind w:left="260"/>
              <w:spacing w:after="0"/>
              <w:rPr>
                <w:sz w:val="20"/>
                <w:szCs w:val="20"/>
                <w:color w:val="auto"/>
              </w:rPr>
            </w:pPr>
            <w:r>
              <w:rPr>
                <w:rFonts w:ascii="Arial" w:cs="Arial" w:eastAsia="Arial" w:hAnsi="Arial"/>
                <w:sz w:val="20"/>
                <w:szCs w:val="20"/>
                <w:color w:val="FFFFFF"/>
              </w:rPr>
              <w:t>www.AGNC.com</w:t>
            </w:r>
          </w:p>
        </w:tc>
      </w:tr>
      <w:tr>
        <w:trPr>
          <w:trHeight w:val="240"/>
        </w:trPr>
        <w:tc>
          <w:tcPr>
            <w:tcW w:w="1080" w:type="dxa"/>
            <w:vAlign w:val="bottom"/>
            <w:shd w:val="clear" w:color="auto" w:fill="000000"/>
          </w:tcPr>
          <w:p>
            <w:pPr>
              <w:spacing w:after="0"/>
              <w:rPr>
                <w:sz w:val="20"/>
                <w:szCs w:val="20"/>
                <w:color w:val="auto"/>
              </w:rPr>
            </w:pPr>
          </w:p>
        </w:tc>
        <w:tc>
          <w:tcPr>
            <w:tcW w:w="4140" w:type="dxa"/>
            <w:vAlign w:val="bottom"/>
            <w:shd w:val="clear" w:color="auto" w:fill="3C60AC"/>
          </w:tcPr>
          <w:p>
            <w:pPr>
              <w:ind w:left="1240"/>
              <w:spacing w:after="0"/>
              <w:rPr>
                <w:sz w:val="20"/>
                <w:szCs w:val="20"/>
                <w:color w:val="auto"/>
              </w:rPr>
            </w:pPr>
            <w:r>
              <w:rPr>
                <w:rFonts w:ascii="Arial" w:cs="Arial" w:eastAsia="Arial" w:hAnsi="Arial"/>
                <w:sz w:val="20"/>
                <w:szCs w:val="20"/>
                <w:color w:val="FFFFFF"/>
              </w:rPr>
              <w:t>22nd Floor</w:t>
            </w:r>
          </w:p>
        </w:tc>
        <w:tc>
          <w:tcPr>
            <w:tcW w:w="2180" w:type="dxa"/>
            <w:vAlign w:val="bottom"/>
            <w:shd w:val="clear" w:color="auto" w:fill="3C60AC"/>
          </w:tcPr>
          <w:p>
            <w:pPr>
              <w:ind w:left="240"/>
              <w:spacing w:after="0"/>
              <w:rPr>
                <w:sz w:val="20"/>
                <w:szCs w:val="20"/>
                <w:color w:val="auto"/>
              </w:rPr>
            </w:pPr>
            <w:r>
              <w:rPr>
                <w:rFonts w:ascii="Arial" w:cs="Arial" w:eastAsia="Arial" w:hAnsi="Arial"/>
                <w:sz w:val="20"/>
                <w:szCs w:val="20"/>
                <w:color w:val="FFFFFF"/>
              </w:rPr>
              <w:t>IR@AGNC.com</w:t>
            </w:r>
          </w:p>
        </w:tc>
        <w:tc>
          <w:tcPr>
            <w:tcW w:w="4480" w:type="dxa"/>
            <w:vAlign w:val="bottom"/>
            <w:shd w:val="clear" w:color="auto" w:fill="3C60AC"/>
          </w:tcPr>
          <w:p>
            <w:pPr>
              <w:ind w:left="260"/>
              <w:spacing w:after="0"/>
              <w:rPr>
                <w:sz w:val="20"/>
                <w:szCs w:val="20"/>
                <w:color w:val="auto"/>
              </w:rPr>
            </w:pPr>
            <w:r>
              <w:rPr>
                <w:rFonts w:ascii="Arial" w:cs="Arial" w:eastAsia="Arial" w:hAnsi="Arial"/>
                <w:sz w:val="20"/>
                <w:szCs w:val="20"/>
                <w:color w:val="FFFFFF"/>
              </w:rPr>
              <w:t>Nasdaq: AGNC</w:t>
            </w:r>
          </w:p>
        </w:tc>
      </w:tr>
      <w:tr>
        <w:trPr>
          <w:trHeight w:val="427"/>
        </w:trPr>
        <w:tc>
          <w:tcPr>
            <w:tcW w:w="1080" w:type="dxa"/>
            <w:vAlign w:val="bottom"/>
            <w:shd w:val="clear" w:color="auto" w:fill="000000"/>
          </w:tcPr>
          <w:p>
            <w:pPr>
              <w:spacing w:after="0"/>
              <w:rPr>
                <w:sz w:val="24"/>
                <w:szCs w:val="24"/>
                <w:color w:val="auto"/>
              </w:rPr>
            </w:pPr>
          </w:p>
        </w:tc>
        <w:tc>
          <w:tcPr>
            <w:tcW w:w="4140" w:type="dxa"/>
            <w:vAlign w:val="bottom"/>
            <w:shd w:val="clear" w:color="auto" w:fill="3C60AC"/>
          </w:tcPr>
          <w:p>
            <w:pPr>
              <w:ind w:left="1240"/>
              <w:spacing w:after="0"/>
              <w:rPr>
                <w:sz w:val="20"/>
                <w:szCs w:val="20"/>
                <w:color w:val="auto"/>
              </w:rPr>
            </w:pPr>
            <w:r>
              <w:rPr>
                <w:rFonts w:ascii="Arial" w:cs="Arial" w:eastAsia="Arial" w:hAnsi="Arial"/>
                <w:sz w:val="20"/>
                <w:szCs w:val="20"/>
                <w:color w:val="FFFFFF"/>
              </w:rPr>
              <w:t>Bethesda, MD 20814</w:t>
            </w:r>
          </w:p>
        </w:tc>
        <w:tc>
          <w:tcPr>
            <w:tcW w:w="2180" w:type="dxa"/>
            <w:vAlign w:val="bottom"/>
            <w:shd w:val="clear" w:color="auto" w:fill="3C60AC"/>
          </w:tcPr>
          <w:p>
            <w:pPr>
              <w:spacing w:after="0"/>
              <w:rPr>
                <w:sz w:val="24"/>
                <w:szCs w:val="24"/>
                <w:color w:val="auto"/>
              </w:rPr>
            </w:pPr>
          </w:p>
        </w:tc>
        <w:tc>
          <w:tcPr>
            <w:tcW w:w="4480" w:type="dxa"/>
            <w:vAlign w:val="bottom"/>
            <w:shd w:val="clear" w:color="auto" w:fill="3C60AC"/>
          </w:tcPr>
          <w:p>
            <w:pPr>
              <w:spacing w:after="0"/>
              <w:rPr>
                <w:sz w:val="24"/>
                <w:szCs w:val="24"/>
                <w:color w:val="auto"/>
              </w:rPr>
            </w:pPr>
          </w:p>
        </w:tc>
      </w:tr>
      <w:tr>
        <w:trPr>
          <w:trHeight w:val="574"/>
        </w:trPr>
        <w:tc>
          <w:tcPr>
            <w:tcW w:w="1080" w:type="dxa"/>
            <w:vAlign w:val="bottom"/>
            <w:shd w:val="clear" w:color="auto" w:fill="000000"/>
          </w:tcPr>
          <w:p>
            <w:pPr>
              <w:spacing w:after="0"/>
              <w:rPr>
                <w:sz w:val="24"/>
                <w:szCs w:val="24"/>
                <w:color w:val="auto"/>
              </w:rPr>
            </w:pPr>
          </w:p>
        </w:tc>
        <w:tc>
          <w:tcPr>
            <w:tcW w:w="4140" w:type="dxa"/>
            <w:vAlign w:val="bottom"/>
            <w:shd w:val="clear" w:color="auto" w:fill="3C60AC"/>
          </w:tcPr>
          <w:p>
            <w:pPr>
              <w:spacing w:after="0"/>
              <w:rPr>
                <w:sz w:val="24"/>
                <w:szCs w:val="24"/>
                <w:color w:val="auto"/>
              </w:rPr>
            </w:pPr>
          </w:p>
        </w:tc>
        <w:tc>
          <w:tcPr>
            <w:tcW w:w="2180" w:type="dxa"/>
            <w:vAlign w:val="bottom"/>
            <w:shd w:val="clear" w:color="auto" w:fill="3C60AC"/>
          </w:tcPr>
          <w:p>
            <w:pPr>
              <w:spacing w:after="0"/>
              <w:rPr>
                <w:sz w:val="24"/>
                <w:szCs w:val="24"/>
                <w:color w:val="auto"/>
              </w:rPr>
            </w:pPr>
          </w:p>
        </w:tc>
        <w:tc>
          <w:tcPr>
            <w:tcW w:w="4480" w:type="dxa"/>
            <w:vAlign w:val="bottom"/>
            <w:shd w:val="clear" w:color="auto" w:fill="3C60AC"/>
          </w:tcPr>
          <w:p>
            <w:pPr>
              <w:spacing w:after="0"/>
              <w:rPr>
                <w:sz w:val="24"/>
                <w:szCs w:val="24"/>
                <w:color w:val="auto"/>
              </w:rPr>
            </w:pPr>
          </w:p>
        </w:tc>
      </w:tr>
      <w:tr>
        <w:trPr>
          <w:trHeight w:val="4179"/>
        </w:trPr>
        <w:tc>
          <w:tcPr>
            <w:tcW w:w="1080" w:type="dxa"/>
            <w:vAlign w:val="bottom"/>
            <w:shd w:val="clear" w:color="auto" w:fill="000000"/>
          </w:tcPr>
          <w:p>
            <w:pPr>
              <w:spacing w:after="0"/>
              <w:rPr>
                <w:sz w:val="24"/>
                <w:szCs w:val="24"/>
                <w:color w:val="auto"/>
              </w:rPr>
            </w:pPr>
          </w:p>
        </w:tc>
        <w:tc>
          <w:tcPr>
            <w:tcW w:w="4140" w:type="dxa"/>
            <w:vAlign w:val="bottom"/>
            <w:shd w:val="clear" w:color="auto" w:fill="000000"/>
          </w:tcPr>
          <w:p>
            <w:pPr>
              <w:spacing w:after="0"/>
              <w:rPr>
                <w:sz w:val="24"/>
                <w:szCs w:val="24"/>
                <w:color w:val="auto"/>
              </w:rPr>
            </w:pPr>
          </w:p>
        </w:tc>
        <w:tc>
          <w:tcPr>
            <w:tcW w:w="2180" w:type="dxa"/>
            <w:vAlign w:val="bottom"/>
            <w:shd w:val="clear" w:color="auto" w:fill="000000"/>
          </w:tcPr>
          <w:p>
            <w:pPr>
              <w:spacing w:after="0"/>
              <w:rPr>
                <w:sz w:val="24"/>
                <w:szCs w:val="24"/>
                <w:color w:val="auto"/>
              </w:rPr>
            </w:pPr>
          </w:p>
        </w:tc>
        <w:tc>
          <w:tcPr>
            <w:tcW w:w="4480" w:type="dxa"/>
            <w:vAlign w:val="bottom"/>
            <w:shd w:val="clear" w:color="auto" w:fill="00000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1495425</wp:posOffset>
            </wp:positionH>
            <wp:positionV relativeFrom="paragraph">
              <wp:posOffset>-4375150</wp:posOffset>
            </wp:positionV>
            <wp:extent cx="1504950" cy="4572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30">
                      <a:extLst>
                        <a:ext uri="{28A0092B-C50C-407E-A947-70E740481C1C}"/>
                      </a:extLst>
                    </a:blip>
                    <a:srcRect/>
                    <a:stretch>
                      <a:fillRect/>
                    </a:stretch>
                  </pic:blipFill>
                  <pic:spPr bwMode="auto">
                    <a:xfrm>
                      <a:off x="0" y="0"/>
                      <a:ext cx="1504950" cy="45720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-2228215</wp:posOffset>
            </wp:positionV>
            <wp:extent cx="48895" cy="488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31">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-2228215</wp:posOffset>
            </wp:positionV>
            <wp:extent cx="48895" cy="488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32">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-2228215</wp:posOffset>
            </wp:positionV>
            <wp:extent cx="48895" cy="488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33">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-2228215</wp:posOffset>
            </wp:positionV>
            <wp:extent cx="48895" cy="488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34">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-2228215</wp:posOffset>
            </wp:positionV>
            <wp:extent cx="48895" cy="488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35">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-2228215</wp:posOffset>
            </wp:positionV>
            <wp:extent cx="48895" cy="488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36">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-2228215</wp:posOffset>
            </wp:positionV>
            <wp:extent cx="48895" cy="488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37">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-2228215</wp:posOffset>
            </wp:positionV>
            <wp:extent cx="48895" cy="488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38">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-2228215</wp:posOffset>
            </wp:positionV>
            <wp:extent cx="48895" cy="488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39">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-2228215</wp:posOffset>
            </wp:positionV>
            <wp:extent cx="48895" cy="488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40">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-2228215</wp:posOffset>
            </wp:positionV>
            <wp:extent cx="48895" cy="488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41">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-2228215</wp:posOffset>
            </wp:positionV>
            <wp:extent cx="48895" cy="488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42">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-2228215</wp:posOffset>
            </wp:positionV>
            <wp:extent cx="48895" cy="488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43">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-2228215</wp:posOffset>
            </wp:positionV>
            <wp:extent cx="48895" cy="488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44">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-2228215</wp:posOffset>
            </wp:positionV>
            <wp:extent cx="48895" cy="488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45">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-2228215</wp:posOffset>
            </wp:positionV>
            <wp:extent cx="48895" cy="488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46">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-2228215</wp:posOffset>
            </wp:positionV>
            <wp:extent cx="48895" cy="488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47">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-2228215</wp:posOffset>
            </wp:positionV>
            <wp:extent cx="48895" cy="488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48">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-2228215</wp:posOffset>
            </wp:positionV>
            <wp:extent cx="48895" cy="488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49">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-2228215</wp:posOffset>
            </wp:positionV>
            <wp:extent cx="48895" cy="488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50">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-2228215</wp:posOffset>
            </wp:positionV>
            <wp:extent cx="48895" cy="488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51">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-2228215</wp:posOffset>
            </wp:positionV>
            <wp:extent cx="48895" cy="488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52">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-2228215</wp:posOffset>
            </wp:positionV>
            <wp:extent cx="48895" cy="488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53">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-2228215</wp:posOffset>
            </wp:positionV>
            <wp:extent cx="48895" cy="488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54">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-2228215</wp:posOffset>
            </wp:positionV>
            <wp:extent cx="48895" cy="488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55">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-2228215</wp:posOffset>
            </wp:positionV>
            <wp:extent cx="48895" cy="488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56">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-2228215</wp:posOffset>
            </wp:positionV>
            <wp:extent cx="48895" cy="488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57">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-2228215</wp:posOffset>
            </wp:positionV>
            <wp:extent cx="48895" cy="488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58">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-2228215</wp:posOffset>
            </wp:positionV>
            <wp:extent cx="48895" cy="488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59">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-2228215</wp:posOffset>
            </wp:positionV>
            <wp:extent cx="48895" cy="488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60">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-2228215</wp:posOffset>
            </wp:positionV>
            <wp:extent cx="48895" cy="488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61">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-2228215</wp:posOffset>
            </wp:positionV>
            <wp:extent cx="48895" cy="488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62">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-2228215</wp:posOffset>
            </wp:positionV>
            <wp:extent cx="48895" cy="488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63">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-2228215</wp:posOffset>
            </wp:positionV>
            <wp:extent cx="48895" cy="488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4">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-2228215</wp:posOffset>
            </wp:positionV>
            <wp:extent cx="48895" cy="488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65">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-2228215</wp:posOffset>
            </wp:positionV>
            <wp:extent cx="48895" cy="488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66">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-2228215</wp:posOffset>
            </wp:positionV>
            <wp:extent cx="48895" cy="488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67">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-2228215</wp:posOffset>
            </wp:positionV>
            <wp:extent cx="48895" cy="488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68">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-2228215</wp:posOffset>
            </wp:positionV>
            <wp:extent cx="48895" cy="488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69">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-2228215</wp:posOffset>
            </wp:positionV>
            <wp:extent cx="48895" cy="488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70">
                      <a:extLst>
                        <a:ext uri="{28A0092B-C50C-407E-A947-70E740481C1C}"/>
                      </a:extLst>
                    </a:blip>
                    <a:srcRect/>
                    <a:stretch>
                      <a:fillRect/>
                    </a:stretch>
                  </pic:blipFill>
                  <pic:spPr bwMode="auto">
                    <a:xfrm>
                      <a:off x="0" y="0"/>
                      <a:ext cx="48895" cy="488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-2134235</wp:posOffset>
            </wp:positionV>
            <wp:extent cx="50800" cy="50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71">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-2134235</wp:posOffset>
            </wp:positionV>
            <wp:extent cx="50800" cy="50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72">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-2134235</wp:posOffset>
            </wp:positionV>
            <wp:extent cx="50800" cy="50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73">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-2134235</wp:posOffset>
            </wp:positionV>
            <wp:extent cx="50800" cy="50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74">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-2134235</wp:posOffset>
            </wp:positionV>
            <wp:extent cx="50800" cy="508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75">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-2134235</wp:posOffset>
            </wp:positionV>
            <wp:extent cx="50800" cy="508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76">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-2134235</wp:posOffset>
            </wp:positionV>
            <wp:extent cx="50800" cy="50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77">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-2134235</wp:posOffset>
            </wp:positionV>
            <wp:extent cx="50800" cy="508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78">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-2134235</wp:posOffset>
            </wp:positionV>
            <wp:extent cx="50800" cy="50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79">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-2134235</wp:posOffset>
            </wp:positionV>
            <wp:extent cx="50800" cy="508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80">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-2134235</wp:posOffset>
            </wp:positionV>
            <wp:extent cx="50800" cy="508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81">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1059180</wp:posOffset>
            </wp:positionH>
            <wp:positionV relativeFrom="paragraph">
              <wp:posOffset>-2134235</wp:posOffset>
            </wp:positionV>
            <wp:extent cx="50800" cy="508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82">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-2134235</wp:posOffset>
            </wp:positionV>
            <wp:extent cx="50800" cy="508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83">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1247775</wp:posOffset>
            </wp:positionH>
            <wp:positionV relativeFrom="paragraph">
              <wp:posOffset>-2134235</wp:posOffset>
            </wp:positionV>
            <wp:extent cx="50800" cy="508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84">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1341120</wp:posOffset>
            </wp:positionH>
            <wp:positionV relativeFrom="paragraph">
              <wp:posOffset>-2135505</wp:posOffset>
            </wp:positionV>
            <wp:extent cx="52070" cy="520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85">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-2134235</wp:posOffset>
            </wp:positionV>
            <wp:extent cx="50800" cy="508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86">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-2134235</wp:posOffset>
            </wp:positionV>
            <wp:extent cx="50800" cy="508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87">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1624965</wp:posOffset>
            </wp:positionH>
            <wp:positionV relativeFrom="paragraph">
              <wp:posOffset>-2134235</wp:posOffset>
            </wp:positionV>
            <wp:extent cx="50800" cy="508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88">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-2134235</wp:posOffset>
            </wp:positionV>
            <wp:extent cx="50800" cy="50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89">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1812925</wp:posOffset>
            </wp:positionH>
            <wp:positionV relativeFrom="paragraph">
              <wp:posOffset>-2134235</wp:posOffset>
            </wp:positionV>
            <wp:extent cx="50800" cy="508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90">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-2134235</wp:posOffset>
            </wp:positionV>
            <wp:extent cx="50800" cy="508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91">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-2134235</wp:posOffset>
            </wp:positionV>
            <wp:extent cx="50800" cy="508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92">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-2134235</wp:posOffset>
            </wp:positionV>
            <wp:extent cx="50800" cy="508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93">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-2134235</wp:posOffset>
            </wp:positionV>
            <wp:extent cx="50800" cy="508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94">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-2134235</wp:posOffset>
            </wp:positionV>
            <wp:extent cx="50800" cy="508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95">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-2134235</wp:posOffset>
            </wp:positionV>
            <wp:extent cx="50800" cy="508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96">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-2134235</wp:posOffset>
            </wp:positionV>
            <wp:extent cx="50800" cy="508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97">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-2134235</wp:posOffset>
            </wp:positionV>
            <wp:extent cx="50800" cy="508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98">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-2134235</wp:posOffset>
            </wp:positionV>
            <wp:extent cx="50800" cy="508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99">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-2134235</wp:posOffset>
            </wp:positionV>
            <wp:extent cx="50800" cy="50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00">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-2134235</wp:posOffset>
            </wp:positionV>
            <wp:extent cx="50800" cy="508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01">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-2134235</wp:posOffset>
            </wp:positionV>
            <wp:extent cx="50800" cy="508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02">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-2134235</wp:posOffset>
            </wp:positionV>
            <wp:extent cx="50800" cy="508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03">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-2134235</wp:posOffset>
            </wp:positionV>
            <wp:extent cx="50800" cy="508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04">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-2134235</wp:posOffset>
            </wp:positionV>
            <wp:extent cx="50800" cy="508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05">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-2134235</wp:posOffset>
            </wp:positionV>
            <wp:extent cx="50800" cy="508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06">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-2134235</wp:posOffset>
            </wp:positionV>
            <wp:extent cx="50800" cy="508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07">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-2134235</wp:posOffset>
            </wp:positionV>
            <wp:extent cx="50800" cy="508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08">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-2134235</wp:posOffset>
            </wp:positionV>
            <wp:extent cx="50800" cy="508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09">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-2134235</wp:posOffset>
            </wp:positionV>
            <wp:extent cx="50800" cy="508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10">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-2040890</wp:posOffset>
            </wp:positionV>
            <wp:extent cx="52070" cy="520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11">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115570</wp:posOffset>
            </wp:positionH>
            <wp:positionV relativeFrom="paragraph">
              <wp:posOffset>-2040890</wp:posOffset>
            </wp:positionV>
            <wp:extent cx="52070" cy="520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12">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-2040890</wp:posOffset>
            </wp:positionV>
            <wp:extent cx="52070" cy="520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13">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304165</wp:posOffset>
            </wp:positionH>
            <wp:positionV relativeFrom="paragraph">
              <wp:posOffset>-2040890</wp:posOffset>
            </wp:positionV>
            <wp:extent cx="52070" cy="520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14">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398145</wp:posOffset>
            </wp:positionH>
            <wp:positionV relativeFrom="paragraph">
              <wp:posOffset>-2040890</wp:posOffset>
            </wp:positionV>
            <wp:extent cx="52070" cy="520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15">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492125</wp:posOffset>
            </wp:positionH>
            <wp:positionV relativeFrom="paragraph">
              <wp:posOffset>-2040890</wp:posOffset>
            </wp:positionV>
            <wp:extent cx="52070" cy="520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16">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-2040890</wp:posOffset>
            </wp:positionV>
            <wp:extent cx="52070" cy="520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17">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-2040890</wp:posOffset>
            </wp:positionV>
            <wp:extent cx="52070" cy="520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18">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775335</wp:posOffset>
            </wp:positionH>
            <wp:positionV relativeFrom="paragraph">
              <wp:posOffset>-2040890</wp:posOffset>
            </wp:positionV>
            <wp:extent cx="52070" cy="520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19">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-2040890</wp:posOffset>
            </wp:positionV>
            <wp:extent cx="52070" cy="520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20">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963930</wp:posOffset>
            </wp:positionH>
            <wp:positionV relativeFrom="paragraph">
              <wp:posOffset>-2040890</wp:posOffset>
            </wp:positionV>
            <wp:extent cx="52070" cy="520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21">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-2040890</wp:posOffset>
            </wp:positionV>
            <wp:extent cx="52070" cy="520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22">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1152525</wp:posOffset>
            </wp:positionH>
            <wp:positionV relativeFrom="paragraph">
              <wp:posOffset>-2040890</wp:posOffset>
            </wp:positionV>
            <wp:extent cx="52070" cy="520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23">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1247140</wp:posOffset>
            </wp:positionH>
            <wp:positionV relativeFrom="paragraph">
              <wp:posOffset>-2040890</wp:posOffset>
            </wp:positionV>
            <wp:extent cx="52070" cy="520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24">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-2042160</wp:posOffset>
            </wp:positionV>
            <wp:extent cx="53975" cy="539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25">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-2040890</wp:posOffset>
            </wp:positionV>
            <wp:extent cx="52070" cy="520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26">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-2040890</wp:posOffset>
            </wp:positionV>
            <wp:extent cx="52070" cy="520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27">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1623695</wp:posOffset>
            </wp:positionH>
            <wp:positionV relativeFrom="paragraph">
              <wp:posOffset>-2040890</wp:posOffset>
            </wp:positionV>
            <wp:extent cx="52070" cy="520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28">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-2040890</wp:posOffset>
            </wp:positionV>
            <wp:extent cx="52070" cy="520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29">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-2040890</wp:posOffset>
            </wp:positionV>
            <wp:extent cx="52070" cy="520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30">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-2040890</wp:posOffset>
            </wp:positionV>
            <wp:extent cx="52070" cy="520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31">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-2040890</wp:posOffset>
            </wp:positionV>
            <wp:extent cx="52070" cy="520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32">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-2040890</wp:posOffset>
            </wp:positionV>
            <wp:extent cx="52070" cy="520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33">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2189480</wp:posOffset>
            </wp:positionH>
            <wp:positionV relativeFrom="paragraph">
              <wp:posOffset>-2040890</wp:posOffset>
            </wp:positionV>
            <wp:extent cx="52070" cy="520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34">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-2040890</wp:posOffset>
            </wp:positionV>
            <wp:extent cx="52070" cy="520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35">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-2040890</wp:posOffset>
            </wp:positionV>
            <wp:extent cx="52070" cy="520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36">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-2040890</wp:posOffset>
            </wp:positionV>
            <wp:extent cx="52070" cy="520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37">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-2040890</wp:posOffset>
            </wp:positionV>
            <wp:extent cx="52070" cy="520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38">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-2040890</wp:posOffset>
            </wp:positionV>
            <wp:extent cx="52070" cy="520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39">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-2040890</wp:posOffset>
            </wp:positionV>
            <wp:extent cx="52070" cy="520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40">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2849880</wp:posOffset>
            </wp:positionH>
            <wp:positionV relativeFrom="paragraph">
              <wp:posOffset>-2040890</wp:posOffset>
            </wp:positionV>
            <wp:extent cx="52070" cy="520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41">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-2040890</wp:posOffset>
            </wp:positionV>
            <wp:extent cx="52070" cy="520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42">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-2040890</wp:posOffset>
            </wp:positionV>
            <wp:extent cx="52070" cy="520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43">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-2040890</wp:posOffset>
            </wp:positionV>
            <wp:extent cx="52070" cy="520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44">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-2040890</wp:posOffset>
            </wp:positionV>
            <wp:extent cx="52070" cy="520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45">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-2040890</wp:posOffset>
            </wp:positionV>
            <wp:extent cx="52070" cy="520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46">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3415665</wp:posOffset>
            </wp:positionH>
            <wp:positionV relativeFrom="paragraph">
              <wp:posOffset>-2040890</wp:posOffset>
            </wp:positionV>
            <wp:extent cx="52070" cy="520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47">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-2040890</wp:posOffset>
            </wp:positionV>
            <wp:extent cx="52070" cy="520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48">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3604260</wp:posOffset>
            </wp:positionH>
            <wp:positionV relativeFrom="paragraph">
              <wp:posOffset>-2040890</wp:posOffset>
            </wp:positionV>
            <wp:extent cx="52070" cy="520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49">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-2040890</wp:posOffset>
            </wp:positionV>
            <wp:extent cx="52070" cy="520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50">
                      <a:extLst>
                        <a:ext uri="{28A0092B-C50C-407E-A947-70E740481C1C}"/>
                      </a:extLst>
                    </a:blip>
                    <a:srcRect/>
                    <a:stretch>
                      <a:fillRect/>
                    </a:stretch>
                  </pic:blipFill>
                  <pic:spPr bwMode="auto">
                    <a:xfrm>
                      <a:off x="0" y="0"/>
                      <a:ext cx="52070" cy="5207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-1947545</wp:posOffset>
            </wp:positionV>
            <wp:extent cx="53975" cy="539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51">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-1947545</wp:posOffset>
            </wp:positionV>
            <wp:extent cx="53975" cy="539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52">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-1947545</wp:posOffset>
            </wp:positionV>
            <wp:extent cx="53975" cy="539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53">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-1947545</wp:posOffset>
            </wp:positionV>
            <wp:extent cx="53975" cy="539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54">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-1947545</wp:posOffset>
            </wp:positionV>
            <wp:extent cx="53975" cy="539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55">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-1947545</wp:posOffset>
            </wp:positionV>
            <wp:extent cx="53975" cy="539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56">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-1947545</wp:posOffset>
            </wp:positionV>
            <wp:extent cx="53975" cy="539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57">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-1947545</wp:posOffset>
            </wp:positionV>
            <wp:extent cx="53975" cy="539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58">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-1947545</wp:posOffset>
            </wp:positionV>
            <wp:extent cx="53975" cy="539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59">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-1947545</wp:posOffset>
            </wp:positionV>
            <wp:extent cx="53975" cy="539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60">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963295</wp:posOffset>
            </wp:positionH>
            <wp:positionV relativeFrom="paragraph">
              <wp:posOffset>-1947545</wp:posOffset>
            </wp:positionV>
            <wp:extent cx="53975" cy="539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61">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-1947545</wp:posOffset>
            </wp:positionV>
            <wp:extent cx="53975" cy="539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62">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-1947545</wp:posOffset>
            </wp:positionV>
            <wp:extent cx="53975" cy="539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63">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1245870</wp:posOffset>
            </wp:positionH>
            <wp:positionV relativeFrom="paragraph">
              <wp:posOffset>-1947545</wp:posOffset>
            </wp:positionV>
            <wp:extent cx="53975" cy="539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64">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-1947545</wp:posOffset>
            </wp:positionV>
            <wp:extent cx="53975" cy="539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65">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1434465</wp:posOffset>
            </wp:positionH>
            <wp:positionV relativeFrom="paragraph">
              <wp:posOffset>-1947545</wp:posOffset>
            </wp:positionV>
            <wp:extent cx="53975" cy="539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66">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-1947545</wp:posOffset>
            </wp:positionV>
            <wp:extent cx="53975" cy="539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67">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1623060</wp:posOffset>
            </wp:positionH>
            <wp:positionV relativeFrom="paragraph">
              <wp:posOffset>-1947545</wp:posOffset>
            </wp:positionV>
            <wp:extent cx="53975" cy="539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68">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-1947545</wp:posOffset>
            </wp:positionV>
            <wp:extent cx="53975" cy="539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69">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-1947545</wp:posOffset>
            </wp:positionV>
            <wp:extent cx="53975" cy="539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70">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1906270</wp:posOffset>
            </wp:positionH>
            <wp:positionV relativeFrom="paragraph">
              <wp:posOffset>-1947545</wp:posOffset>
            </wp:positionV>
            <wp:extent cx="53975" cy="539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71">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-1947545</wp:posOffset>
            </wp:positionV>
            <wp:extent cx="53975" cy="539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72">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-1947545</wp:posOffset>
            </wp:positionV>
            <wp:extent cx="53975" cy="539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73">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-1947545</wp:posOffset>
            </wp:positionV>
            <wp:extent cx="53975" cy="539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74">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-1947545</wp:posOffset>
            </wp:positionV>
            <wp:extent cx="53975" cy="539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75">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-1947545</wp:posOffset>
            </wp:positionV>
            <wp:extent cx="53975" cy="539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76">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2472055</wp:posOffset>
            </wp:positionH>
            <wp:positionV relativeFrom="paragraph">
              <wp:posOffset>-1947545</wp:posOffset>
            </wp:positionV>
            <wp:extent cx="53975" cy="539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77">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-1947545</wp:posOffset>
            </wp:positionV>
            <wp:extent cx="53975" cy="539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78">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-1947545</wp:posOffset>
            </wp:positionV>
            <wp:extent cx="53975" cy="539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79">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-1947545</wp:posOffset>
            </wp:positionV>
            <wp:extent cx="53975" cy="539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80">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-1947545</wp:posOffset>
            </wp:positionV>
            <wp:extent cx="53975" cy="539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81">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-1948180</wp:posOffset>
            </wp:positionV>
            <wp:extent cx="55880" cy="558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82">
                      <a:extLst>
                        <a:ext uri="{28A0092B-C50C-407E-A947-70E740481C1C}"/>
                      </a:extLst>
                    </a:blip>
                    <a:srcRect/>
                    <a:stretch>
                      <a:fillRect/>
                    </a:stretch>
                  </pic:blipFill>
                  <pic:spPr bwMode="auto">
                    <a:xfrm>
                      <a:off x="0" y="0"/>
                      <a:ext cx="55880" cy="55880"/>
                    </a:xfrm>
                    <a:prstGeom prst="rect">
                      <a:avLst/>
                    </a:prstGeom>
                    <a:noFill/>
                  </pic:spPr>
                </pic:pic>
              </a:graphicData>
            </a:graphic>
          </wp:anchor>
        </w:drawing>
        <w:drawing>
          <wp:anchor simplePos="0" relativeHeight="251657728" behindDoc="1" locked="0" layoutInCell="0" allowOverlap="1">
            <wp:simplePos x="0" y="0"/>
            <wp:positionH relativeFrom="column">
              <wp:posOffset>3037840</wp:posOffset>
            </wp:positionH>
            <wp:positionV relativeFrom="paragraph">
              <wp:posOffset>-1947545</wp:posOffset>
            </wp:positionV>
            <wp:extent cx="53975" cy="539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83">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-1947545</wp:posOffset>
            </wp:positionV>
            <wp:extent cx="53975" cy="539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84">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-1947545</wp:posOffset>
            </wp:positionV>
            <wp:extent cx="53975" cy="539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85">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-1947545</wp:posOffset>
            </wp:positionV>
            <wp:extent cx="53975" cy="539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86">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-1947545</wp:posOffset>
            </wp:positionV>
            <wp:extent cx="53975" cy="539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87">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-1947545</wp:posOffset>
            </wp:positionV>
            <wp:extent cx="53975" cy="539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88">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-1947545</wp:posOffset>
            </wp:positionV>
            <wp:extent cx="53975" cy="539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89">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-1947545</wp:posOffset>
            </wp:positionV>
            <wp:extent cx="53975" cy="539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90">
                      <a:extLst>
                        <a:ext uri="{28A0092B-C50C-407E-A947-70E740481C1C}"/>
                      </a:extLst>
                    </a:blip>
                    <a:srcRect/>
                    <a:stretch>
                      <a:fillRect/>
                    </a:stretch>
                  </pic:blipFill>
                  <pic:spPr bwMode="auto">
                    <a:xfrm>
                      <a:off x="0" y="0"/>
                      <a:ext cx="53975" cy="539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-2228215</wp:posOffset>
            </wp:positionV>
            <wp:extent cx="7534275" cy="22288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91">
                      <a:extLst>
                        <a:ext uri="{28A0092B-C50C-407E-A947-70E740481C1C}"/>
                      </a:extLst>
                    </a:blip>
                    <a:srcRect/>
                    <a:stretch>
                      <a:fillRect/>
                    </a:stretch>
                  </pic:blipFill>
                  <pic:spPr bwMode="auto">
                    <a:xfrm>
                      <a:off x="0" y="0"/>
                      <a:ext cx="7534275" cy="22288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-2228215</wp:posOffset>
            </wp:positionV>
            <wp:extent cx="7534275" cy="22288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92">
                      <a:extLst>
                        <a:ext uri="{28A0092B-C50C-407E-A947-70E740481C1C}"/>
                      </a:extLst>
                    </a:blip>
                    <a:srcRect/>
                    <a:stretch>
                      <a:fillRect/>
                    </a:stretch>
                  </pic:blipFill>
                  <pic:spPr bwMode="auto">
                    <a:xfrm>
                      <a:off x="0" y="0"/>
                      <a:ext cx="7534275" cy="2228850"/>
                    </a:xfrm>
                    <a:prstGeom prst="rect">
                      <a:avLst/>
                    </a:prstGeom>
                    <a:noFill/>
                  </pic:spPr>
                </pic:pic>
              </a:graphicData>
            </a:graphic>
          </wp:anchor>
        </w:drawing>
        <w:drawing>
          <wp:anchor simplePos="0" relativeHeight="251657728" behindDoc="1" locked="0" layoutInCell="0" allowOverlap="1">
            <wp:simplePos x="0" y="0"/>
            <wp:positionH relativeFrom="column">
              <wp:posOffset>1490980</wp:posOffset>
            </wp:positionH>
            <wp:positionV relativeFrom="paragraph">
              <wp:posOffset>-3716020</wp:posOffset>
            </wp:positionV>
            <wp:extent cx="6052185"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93">
                      <a:extLst>
                        <a:ext uri="{28A0092B-C50C-407E-A947-70E740481C1C}"/>
                      </a:extLst>
                    </a:blip>
                    <a:srcRect/>
                    <a:stretch>
                      <a:fillRect/>
                    </a:stretch>
                  </pic:blipFill>
                  <pic:spPr bwMode="auto">
                    <a:xfrm>
                      <a:off x="0" y="0"/>
                      <a:ext cx="6052185" cy="6350"/>
                    </a:xfrm>
                    <a:prstGeom prst="rect">
                      <a:avLst/>
                    </a:prstGeom>
                    <a:noFill/>
                  </pic:spPr>
                </pic:pic>
              </a:graphicData>
            </a:graphic>
          </wp:anchor>
        </w:drawing>
      </w:r>
    </w:p>
    <w:sectPr>
      <w:pgSz w:w="11880" w:h="15679" w:orient="portrait"/>
      <w:cols w:equalWidth="0" w:num="1">
        <w:col w:w="11879"/>
      </w:cols>
      <w:pgMar w:left="0" w:top="20" w:right="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algun Gothic">
    <w:panose1 w:val="020B0503020000020004"/>
    <w:charset w:val="81"/>
    <w:family w:val="swiss"/>
    <w:pitch w:val="variable"/>
    <w:sig w:usb0="9000002F" w:usb1="29D77CFB" w:usb2="00000012" w:usb3="00000000" w:csb0="00080001" w:csb1="0000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200"/>
    </w:lvl>
  </w:abstractNum>
  <w:abstractNum w:abstractNumId="1">
    <w:nsid w:val="3855585C"/>
    <w:multiLevelType w:val="hybridMultilevel"/>
    <w:lvl w:ilvl="0">
      <w:lvlJc w:val="left"/>
      <w:lvlText w:val="%1"/>
      <w:numFmt w:val="decimal"/>
      <w:start w:val="150"/>
    </w:lvl>
  </w:abstractNum>
  <w:abstractNum w:abstractNumId="2">
    <w:nsid w:val="70A64E2A"/>
    <w:multiLevelType w:val="hybridMultilevel"/>
    <w:lvl w:ilvl="0">
      <w:lvlJc w:val="left"/>
      <w:lvlText w:val="%1"/>
      <w:numFmt w:val="decimal"/>
      <w:start w:val="100"/>
    </w:lvl>
  </w:abstractNum>
  <w:abstractNum w:abstractNumId="3">
    <w:nsid w:val="6A2342EC"/>
    <w:multiLevelType w:val="hybridMultilevel"/>
    <w:lvl w:ilvl="0">
      <w:lvlJc w:val="left"/>
      <w:lvlText w:val="%1"/>
      <w:numFmt w:val="decimal"/>
      <w:start w:val="50"/>
    </w:lvl>
  </w:abstractNum>
  <w:abstractNum w:abstractNumId="4">
    <w:nsid w:val="2A487CB0"/>
    <w:multiLevelType w:val="hybridMultilevel"/>
    <w:lvl w:ilvl="0">
      <w:lvlJc w:val="left"/>
      <w:lvlText w:val="%1"/>
      <w:numFmt w:val="decimal"/>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2"/>
      <w:numFmt w:val="bullet"/>
      <w:start w:val="1"/>
    </w:lvl>
  </w:abstractNum>
  <w:abstractNum w:abstractNumId="8">
    <w:nsid w:val="57E4CCAF"/>
    <w:multiLevelType w:val="hybridMultilevel"/>
    <w:lvl w:ilvl="0">
      <w:lvlJc w:val="left"/>
      <w:lvlText w:val="3"/>
      <w:numFmt w:val="bullet"/>
      <w:start w:val="1"/>
    </w:lvl>
  </w:abstractNum>
  <w:abstractNum w:abstractNumId="9">
    <w:nsid w:val="7A6D8D3C"/>
    <w:multiLevelType w:val="hybridMultilevel"/>
    <w:lvl w:ilvl="0">
      <w:lvlJc w:val="left"/>
      <w:lvlText w:val="4"/>
      <w:numFmt w:val="bullet"/>
      <w:start w:val="1"/>
    </w:lvl>
  </w:abstractNum>
  <w:abstractNum w:abstractNumId="10">
    <w:nsid w:val="4B588F54"/>
    <w:multiLevelType w:val="hybridMultilevel"/>
    <w:lvl w:ilvl="0">
      <w:lvlJc w:val="left"/>
      <w:lvlText w:val="5"/>
      <w:numFmt w:val="bullet"/>
      <w:start w:val="1"/>
    </w:lvl>
  </w:abstractNum>
  <w:abstractNum w:abstractNumId="11">
    <w:nsid w:val="542289EC"/>
    <w:multiLevelType w:val="hybridMultilevel"/>
    <w:lvl w:ilvl="0">
      <w:lvlJc w:val="left"/>
      <w:lvlText w:val="6"/>
      <w:numFmt w:val="bullet"/>
      <w:start w:val="1"/>
    </w:lvl>
  </w:abstractNum>
  <w:abstractNum w:abstractNumId="12">
    <w:nsid w:val="6DE91B18"/>
    <w:multiLevelType w:val="hybridMultilevel"/>
    <w:lvl w:ilvl="0">
      <w:lvlJc w:val="left"/>
      <w:lvlText w:val="7"/>
      <w:numFmt w:val="bullet"/>
      <w:start w:val="1"/>
    </w:lvl>
  </w:abstractNum>
  <w:abstractNum w:abstractNumId="13">
    <w:nsid w:val="38437FDB"/>
    <w:multiLevelType w:val="hybridMultilevel"/>
    <w:lvl w:ilvl="0">
      <w:lvlJc w:val="left"/>
      <w:lvlText w:val="8"/>
      <w:numFmt w:val="bullet"/>
      <w:start w:val="1"/>
    </w:lvl>
  </w:abstractNum>
  <w:abstractNum w:abstractNumId="14">
    <w:nsid w:val="7644A45C"/>
    <w:multiLevelType w:val="hybridMultilevel"/>
    <w:lvl w:ilvl="0">
      <w:lvlJc w:val="left"/>
      <w:lvlText w:val="9"/>
      <w:numFmt w:val="bullet"/>
      <w:start w:val="1"/>
    </w:lvl>
  </w:abstractNum>
  <w:abstractNum w:abstractNumId="15">
    <w:nsid w:val="32FFF902"/>
    <w:multiLevelType w:val="hybridMultilevel"/>
    <w:lvl w:ilvl="0">
      <w:lvlJc w:val="left"/>
      <w:lvlText w:val="%1"/>
      <w:numFmt w:val="decimal"/>
      <w:start w:val="10"/>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lowerRoman"/>
      <w:start w:val="3"/>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6"/>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1."/>
      <w:numFmt w:val="decimal"/>
      <w:start w:val="1"/>
    </w:lvl>
  </w:abstractNum>
  <w:abstractNum w:abstractNumId="56">
    <w:nsid w:val="6590700B"/>
    <w:multiLevelType w:val="hybridMultilevel"/>
    <w:lvl w:ilvl="0">
      <w:lvlJc w:val="left"/>
      <w:lvlText w:val="%1."/>
      <w:numFmt w:val="decimal"/>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1."/>
      <w:numFmt w:val="decimal"/>
      <w:start w:val="1"/>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lowerLetter"/>
      <w:start w:val="1"/>
    </w:lvl>
    <w:lvl w:ilvl="1">
      <w:lvlJc w:val="left"/>
      <w:lvlText w:val="(%2)"/>
      <w:numFmt w:val="decimal"/>
      <w:start w:val="1"/>
    </w:lvl>
  </w:abstractNum>
  <w:abstractNum w:abstractNumId="76">
    <w:nsid w:val="1A32234B"/>
    <w:multiLevelType w:val="hybridMultilevel"/>
    <w:lvl w:ilvl="0">
      <w:lvlJc w:val="left"/>
      <w:lvlText w:val="%1"/>
      <w:numFmt w:val="decimal"/>
      <w:start w:val="21"/>
    </w:lvl>
    <w:lvl w:ilvl="1">
      <w:lvlJc w:val="left"/>
      <w:lvlText w:val="%2)"/>
      <w:numFmt w:val="decimal"/>
      <w:start w:val="1"/>
    </w:lvl>
  </w:abstractNum>
  <w:abstractNum w:abstractNumId="77">
    <w:nsid w:val="3B0FD379"/>
    <w:multiLevelType w:val="hybridMultilevel"/>
    <w:lvl w:ilvl="0">
      <w:lvlJc w:val="left"/>
      <w:lvlText w:val="%1"/>
      <w:numFmt w:val="decimal"/>
      <w:start w:val="23"/>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
      <w:numFmt w:val="bullet"/>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2024-03-11T19:46:40Z</dcterms:created>
  <dcterms:modified xsi:type="dcterms:W3CDTF">2024-03-11T19:46:40Z</dcterms:modified>
</cp:coreProperties>
</file>