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38"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40" w:type="dxa"/>
            <w:vAlign w:val="bottom"/>
            <w:gridSpan w:val="2"/>
          </w:tcPr>
          <w:p>
            <w:pPr>
              <w:spacing w:after="0"/>
              <w:rPr>
                <w:sz w:val="20"/>
                <w:szCs w:val="20"/>
                <w:color w:val="auto"/>
              </w:rPr>
            </w:pPr>
            <w:r>
              <w:rPr>
                <w:rFonts w:ascii="Arial" w:cs="Arial" w:eastAsia="Arial" w:hAnsi="Arial"/>
                <w:sz w:val="18"/>
                <w:szCs w:val="18"/>
                <w:color w:val="auto"/>
              </w:rPr>
              <w:t>Large 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spacing w:after="0"/>
              <w:rPr>
                <w:sz w:val="24"/>
                <w:szCs w:val="24"/>
                <w:color w:val="auto"/>
              </w:rPr>
            </w:pPr>
          </w:p>
        </w:tc>
        <w:tc>
          <w:tcPr>
            <w:tcW w:w="274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446"/>
        </w:trPr>
        <w:tc>
          <w:tcPr>
            <w:tcW w:w="214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8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jc w:val="center"/>
              <w:ind w:right="450"/>
              <w:spacing w:after="0"/>
              <w:rPr>
                <w:sz w:val="20"/>
                <w:szCs w:val="20"/>
                <w:color w:val="auto"/>
              </w:rPr>
            </w:pPr>
            <w:r>
              <w:rPr>
                <w:rFonts w:ascii="Arial" w:cs="Arial" w:eastAsia="Arial" w:hAnsi="Arial"/>
                <w:sz w:val="18"/>
                <w:szCs w:val="18"/>
                <w:color w:val="auto"/>
                <w:w w:val="91"/>
              </w:rPr>
              <w:t>(Do not check if a smaller reporting company)</w:t>
            </w:r>
          </w:p>
        </w:tc>
        <w:tc>
          <w:tcPr>
            <w:tcW w:w="2740" w:type="dxa"/>
            <w:vAlign w:val="bottom"/>
          </w:tcPr>
          <w:p>
            <w:pPr>
              <w:ind w:left="640"/>
              <w:spacing w:after="0"/>
              <w:rPr>
                <w:sz w:val="20"/>
                <w:szCs w:val="20"/>
                <w:color w:val="auto"/>
              </w:rPr>
            </w:pPr>
            <w:r>
              <w:rPr>
                <w:rFonts w:ascii="Arial" w:cs="Arial" w:eastAsia="Arial" w:hAnsi="Arial"/>
                <w:sz w:val="18"/>
                <w:szCs w:val="18"/>
                <w:color w:val="auto"/>
                <w:w w:val="91"/>
              </w:rPr>
              <w:t>Smaller Reporting Company</w:t>
            </w:r>
          </w:p>
        </w:tc>
        <w:tc>
          <w:tcPr>
            <w:tcW w:w="156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r>
      <w:tr>
        <w:trPr>
          <w:trHeight w:val="276"/>
        </w:trPr>
        <w:tc>
          <w:tcPr>
            <w:tcW w:w="80" w:type="dxa"/>
            <w:vAlign w:val="bottom"/>
          </w:tcPr>
          <w:p>
            <w:pPr>
              <w:spacing w:after="0"/>
              <w:rPr>
                <w:sz w:val="24"/>
                <w:szCs w:val="24"/>
                <w:color w:val="auto"/>
              </w:rPr>
            </w:pPr>
          </w:p>
        </w:tc>
        <w:tc>
          <w:tcPr>
            <w:tcW w:w="9640" w:type="dxa"/>
            <w:vAlign w:val="bottom"/>
            <w:gridSpan w:val="4"/>
          </w:tcPr>
          <w:p>
            <w:pPr>
              <w:ind w:left="320"/>
              <w:spacing w:after="0" w:line="207" w:lineRule="exact"/>
              <w:rPr>
                <w:sz w:val="20"/>
                <w:szCs w:val="20"/>
                <w:color w:val="auto"/>
              </w:rPr>
            </w:pPr>
            <w:r>
              <w:rPr>
                <w:rFonts w:ascii="Arial" w:cs="Arial" w:eastAsia="Arial" w:hAnsi="Arial"/>
                <w:sz w:val="18"/>
                <w:szCs w:val="18"/>
                <w:color w:val="auto"/>
                <w:w w:val="93"/>
              </w:rPr>
              <w:t xml:space="preserve">Indicate by check mark whether the registrant is a shell company (as defined in Rule 12b-2 of the Exchange Act).  Yes </w:t>
            </w:r>
            <w:r>
              <w:rPr>
                <w:rFonts w:ascii="MS PGothic" w:cs="MS PGothic" w:eastAsia="MS PGothic" w:hAnsi="MS PGothic"/>
                <w:sz w:val="18"/>
                <w:szCs w:val="18"/>
                <w:color w:val="auto"/>
                <w:w w:val="93"/>
              </w:rPr>
              <w:t>☐</w:t>
            </w:r>
            <w:r>
              <w:rPr>
                <w:rFonts w:ascii="Arial" w:cs="Arial" w:eastAsia="Arial" w:hAnsi="Arial"/>
                <w:sz w:val="18"/>
                <w:szCs w:val="18"/>
                <w:color w:val="auto"/>
                <w:w w:val="93"/>
              </w:rPr>
              <w:t xml:space="preserve"> No</w:t>
            </w:r>
          </w:p>
        </w:tc>
        <w:tc>
          <w:tcPr>
            <w:tcW w:w="156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80" w:type="dxa"/>
            <w:vAlign w:val="bottom"/>
          </w:tcPr>
          <w:p>
            <w:pPr>
              <w:spacing w:after="0"/>
              <w:rPr>
                <w:sz w:val="20"/>
                <w:szCs w:val="20"/>
                <w:color w:val="auto"/>
              </w:rPr>
            </w:pPr>
          </w:p>
        </w:tc>
        <w:tc>
          <w:tcPr>
            <w:tcW w:w="9640" w:type="dxa"/>
            <w:vAlign w:val="bottom"/>
            <w:gridSpan w:val="4"/>
          </w:tcPr>
          <w:p>
            <w:pPr>
              <w:jc w:val="center"/>
              <w:ind w:right="290"/>
              <w:spacing w:after="0"/>
              <w:rPr>
                <w:sz w:val="20"/>
                <w:szCs w:val="20"/>
                <w:color w:val="auto"/>
              </w:rPr>
            </w:pPr>
            <w:r>
              <w:rPr>
                <w:rFonts w:ascii="Arial" w:cs="Arial" w:eastAsia="Arial" w:hAnsi="Arial"/>
                <w:sz w:val="18"/>
                <w:szCs w:val="18"/>
                <w:color w:val="auto"/>
                <w:w w:val="89"/>
              </w:rPr>
              <w:t>The number of shares of the issuer's common stock, $0.01 par value, outstanding as of October 31, 2015 was 346,450,083.</w:t>
            </w:r>
          </w:p>
        </w:tc>
        <w:tc>
          <w:tcPr>
            <w:tcW w:w="1560" w:type="dxa"/>
            <w:vAlign w:val="bottom"/>
          </w:tcPr>
          <w:p>
            <w:pPr>
              <w:spacing w:after="0"/>
              <w:rPr>
                <w:sz w:val="20"/>
                <w:szCs w:val="20"/>
                <w:color w:val="auto"/>
              </w:rPr>
            </w:pPr>
          </w:p>
        </w:tc>
      </w:tr>
      <w:tr>
        <w:trPr>
          <w:trHeight w:val="135"/>
        </w:trPr>
        <w:tc>
          <w:tcPr>
            <w:tcW w:w="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r>
      <w:tr>
        <w:trPr>
          <w:trHeight w:val="115"/>
        </w:trPr>
        <w:tc>
          <w:tcPr>
            <w:tcW w:w="80" w:type="dxa"/>
            <w:vAlign w:val="bottom"/>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503" w:right="239" w:bottom="1440" w:gutter="0" w:footer="0" w:header="0"/>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w:t>
              </w:r>
            </w:hyperlink>
          </w:p>
        </w:tc>
        <w:tc>
          <w:tcPr>
            <w:tcW w:w="7660" w:type="dxa"/>
            <w:vAlign w:val="bottom"/>
            <w:gridSpan w:val="6"/>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FINANCIAL INFORMATION</w:t>
              </w:r>
            </w:hyperlink>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Item 1.</w:t>
              </w:r>
            </w:hyperlink>
          </w:p>
        </w:tc>
        <w:tc>
          <w:tcPr>
            <w:tcW w:w="580" w:type="dxa"/>
            <w:vAlign w:val="bottom"/>
            <w:tcBorders>
              <w:top w:val="single" w:sz="8" w:color="0000EE"/>
            </w:tcBorders>
            <w:gridSpan w:val="2"/>
          </w:tcPr>
          <w:p>
            <w:pPr>
              <w:spacing w:after="0"/>
              <w:rPr>
                <w:sz w:val="24"/>
                <w:szCs w:val="24"/>
                <w:color w:val="auto"/>
              </w:rPr>
            </w:pPr>
          </w:p>
        </w:tc>
        <w:tc>
          <w:tcPr>
            <w:tcW w:w="2140" w:type="dxa"/>
            <w:vAlign w:val="bottom"/>
            <w:tcBorders>
              <w:top w:val="single" w:sz="8" w:color="0000EE"/>
            </w:tcBorders>
            <w:gridSpan w:val="3"/>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5520" w:type="dxa"/>
            <w:vAlign w:val="bottom"/>
            <w:gridSpan w:val="3"/>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28">
              <w:r>
                <w:rPr>
                  <w:rFonts w:ascii="Arial" w:cs="Arial" w:eastAsia="Arial" w:hAnsi="Arial"/>
                  <w:sz w:val="16"/>
                  <w:szCs w:val="16"/>
                  <w:color w:val="0000EE"/>
                  <w:w w:val="89"/>
                </w:rPr>
                <w:t>Item 2.</w:t>
              </w:r>
            </w:hyperlink>
          </w:p>
        </w:tc>
        <w:tc>
          <w:tcPr>
            <w:tcW w:w="580" w:type="dxa"/>
            <w:vAlign w:val="bottom"/>
            <w:gridSpan w:val="2"/>
          </w:tcPr>
          <w:p>
            <w:pPr>
              <w:spacing w:after="0"/>
              <w:rPr>
                <w:sz w:val="20"/>
                <w:szCs w:val="20"/>
                <w:color w:val="auto"/>
              </w:rPr>
            </w:pPr>
          </w:p>
        </w:tc>
        <w:tc>
          <w:tcPr>
            <w:tcW w:w="5800" w:type="dxa"/>
            <w:vAlign w:val="bottom"/>
            <w:tcBorders>
              <w:bottom w:val="single" w:sz="8" w:color="0000EE"/>
            </w:tcBorders>
            <w:gridSpan w:val="5"/>
          </w:tcPr>
          <w:p>
            <w:pPr>
              <w:spacing w:after="0"/>
              <w:rPr>
                <w:rFonts w:ascii="Arial" w:cs="Arial" w:eastAsia="Arial" w:hAnsi="Arial"/>
                <w:sz w:val="16"/>
                <w:szCs w:val="16"/>
                <w:color w:val="0000EE"/>
                <w:w w:val="91"/>
              </w:rPr>
            </w:pPr>
            <w:hyperlink w:anchor="page28">
              <w:r>
                <w:rPr>
                  <w:rFonts w:ascii="Arial" w:cs="Arial" w:eastAsia="Arial" w:hAnsi="Arial"/>
                  <w:sz w:val="16"/>
                  <w:szCs w:val="16"/>
                  <w:color w:val="0000EE"/>
                  <w:w w:val="91"/>
                </w:rPr>
                <w:t>Management's Discussion and Analysis of Financial Condition and Results of Operations</w:t>
              </w:r>
            </w:hyperlink>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8">
              <w:r>
                <w:rPr>
                  <w:rFonts w:ascii="Arial" w:cs="Arial" w:eastAsia="Arial" w:hAnsi="Arial"/>
                  <w:sz w:val="15"/>
                  <w:szCs w:val="15"/>
                  <w:color w:val="0000EE"/>
                  <w:w w:val="71"/>
                </w:rPr>
                <w:t>28</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Item 3.</w:t>
              </w:r>
            </w:hyperlink>
          </w:p>
        </w:tc>
        <w:tc>
          <w:tcPr>
            <w:tcW w:w="580" w:type="dxa"/>
            <w:vAlign w:val="bottom"/>
            <w:gridSpan w:val="2"/>
          </w:tcPr>
          <w:p>
            <w:pPr>
              <w:spacing w:after="0"/>
              <w:rPr>
                <w:sz w:val="20"/>
                <w:szCs w:val="20"/>
                <w:color w:val="auto"/>
              </w:rPr>
            </w:pPr>
          </w:p>
        </w:tc>
        <w:tc>
          <w:tcPr>
            <w:tcW w:w="7660" w:type="dxa"/>
            <w:vAlign w:val="bottom"/>
            <w:gridSpan w:val="6"/>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Quantitative and Qualitative Disclosures About Market Risk</w:t>
              </w:r>
            </w:hyperlink>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50</w:t>
              </w:r>
            </w:hyperlink>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9"/>
              </w:rPr>
            </w:pPr>
            <w:hyperlink w:anchor="page54">
              <w:r>
                <w:rPr>
                  <w:rFonts w:ascii="Arial" w:cs="Arial" w:eastAsia="Arial" w:hAnsi="Arial"/>
                  <w:sz w:val="16"/>
                  <w:szCs w:val="16"/>
                  <w:color w:val="0000EE"/>
                  <w:w w:val="89"/>
                </w:rPr>
                <w:t>Item 4.</w:t>
              </w:r>
            </w:hyperlink>
          </w:p>
        </w:tc>
        <w:tc>
          <w:tcPr>
            <w:tcW w:w="580" w:type="dxa"/>
            <w:vAlign w:val="bottom"/>
            <w:gridSpan w:val="2"/>
          </w:tcPr>
          <w:p>
            <w:pPr>
              <w:spacing w:after="0"/>
              <w:rPr>
                <w:sz w:val="20"/>
                <w:szCs w:val="20"/>
                <w:color w:val="auto"/>
              </w:rPr>
            </w:pPr>
          </w:p>
        </w:tc>
        <w:tc>
          <w:tcPr>
            <w:tcW w:w="3920" w:type="dxa"/>
            <w:vAlign w:val="bottom"/>
            <w:tcBorders>
              <w:top w:val="single" w:sz="8" w:color="0000EE"/>
            </w:tcBorders>
            <w:gridSpan w:val="4"/>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Controls and Procedures</w:t>
              </w:r>
            </w:hyperlink>
          </w:p>
        </w:tc>
        <w:tc>
          <w:tcPr>
            <w:tcW w:w="374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tcBorders>
            <w:gridSpan w:val="2"/>
          </w:tcPr>
          <w:p>
            <w:pPr>
              <w:jc w:val="center"/>
              <w:spacing w:after="0"/>
              <w:rPr>
                <w:rFonts w:ascii="Arial" w:cs="Arial" w:eastAsia="Arial" w:hAnsi="Arial"/>
                <w:sz w:val="15"/>
                <w:szCs w:val="15"/>
                <w:color w:val="0000EE"/>
                <w:w w:val="71"/>
              </w:rPr>
            </w:pPr>
            <w:hyperlink w:anchor="page54">
              <w:r>
                <w:rPr>
                  <w:rFonts w:ascii="Arial" w:cs="Arial" w:eastAsia="Arial" w:hAnsi="Arial"/>
                  <w:sz w:val="15"/>
                  <w:szCs w:val="15"/>
                  <w:color w:val="0000EE"/>
                  <w:w w:val="71"/>
                </w:rPr>
                <w:t>53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gridSpan w:val="5"/>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PART II.</w:t>
              </w:r>
            </w:hyperlink>
          </w:p>
        </w:tc>
        <w:tc>
          <w:tcPr>
            <w:tcW w:w="6720" w:type="dxa"/>
            <w:vAlign w:val="bottom"/>
            <w:gridSpan w:val="9"/>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OTHER INFORMATION</w:t>
              </w:r>
            </w:hyperlink>
          </w:p>
        </w:tc>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34"/>
        </w:trPr>
        <w:tc>
          <w:tcPr>
            <w:tcW w:w="580" w:type="dxa"/>
            <w:vAlign w:val="bottom"/>
            <w:tcBorders>
              <w:top w:val="single" w:sz="8" w:color="0000EE"/>
              <w:bottom w:val="single" w:sz="8" w:color="0000EE"/>
            </w:tcBorders>
            <w:gridSpan w:val="2"/>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Item 1.</w:t>
              </w:r>
            </w:hyperlink>
          </w:p>
        </w:tc>
        <w:tc>
          <w:tcPr>
            <w:tcW w:w="40" w:type="dxa"/>
            <w:vAlign w:val="bottom"/>
            <w:tcBorders>
              <w:top w:val="single" w:sz="8" w:color="0000EE"/>
            </w:tcBorders>
          </w:tcPr>
          <w:p>
            <w:pPr>
              <w:spacing w:after="0"/>
              <w:rPr>
                <w:sz w:val="24"/>
                <w:szCs w:val="24"/>
                <w:color w:val="auto"/>
              </w:rPr>
            </w:pPr>
          </w:p>
        </w:tc>
        <w:tc>
          <w:tcPr>
            <w:tcW w:w="420" w:type="dxa"/>
            <w:vAlign w:val="bottom"/>
            <w:gridSpan w:val="2"/>
          </w:tcPr>
          <w:p>
            <w:pPr>
              <w:spacing w:after="0"/>
              <w:rPr>
                <w:sz w:val="24"/>
                <w:szCs w:val="24"/>
                <w:color w:val="auto"/>
              </w:rPr>
            </w:pPr>
          </w:p>
        </w:tc>
        <w:tc>
          <w:tcPr>
            <w:tcW w:w="12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Legal Proceedings</w:t>
              </w:r>
            </w:hyperlink>
          </w:p>
        </w:tc>
        <w:tc>
          <w:tcPr>
            <w:tcW w:w="620" w:type="dxa"/>
            <w:vAlign w:val="bottom"/>
            <w:tcBorders>
              <w:top w:val="single" w:sz="8" w:color="0000EE"/>
            </w:tcBorders>
            <w:gridSpan w:val="2"/>
          </w:tcPr>
          <w:p>
            <w:pPr>
              <w:spacing w:after="0"/>
              <w:rPr>
                <w:sz w:val="24"/>
                <w:szCs w:val="24"/>
                <w:color w:val="auto"/>
              </w:rPr>
            </w:pPr>
          </w:p>
        </w:tc>
        <w:tc>
          <w:tcPr>
            <w:tcW w:w="4900" w:type="dxa"/>
            <w:vAlign w:val="bottom"/>
            <w:gridSpan w:val="3"/>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580" w:type="dxa"/>
            <w:vAlign w:val="bottom"/>
            <w:gridSpan w:val="2"/>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Item 1A.</w:t>
              </w:r>
            </w:hyperlink>
          </w:p>
        </w:tc>
        <w:tc>
          <w:tcPr>
            <w:tcW w:w="460" w:type="dxa"/>
            <w:vAlign w:val="bottom"/>
            <w:gridSpan w:val="3"/>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Risk Factors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2.</w:t>
              </w:r>
            </w:hyperlink>
          </w:p>
        </w:tc>
        <w:tc>
          <w:tcPr>
            <w:tcW w:w="120" w:type="dxa"/>
            <w:vAlign w:val="bottom"/>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EE"/>
            </w:tcBorders>
            <w:gridSpan w:val="8"/>
          </w:tcPr>
          <w:p>
            <w:pPr>
              <w:spacing w:after="0"/>
              <w:rPr>
                <w:rFonts w:ascii="Arial" w:cs="Arial" w:eastAsia="Arial" w:hAnsi="Arial"/>
                <w:sz w:val="16"/>
                <w:szCs w:val="16"/>
                <w:color w:val="0000EE"/>
                <w:w w:val="90"/>
              </w:rPr>
            </w:pPr>
            <w:hyperlink w:anchor="page55">
              <w:r>
                <w:rPr>
                  <w:rFonts w:ascii="Arial" w:cs="Arial" w:eastAsia="Arial" w:hAnsi="Arial"/>
                  <w:sz w:val="16"/>
                  <w:szCs w:val="16"/>
                  <w:color w:val="0000EE"/>
                  <w:w w:val="90"/>
                </w:rPr>
                <w:t>Unregistered Sales of Equity Securities and Use of Proceeds</w:t>
              </w:r>
            </w:hyperlink>
          </w:p>
        </w:tc>
        <w:tc>
          <w:tcPr>
            <w:tcW w:w="28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3.</w:t>
              </w:r>
            </w:hyperlink>
          </w:p>
        </w:tc>
        <w:tc>
          <w:tcPr>
            <w:tcW w:w="580" w:type="dxa"/>
            <w:vAlign w:val="bottom"/>
            <w:gridSpan w:val="4"/>
          </w:tcPr>
          <w:p>
            <w:pPr>
              <w:spacing w:after="0"/>
              <w:rPr>
                <w:sz w:val="20"/>
                <w:szCs w:val="20"/>
                <w:color w:val="auto"/>
              </w:rPr>
            </w:pPr>
          </w:p>
        </w:tc>
        <w:tc>
          <w:tcPr>
            <w:tcW w:w="2060" w:type="dxa"/>
            <w:vAlign w:val="bottom"/>
            <w:tcBorders>
              <w:bottom w:val="single" w:sz="8" w:color="0000EE"/>
            </w:tcBorders>
            <w:gridSpan w:val="7"/>
          </w:tcPr>
          <w:p>
            <w:pPr>
              <w:spacing w:after="0"/>
              <w:rPr>
                <w:rFonts w:ascii="Arial" w:cs="Arial" w:eastAsia="Arial" w:hAnsi="Arial"/>
                <w:sz w:val="16"/>
                <w:szCs w:val="16"/>
                <w:color w:val="0000EE"/>
                <w:w w:val="91"/>
              </w:rPr>
            </w:pPr>
            <w:hyperlink w:anchor="page55">
              <w:r>
                <w:rPr>
                  <w:rFonts w:ascii="Arial" w:cs="Arial" w:eastAsia="Arial" w:hAnsi="Arial"/>
                  <w:sz w:val="16"/>
                  <w:szCs w:val="16"/>
                  <w:color w:val="0000EE"/>
                  <w:w w:val="91"/>
                </w:rPr>
                <w:t>Defaults upon Senior Securities</w:t>
              </w:r>
            </w:hyperlink>
          </w:p>
        </w:tc>
        <w:tc>
          <w:tcPr>
            <w:tcW w:w="466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4.</w:t>
              </w:r>
            </w:hyperlink>
          </w:p>
        </w:tc>
        <w:tc>
          <w:tcPr>
            <w:tcW w:w="580" w:type="dxa"/>
            <w:vAlign w:val="bottom"/>
            <w:gridSpan w:val="4"/>
          </w:tcPr>
          <w:p>
            <w:pPr>
              <w:spacing w:after="0"/>
              <w:rPr>
                <w:sz w:val="20"/>
                <w:szCs w:val="20"/>
                <w:color w:val="auto"/>
              </w:rPr>
            </w:pPr>
          </w:p>
        </w:tc>
        <w:tc>
          <w:tcPr>
            <w:tcW w:w="6720" w:type="dxa"/>
            <w:vAlign w:val="bottom"/>
            <w:gridSpan w:val="9"/>
          </w:tcPr>
          <w:p>
            <w:pPr>
              <w:spacing w:after="0"/>
              <w:rPr>
                <w:rFonts w:ascii="Arial" w:cs="Arial" w:eastAsia="Arial" w:hAnsi="Arial"/>
                <w:sz w:val="16"/>
                <w:szCs w:val="16"/>
                <w:color w:val="0000EE"/>
              </w:rPr>
            </w:pPr>
            <w:hyperlink w:anchor="page55">
              <w:r>
                <w:rPr>
                  <w:rFonts w:ascii="Arial" w:cs="Arial" w:eastAsia="Arial" w:hAnsi="Arial"/>
                  <w:sz w:val="16"/>
                  <w:szCs w:val="16"/>
                  <w:color w:val="0000EE"/>
                </w:rPr>
                <w:t>Mine Safety Disclosures</w:t>
              </w:r>
            </w:hyperlink>
          </w:p>
        </w:tc>
        <w:tc>
          <w:tcPr>
            <w:tcW w:w="2960" w:type="dxa"/>
            <w:vAlign w:val="bottom"/>
            <w:gridSpan w:val="2"/>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37"/>
        </w:trPr>
        <w:tc>
          <w:tcPr>
            <w:tcW w:w="460" w:type="dxa"/>
            <w:vAlign w:val="bottom"/>
            <w:tcBorders>
              <w:top w:val="single" w:sz="8" w:color="0000EE"/>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5.</w:t>
              </w:r>
            </w:hyperlink>
          </w:p>
        </w:tc>
        <w:tc>
          <w:tcPr>
            <w:tcW w:w="580" w:type="dxa"/>
            <w:vAlign w:val="bottom"/>
            <w:gridSpan w:val="4"/>
          </w:tcPr>
          <w:p>
            <w:pPr>
              <w:spacing w:after="0"/>
              <w:rPr>
                <w:sz w:val="20"/>
                <w:szCs w:val="20"/>
                <w:color w:val="auto"/>
              </w:rPr>
            </w:pPr>
          </w:p>
        </w:tc>
        <w:tc>
          <w:tcPr>
            <w:tcW w:w="118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93"/>
              </w:rPr>
            </w:pPr>
            <w:hyperlink w:anchor="page55">
              <w:r>
                <w:rPr>
                  <w:rFonts w:ascii="Arial" w:cs="Arial" w:eastAsia="Arial" w:hAnsi="Arial"/>
                  <w:sz w:val="16"/>
                  <w:szCs w:val="16"/>
                  <w:color w:val="0000EE"/>
                  <w:w w:val="93"/>
                </w:rPr>
                <w:t>Other Information</w:t>
              </w:r>
            </w:hyperlink>
          </w:p>
        </w:tc>
        <w:tc>
          <w:tcPr>
            <w:tcW w:w="400" w:type="dxa"/>
            <w:vAlign w:val="bottom"/>
            <w:tcBorders>
              <w:top w:val="single" w:sz="8" w:color="0000EE"/>
            </w:tcBorders>
            <w:gridSpan w:val="2"/>
          </w:tcPr>
          <w:p>
            <w:pPr>
              <w:spacing w:after="0"/>
              <w:rPr>
                <w:sz w:val="20"/>
                <w:szCs w:val="20"/>
                <w:color w:val="auto"/>
              </w:rPr>
            </w:pPr>
          </w:p>
        </w:tc>
        <w:tc>
          <w:tcPr>
            <w:tcW w:w="5140" w:type="dxa"/>
            <w:vAlign w:val="bottom"/>
            <w:gridSpan w:val="4"/>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237"/>
        </w:trPr>
        <w:tc>
          <w:tcPr>
            <w:tcW w:w="460" w:type="dxa"/>
            <w:vAlign w:val="bottom"/>
            <w:tcBorders>
              <w:bottom w:val="single" w:sz="8" w:color="0000EE"/>
            </w:tcBorders>
          </w:tcPr>
          <w:p>
            <w:pPr>
              <w:spacing w:after="0"/>
              <w:rPr>
                <w:rFonts w:ascii="Arial" w:cs="Arial" w:eastAsia="Arial" w:hAnsi="Arial"/>
                <w:sz w:val="16"/>
                <w:szCs w:val="16"/>
                <w:color w:val="0000EE"/>
                <w:w w:val="89"/>
              </w:rPr>
            </w:pPr>
            <w:hyperlink w:anchor="page55">
              <w:r>
                <w:rPr>
                  <w:rFonts w:ascii="Arial" w:cs="Arial" w:eastAsia="Arial" w:hAnsi="Arial"/>
                  <w:sz w:val="16"/>
                  <w:szCs w:val="16"/>
                  <w:color w:val="0000EE"/>
                  <w:w w:val="89"/>
                </w:rPr>
                <w:t>Item 6.</w:t>
              </w:r>
            </w:hyperlink>
          </w:p>
        </w:tc>
        <w:tc>
          <w:tcPr>
            <w:tcW w:w="580" w:type="dxa"/>
            <w:vAlign w:val="bottom"/>
            <w:gridSpan w:val="4"/>
          </w:tcPr>
          <w:p>
            <w:pPr>
              <w:spacing w:after="0"/>
              <w:rPr>
                <w:sz w:val="20"/>
                <w:szCs w:val="20"/>
                <w:color w:val="auto"/>
              </w:rPr>
            </w:pPr>
          </w:p>
        </w:tc>
        <w:tc>
          <w:tcPr>
            <w:tcW w:w="540" w:type="dxa"/>
            <w:vAlign w:val="bottom"/>
            <w:tcBorders>
              <w:bottom w:val="single" w:sz="8" w:color="0000EE"/>
            </w:tcBorders>
          </w:tcPr>
          <w:p>
            <w:pPr>
              <w:spacing w:after="0"/>
              <w:rPr>
                <w:rFonts w:ascii="Arial" w:cs="Arial" w:eastAsia="Arial" w:hAnsi="Arial"/>
                <w:sz w:val="16"/>
                <w:szCs w:val="16"/>
                <w:color w:val="0000EE"/>
                <w:w w:val="92"/>
              </w:rPr>
            </w:pPr>
            <w:hyperlink w:anchor="page55">
              <w:r>
                <w:rPr>
                  <w:rFonts w:ascii="Arial" w:cs="Arial" w:eastAsia="Arial" w:hAnsi="Arial"/>
                  <w:sz w:val="16"/>
                  <w:szCs w:val="16"/>
                  <w:color w:val="0000EE"/>
                  <w:w w:val="92"/>
                </w:rPr>
                <w:t>Exhibits</w:t>
              </w:r>
            </w:hyperlink>
          </w:p>
        </w:tc>
        <w:tc>
          <w:tcPr>
            <w:tcW w:w="6180" w:type="dxa"/>
            <w:vAlign w:val="bottom"/>
            <w:gridSpan w:val="8"/>
          </w:tcPr>
          <w:p>
            <w:pPr>
              <w:spacing w:after="0"/>
              <w:rPr>
                <w:sz w:val="20"/>
                <w:szCs w:val="20"/>
                <w:color w:val="auto"/>
              </w:rPr>
            </w:pPr>
          </w:p>
        </w:tc>
        <w:tc>
          <w:tcPr>
            <w:tcW w:w="2800" w:type="dxa"/>
            <w:vAlign w:val="bottom"/>
          </w:tcPr>
          <w:p>
            <w:pPr>
              <w:spacing w:after="0"/>
              <w:rPr>
                <w:sz w:val="20"/>
                <w:szCs w:val="20"/>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5">
              <w:r>
                <w:rPr>
                  <w:rFonts w:ascii="Arial" w:cs="Arial" w:eastAsia="Arial" w:hAnsi="Arial"/>
                  <w:sz w:val="16"/>
                  <w:szCs w:val="16"/>
                  <w:color w:val="0000EE"/>
                  <w:w w:val="78"/>
                </w:rPr>
                <w:t>54</w:t>
              </w:r>
            </w:hyperlink>
          </w:p>
        </w:tc>
      </w:tr>
      <w:tr>
        <w:trPr>
          <w:trHeight w:val="534"/>
        </w:trPr>
        <w:tc>
          <w:tcPr>
            <w:tcW w:w="680" w:type="dxa"/>
            <w:vAlign w:val="bottom"/>
            <w:tcBorders>
              <w:bottom w:val="single" w:sz="8" w:color="0000EE"/>
            </w:tcBorders>
            <w:gridSpan w:val="4"/>
          </w:tcPr>
          <w:p>
            <w:pPr>
              <w:spacing w:after="0"/>
              <w:rPr>
                <w:rFonts w:ascii="Arial" w:cs="Arial" w:eastAsia="Arial" w:hAnsi="Arial"/>
                <w:sz w:val="16"/>
                <w:szCs w:val="16"/>
                <w:color w:val="0000EE"/>
                <w:w w:val="86"/>
              </w:rPr>
            </w:pPr>
            <w:hyperlink w:anchor="page56">
              <w:r>
                <w:rPr>
                  <w:rFonts w:ascii="Arial" w:cs="Arial" w:eastAsia="Arial" w:hAnsi="Arial"/>
                  <w:sz w:val="16"/>
                  <w:szCs w:val="16"/>
                  <w:color w:val="0000EE"/>
                  <w:w w:val="86"/>
                </w:rPr>
                <w:t>Signatures</w:t>
              </w:r>
            </w:hyperlink>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0000EE"/>
            </w:tcBorders>
          </w:tcPr>
          <w:p>
            <w:pPr>
              <w:jc w:val="right"/>
              <w:spacing w:after="0"/>
              <w:rPr>
                <w:rFonts w:ascii="Arial" w:cs="Arial" w:eastAsia="Arial" w:hAnsi="Arial"/>
                <w:sz w:val="16"/>
                <w:szCs w:val="16"/>
                <w:color w:val="0000EE"/>
                <w:w w:val="78"/>
              </w:rPr>
            </w:pPr>
            <w:hyperlink w:anchor="page56">
              <w:r>
                <w:rPr>
                  <w:rFonts w:ascii="Arial" w:cs="Arial" w:eastAsia="Arial" w:hAnsi="Arial"/>
                  <w:sz w:val="16"/>
                  <w:szCs w:val="16"/>
                  <w:color w:val="0000EE"/>
                  <w:w w:val="78"/>
                </w:rPr>
                <w:t>56</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2014</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$47,319 and $51,629,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53,729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55,482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3"/>
              </w:rPr>
              <w:t>U.S. Treasury securities, at fair value (including pledged securities of $767 and $2,375, respectively)</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2,427</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REIT equity securities,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1,720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assets,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408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for securities sold (including pledged securities of $147 and $79,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5,218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60,609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41,014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50,296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 Home Loan Bank advances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761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890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5,363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58,338</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liquidation preference of $348)</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346.5 and 352.8 shares issued and outstanding,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10,332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430</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60,609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67,766</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1920" w:type="dxa"/>
            <w:vAlign w:val="bottom"/>
            <w:gridSpan w:val="4"/>
          </w:tcPr>
          <w:p>
            <w:pPr>
              <w:jc w:val="right"/>
              <w:ind w:right="29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20" w:type="dxa"/>
            <w:vAlign w:val="bottom"/>
            <w:gridSpan w:val="4"/>
          </w:tcPr>
          <w:p>
            <w:pPr>
              <w:jc w:val="right"/>
              <w:ind w:right="490"/>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6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6"/>
                <w:szCs w:val="16"/>
                <w:b w:val="1"/>
                <w:bCs w:val="1"/>
                <w:color w:val="auto"/>
              </w:rPr>
              <w:t>2014</w:t>
            </w:r>
          </w:p>
        </w:tc>
      </w:tr>
      <w:tr>
        <w:trPr>
          <w:trHeight w:val="33"/>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1,141</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Gain (loss) on sale of agency securities, net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other gain (loss), net</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6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available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121</w:t>
            </w:r>
          </w:p>
        </w:tc>
      </w:tr>
      <w:tr>
        <w:trPr>
          <w:trHeight w:val="27"/>
        </w:trPr>
        <w:tc>
          <w:tcPr>
            <w:tcW w:w="6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stockholders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1,253</w:t>
            </w:r>
          </w:p>
        </w:tc>
      </w:tr>
      <w:tr>
        <w:trPr>
          <w:trHeight w:val="311"/>
        </w:trPr>
        <w:tc>
          <w:tcPr>
            <w:tcW w:w="6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30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350.9</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353.5</w:t>
            </w:r>
          </w:p>
        </w:tc>
      </w:tr>
      <w:tr>
        <w:trPr>
          <w:trHeight w:val="25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preferred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97"/>
        </w:trPr>
        <w:tc>
          <w:tcPr>
            <w:tcW w:w="3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September 30, 2014</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311"/>
        </w:trPr>
        <w:tc>
          <w:tcPr>
            <w:tcW w:w="36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September 30, 2015</w:t>
            </w:r>
          </w:p>
        </w:tc>
        <w:tc>
          <w:tcPr>
            <w:tcW w:w="5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10,209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33"/>
        </w:trPr>
        <w:tc>
          <w:tcPr>
            <w:tcW w:w="8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351</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accumulated other comprehensive loss on interest rate swaps de-designated as qualifying hedges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(Gain) loss on sale of agency securities, net</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1,294</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Purchases of agency securities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(23,792)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(15,342)</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6,177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5,678</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(28,889)</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34,203</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proceeds from (payments on) reverse repurchase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(3,377)</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1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386</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17,204</w:t>
            </w:r>
          </w:p>
        </w:tc>
      </w:tr>
      <w:tr>
        <w:trPr>
          <w:trHeight w:val="231"/>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317,718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216,945</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(327,000)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(235,151)</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Federal Home Loan Bank advances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Repayments on Federal Home Loan Bank advances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Net proceeds from preferred stock issuance</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common stock repurchases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858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33"/>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(18,933)</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r>
      <w:tr>
        <w:trPr>
          <w:trHeight w:val="33"/>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2,143</w:t>
            </w:r>
          </w:p>
        </w:tc>
      </w:tr>
      <w:tr>
        <w:trPr>
          <w:trHeight w:val="244"/>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1,708</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subsidiaries, American Capital Agency TRS, LLC and Old Georgetown Insurance Co.,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securities").</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asset value (also referred to as "net book value," "NAV" and "stockholders' equity").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ASC Topic 320, </w:t>
      </w:r>
      <w:r>
        <w:rPr>
          <w:rFonts w:ascii="Arial" w:cs="Arial" w:eastAsia="Arial" w:hAnsi="Arial"/>
          <w:sz w:val="17"/>
          <w:szCs w:val="17"/>
          <w:i w:val="1"/>
          <w:iCs w:val="1"/>
          <w:color w:val="auto"/>
        </w:rPr>
        <w:t>Investments—Debt and Equity Securities</w:t>
      </w:r>
      <w:r>
        <w:rPr>
          <w:rFonts w:ascii="Arial" w:cs="Arial" w:eastAsia="Arial" w:hAnsi="Arial"/>
          <w:sz w:val="17"/>
          <w:szCs w:val="17"/>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securities as part of our overall management of our investment portfolio. Accordingly, we typically designate our agency and AAA non-agency securities as available-for-sale. All securities classified as available-for-sale are reported at fair value, with unrealized gains and losses reported in accumulated other comprehensive income (loss) ("OCI"), a separate component of stockholders' equity. Upon the sale of a security, we determine the cost of the security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and the amount of unrealized gains or losses to reclassify out of accumulated OCI into earnings based on the specific identification method.</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cash flows of specific agency CMO securities. Principal-only securities represent our right to receive the contractual principal cash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and AAA non-agency securities based on valuations obtained from third-party pricing services and non-binding dealer quotes derived from common market pricing methods using observable (or "Level 2") inputs.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based on a market approach using quoted market prices (or "Level 1" inputs).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investment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liquidity of the agency and AAA non-agency securities market allows us to obtain competitive bids and execute on a sale transaction typically within one to two days of making the decision to sell a security and, therefore, we generally do not make decisions to sell specific securities until shortly prior to initiating a sell order. In some instances, we may sell specific agency securities by delivering such securities into existing short to-be-announced ("TBA") contracts. TBA market conventions require the identification of the specific agency securities to be delivered no later than 48 hours prior to settlement. If we settle a short TBA contract through the delivery of securities, we will generally identify the specific securities to be delivered within one to two days of the 48-hour deadline.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estimate long-term prepayment speeds of our agency and AAA non-agency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As market conditions may change rapidly, we may make adjustments for different securities based on our Manager's judgment. Various market participants could use materially different assumptions.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in the "to-be-announced" market ("TBA securities"), U.S. Treasury securities and U.S. Treasury futures contracts. We may also purchase or write put or call options on TBA securities and invest in mortgage and other types of derivative instruments, such as interest and principal-only securities.</w:t>
      </w:r>
    </w:p>
    <w:p>
      <w:pPr>
        <w:spacing w:after="0" w:line="11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use interest rate swaps to hedge the variable cash flows associated with borrowings made under our repurchase agreements and Federal Home Loan Bank advance facility.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funding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interest rate swaps based on valuations obtained from third-party pricing services and the swap counterparty (collectively, “third-party valuations”). The third-party valuations are model-driven using observable inputs consisting of LIBOR and the forward yield curve. We also consider the creditworthiness of both us and our counterparties and the impact of netting and credit enhancement provisions contained in each derivative agreement, such as collateral postings. All of our "non-centrally cleared" interest rate swaps are subject to bilateral collateral arrangements. Consequently, no credit valuation adjustment was made in determining the fair value of such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interest rate swaption agreements are privately negotiated in the OTC market and are not subject to central clearing. We estimate the fair value of our interest rate swaption agreements based on model-driven valuations obtained from third-party pricing services and the swaption counterparty using observable inputs, taking into account the fair value of the future interest rate swap that we have the option to enter into as well as the remaining length of time that we have to exercise the option, adjusted for non-performance risk, if 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2015 and December 31, 2014, our investment portfolio consisted of $54.8 billion and $56.7 billion of agency MBS, respectively, and a $7.4 billion and $14.8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 is reported at its net carrying value of $120 million and $192 million as of September 30, 2015 and December 31, 2014,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6 for further details of our net TBA position as of September 30, 2015 and December 31, 2014.)</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2015 and December 31, 2014, the net unamortized premium balance on our agency MBS was $2.3 billion and $2.5 billion, respectively, including interest and principal-only strips.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agency MBS as of September 30, 2015 and December 31, 2014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52,354</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653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52,862</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54,216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54,817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715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54,473</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56,748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September 30, 2015</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39,898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11,230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559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51,687</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2,249</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41,583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53,899</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700</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42,039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11,842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54,454</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317</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363</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42,378</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11,866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54,817</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September 30, 2015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r>
      <w:tr>
        <w:trPr>
          <w:trHeight w:val="256"/>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September 30, 2015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24"/>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ind w:left="660" w:hanging="328"/>
        <w:spacing w:after="0" w:line="260"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underlying unamortized principal balance ("UPB" or "par value") of our interest-only agency MBS strips was $1.0 billion and the weighted average contractual interest we are entitled to receive was 5.42% of this amount as of September 30, 2015. The par value of our principal-only agency MBS strips was $216 million as of September 30, 2015.</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September 30, 2015.</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September 30, 2015.</w:t>
      </w:r>
    </w:p>
    <w:p>
      <w:pPr>
        <w:spacing w:after="0" w:line="37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23495</wp:posOffset>
            </wp:positionV>
            <wp:extent cx="3155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53,422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2,396</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55,776</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45,075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56,346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56,748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51"/>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2014 </w:t>
            </w:r>
            <w:r>
              <w:rPr>
                <w:rFonts w:ascii="Arial" w:cs="Arial" w:eastAsia="Arial" w:hAnsi="Arial"/>
                <w:sz w:val="8"/>
                <w:szCs w:val="8"/>
                <w:color w:val="auto"/>
              </w:rPr>
              <w:t>3</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174"/>
        </w:trPr>
        <w:tc>
          <w:tcPr>
            <w:tcW w:w="6340" w:type="dxa"/>
            <w:vAlign w:val="bottom"/>
          </w:tcPr>
          <w:p>
            <w:pPr>
              <w:ind w:left="40"/>
              <w:spacing w:after="0"/>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bl>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UPB of our interest-only agency MBS strips was $1.2 billion and the weighted average contractual interest we are entitled to receive was 5.46% of this amount as of December 31, 2014. The par value of our principal-only agency MBS strips was $242 million as of December 31, 2014.</w:t>
      </w:r>
    </w:p>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2014.</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December 31, 2014.</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87" w:right="239" w:bottom="1440" w:gutter="0" w:footer="0" w:header="0"/>
        </w:sectPr>
      </w:pPr>
    </w:p>
    <w:bookmarkStart w:id="12" w:name="page13"/>
    <w:bookmarkEnd w:id="12"/>
    <w:p>
      <w:pPr>
        <w:jc w:val="both"/>
        <w:ind w:firstLine="432"/>
        <w:spacing w:after="0" w:line="279"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September 30, 2015 and December 31, 2014, our weighted average expected constant prepayment rate ("CPR") over the remaining life of our aggregate agency MBS portfolio was 9%. Our estimates differ materially for different types of securities and thus individual holdings have a wide range of projected CPRs.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September 30, 2015 and December 31, 2014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September 30, 2015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Agency MBS Classified as Available-for-</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 and ≤ 3 years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316</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3.67%</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2.62%</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19,210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18,870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3.28%</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22,153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21,820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2.40%</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34,648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33,055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2.92%</w:t>
            </w:r>
          </w:p>
        </w:tc>
        <w:tc>
          <w:tcPr>
            <w:tcW w:w="0" w:type="dxa"/>
            <w:vAlign w:val="bottom"/>
          </w:tcPr>
          <w:p>
            <w:pPr>
              <w:spacing w:after="0"/>
              <w:rPr>
                <w:sz w:val="1"/>
                <w:szCs w:val="1"/>
                <w:color w:val="auto"/>
              </w:rPr>
            </w:pP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3.78%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3.15%</w:t>
            </w:r>
          </w:p>
        </w:tc>
        <w:tc>
          <w:tcPr>
            <w:tcW w:w="0" w:type="dxa"/>
            <w:vAlign w:val="bottom"/>
          </w:tcPr>
          <w:p>
            <w:pPr>
              <w:spacing w:after="0"/>
              <w:rPr>
                <w:sz w:val="1"/>
                <w:szCs w:val="1"/>
                <w:color w:val="auto"/>
              </w:rPr>
            </w:pPr>
          </w:p>
        </w:tc>
      </w:tr>
      <w:tr>
        <w:trPr>
          <w:trHeight w:val="243"/>
        </w:trPr>
        <w:tc>
          <w:tcPr>
            <w:tcW w:w="28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53,899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55,776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2.72%</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weighted average life of our interest-only strips was 5.9 and 6.0 years as of September 30, 2015 and December 31, 2014, respectively. The weighted average life of our principal-only strips was 7.8 and 8.1 years as of September 30, 2015 and December 31, 2014, respectively.</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Securities classified as available-for-sale are reported at fair value, with unrealized gains and losses excluded from earnings and reported in accumulated OCI, a separate component of stockholders' equity. Refer to Note 9 for a summary of changes in accumulated OCI for our available-for-sale securities for the three and nine months ended September 30, 2015 and 2014</w:t>
      </w:r>
      <w:r>
        <w:rPr>
          <w:rFonts w:ascii="Arial" w:cs="Arial" w:eastAsia="Arial" w:hAnsi="Arial"/>
          <w:sz w:val="16"/>
          <w:szCs w:val="16"/>
          <w:color w:val="auto"/>
        </w:rPr>
        <w:t>.</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securities by length of time that such securities have been in a continuous unrealized loss position as of September 30, 2015 and December 31, 2014 (in millions):</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Unrealized Loss Position For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Securities Classified as Available-for-Sale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1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9"/>
              </w:rPr>
              <w:t>Estimated Fair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6"/>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13,357</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58"/>
        </w:trPr>
        <w:tc>
          <w:tcPr>
            <w:tcW w:w="3460" w:type="dxa"/>
            <w:vAlign w:val="bottom"/>
            <w:gridSpan w:val="2"/>
          </w:tcPr>
          <w:p>
            <w:pPr>
              <w:ind w:left="40"/>
              <w:spacing w:after="0"/>
              <w:rPr>
                <w:sz w:val="20"/>
                <w:szCs w:val="20"/>
                <w:color w:val="auto"/>
              </w:rPr>
            </w:pPr>
            <w:r>
              <w:rPr>
                <w:rFonts w:ascii="Arial" w:cs="Arial" w:eastAsia="Arial" w:hAnsi="Arial"/>
                <w:sz w:val="14"/>
                <w:szCs w:val="14"/>
                <w:color w:val="auto"/>
              </w:rPr>
              <w:t>December 31, 2014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12,457</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did not recognize any OTTI charges on our investment securities for the nine months ended September 30, 2015 and 2014. As of the end of each respective reporting period, a decision had not been made to sell any of our securities in an unrealized loss position and we did not believe it was more likely than not that we would be required to sell such securities before recovery of their amortized cost basis. The unrealized losses on our agency securities were not due to credit losses given the GSE guarantees, but rather were due to changes in interest rates and prepayment expectations. However, as we continue to actively manage our portfolio, we may recognize additional realized losses on our agency securities upon selecting specific securities to sell.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is a summary of our net gain (loss) from the sale of agency securities classified as available-for-sale for the three and nine months ended September 30, 2015 and 2014 (in millions):</w:t>
      </w:r>
    </w:p>
    <w:p>
      <w:pPr>
        <w:spacing w:after="0" w:line="176" w:lineRule="exact"/>
        <w:rPr>
          <w:sz w:val="20"/>
          <w:szCs w:val="20"/>
          <w:color w:val="auto"/>
        </w:rPr>
      </w:pPr>
    </w:p>
    <w:tbl>
      <w:tblPr>
        <w:tblLayout w:type="fixed"/>
        <w:tblInd w:w="9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8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Agency Securities Classified as Available-for-Sale</w:t>
            </w:r>
          </w:p>
        </w:tc>
        <w:tc>
          <w:tcPr>
            <w:tcW w:w="1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r>
      <w:tr>
        <w:trPr>
          <w:trHeight w:val="256"/>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(25,640)</w:t>
            </w:r>
          </w:p>
        </w:tc>
      </w:tr>
      <w:tr>
        <w:trPr>
          <w:trHeight w:val="264"/>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8,777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22,523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25,657</w:t>
            </w:r>
          </w:p>
        </w:tc>
      </w:tr>
      <w:tr>
        <w:trPr>
          <w:trHeight w:val="243"/>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05"/>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r>
      <w:tr>
        <w:trPr>
          <w:trHeight w:val="264"/>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agency MBS</w:t>
            </w: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43"/>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156"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For the three and nine months ended September 30, 2015, we recognized a net unrealized gain of $10 million and $14 million, respectively, and for the three and nine months ended September 30, 2014 we recognized a net unrealized gain of $4 million and $31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of September 30, 2015 and December 31, 2014, we held investments in CMO trusts, which are variable interest entities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1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In connection with our consolidated CMO trusts, we recognized agency securities with a total fair value of $1.1 billion and $1.3 billion as of September 30, 2015 and December 31, 2014, respectively, and debt, at fair value, of $626 million and $761 million, respectively, in our accompanying consolidated balance sheets. As of September 30, 2015 and December 31, 2014, the agency securities had an aggregate unpaid principal balance of $1.0 billion and $1.2 billion, respectively, and the debt had an aggregate unpaid principal balance of $621 million and $742 million, respectively. We re-measure our consolidated debt at fair value through earnings in gain (loss) on derivative instruments and other securities, net in our consolidated statements of comprehensive income. For the three and nine months ended September 30, 2015, we recorded a gain of $7 million and $16 million, respectively, associated with our consolidated debt. For the three and nine months ended September 30, 2014, we recognized a net gain of $6 million and a net loss of $6 million,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6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September 30, 2015 and December 31, 2014, the fair value of our CMO securities and interest and principal-only securities was $1.4 billion and $1.6 billion, respectively, excluding the consolidated CMO trusts discussed above, or $1.9 billion and $2.1 billion, respectively, including the net asset value of our consolidated CMO trusts. Our maximum exposure to loss related to our CMO securities and interest and principal-only securities, including our consolidated CMO trusts, was $267 million and $274 million as of September 30, 2015 and December 31, 2014,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pledge certain of our securities as collateral under our repurchase and other agreements with financial institutions and secured borrowing facility with the Federal Home Loan Bank ("FHLB") of Des Moines. Interest rates on our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"margin calls." Similarly, if the fair value of our pledged securities increases, lenders may release collateral back to us. As of September 30, 2015, we had met all margin call requirements. For additional information regarding our pledged assets, please refer to Note 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of September 30, 2015 and December 31, 2014, we had $41.0 billion and $50.3 billion, respectively, of repurchase agreements outstanding. The terms and conditions of our repurchase agreements are typically negotiated on a transaction-by-transaction basis. Our repurchase agreements with original maturities &gt; 90 days have floating interest rates based on an index plus or minus a fixed spread. As of September 30, 2015 and December 31, 2014, $40.6 billion and $48.4 billion, respectively, of our repurchase agreements were used to fund purchases of agency securities ("agency repo"), with an average borrowing rate of 0.52% and 0.41%, respectively, and a weighted average remaining term to maturity of 201 and 143 days, respectively. The remainder, or $460 million and $1.9 billion, of our repurchase agreements as of September 30, 2015 and December 31, 2014, respectively, were used to fund temporary holdings of U.S. Treasury securities ("U.S. Treasury repo").</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September 30, 2015 and December 31, 2014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3"/>
              </w:rPr>
              <w:t>September 30, 2015</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17,335</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14,157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10,209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5,167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135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6,654</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208</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292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2,678</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634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0.66%</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812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952</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1,254</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1,560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1,542</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agency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48,389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repo:</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1 day to ≤ 1 month</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U.S. Treasury repo</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41,014</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199</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50,296</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Home Loan Bank Advances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2015, our wholly-owned subsidiary, Old Georgetown Insurance Co., LLC ("OGI"), was accepted for membership in the Federal Home Loan Bank of Des Moines. As a member of the FHLB, OGI has access to a variety of products and services offered by the FHLB, including secured advances. The ability to borrow from the FHLB is subject to OGI's continued creditworthiness, pledging of sufficient eligible collateral to secure advances and compliance with certain agreements with the FHLB. Each advance requires approval by the FHLB and is secured by collateral in accordance with the FHLB’s credit and collateral guidelines, which may be revised from time to time by the FHLB.</w:t>
      </w:r>
    </w:p>
    <w:p>
      <w:pPr>
        <w:spacing w:after="0" w:line="13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September 30, 2015, OGI had $3.5 billion of outstanding secured FHLB advances, with a weighted average borrowing rate of 0.27% and a weighted average remaining term to maturity of 3.5 years, consisting of 30 day advances and longer-term floating rate advances with a one month cancellation feature: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FHLB Advances</w:t>
            </w:r>
          </w:p>
        </w:tc>
        <w:tc>
          <w:tcPr>
            <w:tcW w:w="100" w:type="dxa"/>
            <w:vAlign w:val="bottom"/>
            <w:vMerge w:val="restart"/>
          </w:tcPr>
          <w:p>
            <w:pPr>
              <w:spacing w:after="0"/>
              <w:rPr>
                <w:sz w:val="13"/>
                <w:szCs w:val="13"/>
                <w:color w:val="auto"/>
              </w:rPr>
            </w:pPr>
          </w:p>
        </w:tc>
        <w:tc>
          <w:tcPr>
            <w:tcW w:w="1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right"/>
              <w:ind w:right="282"/>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12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Days to Maturity</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 1 month</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720" w:type="dxa"/>
            <w:vAlign w:val="bottom"/>
            <w:gridSpan w:val="2"/>
          </w:tcPr>
          <w:p>
            <w:pPr>
              <w:ind w:left="120"/>
              <w:spacing w:after="0"/>
              <w:rPr>
                <w:sz w:val="20"/>
                <w:szCs w:val="20"/>
                <w:color w:val="auto"/>
              </w:rPr>
            </w:pPr>
            <w:r>
              <w:rPr>
                <w:rFonts w:ascii="Arial" w:cs="Arial" w:eastAsia="Arial" w:hAnsi="Arial"/>
                <w:sz w:val="16"/>
                <w:szCs w:val="16"/>
                <w:color w:val="auto"/>
              </w:rPr>
              <w:t>&gt; 9 to ≤ 12 months</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0.35%</w:t>
            </w:r>
          </w:p>
        </w:tc>
        <w:tc>
          <w:tcPr>
            <w:tcW w:w="120" w:type="dxa"/>
            <w:vAlign w:val="bottom"/>
          </w:tcPr>
          <w:p>
            <w:pPr>
              <w:spacing w:after="0"/>
              <w:rPr>
                <w:sz w:val="20"/>
                <w:szCs w:val="20"/>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36 to ≤ 48 months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1,419</w:t>
            </w:r>
          </w:p>
        </w:tc>
        <w:tc>
          <w:tcPr>
            <w:tcW w:w="0" w:type="dxa"/>
            <w:vAlign w:val="bottom"/>
          </w:tcPr>
          <w:p>
            <w:pPr>
              <w:spacing w:after="0"/>
              <w:rPr>
                <w:sz w:val="1"/>
                <w:szCs w:val="1"/>
                <w:color w:val="auto"/>
              </w:rPr>
            </w:pPr>
          </w:p>
        </w:tc>
      </w:tr>
      <w:tr>
        <w:trPr>
          <w:trHeight w:val="237"/>
        </w:trPr>
        <w:tc>
          <w:tcPr>
            <w:tcW w:w="5720" w:type="dxa"/>
            <w:vAlign w:val="bottom"/>
            <w:gridSpan w:val="2"/>
          </w:tcPr>
          <w:p>
            <w:pPr>
              <w:ind w:left="120"/>
              <w:spacing w:after="0"/>
              <w:rPr>
                <w:sz w:val="20"/>
                <w:szCs w:val="20"/>
                <w:color w:val="auto"/>
              </w:rPr>
            </w:pPr>
            <w:r>
              <w:rPr>
                <w:rFonts w:ascii="Arial" w:cs="Arial" w:eastAsia="Arial" w:hAnsi="Arial"/>
                <w:sz w:val="16"/>
                <w:szCs w:val="16"/>
                <w:color w:val="auto"/>
              </w:rPr>
              <w:t>&gt; 48 to &lt; 60 months</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20"/>
                <w:szCs w:val="20"/>
                <w:color w:val="auto"/>
              </w:rPr>
            </w:pPr>
          </w:p>
        </w:tc>
        <w:tc>
          <w:tcPr>
            <w:tcW w:w="1800" w:type="dxa"/>
            <w:vAlign w:val="bottom"/>
          </w:tcPr>
          <w:p>
            <w:pPr>
              <w:jc w:val="right"/>
              <w:ind w:right="22"/>
              <w:spacing w:after="0"/>
              <w:rPr>
                <w:sz w:val="20"/>
                <w:szCs w:val="20"/>
                <w:color w:val="auto"/>
              </w:rPr>
            </w:pPr>
            <w:r>
              <w:rPr>
                <w:rFonts w:ascii="Arial" w:cs="Arial" w:eastAsia="Arial" w:hAnsi="Arial"/>
                <w:sz w:val="16"/>
                <w:szCs w:val="16"/>
                <w:color w:val="auto"/>
              </w:rPr>
              <w:t>1,813</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FHLB advances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1,274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of Consolidated Variable Interest Entities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2015 and December 31, 2014, debt of consolidated VIEs, at fair value, was $626 million and $761 million, respectively, and had a weighted average interest rate of LIBOR plus 40 and 43 basis points, respectively, and a principal balance of $621 million and $742 million, respectively. The actual maturities of our debt of consolidated VIEs are generally shorter than the stated contractual maturities. The actual maturities are affected by the contractual lives of the underlying agency MBS securitizing the debt of our consolidated VIEs and periodic principal prepayments of such underlying securities. The estimated weighted average life of the debt of our consolidated VIEs as of September 30, 2015 and December 31, 2014 was 4.6 and 5.8 years,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Financing Transactions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2015 and December 31, 2014, we had outstanding forward commitments to purchase and sell agency securities through the TBA market at a cost of $7.3 billion and $14.6 billion, respectively (see Notes 3 and 6). These transactions, also referred to as "TBA dollar roll transactions," represent a form of "off-balance sheet" financing and serve to either increase, in the case of forward purchases, or decrease, in the case of forward sales, our total "at risk" leverage. We account for such transactions as one or more series of derivative transactions and report our outstanding TBA commitments at their net carrying value of $120 million and $192 million as of September 30, 2015 and December 31, 2014, respectively, in derivative assets/(liabilities) on our accompanying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and purchase or short TBA and U.S. Treasury securities. We may also purchase or write put or call options on TBA securities or invest in mortgage and other types of derivative instruments, such as interest and principal-only securities. Our risk management strategy attempts to manage the overall risk of the portfolio, reduce fluctuations in our net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and nine months ended September 30, 2015, we reclassified $24 million and $79 million, respectively, and for the three and nine months ended September 30, 2014, we reclassified, $38 million and $121 million, respectively, of net deferred losses from accumulated OCI into interest expense related to our de-designated interest rate swaps and recognized an equal, but offsetting, amount in other comprehensive income. Our total net periodic interest costs on our swap portfolio was $131 million and $369 million for the three and nine months ended September 30, 2015, respectively, and $120 million and $373 million for the three and nine months ended September 30, 2014, respectively. The difference between our total net periodic interest costs on our swap portfolio and the amount recorded in interest expense related to our de-designated hedges is reported in our accompanying consolidated statements of comprehensive income in gain (loss) on derivative instruments and other securities, net (totaling $107 million and $290 million for the three and nine months ended September 30, 2015, respectively, and $82 million and $252 million for the three and nine months ended September 30, 2014, respectively). As of September 30, 2015, the remaining net deferred loss in accumulated OCI related to de-designated interest rate swaps was $61 million and will be reclassified from OCI into interest expense over a remaining weighted average period of 0.8 years. As of September 30, 2015, the net deferred loss expected to be reclassified from OCI into interest expense over the next twelve months was $58 million.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table below summarizes fair value information about our derivative and other hedging instrument assets and liabilities as of September 30, 2015 and December 31, 2014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4"/>
                <w:szCs w:val="14"/>
                <w:color w:val="auto"/>
              </w:rPr>
            </w:pPr>
          </w:p>
        </w:tc>
        <w:tc>
          <w:tcPr>
            <w:tcW w:w="424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2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4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assets, at fair value</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derivative liabilities, at fair value</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at fair value</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2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Obligation to return securities borrowed under reverse</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360" w:type="dxa"/>
            <w:vAlign w:val="bottom"/>
            <w:gridSpan w:val="2"/>
          </w:tcPr>
          <w:p>
            <w:pPr>
              <w:ind w:left="40"/>
              <w:spacing w:after="0"/>
              <w:rPr>
                <w:sz w:val="20"/>
                <w:szCs w:val="20"/>
                <w:color w:val="auto"/>
              </w:rPr>
            </w:pPr>
            <w:r>
              <w:rPr>
                <w:rFonts w:ascii="Arial" w:cs="Arial" w:eastAsia="Arial" w:hAnsi="Arial"/>
                <w:sz w:val="16"/>
                <w:szCs w:val="16"/>
                <w:color w:val="auto"/>
              </w:rPr>
              <w:t>repurchase agreements, at fair value</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(5,363)</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 U.S. Treasury securities, net at fair value</w:t>
            </w:r>
          </w:p>
        </w:tc>
        <w:tc>
          <w:tcPr>
            <w:tcW w:w="4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our interest rate swap agreements outstanding as of September 30, 2015 and December 31, 2014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September 30, 2015</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1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16,725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9,450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1.93%</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8,425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2.43%</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9,050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2.67%</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3.21%</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13.9</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45,175</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1.95%</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0.30%</w:t>
            </w:r>
          </w:p>
        </w:tc>
        <w:tc>
          <w:tcPr>
            <w:tcW w:w="10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$7.8 billion with an average forward start date of 0.6 years and an average maturity of 6.3 years from September 30, 2015.</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1.72% as of September 30, 2015.</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2014</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1.33%</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1.63%</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2.47%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2.48%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3.19%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2.05%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$12.4 billion with an average forward start date of 1.1 years and an average maturity of 7.9 years from December 31, 2014.</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as of December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31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our interest rate payer swaption agreements outstanding as of September 30, 2015 and December 31, 2014 (dollars in millions):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Payer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Underlying Payer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2015</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8.2</w:t>
            </w:r>
          </w:p>
        </w:tc>
        <w:tc>
          <w:tcPr>
            <w:tcW w:w="0" w:type="dxa"/>
            <w:vAlign w:val="bottom"/>
          </w:tcPr>
          <w:p>
            <w:pPr>
              <w:spacing w:after="0"/>
              <w:rPr>
                <w:sz w:val="1"/>
                <w:szCs w:val="1"/>
                <w:color w:val="auto"/>
              </w:rPr>
            </w:pPr>
          </w:p>
        </w:tc>
      </w:tr>
      <w:tr>
        <w:trPr>
          <w:trHeight w:val="284"/>
        </w:trPr>
        <w:tc>
          <w:tcPr>
            <w:tcW w:w="34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37"/>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&gt; 1 to ≤ 2 years</w:t>
            </w: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0" w:type="dxa"/>
            <w:vAlign w:val="bottom"/>
          </w:tcPr>
          <w:p>
            <w:pPr>
              <w:spacing w:after="0"/>
              <w:rPr>
                <w:sz w:val="1"/>
                <w:szCs w:val="1"/>
                <w:color w:val="auto"/>
              </w:rPr>
            </w:pP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Payer Swaptions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6,800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3.28%</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interest rate receiver swaption agreements outstanding as of December 31, 2014 (dollars in millions). We had no interest rate receiver swaptions outstanding as of September 30, 2015.</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Receiver Swaptions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Underlying Receiver Swap</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Pay</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3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gridSpan w:val="2"/>
          </w:tcPr>
          <w:p>
            <w:pPr>
              <w:ind w:left="200"/>
              <w:spacing w:after="0"/>
              <w:rPr>
                <w:sz w:val="20"/>
                <w:szCs w:val="20"/>
                <w:color w:val="auto"/>
              </w:rPr>
            </w:pPr>
            <w:r>
              <w:rPr>
                <w:rFonts w:ascii="Arial" w:cs="Arial" w:eastAsia="Arial" w:hAnsi="Arial"/>
                <w:sz w:val="16"/>
                <w:szCs w:val="16"/>
                <w:color w:val="auto"/>
              </w:rPr>
              <w:t>≤ 1 year</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6"/>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4,250</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1"/>
                <w:szCs w:val="21"/>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color w:val="auto"/>
              </w:rPr>
              <w:t>3M</w:t>
            </w: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securities as of September 30, 2015 and December 31,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Maturity</w:t>
            </w:r>
          </w:p>
        </w:tc>
        <w:tc>
          <w:tcPr>
            <w:tcW w:w="120" w:type="dxa"/>
            <w:vAlign w:val="bottom"/>
            <w:vMerge w:val="restart"/>
          </w:tcPr>
          <w:p>
            <w:pPr>
              <w:spacing w:after="0"/>
              <w:rPr>
                <w:sz w:val="13"/>
                <w:szCs w:val="13"/>
                <w:color w:val="auto"/>
              </w:rPr>
            </w:pPr>
          </w:p>
        </w:tc>
        <w:tc>
          <w:tcPr>
            <w:tcW w:w="1260" w:type="dxa"/>
            <w:vAlign w:val="bottom"/>
            <w:gridSpan w:val="2"/>
          </w:tcPr>
          <w:p>
            <w:pPr>
              <w:jc w:val="right"/>
              <w:ind w:right="21"/>
              <w:spacing w:after="0" w:line="153" w:lineRule="exact"/>
              <w:rPr>
                <w:sz w:val="20"/>
                <w:szCs w:val="20"/>
                <w:color w:val="auto"/>
              </w:rPr>
            </w:pPr>
            <w:r>
              <w:rPr>
                <w:rFonts w:ascii="Arial" w:cs="Arial" w:eastAsia="Arial" w:hAnsi="Arial"/>
                <w:sz w:val="14"/>
                <w:szCs w:val="14"/>
                <w:b w:val="1"/>
                <w:bCs w:val="1"/>
                <w:color w:val="auto"/>
                <w:w w:val="98"/>
              </w:rPr>
              <w:t>Face Amount Net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w w:val="99"/>
              </w:rPr>
              <w:t>Market Value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2"/>
              <w:spacing w:after="0" w:line="153" w:lineRule="exact"/>
              <w:rPr>
                <w:sz w:val="20"/>
                <w:szCs w:val="20"/>
                <w:color w:val="auto"/>
              </w:rPr>
            </w:pPr>
            <w:r>
              <w:rPr>
                <w:rFonts w:ascii="Arial" w:cs="Arial" w:eastAsia="Arial" w:hAnsi="Arial"/>
                <w:sz w:val="14"/>
                <w:szCs w:val="14"/>
                <w:b w:val="1"/>
                <w:bCs w:val="1"/>
                <w:color w:val="auto"/>
                <w:w w:val="92"/>
              </w:rPr>
              <w:t>Face Amount 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w w:val="99"/>
              </w:rPr>
              <w:t>Cost Basis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5"/>
              </w:rPr>
              <w:t>Long / (Short)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Long / (Short)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5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597</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(4,645)</w:t>
            </w:r>
          </w:p>
        </w:tc>
        <w:tc>
          <w:tcPr>
            <w:tcW w:w="0" w:type="dxa"/>
            <w:vAlign w:val="bottom"/>
          </w:tcPr>
          <w:p>
            <w:pPr>
              <w:spacing w:after="0"/>
              <w:rPr>
                <w:sz w:val="1"/>
                <w:szCs w:val="1"/>
                <w:color w:val="auto"/>
              </w:rPr>
            </w:pPr>
          </w:p>
        </w:tc>
      </w:tr>
      <w:tr>
        <w:trPr>
          <w:trHeight w:val="237"/>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7 years</w:t>
            </w:r>
          </w:p>
        </w:tc>
        <w:tc>
          <w:tcPr>
            <w:tcW w:w="16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(718)</w:t>
            </w:r>
          </w:p>
        </w:tc>
        <w:tc>
          <w:tcPr>
            <w:tcW w:w="0" w:type="dxa"/>
            <w:vAlign w:val="bottom"/>
          </w:tcPr>
          <w:p>
            <w:pPr>
              <w:spacing w:after="0"/>
              <w:rPr>
                <w:sz w:val="1"/>
                <w:szCs w:val="1"/>
                <w:color w:val="auto"/>
              </w:rPr>
            </w:pPr>
          </w:p>
        </w:tc>
      </w:tr>
      <w:tr>
        <w:trPr>
          <w:trHeight w:val="33"/>
        </w:trPr>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10 years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2,427</w:t>
            </w:r>
          </w:p>
        </w:tc>
        <w:tc>
          <w:tcPr>
            <w:tcW w:w="0" w:type="dxa"/>
            <w:vAlign w:val="bottom"/>
          </w:tcPr>
          <w:p>
            <w:pPr>
              <w:spacing w:after="0"/>
              <w:rPr>
                <w:sz w:val="1"/>
                <w:szCs w:val="1"/>
                <w:color w:val="auto"/>
              </w:rPr>
            </w:pPr>
          </w:p>
        </w:tc>
      </w:tr>
      <w:tr>
        <w:trPr>
          <w:trHeight w:val="244"/>
        </w:trPr>
        <w:tc>
          <w:tcPr>
            <w:tcW w:w="314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(2,936)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tables summarize our TBA securities as of September 30, 2015 and December 31, 2014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69"/>
              <w:spacing w:after="0" w:line="135" w:lineRule="exact"/>
              <w:rPr>
                <w:sz w:val="20"/>
                <w:szCs w:val="20"/>
                <w:color w:val="auto"/>
              </w:rPr>
            </w:pPr>
            <w:r>
              <w:rPr>
                <w:rFonts w:ascii="Arial" w:cs="Arial" w:eastAsia="Arial" w:hAnsi="Arial"/>
                <w:sz w:val="13"/>
                <w:szCs w:val="13"/>
                <w:b w:val="1"/>
                <w:bCs w:val="1"/>
                <w:color w:val="auto"/>
                <w:w w:val="92"/>
              </w:rPr>
              <w:t>Net Carrying</w:t>
            </w: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Coupon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15-Year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(264)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3,260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w:t>
            </w:r>
          </w:p>
        </w:tc>
      </w:tr>
      <w:tr>
        <w:trPr>
          <w:trHeight w:val="270"/>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3,441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3,480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5,259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6"/>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r>
      <w:tr>
        <w:trPr>
          <w:trHeight w:val="264"/>
        </w:trPr>
        <w:tc>
          <w:tcPr>
            <w:tcW w:w="2300" w:type="dxa"/>
            <w:vAlign w:val="bottom"/>
          </w:tcPr>
          <w:p>
            <w:pPr>
              <w:jc w:val="right"/>
              <w:ind w:right="172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50"/>
              <w:spacing w:after="0"/>
              <w:rPr>
                <w:sz w:val="20"/>
                <w:szCs w:val="20"/>
                <w:color w:val="auto"/>
              </w:rPr>
            </w:pPr>
            <w:r>
              <w:rPr>
                <w:rFonts w:ascii="Arial" w:cs="Arial" w:eastAsia="Arial" w:hAnsi="Arial"/>
                <w:sz w:val="14"/>
                <w:szCs w:val="14"/>
                <w:color w:val="auto"/>
              </w:rPr>
              <w:t>2,076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2,215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0"/>
        </w:trPr>
        <w:tc>
          <w:tcPr>
            <w:tcW w:w="2300" w:type="dxa"/>
            <w:vAlign w:val="bottom"/>
            <w:shd w:val="clear" w:color="auto" w:fill="CCEEFF"/>
          </w:tcPr>
          <w:p>
            <w:pPr>
              <w:jc w:val="right"/>
              <w:ind w:right="172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24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30-Year TBAs</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7,390</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7,527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7,649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11,152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11,228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11,408</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180</w:t>
            </w:r>
          </w:p>
        </w:tc>
      </w:tr>
      <w:tr>
        <w:trPr>
          <w:trHeight w:val="243"/>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7,128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192</w:t>
            </w: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8"/>
              </w:rPr>
              <w:t>Notional</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Notional</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00" w:type="dxa"/>
            <w:vAlign w:val="bottom"/>
          </w:tcPr>
          <w:p>
            <w:pPr>
              <w:spacing w:after="0"/>
              <w:rPr>
                <w:sz w:val="11"/>
                <w:szCs w:val="11"/>
                <w:color w:val="auto"/>
              </w:rPr>
            </w:pPr>
          </w:p>
        </w:tc>
        <w:tc>
          <w:tcPr>
            <w:tcW w:w="86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Market</w:t>
            </w:r>
          </w:p>
        </w:tc>
        <w:tc>
          <w:tcPr>
            <w:tcW w:w="100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Amount - Long</w:t>
            </w:r>
          </w:p>
        </w:tc>
        <w:tc>
          <w:tcPr>
            <w:tcW w:w="220" w:type="dxa"/>
            <w:vAlign w:val="bottom"/>
          </w:tcPr>
          <w:p>
            <w:pPr>
              <w:spacing w:after="0"/>
              <w:rPr>
                <w:sz w:val="11"/>
                <w:szCs w:val="11"/>
                <w:color w:val="auto"/>
              </w:rPr>
            </w:pPr>
          </w:p>
        </w:tc>
        <w:tc>
          <w:tcPr>
            <w:tcW w:w="90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1"/>
                <w:szCs w:val="11"/>
                <w:color w:val="auto"/>
              </w:rPr>
            </w:pPr>
          </w:p>
        </w:tc>
        <w:tc>
          <w:tcPr>
            <w:tcW w:w="9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Market</w:t>
            </w:r>
          </w:p>
        </w:tc>
        <w:tc>
          <w:tcPr>
            <w:tcW w:w="140" w:type="dxa"/>
            <w:vAlign w:val="bottom"/>
          </w:tcPr>
          <w:p>
            <w:pPr>
              <w:spacing w:after="0"/>
              <w:rPr>
                <w:sz w:val="11"/>
                <w:szCs w:val="11"/>
                <w:color w:val="auto"/>
              </w:rPr>
            </w:pPr>
          </w:p>
        </w:tc>
        <w:tc>
          <w:tcPr>
            <w:tcW w:w="88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w w:val="92"/>
              </w:rPr>
              <w:t>Net Carrying</w:t>
            </w:r>
          </w:p>
        </w:tc>
        <w:tc>
          <w:tcPr>
            <w:tcW w:w="0" w:type="dxa"/>
            <w:vAlign w:val="bottom"/>
          </w:tcPr>
          <w:p>
            <w:pPr>
              <w:spacing w:after="0"/>
              <w:rPr>
                <w:sz w:val="1"/>
                <w:szCs w:val="1"/>
                <w:color w:val="auto"/>
              </w:rPr>
            </w:pPr>
          </w:p>
        </w:tc>
      </w:tr>
      <w:tr>
        <w:trPr>
          <w:trHeight w:val="174"/>
        </w:trPr>
        <w:tc>
          <w:tcPr>
            <w:tcW w:w="2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TBA Securities by Issuer</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0"/>
              </w:rPr>
              <w:t xml:space="preserve">(Short) </w:t>
            </w:r>
            <w:r>
              <w:rPr>
                <w:rFonts w:ascii="Arial" w:cs="Arial" w:eastAsia="Arial" w:hAnsi="Arial"/>
                <w:sz w:val="8"/>
                <w:szCs w:val="8"/>
                <w:b w:val="1"/>
                <w:bCs w:val="1"/>
                <w:color w:val="auto"/>
                <w:w w:val="90"/>
              </w:rPr>
              <w:t>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b w:val="1"/>
                <w:bCs w:val="1"/>
                <w:color w:val="auto"/>
              </w:rPr>
              <w:t xml:space="preserve">Basis </w:t>
            </w:r>
            <w:r>
              <w:rPr>
                <w:rFonts w:ascii="Arial" w:cs="Arial" w:eastAsia="Arial" w:hAnsi="Arial"/>
                <w:sz w:val="8"/>
                <w:szCs w:val="8"/>
                <w:b w:val="1"/>
                <w:bCs w:val="1"/>
                <w:color w:val="auto"/>
              </w:rPr>
              <w:t>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57"/>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Fannie Mae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6,572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6,698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6,807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15,316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Freddie Mac</w:t>
            </w:r>
          </w:p>
        </w:tc>
        <w:tc>
          <w:tcPr>
            <w:tcW w:w="14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Ginnie Mae</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7,128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7,265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7,385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14,412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14,576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14,768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the three and nine months ended September 30, 2015 and 2014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September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3"/>
                <w:szCs w:val="13"/>
                <w:color w:val="auto"/>
              </w:rPr>
            </w:pPr>
          </w:p>
        </w:tc>
        <w:tc>
          <w:tcPr>
            <w:tcW w:w="1080" w:type="dxa"/>
            <w:vAlign w:val="bottom"/>
          </w:tcPr>
          <w:p>
            <w:pPr>
              <w:jc w:val="center"/>
              <w:ind w:right="6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Long/(Short)</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08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6,941</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33,403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(44,925)</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(45,175)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(2,250)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(4,335)</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5,284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4,704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775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730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a net gain of $7 million from debt of consolidated VIEs and a net gain of $10 million from interest and principal-only securities recognized in gain (loss) on derivative instruments and other securities, net in our consolidated statements of comprehensive income.</w:t>
      </w:r>
    </w:p>
    <w:p>
      <w:pPr>
        <w:sectPr>
          <w:pgSz w:w="11900" w:h="16838" w:orient="portrait"/>
          <w:cols w:equalWidth="0" w:num="1">
            <w:col w:w="11420"/>
          </w:cols>
          <w:pgMar w:left="240" w:top="746"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September 30, 2014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6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Long/(Short)</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6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17,811</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44,438</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17,259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(47,900)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(3,625)</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11,300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(40,225)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(7,650)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5,028</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(5,055)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1,223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loss of $2 million from investments in REIT equity securities, a net gain of $6 million from debt of consolidated VIEs and a net gain of $4 million from interest and principal-only securities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780"/>
              <w:spacing w:after="0"/>
              <w:rPr>
                <w:sz w:val="20"/>
                <w:szCs w:val="20"/>
                <w:color w:val="auto"/>
              </w:rPr>
            </w:pPr>
            <w:r>
              <w:rPr>
                <w:rFonts w:ascii="Arial" w:cs="Arial" w:eastAsia="Arial" w:hAnsi="Arial"/>
                <w:sz w:val="14"/>
                <w:szCs w:val="14"/>
                <w:b w:val="1"/>
                <w:bCs w:val="1"/>
                <w:color w:val="auto"/>
              </w:rPr>
              <w:t>Nine Months Ended September 30, 2015</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4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97,270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7,128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(4,950)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3,475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(45,175)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(10,732)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14,823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2,411</w:t>
            </w:r>
          </w:p>
        </w:tc>
        <w:tc>
          <w:tcPr>
            <w:tcW w:w="120" w:type="dxa"/>
            <w:vAlign w:val="bottom"/>
          </w:tcPr>
          <w:p>
            <w:pPr>
              <w:spacing w:after="0"/>
              <w:rPr>
                <w:sz w:val="20"/>
                <w:szCs w:val="20"/>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31,915</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(33,551)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775</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(2,190)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2,190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55" w:lineRule="auto"/>
        <w:tabs>
          <w:tab w:leader="none" w:pos="657"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a net gain of $16 million from debt of consolidated VIEs, a net gain of $14 million from interest and principal-only securities and other miscellaneous net losses of $4 million recognized in gain (loss) on derivative instruments and other securities, net in our consolidated statements of comprehensive income.</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8"/>
          </w:tcPr>
          <w:p>
            <w:pPr>
              <w:ind w:left="800"/>
              <w:spacing w:after="0"/>
              <w:rPr>
                <w:sz w:val="20"/>
                <w:szCs w:val="20"/>
                <w:color w:val="auto"/>
              </w:rPr>
            </w:pPr>
            <w:r>
              <w:rPr>
                <w:rFonts w:ascii="Arial" w:cs="Arial" w:eastAsia="Arial" w:hAnsi="Arial"/>
                <w:sz w:val="14"/>
                <w:szCs w:val="14"/>
                <w:b w:val="1"/>
                <w:bCs w:val="1"/>
                <w:color w:val="auto"/>
              </w:rPr>
              <w:t>Nine Months Ended September 30, 2014</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60" w:type="dxa"/>
            <w:vAlign w:val="bottom"/>
          </w:tcPr>
          <w:p>
            <w:pPr>
              <w:spacing w:after="0"/>
              <w:rPr>
                <w:sz w:val="12"/>
                <w:szCs w:val="12"/>
                <w:color w:val="auto"/>
              </w:rPr>
            </w:pPr>
          </w:p>
        </w:tc>
        <w:tc>
          <w:tcPr>
            <w:tcW w:w="13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6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134,760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17,259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(12,325)</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15,350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(40,225)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2,500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19,138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9,963</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(12,667)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1,223</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a net gain of $71 million from investments in REIT equity securities, a net loss of $6 million from debt of consolidated VIEs, a net gain of $31 million from interest and principal-only securities and other miscellaneous net losses of $7 million recognized in gain (loss) on derivative instruments and other securities, net in our consolidated statements of comprehensive income.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collateral upon execution of derivative transactions, such as interest rate swap agreements and TBA contracts. If we breach our collateral requirements, we will be required to fully settle our obligations under the agreements, which could include a forced liquidation of our pledged collateral.</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Additionally, the FHLB of Des Moines may adjust the haircut on our outstanding FHLB advances at any time prior to maturity. As a condition of our membership in the FHLB of Des Moines, we are also obligated to purchase membership and activity-based stock in the FHLB based upon the aggregate amount of advances obtained from the FHLB.</w:t>
      </w:r>
    </w:p>
    <w:p>
      <w:pPr>
        <w:spacing w:after="0" w:line="13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our funding agreements and derivative contracts expose us to credit risk relating to potential losses that could be recognized in the event that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Further, each of our International Swaps and Derivatives Association ("ISDA") Master Agreements also contains a cross default provision under which a default under certain of our other indebtedness in excess of certain thresholds causes an event of default under the ISDA Master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September 30, 2015, the fair value of additional collateral that could be required to be posted as a result of the credit-risk-related contingent features being triggered was not material to our financial statements.</w:t>
      </w:r>
    </w:p>
    <w:p>
      <w:pPr>
        <w:spacing w:after="0" w:line="13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As of September 30, 2015, our maximum amount at risk with any counterparty related to our repurchase agreements was 6% of our stockholders' equity and our amount at risk with any counterparty related to our interest rate swap and swaption agreements, excluding centrally cleared swaps, was less than 1% of our stockholders' equity. The following table summarizes certain characteristics of our repurchase agreements outstanding with counterparties representing amounts at risk greater than or equal to 5% of our stockholders' equity as of September 30, 2015 (dollars in millions). As of December 31, 2014, the maximum amount at risk with any counterparty related to our repurchase agreements was less than 5% of our stockholders' equity.</w:t>
      </w:r>
    </w:p>
    <w:p>
      <w:pPr>
        <w:spacing w:after="0" w:line="325"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September 30, 2015</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Amount Outstanding</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Net Counterparty</w:t>
            </w: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Percent of Equity</w:t>
            </w:r>
          </w:p>
        </w:tc>
        <w:tc>
          <w:tcPr>
            <w:tcW w:w="120" w:type="dxa"/>
            <w:vAlign w:val="bottom"/>
            <w:vMerge w:val="restart"/>
          </w:tcPr>
          <w:p>
            <w:pPr>
              <w:spacing w:after="0"/>
              <w:rPr>
                <w:sz w:val="13"/>
                <w:szCs w:val="13"/>
                <w:color w:val="auto"/>
              </w:rPr>
            </w:pPr>
          </w:p>
        </w:tc>
        <w:tc>
          <w:tcPr>
            <w:tcW w:w="1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 xml:space="preserve">Exposure </w:t>
            </w:r>
            <w:r>
              <w:rPr>
                <w:rFonts w:ascii="Arial" w:cs="Arial" w:eastAsia="Arial" w:hAnsi="Arial"/>
                <w:sz w:val="8"/>
                <w:szCs w:val="8"/>
                <w:b w:val="1"/>
                <w:bCs w:val="1"/>
                <w:color w:val="auto"/>
                <w:w w:val="91"/>
              </w:rPr>
              <w:t>1</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Days to Maturity</w:t>
            </w: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J.P. Morgan Securities, LLC</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9" w:lineRule="exact"/>
        <w:rPr>
          <w:sz w:val="20"/>
          <w:szCs w:val="20"/>
          <w:color w:val="auto"/>
        </w:rPr>
      </w:pPr>
    </w:p>
    <w:p>
      <w:pPr>
        <w:jc w:val="both"/>
        <w:ind w:left="660" w:hanging="328"/>
        <w:spacing w:after="0" w:line="279" w:lineRule="auto"/>
        <w:tabs>
          <w:tab w:leader="none" w:pos="660" w:val="left"/>
        </w:tabs>
        <w:numPr>
          <w:ilvl w:val="0"/>
          <w:numId w:val="15"/>
        </w:numPr>
        <w:rPr>
          <w:rFonts w:ascii="Arial" w:cs="Arial" w:eastAsia="Arial" w:hAnsi="Arial"/>
          <w:sz w:val="14"/>
          <w:szCs w:val="14"/>
          <w:color w:val="auto"/>
        </w:rPr>
      </w:pPr>
      <w:r>
        <w:rPr>
          <w:rFonts w:ascii="Arial" w:cs="Arial" w:eastAsia="Arial" w:hAnsi="Arial"/>
          <w:sz w:val="15"/>
          <w:szCs w:val="15"/>
          <w:color w:val="auto"/>
        </w:rPr>
        <w:t>Represents the net carrying value of the securities pledged under repurchase agreements, including accrued interest plus any cash or assets on deposit to secure the repurchase obligation, less the amount of the repurchase liability, including accrued interest. Payables due to broker counterparties for unsettled securities purchases are not included in the amounts presented above. As of September 30, 2015, we did not have any such payables.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summarize our assets pledged as collateral under our funding, derivative and prime broker agreements by type, including securities pledged related to securities sold but not yet settled, as of September 30, 2015 and December 31, 2014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17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3"/>
                <w:szCs w:val="13"/>
                <w:color w:val="auto"/>
              </w:rPr>
            </w:pPr>
          </w:p>
        </w:tc>
        <w:tc>
          <w:tcPr>
            <w:tcW w:w="11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5"/>
              </w:rPr>
              <w:t xml:space="preserve">and FHLB Advances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1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1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1,413</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51,128</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Includes $256 million of retained interests in our consolidated VIEs pledged as collateral under repurchase agreements.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6"/>
                <w:szCs w:val="16"/>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Repurchase Agreements</w:t>
            </w: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Debt of Consolidated</w:t>
            </w:r>
          </w:p>
        </w:tc>
        <w:tc>
          <w:tcPr>
            <w:tcW w:w="18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Prime Broker</w:t>
            </w:r>
          </w:p>
        </w:tc>
        <w:tc>
          <w:tcPr>
            <w:tcW w:w="260" w:type="dxa"/>
            <w:vAlign w:val="bottom"/>
          </w:tcPr>
          <w:p>
            <w:pPr>
              <w:spacing w:after="0"/>
              <w:rPr>
                <w:sz w:val="16"/>
                <w:szCs w:val="16"/>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33"/>
              <w:spacing w:after="0"/>
              <w:rPr>
                <w:sz w:val="20"/>
                <w:szCs w:val="20"/>
                <w:color w:val="auto"/>
              </w:rPr>
            </w:pP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Agreements</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51,037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53,074</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7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440" w:type="dxa"/>
            <w:vAlign w:val="bottom"/>
          </w:tcPr>
          <w:p>
            <w:pPr>
              <w:spacing w:after="0"/>
              <w:rPr>
                <w:sz w:val="22"/>
                <w:szCs w:val="22"/>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53,094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56,394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3"/>
                <w:szCs w:val="13"/>
                <w:color w:val="auto"/>
              </w:rPr>
              <w:t>______________________</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2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color w:val="auto"/>
        </w:rPr>
        <w:t>1. Includes $179 million of retained interests in our consolidated VIEs pledged as collateral under repurchase agreements.</w:t>
      </w:r>
    </w:p>
    <w:p>
      <w:pPr>
        <w:spacing w:after="0" w:line="1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2015, we held $140 million of membership and activity-based stock in the FHLB of Des Moines. FHLB stock is reported at cost, which equals par value, in other assets on our accompanying consolidated balance sheets. FHLB stock can only be redeemed or sold at its par value, and only to the FHLB of Des Moines.</w:t>
      </w:r>
    </w:p>
    <w:p>
      <w:pPr>
        <w:spacing w:after="0" w:line="12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and FHLB advances by the remaining maturity of our borrowings, including securities pledged related to sold but not yet settled securities, as of September 30, 2015 and December 31, 2014 (in millions). For the corresponding borrowings associated with the following amounts and the interest rates thereon, refer to Note 5</w:t>
      </w:r>
      <w:r>
        <w:rPr>
          <w:rFonts w:ascii="Arial" w:cs="Arial" w:eastAsia="Arial" w:hAnsi="Arial"/>
          <w:sz w:val="17"/>
          <w:szCs w:val="17"/>
          <w:i w:val="1"/>
          <w:iCs w:val="1"/>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9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Agency Securities Pledged by Remaining Maturity of</w:t>
            </w:r>
          </w:p>
        </w:tc>
        <w:tc>
          <w:tcPr>
            <w:tcW w:w="180" w:type="dxa"/>
            <w:vAlign w:val="bottom"/>
          </w:tcPr>
          <w:p>
            <w:pPr>
              <w:spacing w:after="0"/>
              <w:rPr>
                <w:sz w:val="12"/>
                <w:szCs w:val="12"/>
                <w:color w:val="auto"/>
              </w:rPr>
            </w:pPr>
          </w:p>
        </w:tc>
        <w:tc>
          <w:tcPr>
            <w:tcW w:w="10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9"/>
              </w:rPr>
              <w:t>Fair Value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4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Repurchase Agreements and FHLB Advances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18,800</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18,548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14,659</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14,509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402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10,205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17,552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402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46,798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46,279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51,037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50,498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&gt; 1 day ≤ 30 days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 U.S. Treasury securities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1,899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47,260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46,739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52,941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52,397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firstLine="332"/>
        <w:spacing w:after="0" w:line="255" w:lineRule="auto"/>
        <w:tabs>
          <w:tab w:leader="none" w:pos="468"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$256 million and $179 million of retained interests in our consolidated VIEs pledged as collateral under repurchase agreements, as of September 30, 2015 and December 31, 2014, respectively.</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September 30, 2015 and December 31, 2014, none of our borrowings backed by agency MBS were due on demand or mature overnight.</w:t>
      </w:r>
    </w:p>
    <w:p>
      <w:pPr>
        <w:spacing w:after="0" w:line="18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table above excludes agency securities transferred to our consolidated VIEs. Securities transferred to our consolidated VIEs can only be used to settle the obligations of each respective VIE. However, we may pledge our retained interests in our consolidated VIEs as collateral under our repurchase agreements and derivative contracts. Please refer to Notes 4 and 5 for additional information regarding our consolidated VIEs.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2015 and December 31, 2014,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2015</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267"/>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47"/>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3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147"/>
              <w:spacing w:after="0" w:line="149" w:lineRule="exact"/>
              <w:rPr>
                <w:sz w:val="20"/>
                <w:szCs w:val="20"/>
                <w:color w:val="auto"/>
              </w:rPr>
            </w:pPr>
            <w:r>
              <w:rPr>
                <w:rFonts w:ascii="Arial" w:cs="Arial" w:eastAsia="Arial" w:hAnsi="Arial"/>
                <w:sz w:val="14"/>
                <w:szCs w:val="14"/>
                <w:b w:val="1"/>
                <w:bCs w:val="1"/>
                <w:color w:val="auto"/>
                <w:w w:val="94"/>
              </w:rPr>
              <w:t>Repurchase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6"/>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4"/>
                <w:szCs w:val="14"/>
                <w:b w:val="1"/>
                <w:bCs w:val="1"/>
                <w:color w:val="auto"/>
                <w:w w:val="93"/>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6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180" w:type="dxa"/>
            <w:vAlign w:val="bottom"/>
          </w:tcPr>
          <w:p>
            <w:pPr>
              <w:spacing w:after="0"/>
              <w:rPr>
                <w:sz w:val="22"/>
                <w:szCs w:val="22"/>
                <w:color w:val="auto"/>
              </w:rPr>
            </w:pP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26"/>
              <w:spacing w:after="0"/>
              <w:rPr>
                <w:sz w:val="20"/>
                <w:szCs w:val="20"/>
                <w:color w:val="auto"/>
              </w:rPr>
            </w:pPr>
            <w:r>
              <w:rPr>
                <w:rFonts w:ascii="Arial" w:cs="Arial" w:eastAsia="Arial" w:hAnsi="Arial"/>
                <w:sz w:val="14"/>
                <w:szCs w:val="14"/>
                <w:color w:val="auto"/>
              </w:rPr>
              <w:t>1,309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7"/>
              <w:spacing w:after="0"/>
              <w:rPr>
                <w:sz w:val="20"/>
                <w:szCs w:val="20"/>
                <w:color w:val="auto"/>
              </w:rPr>
            </w:pPr>
            <w:r>
              <w:rPr>
                <w:rFonts w:ascii="Arial" w:cs="Arial" w:eastAsia="Arial" w:hAnsi="Arial"/>
                <w:sz w:val="14"/>
                <w:szCs w:val="14"/>
                <w:color w:val="auto"/>
              </w:rPr>
              <w:t>5,363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7"/>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6"/>
              <w:spacing w:after="0"/>
              <w:rPr>
                <w:sz w:val="20"/>
                <w:szCs w:val="20"/>
                <w:color w:val="auto"/>
              </w:rPr>
            </w:pPr>
            <w:r>
              <w:rPr>
                <w:rFonts w:ascii="Arial" w:cs="Arial" w:eastAsia="Arial" w:hAnsi="Arial"/>
                <w:sz w:val="14"/>
                <w:szCs w:val="14"/>
                <w:color w:val="auto"/>
              </w:rPr>
              <w:t>5,410</w:t>
            </w:r>
          </w:p>
        </w:tc>
        <w:tc>
          <w:tcPr>
            <w:tcW w:w="0" w:type="dxa"/>
            <w:vAlign w:val="bottom"/>
          </w:tcPr>
          <w:p>
            <w:pPr>
              <w:spacing w:after="0"/>
              <w:rPr>
                <w:sz w:val="1"/>
                <w:szCs w:val="1"/>
                <w:color w:val="auto"/>
              </w:rPr>
            </w:pPr>
          </w:p>
        </w:tc>
      </w:tr>
      <w:tr>
        <w:trPr>
          <w:trHeight w:val="270"/>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1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50"/>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7"/>
              <w:spacing w:after="0"/>
              <w:rPr>
                <w:sz w:val="20"/>
                <w:szCs w:val="20"/>
                <w:color w:val="auto"/>
              </w:rPr>
            </w:pPr>
            <w:r>
              <w:rPr>
                <w:rFonts w:ascii="Arial" w:cs="Arial" w:eastAsia="Arial" w:hAnsi="Arial"/>
                <w:sz w:val="16"/>
                <w:szCs w:val="16"/>
                <w:color w:val="auto"/>
              </w:rPr>
              <w:t>1,309</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6"/>
              <w:spacing w:after="0"/>
              <w:rPr>
                <w:sz w:val="20"/>
                <w:szCs w:val="20"/>
                <w:color w:val="auto"/>
              </w:rPr>
            </w:pPr>
            <w:r>
              <w:rPr>
                <w:rFonts w:ascii="Arial" w:cs="Arial" w:eastAsia="Arial" w:hAnsi="Arial"/>
                <w:sz w:val="16"/>
                <w:szCs w:val="16"/>
                <w:color w:val="auto"/>
              </w:rPr>
              <w:t>1,309</w:t>
            </w:r>
          </w:p>
        </w:tc>
        <w:tc>
          <w:tcPr>
            <w:tcW w:w="34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7"/>
              <w:spacing w:after="0"/>
              <w:rPr>
                <w:sz w:val="20"/>
                <w:szCs w:val="20"/>
                <w:color w:val="auto"/>
              </w:rPr>
            </w:pPr>
            <w:r>
              <w:rPr>
                <w:rFonts w:ascii="Arial" w:cs="Arial" w:eastAsia="Arial" w:hAnsi="Arial"/>
                <w:sz w:val="16"/>
                <w:szCs w:val="16"/>
                <w:color w:val="auto"/>
              </w:rPr>
              <w:t>5,363</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6"/>
              <w:spacing w:after="0"/>
              <w:rPr>
                <w:sz w:val="20"/>
                <w:szCs w:val="20"/>
                <w:color w:val="auto"/>
              </w:rPr>
            </w:pPr>
            <w:r>
              <w:rPr>
                <w:rFonts w:ascii="Arial" w:cs="Arial" w:eastAsia="Arial" w:hAnsi="Arial"/>
                <w:sz w:val="16"/>
                <w:szCs w:val="16"/>
                <w:color w:val="auto"/>
              </w:rPr>
              <w:t>5,481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68" w:right="2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September 30, 2015 and December 31, 2014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1"/>
          </w:tcPr>
          <w:p>
            <w:pPr>
              <w:jc w:val="right"/>
              <w:ind w:right="28"/>
              <w:spacing w:after="0"/>
              <w:rPr>
                <w:sz w:val="20"/>
                <w:szCs w:val="20"/>
                <w:color w:val="auto"/>
              </w:rPr>
            </w:pPr>
            <w:r>
              <w:rPr>
                <w:rFonts w:ascii="Arial" w:cs="Arial" w:eastAsia="Arial" w:hAnsi="Arial"/>
                <w:sz w:val="14"/>
                <w:szCs w:val="14"/>
                <w:b w:val="1"/>
                <w:bCs w:val="1"/>
                <w:color w:val="auto"/>
                <w:w w:val="92"/>
              </w:rPr>
              <w:t>Offsetting of Financial and Derivative Assets</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Assets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Balance Sheets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 xml:space="preserve">Received </w:t>
            </w:r>
            <w:r>
              <w:rPr>
                <w:rFonts w:ascii="Arial" w:cs="Arial" w:eastAsia="Arial" w:hAnsi="Arial"/>
                <w:sz w:val="8"/>
                <w:szCs w:val="8"/>
                <w:b w:val="1"/>
                <w:bCs w:val="1"/>
                <w:color w:val="auto"/>
                <w:w w:val="88"/>
              </w:rPr>
              <w:t>2</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2"/>
          </w:tcPr>
          <w:p>
            <w:pPr>
              <w:ind w:left="840"/>
              <w:spacing w:after="0"/>
              <w:rPr>
                <w:sz w:val="20"/>
                <w:szCs w:val="20"/>
                <w:color w:val="auto"/>
              </w:rPr>
            </w:pPr>
            <w:r>
              <w:rPr>
                <w:rFonts w:ascii="Arial" w:cs="Arial" w:eastAsia="Arial" w:hAnsi="Arial"/>
                <w:sz w:val="14"/>
                <w:szCs w:val="14"/>
                <w:b w:val="1"/>
                <w:bCs w:val="1"/>
                <w:color w:val="auto"/>
                <w:w w:val="94"/>
              </w:rPr>
              <w:t>Offsetting of Financial and Derivative Liabilities</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center"/>
              <w:ind w:left="788"/>
              <w:spacing w:after="0" w:line="149" w:lineRule="exact"/>
              <w:rPr>
                <w:sz w:val="20"/>
                <w:szCs w:val="20"/>
                <w:color w:val="auto"/>
              </w:rPr>
            </w:pPr>
            <w:r>
              <w:rPr>
                <w:rFonts w:ascii="Arial" w:cs="Arial" w:eastAsia="Arial" w:hAnsi="Arial"/>
                <w:sz w:val="14"/>
                <w:szCs w:val="14"/>
                <w:b w:val="1"/>
                <w:bCs w:val="1"/>
                <w:color w:val="auto"/>
                <w:w w:val="90"/>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ind w:right="28"/>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Financial</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Liabilities</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Balance Sheets</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Instruments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2"/>
              </w:rPr>
              <w:t xml:space="preserve">Pledged </w:t>
            </w:r>
            <w:r>
              <w:rPr>
                <w:rFonts w:ascii="Arial" w:cs="Arial" w:eastAsia="Arial" w:hAnsi="Arial"/>
                <w:sz w:val="8"/>
                <w:szCs w:val="8"/>
                <w:b w:val="1"/>
                <w:bCs w:val="1"/>
                <w:color w:val="auto"/>
                <w:w w:val="92"/>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September 30, 2015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1,523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 and FHLB advances</w:t>
            </w: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44,516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44,516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400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46,039</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46,039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(44,559)</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c>
          <w:tcPr>
            <w:tcW w:w="32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320" w:hanging="328"/>
        <w:spacing w:after="0" w:line="241"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cash and securities pledged / received as collateral, at fair value. Amounts presented are limited to collateral pledged sufficient to reduce the net amount to zero for individual counterparties, as applicable.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determine the fair value of our investment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1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and nine months ended September 30, 2015.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6"/>
          <w:szCs w:val="16"/>
          <w:color w:val="auto"/>
        </w:rPr>
        <w:t>The following table provides a summary of our assets and liabilities that are measured at fair value on a recurring basis as of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Pr>
          <w:p>
            <w:pPr>
              <w:spacing w:after="0"/>
              <w:rPr>
                <w:sz w:val="22"/>
                <w:szCs w:val="22"/>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Agency securities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53,729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55,482</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Agency securities transferred to consolidated VIEs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U.S. Treasury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2,427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Swaptions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57,156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580" w:type="dxa"/>
            <w:vAlign w:val="bottom"/>
          </w:tcPr>
          <w:p>
            <w:pPr>
              <w:ind w:left="200"/>
              <w:spacing w:after="0" w:line="157" w:lineRule="exact"/>
              <w:rPr>
                <w:sz w:val="20"/>
                <w:szCs w:val="20"/>
                <w:color w:val="auto"/>
              </w:rPr>
            </w:pPr>
            <w:r>
              <w:rPr>
                <w:rFonts w:ascii="Arial" w:cs="Arial" w:eastAsia="Arial" w:hAnsi="Arial"/>
                <w:sz w:val="14"/>
                <w:szCs w:val="14"/>
                <w:color w:val="auto"/>
              </w:rPr>
              <w:t>Obligation to return U.S. Treasury securities borrowed under reverse</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580" w:type="dxa"/>
            <w:vAlign w:val="bottom"/>
          </w:tcPr>
          <w:p>
            <w:pPr>
              <w:ind w:left="200"/>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1,309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5,363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Pr>
          <w:p>
            <w:pPr>
              <w:ind w:left="200"/>
              <w:spacing w:after="0"/>
              <w:rPr>
                <w:sz w:val="20"/>
                <w:szCs w:val="20"/>
                <w:color w:val="auto"/>
              </w:rPr>
            </w:pPr>
            <w:r>
              <w:rPr>
                <w:rFonts w:ascii="Arial" w:cs="Arial" w:eastAsia="Arial" w:hAnsi="Arial"/>
                <w:sz w:val="14"/>
                <w:szCs w:val="14"/>
                <w:color w:val="auto"/>
              </w:rPr>
              <w:t>TBA securities</w:t>
            </w: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 Treasury futures</w:t>
            </w: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the fair value of the agency MBS transferred to consolidated VIEs, less the fair value of our retained interests, which are based on valuations obtained from third-party pricing services and non-binding dealer quotes derived from common market pricing methods using "Level 2" inputs.</w:t>
      </w:r>
    </w:p>
    <w:p>
      <w:pPr>
        <w:spacing w:after="0" w:line="10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Excluded from the table above are financial instruments, including cash and cash equivalents, restricted cash, receivables, payables and borrowings under repurchase agreements and FHLB advances, which are presented in our consolidated financial statements at cost. The cost basis of these instruments is determined to approximate fair value due to their short duration or, in the case of longer-term repo and FHLB advances, due to floating rates of interest based on an index plus or minus a fixed spread which is consistent with fixed spreads demanded in the market. We estimate the fair value of these instruments using "Level 2"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September 30, 2015,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April 2012, we completed a public offering in which 6.9 million shares of our Series A Preferred Stock were sold to the underwriters at a price of $24.2125 per share for proceeds, net of offering expenses, of $167 million. In May 2014, we completed a public offering in which 7.0 million depositary shares were sold to the underwriters at a price of $24.2125 per depositary share for proceeds, net of offering expenses, of $169 million. Each depositary share represents a 1/1,000th interest in a share of our Series B Preferred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6" w:name="page27"/>
    <w:bookmarkEnd w:id="26"/>
    <w:p>
      <w:pPr>
        <w:jc w:val="both"/>
        <w:ind w:firstLine="405"/>
        <w:spacing w:after="0" w:line="253" w:lineRule="auto"/>
        <w:rPr>
          <w:sz w:val="20"/>
          <w:szCs w:val="20"/>
          <w:color w:val="auto"/>
        </w:rPr>
      </w:pPr>
      <w:r>
        <w:rPr>
          <w:rFonts w:ascii="Arial" w:cs="Arial" w:eastAsia="Arial" w:hAnsi="Arial"/>
          <w:sz w:val="18"/>
          <w:szCs w:val="18"/>
          <w:color w:val="auto"/>
        </w:rPr>
        <w:t>Our Series A and Series B Preferred Stock have no stated maturity, are not subject to any sinking fund or mandatory redemption and rank on parity with each other. Under certain circumstances upon a change of control, our Series A and Series B Preferred Stock are convertible to shares of our common stock. Holders of our Series A Preferred Stock and depository shares underlying our Series B Preferred Stock have no voting rights, except under limited conditions, and are entitled to receive cumulative cash dividends at a rate of 8.000% and 7.750% per annum, respectively, of their $25.00 per share and $25.00 per depositary share liquidation preference, respectively, before holders of our common stock are entitled to receive any dividends. Shares of our Series A Preferred Stock and depository shares underlying our Series B Preferred Stock are each redeemable at $25.00 per share, plus accumulated and unpaid dividends (whether or not declared) exclusively at our option commencing on April 5, 2017 and May 8, 2019, respectively, or earlier under certain circumstances intended to preserve our qualification as a REIT for federal income tax purposes. Dividends are payable quarterly in arrears on the 15th day of each January, April, July and October. As of September 30, 2015, we had declared all required quarterly dividends on our Series A and Series B Preferred Stock.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a specified amount.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three and nine months ended September 30, 2015, we repurchased approximately 2.4 million and 6.3 million shares, respectively, of our common stock at an average repurchase price of $19.08 and $19.57 per share, respectively, including expenses, totaling $45 million and $124 million, respectively. During the nine months ended September 30, 2014, we repurchased approximately 3.4 million shares of our common stock at an average repurchase price of $22.10 per share, including expenses, totaling $74 million. We did not repurchase any shares of our common stock during the three months ended September 30, 2014. As of September 30, 2015, the total remaining amount authorized for repurchases of our common stock was $868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changes to accumulated OCI for the three and nine months ended September 30, 2015 and 2014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June 30, 2015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June 30,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2015</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1,076</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September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table summarizes reclassifications out of accumulated OCI for the three and nine months ended September 30, 2015 and 2014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5"/>
          </w:tcPr>
          <w:p>
            <w:pPr>
              <w:ind w:left="360"/>
              <w:spacing w:after="0" w:line="145"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700" w:type="dxa"/>
            <w:vAlign w:val="bottom"/>
            <w:gridSpan w:val="4"/>
          </w:tcPr>
          <w:p>
            <w:pPr>
              <w:jc w:val="right"/>
              <w:ind w:right="421"/>
              <w:spacing w:after="0" w:line="145"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3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amounts reclassified from accumulated OCI for</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available-for-sale MBS upon realization</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Gain (loss) on sale of agency securities, net</w:t>
            </w:r>
          </w:p>
        </w:tc>
        <w:tc>
          <w:tcPr>
            <w:tcW w:w="0" w:type="dxa"/>
            <w:vAlign w:val="bottom"/>
          </w:tcPr>
          <w:p>
            <w:pPr>
              <w:spacing w:after="0"/>
              <w:rPr>
                <w:sz w:val="1"/>
                <w:szCs w:val="1"/>
                <w:color w:val="auto"/>
              </w:rPr>
            </w:pPr>
          </w:p>
        </w:tc>
      </w:tr>
      <w:tr>
        <w:trPr>
          <w:trHeight w:val="220"/>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designated as hedges under GAAP, net</w:t>
            </w:r>
          </w:p>
        </w:tc>
        <w:tc>
          <w:tcPr>
            <w:tcW w:w="220" w:type="dxa"/>
            <w:vAlign w:val="bottom"/>
          </w:tcPr>
          <w:p>
            <w:pPr>
              <w:spacing w:after="0"/>
              <w:rPr>
                <w:sz w:val="17"/>
                <w:szCs w:val="17"/>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3"/>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30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On October 13, 2015, our Board of Directors declared a monthly dividend of $0.20 per common share, which will be paid on November 9, 2015, to common stockholders of record as of October 30,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other assets reasonably related to agency securities and up to 10% of our assets in AAA non-agency and commercial mortgage-backed securities (collectively referred to as "AAA non-agency securities").</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generate attractive risk-adjusted returns for distribution to our stockholders through regular monthly dividends from the combination of our net interest income and net realized gains and losses on our investments and hedging activities while preserving our net book value (also referred to as "net asset value", "NAV" and "stockholders' equity"). We fund our investments primarily through borrowings structured as repurchase agreements ("repo").</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with up to 10% of our portfolio consisting of AAA non-agency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and AAA non-agency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and evolving regulations or legal settlements that impact servicing practices or other mortgage related activities.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133" w:lineRule="exact"/>
        <w:rPr>
          <w:sz w:val="20"/>
          <w:szCs w:val="20"/>
          <w:color w:val="auto"/>
        </w:rPr>
      </w:pPr>
    </w:p>
    <w:p>
      <w:pPr>
        <w:jc w:val="both"/>
        <w:ind w:left="660" w:hanging="328"/>
        <w:spacing w:after="0" w:line="272"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23"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38"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27"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11"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in the "to-be-announced" market on a generic pool basis ("TBA securities") and U.S. Treasury securities and U.S. Treasury futures contracts, primarily through short sales. We may also purchase or write put or call options on TBA securities and invest in mortgage and other types of derivative instruments, such as interest and principal-only securities.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investment securities and the benchmark yield on U.S. Treasury securities and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 will not protect our net book value against spread risk and, therefore, the value of our agency securities and our net book value could decline.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first three quarters of 2015 were challenging for the entire fixed income market as global economic weakness, particularly in Europe and China, created uncertainty for the U.S. economic and interest rate outlook. This uncertainty fueled interest rate volatility and wider spreads between most fixed income securities and benchmark interest rates, including agency MBS. Against this backdrop, we prioritized risk management, operating with lower leverage and a smaller net duration gap (the difference between the estimated interest rate sensitivity of our assets and our liabilities and hedges), thereby preserving our ability to take advantage of potential future opportunities that we believe could enhance our longer-term earnings potential.</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First Quarter Highlights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quarter, U.S. interest rates declined, consistent with the general decline in interest rates across the globe. The yield on the 10-year U.S. Treasury note fell 24 basis points ("bps") to end the first quarter at 1.93%. Despite the modest aggregate decline in interest rates, intra-quarter swings were extreme by historical standards. The yield on the 10-year U.S. Treasury note fell 50 bps in January, increased 60 bps in February and early March, and ended the quarter with another 30 bps decline.</w:t>
      </w:r>
    </w:p>
    <w:p>
      <w:pPr>
        <w:spacing w:after="0" w:line="133"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Prior to the first quarter of 2015, we made several changes to the composition of our asset and hedge portfolios that were intended to mitigate the negative impact of interest rate volatility. In particular, we reduced our exposure to higher coupon, generic agency MBS, reduced leverage and increased our hedges, shortening our net duration gap to less than one year. In the first quarter, we further reduced our “at risk” leverage to 6.4x as of March 31, 2015, compared to 6.9x as of December 31, 2014. Our asset composition, inclusive of our net TBA position, was largely unchanged over the quarter with ≤ 15-year fixed rate securities representing 37% and 30-year fixed rate securities representing 58% of our investment portfolio as of March 31, 2015. Our hedge ratio (defined as the ratio of our interest rate swaps, swaptions and net U.S. Treasury position outstanding to our repurchase agreements, Federal Home Loan Bank advances, other debt and net TBA position outstanding) increased to 78% as of March 31, 2015 from 76% as of December 31, 2014, modestly reducing our net duration gap. Together, these actions muted the month-to-month fluctuations in our net book value and limited our aggregate net book value change to a loss of $(0.21) per common share or -0.8% for the first quarter, despite the considerable intra-quarter moves in interest rates. As a result, economic return for the first quarter was 1.7%, based upon $0.66 in dividends per common share and the $(0.21) decline in our net book value per common share.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Second Quarter Highlights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During the second quarter, interest rates reversed course, more than reversing the decline in the first quarter, with the yield curve steepening appreciably during the quarter. The 10-year U.S. Treasury note ended the quarter at 2.33%, 40 bps higher than March 31, 2015 and 16 bps higher than December 31, 2014. The spread between 2- and 10-year U.S. Treasury rates increased 32 bps to 169 bps as of June 30, 2015. Despite the yield curve steepening, option adjusted spreads (“OAS”), or the spread between agency MBS and other benchmark interest rates adjusted for the cost of the embedded prepayment optionality inherent in agency MBS, widened significantly during the second quarter.</w:t>
      </w:r>
    </w:p>
    <w:p>
      <w:pPr>
        <w:spacing w:after="0" w:line="11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"at risk" leverage declined during the second quarter to 6.1x and our hedge ratio increased to 84% as of June 30, 2015, while our net duration gap extended to approximately one year, largely as a result of higher interest rates and a steeper yield curve. Following moderate portfolio rebalancing actions taken during the quarter, inclusive of our net TBA position, ≤ 15-year fixed rate securities decreased to 34% and 30-year fixed rate securities increased to 61% of our investment portfolio as of June 30, 2015.</w:t>
      </w:r>
    </w:p>
    <w:p>
      <w:pPr>
        <w:spacing w:after="0" w:line="13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Although we entered the second quarter with a very conservative portfolio composition and our lowest “at risk” leverage level since 2008, the combination of higher interest rates, a steeper yield curve and wider mortgage spreads led to a decline in our net book value of $(1.53) per common share to $24.00 per common share as of June 30, 2015 from $25.53 per common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share as of March 31, 2015. Our economic return for the second quarter was a loss of -3.6%, based on $0.62 in dividends per common share and the decline in our net book value per common share.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Third Quarter Highlights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third quarter, interest rates declined and the yield curve flattened moderately. The yield on the 10-year U.S. Treasury note fell 27 bps to 2.06%, while the yield on the 2-year U.S. Treasury remained unchanged during the quarter. More importantly, the spreads on most fixed income instruments, such as corporate, high yield and emerging market debt, widened relative to Treasury and swap benchmark rates. The spread on agency MBS relative to our interest rate swap hedges also widened materially during the quarter, driving a $(1.00) per common share decline in our net book value to $23.00 per common share as of September 30, 2015. Including $0.60 in dividends per common share, economic return for the quarter was a loss of -1.7%.</w:t>
      </w:r>
    </w:p>
    <w:p>
      <w:pPr>
        <w:spacing w:after="0" w:line="10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Given the cumulative spread widening during the second and third quarters, we chose to increase our “at risk” leverage to 6.8x as of September 30, 2015, with the majority of our asset purchases concentrated in 30 year MBS, as we continued to reduce our position in shorter duration, lower yielding ≤ 15 year MBS. Inclusive of our net TBA position, ≤ 15-year fixed rate securities declined to 29% and 30-year fixed rate securities increased to 66% of our investment portfolio as of September 30, 2015. Our net duration gap decreased to less than half a year during the quarter, with an increase in our hedge ratio to 96% of our funding liabilities as of September, 30, 2015 and the significant decline in swap rates and corresponding reduction in our asset duration.</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Net spread and dollar roll income during the third quarter (a non-GAAP measure further defined below) decreased to $0.41 per common share for the third quarter, compared to $0.70 and $0.65 per common share for the second and first quarters, respectively. Excluding “catch-up” premium amortization due to changes in forecasted prepayment rates, net spread and dollar roll income decreased to $0.51 per common share for the third quarter from $0.60 and $0.70 per common share for the second and first quarters, respectively. The sequential quarterly decline was due to the combination of lower leverage and higher funding costs, with the latter consisting of higher repo costs, a higher percentage of interest rate swaps outstanding relative to our agency borrowings and weaker funding levels in the dollar roll market.</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we look forward, if spreads on agency MBS continue to widen or if interest rate volatility returns to more normal levels, we would expect to opportunistically reposition our portfolio toward more normal risk levels, which would likely mean increasing leverage and/or increasing our net duration gap, potentially improving our expected return on equity.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For the estimated impact of changes in interests rates and mortgage spreads on our net book value please refer to </w:t>
      </w:r>
      <w:r>
        <w:rPr>
          <w:rFonts w:ascii="Arial" w:cs="Arial" w:eastAsia="Arial" w:hAnsi="Arial"/>
          <w:sz w:val="18"/>
          <w:szCs w:val="18"/>
          <w:i w:val="1"/>
          <w:iCs w:val="1"/>
          <w:color w:val="auto"/>
        </w:rPr>
        <w:t>"Quantitative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under Item 3 of this Quarterly Report on Form 10-Q.</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During the second and third quarters, we repurchased approximately 4.0 million and 2.4 million shares of our common stock, respectively, at an average price of $19.86 and $19.08, respectively, per common share, including expenses, totaling $79 million and $45 million, respectively. Our decision to repurchase shares of our common stock is based on a variety of factors, including our price to net book value ratio, an assessment of the overall MBS landscape, our views on interest rates and our overall expectations about the drivers and sustainability of share price weakness among other factors. Since commencing a stock repurchase program in the fourth quarter of 2012, we have repurchased 52.7 million shares of our outstanding common stock for total consideration of approximately $1.1 billion, including expenses. As of September 30, 2015, we had $0.9 billion available under our current Board of Director authorization for repurchases of our common stock. In October 2015, our Board of Directors extended its authorization through December 31, 2016.</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Modification to Investment Guidelines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October 2015, our Board of Directors approved limited investments of up to 10% of our assets in AAA non-agency and commercial mortgage-backed securities. We believe this modification to our investment guidelines offers incremental return potential with limited credit exposure, while ensuring that our investment portfolio remains highly liquid.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2" w:name="page33"/>
    <w:bookmarkEnd w:id="32"/>
    <w:p>
      <w:pPr>
        <w:ind w:left="420"/>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interest rates and prices of generic fixed rate agency mortgage-backed securities as of each date presented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 31,</w:t>
            </w: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Sept. 30,</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Sept. 30, 2015</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 30, 2015</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8"/>
                <w:szCs w:val="8"/>
                <w:b w:val="1"/>
                <w:bCs w:val="1"/>
                <w:color w:val="auto"/>
              </w:rPr>
              <w:t>1</w:t>
            </w:r>
          </w:p>
        </w:tc>
        <w:tc>
          <w:tcPr>
            <w:tcW w:w="14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1"/>
              </w:rPr>
              <w:t>vs.</w:t>
            </w:r>
          </w:p>
        </w:tc>
        <w:tc>
          <w:tcPr>
            <w:tcW w:w="640" w:type="dxa"/>
            <w:vAlign w:val="bottom"/>
          </w:tcPr>
          <w:p>
            <w:pPr>
              <w:spacing w:after="0"/>
              <w:rPr>
                <w:sz w:val="12"/>
                <w:szCs w:val="12"/>
                <w:color w:val="auto"/>
              </w:rPr>
            </w:pPr>
          </w:p>
        </w:tc>
        <w:tc>
          <w:tcPr>
            <w:tcW w:w="86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2015</w:t>
            </w:r>
          </w:p>
        </w:tc>
        <w:tc>
          <w:tcPr>
            <w:tcW w:w="120" w:type="dxa"/>
            <w:vAlign w:val="bottom"/>
          </w:tcPr>
          <w:p>
            <w:pPr>
              <w:spacing w:after="0"/>
              <w:rPr>
                <w:sz w:val="16"/>
                <w:szCs w:val="16"/>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Dec. 31, 2014</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b w:val="1"/>
                <w:bCs w:val="1"/>
                <w:color w:val="auto"/>
              </w:rPr>
              <w:t>LIBOR:</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0.19%</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0.33%</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+0.05</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640" w:type="dxa"/>
            <w:vAlign w:val="bottom"/>
          </w:tcPr>
          <w:p>
            <w:pPr>
              <w:jc w:val="right"/>
              <w:spacing w:after="0"/>
              <w:rPr>
                <w:sz w:val="20"/>
                <w:szCs w:val="20"/>
                <w:color w:val="auto"/>
              </w:rPr>
            </w:pPr>
            <w:r>
              <w:rPr>
                <w:rFonts w:ascii="Arial" w:cs="Arial" w:eastAsia="Arial" w:hAnsi="Arial"/>
                <w:sz w:val="14"/>
                <w:szCs w:val="14"/>
                <w:color w:val="auto"/>
              </w:rPr>
              <w:t>+0.07</w:t>
            </w:r>
          </w:p>
        </w:tc>
        <w:tc>
          <w:tcPr>
            <w:tcW w:w="860" w:type="dxa"/>
            <w:vAlign w:val="bottom"/>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0.64%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1.08%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0.92%</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-0.07</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640" w:type="dxa"/>
            <w:vAlign w:val="bottom"/>
          </w:tcPr>
          <w:p>
            <w:pPr>
              <w:jc w:val="right"/>
              <w:spacing w:after="0"/>
              <w:rPr>
                <w:sz w:val="20"/>
                <w:szCs w:val="20"/>
                <w:color w:val="auto"/>
              </w:rPr>
            </w:pPr>
            <w:r>
              <w:rPr>
                <w:rFonts w:ascii="Arial" w:cs="Arial" w:eastAsia="Arial" w:hAnsi="Arial"/>
                <w:sz w:val="14"/>
                <w:szCs w:val="14"/>
                <w:color w:val="auto"/>
              </w:rPr>
              <w:t>-0.16</w:t>
            </w:r>
          </w:p>
        </w:tc>
        <w:tc>
          <w:tcPr>
            <w:tcW w:w="860" w:type="dxa"/>
            <w:vAlign w:val="bottom"/>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1.65%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1.37%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2.17%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1.93%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2.33%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2.06%</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-0.27</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640" w:type="dxa"/>
            <w:vAlign w:val="bottom"/>
          </w:tcPr>
          <w:p>
            <w:pPr>
              <w:jc w:val="right"/>
              <w:spacing w:after="0"/>
              <w:rPr>
                <w:sz w:val="20"/>
                <w:szCs w:val="20"/>
                <w:color w:val="auto"/>
              </w:rPr>
            </w:pPr>
            <w:r>
              <w:rPr>
                <w:rFonts w:ascii="Arial" w:cs="Arial" w:eastAsia="Arial" w:hAnsi="Arial"/>
                <w:sz w:val="14"/>
                <w:szCs w:val="14"/>
                <w:color w:val="auto"/>
              </w:rPr>
              <w:t>-0.11</w:t>
            </w:r>
          </w:p>
        </w:tc>
        <w:tc>
          <w:tcPr>
            <w:tcW w:w="860" w:type="dxa"/>
            <w:vAlign w:val="bottom"/>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0.89%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0.76%</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1.29%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1.11%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1.24%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0.99%</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-0.25</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640" w:type="dxa"/>
            <w:vAlign w:val="bottom"/>
          </w:tcPr>
          <w:p>
            <w:pPr>
              <w:jc w:val="right"/>
              <w:spacing w:after="0"/>
              <w:rPr>
                <w:sz w:val="20"/>
                <w:szCs w:val="20"/>
                <w:color w:val="auto"/>
              </w:rPr>
            </w:pPr>
            <w:r>
              <w:rPr>
                <w:rFonts w:ascii="Arial" w:cs="Arial" w:eastAsia="Arial" w:hAnsi="Arial"/>
                <w:sz w:val="14"/>
                <w:szCs w:val="14"/>
                <w:color w:val="auto"/>
              </w:rPr>
              <w:t>-0.30</w:t>
            </w:r>
          </w:p>
        </w:tc>
        <w:tc>
          <w:tcPr>
            <w:tcW w:w="860" w:type="dxa"/>
            <w:vAlign w:val="bottom"/>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1.40%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2.65%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2.29%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2.03%</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2.44%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2.01%</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-0.43</w:t>
            </w:r>
          </w:p>
        </w:tc>
        <w:tc>
          <w:tcPr>
            <w:tcW w:w="960" w:type="dxa"/>
            <w:vAlign w:val="bottom"/>
            <w:gridSpan w:val="2"/>
          </w:tcPr>
          <w:p>
            <w:pPr>
              <w:ind w:left="120"/>
              <w:spacing w:after="0"/>
              <w:rPr>
                <w:sz w:val="20"/>
                <w:szCs w:val="20"/>
                <w:color w:val="auto"/>
              </w:rPr>
            </w:pPr>
            <w:r>
              <w:rPr>
                <w:rFonts w:ascii="Arial" w:cs="Arial" w:eastAsia="Arial" w:hAnsi="Arial"/>
                <w:sz w:val="14"/>
                <w:szCs w:val="14"/>
                <w:color w:val="auto"/>
              </w:rPr>
              <w:t>bps</w:t>
            </w:r>
          </w:p>
        </w:tc>
        <w:tc>
          <w:tcPr>
            <w:tcW w:w="640" w:type="dxa"/>
            <w:vAlign w:val="bottom"/>
          </w:tcPr>
          <w:p>
            <w:pPr>
              <w:jc w:val="right"/>
              <w:spacing w:after="0"/>
              <w:rPr>
                <w:sz w:val="20"/>
                <w:szCs w:val="20"/>
                <w:color w:val="auto"/>
              </w:rPr>
            </w:pPr>
            <w:r>
              <w:rPr>
                <w:rFonts w:ascii="Arial" w:cs="Arial" w:eastAsia="Arial" w:hAnsi="Arial"/>
                <w:sz w:val="14"/>
                <w:szCs w:val="14"/>
                <w:color w:val="auto"/>
              </w:rPr>
              <w:t>-0.28</w:t>
            </w:r>
          </w:p>
        </w:tc>
        <w:tc>
          <w:tcPr>
            <w:tcW w:w="860" w:type="dxa"/>
            <w:vAlign w:val="bottom"/>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2.39%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2.92%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bps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342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$98.59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$101.22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$102.25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$99.58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$101.34</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+$1.76</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+$0.12</w:t>
            </w:r>
          </w:p>
        </w:tc>
        <w:tc>
          <w:tcPr>
            <w:tcW w:w="0" w:type="dxa"/>
            <w:vAlign w:val="bottom"/>
          </w:tcPr>
          <w:p>
            <w:pPr>
              <w:spacing w:after="0"/>
              <w:rPr>
                <w:sz w:val="1"/>
                <w:szCs w:val="1"/>
                <w:color w:val="auto"/>
              </w:rPr>
            </w:pPr>
          </w:p>
        </w:tc>
      </w:tr>
      <w:tr>
        <w:trPr>
          <w:trHeight w:val="264"/>
        </w:trPr>
        <w:tc>
          <w:tcPr>
            <w:tcW w:w="328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$102.23</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$104.28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$105.05</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$103.02</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$104.31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+$1.29</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+$0.03</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$105.41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$106.75</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$106.92</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$105.91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$106.67</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+$0.76</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-$0.08</w:t>
            </w:r>
          </w:p>
        </w:tc>
        <w:tc>
          <w:tcPr>
            <w:tcW w:w="0" w:type="dxa"/>
            <w:vAlign w:val="bottom"/>
          </w:tcPr>
          <w:p>
            <w:pPr>
              <w:spacing w:after="0"/>
              <w:rPr>
                <w:sz w:val="1"/>
                <w:szCs w:val="1"/>
                <w:color w:val="auto"/>
              </w:rPr>
            </w:pPr>
          </w:p>
        </w:tc>
      </w:tr>
      <w:tr>
        <w:trPr>
          <w:trHeight w:val="264"/>
        </w:trPr>
        <w:tc>
          <w:tcPr>
            <w:tcW w:w="3280" w:type="dxa"/>
            <w:vAlign w:val="bottom"/>
          </w:tcPr>
          <w:p>
            <w:pPr>
              <w:ind w:left="200"/>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$107.91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$108.56</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$109.08</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$108.09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$108.41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+$0.32</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0"/>
              </w:rPr>
              <w:t>-$0.15</w:t>
            </w:r>
          </w:p>
        </w:tc>
        <w:tc>
          <w:tcPr>
            <w:tcW w:w="0" w:type="dxa"/>
            <w:vAlign w:val="bottom"/>
          </w:tcPr>
          <w:p>
            <w:pPr>
              <w:spacing w:after="0"/>
              <w:rPr>
                <w:sz w:val="1"/>
                <w:szCs w:val="1"/>
                <w:color w:val="auto"/>
              </w:rPr>
            </w:pPr>
          </w:p>
        </w:tc>
      </w:tr>
      <w:tr>
        <w:trPr>
          <w:trHeight w:val="276"/>
        </w:trPr>
        <w:tc>
          <w:tcPr>
            <w:tcW w:w="34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200"/>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$100.55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$101.81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$102.71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$101.17</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$101.94</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+$0.77</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+$0.13</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$102.98</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$104.83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$103.57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$104.11</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+$0.54</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+$0.20</w:t>
            </w:r>
          </w:p>
        </w:tc>
        <w:tc>
          <w:tcPr>
            <w:tcW w:w="0" w:type="dxa"/>
            <w:vAlign w:val="bottom"/>
          </w:tcPr>
          <w:p>
            <w:pPr>
              <w:spacing w:after="0"/>
              <w:rPr>
                <w:sz w:val="1"/>
                <w:szCs w:val="1"/>
                <w:color w:val="auto"/>
              </w:rPr>
            </w:pPr>
          </w:p>
        </w:tc>
      </w:tr>
      <w:tr>
        <w:trPr>
          <w:trHeight w:val="264"/>
        </w:trPr>
        <w:tc>
          <w:tcPr>
            <w:tcW w:w="3280" w:type="dxa"/>
            <w:vAlign w:val="bottom"/>
          </w:tcPr>
          <w:p>
            <w:pPr>
              <w:ind w:left="200"/>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$105.11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$105.61</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$106.09</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$105.44</w:t>
            </w:r>
          </w:p>
        </w:tc>
        <w:tc>
          <w:tcPr>
            <w:tcW w:w="1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$105.61</w:t>
            </w:r>
          </w:p>
        </w:tc>
        <w:tc>
          <w:tcPr>
            <w:tcW w:w="120" w:type="dxa"/>
            <w:vAlign w:val="bottom"/>
          </w:tcPr>
          <w:p>
            <w:pPr>
              <w:spacing w:after="0"/>
              <w:rPr>
                <w:sz w:val="22"/>
                <w:szCs w:val="22"/>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w w:val="92"/>
              </w:rPr>
              <w:t>+$0.17</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jc w:val="center"/>
              <w:ind w:right="5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$105.69</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$105.59</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$105.06</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$104.77</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-$0.29</w:t>
            </w: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-$1.29</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on such date and can vary by source. Prices and interest rates in the table above were obtained from Barclays. LIBOR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1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20" w:type="dxa"/>
            <w:vAlign w:val="bottom"/>
            <w:vMerge w:val="restart"/>
          </w:tcPr>
          <w:p>
            <w:pPr>
              <w:spacing w:after="0"/>
              <w:rPr>
                <w:sz w:val="14"/>
                <w:szCs w:val="14"/>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w:t>
            </w:r>
          </w:p>
        </w:tc>
        <w:tc>
          <w:tcPr>
            <w:tcW w:w="64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Apr.</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w:t>
            </w: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w:t>
            </w: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Sep.</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4320" w:type="dxa"/>
            <w:vAlign w:val="bottom"/>
            <w:gridSpan w:val="2"/>
          </w:tcPr>
          <w:p>
            <w:pPr>
              <w:ind w:left="20"/>
              <w:spacing w:after="0"/>
              <w:rPr>
                <w:sz w:val="20"/>
                <w:szCs w:val="20"/>
                <w:color w:val="auto"/>
              </w:rPr>
            </w:pPr>
            <w:r>
              <w:rPr>
                <w:rFonts w:ascii="Arial" w:cs="Arial" w:eastAsia="Arial" w:hAnsi="Arial"/>
                <w:sz w:val="14"/>
                <w:szCs w:val="14"/>
                <w:color w:val="auto"/>
              </w:rPr>
              <w:t>AGNC portfolio</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5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52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-163195</wp:posOffset>
            </wp:positionV>
            <wp:extent cx="665480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________________________</w:t>
      </w:r>
    </w:p>
    <w:p>
      <w:pPr>
        <w:spacing w:after="0" w:line="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2015 and December 31, 2014, our investment portfolio consisted of $54.8 billion and $56.7 billion of agency MBS, respectively, and a $7.4 billion and $14.8 billion net long TBA position, at fair value, respectively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September 30, 2015</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31, 2014</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and Net TBA Securities</w:t>
            </w:r>
          </w:p>
        </w:tc>
        <w:tc>
          <w:tcPr>
            <w:tcW w:w="2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3"/>
                <w:szCs w:val="13"/>
                <w:color w:val="auto"/>
              </w:rPr>
            </w:pPr>
          </w:p>
        </w:tc>
        <w:tc>
          <w:tcPr>
            <w:tcW w:w="106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3"/>
                <w:szCs w:val="13"/>
                <w:color w:val="auto"/>
              </w:rPr>
            </w:pPr>
          </w:p>
        </w:tc>
        <w:tc>
          <w:tcPr>
            <w:tcW w:w="10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Average</w:t>
            </w: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Coupon</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160"/>
              <w:spacing w:after="0"/>
              <w:rPr>
                <w:sz w:val="20"/>
                <w:szCs w:val="20"/>
                <w:color w:val="auto"/>
              </w:rPr>
            </w:pPr>
            <w:r>
              <w:rPr>
                <w:rFonts w:ascii="Arial" w:cs="Arial" w:eastAsia="Arial" w:hAnsi="Arial"/>
                <w:sz w:val="14"/>
                <w:szCs w:val="14"/>
                <w:color w:val="auto"/>
              </w:rPr>
              <w:t>≤ 15-year</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 agency 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18,437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23,021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15-year net (short) long TBA securities</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3,360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 15-year</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17,865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18,173</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26,381</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20-year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30-year</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30-year agency MBS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33,124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33,283</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54 %</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30,180</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30-year net long TBA securities</w:t>
            </w: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7,527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7,650</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11,408</w:t>
            </w:r>
          </w:p>
        </w:tc>
        <w:tc>
          <w:tcPr>
            <w:tcW w:w="120" w:type="dxa"/>
            <w:vAlign w:val="bottom"/>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Total 30-year</w:t>
            </w: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40,651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40,933</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66 %</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41,247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41,588</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59,618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60,248</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2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68,521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69,241</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Adjustable rate</w:t>
            </w: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2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CMO</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2 %</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33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80" w:type="dxa"/>
            <w:vAlign w:val="bottom"/>
            <w:gridSpan w:val="2"/>
          </w:tcPr>
          <w:p>
            <w:pPr>
              <w:ind w:left="280"/>
              <w:spacing w:after="0"/>
              <w:rPr>
                <w:sz w:val="20"/>
                <w:szCs w:val="20"/>
                <w:color w:val="auto"/>
              </w:rPr>
            </w:pPr>
            <w:r>
              <w:rPr>
                <w:rFonts w:ascii="Arial" w:cs="Arial" w:eastAsia="Arial" w:hAnsi="Arial"/>
                <w:sz w:val="14"/>
                <w:szCs w:val="14"/>
                <w:color w:val="auto"/>
              </w:rPr>
              <w:t>Principal-only strips</w:t>
            </w: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CMO</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1,404</w:t>
            </w: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1,597</w:t>
            </w:r>
          </w:p>
        </w:tc>
        <w:tc>
          <w:tcPr>
            <w:tcW w:w="12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61,480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62,203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71,516</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September 30, 2015 and December 31, 2014, our TBA position had a net carrying value of $120 million and $192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ind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fixed rate portfolio, inclusive of our net TBA position as of September 30, 2015 and December 31, 2014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8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4,421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4,451</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101.9%</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73%</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4,837</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90%</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3,902</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104.4%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104.8%</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61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103.8%</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6.53%</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17,301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18,173</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76%</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104.4%</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3.35%</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101.9%</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420" w:type="dxa"/>
            <w:vAlign w:val="bottom"/>
            <w:gridSpan w:val="2"/>
          </w:tcPr>
          <w:p>
            <w:pPr>
              <w:ind w:left="28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6,999</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100.7%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17,119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17,869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17,916</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104.7%</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13,828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13,908</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51%</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106.6%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38%</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109.2%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38,917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40,651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40,932</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44%</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57,299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59,618</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60,247</w:t>
            </w:r>
          </w:p>
        </w:tc>
        <w:tc>
          <w:tcPr>
            <w:tcW w:w="10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1260" w:type="dxa"/>
            <w:vAlign w:val="bottom"/>
            <w:gridSpan w:val="3"/>
          </w:tcPr>
          <w:p>
            <w:pPr>
              <w:jc w:val="center"/>
              <w:ind w:left="168"/>
              <w:spacing w:after="0"/>
              <w:rPr>
                <w:sz w:val="20"/>
                <w:szCs w:val="20"/>
                <w:color w:val="auto"/>
              </w:rPr>
            </w:pPr>
            <w:r>
              <w:rPr>
                <w:rFonts w:ascii="Arial" w:cs="Arial" w:eastAsia="Arial" w:hAnsi="Arial"/>
                <w:sz w:val="14"/>
                <w:szCs w:val="14"/>
                <w:color w:val="auto"/>
                <w:w w:val="96"/>
              </w:rPr>
              <w:t>104.3%</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$98,000 and $97,000 for 15-year and 30-year securities, respectively, as of September 30, 2015.</w:t>
      </w:r>
    </w:p>
    <w:p>
      <w:pPr>
        <w:jc w:val="both"/>
        <w:ind w:left="660" w:right="2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110% and 124% for 15-year and 30-year securities, respectively, as of September 30, 2015. Includes $1.0 billion and $3.6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September 30, 2015.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Includes Net TBA Position</w:t>
            </w: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rPr>
              <w:t>Excludes Net TBA Position</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Lower</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4"/>
          </w:tcPr>
          <w:p>
            <w:pPr>
              <w:ind w:left="20"/>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220" w:type="dxa"/>
            <w:vAlign w:val="bottom"/>
          </w:tcPr>
          <w:p>
            <w:pPr>
              <w:spacing w:after="0"/>
              <w:rPr>
                <w:sz w:val="4"/>
                <w:szCs w:val="4"/>
                <w:color w:val="auto"/>
              </w:rPr>
            </w:pPr>
          </w:p>
        </w:tc>
        <w:tc>
          <w:tcPr>
            <w:tcW w:w="112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Fixed Rate Securities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0"/>
              </w:rPr>
              <w:t>Par Value</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3</w:t>
            </w:r>
          </w:p>
        </w:tc>
        <w:tc>
          <w:tcPr>
            <w:tcW w:w="100" w:type="dxa"/>
            <w:vAlign w:val="bottom"/>
            <w:vMerge w:val="restart"/>
          </w:tcPr>
          <w:p>
            <w:pPr>
              <w:spacing w:after="0"/>
              <w:rPr>
                <w:sz w:val="5"/>
                <w:szCs w:val="5"/>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4</w:t>
            </w:r>
          </w:p>
        </w:tc>
        <w:tc>
          <w:tcPr>
            <w:tcW w:w="100" w:type="dxa"/>
            <w:vAlign w:val="bottom"/>
            <w:vMerge w:val="restart"/>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0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1,2</w:t>
            </w:r>
          </w:p>
        </w:tc>
        <w:tc>
          <w:tcPr>
            <w:tcW w:w="2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64"/>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7,828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7,972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7,993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7,950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103.1%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103.6%</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4,776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105.0%</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2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104.2%</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26,042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26,381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103.2%</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42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5"/>
              </w:rPr>
              <w:t>99.3%</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99%</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106.8%</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106.0%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5.91%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6"/>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42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5"/>
              </w:rPr>
              <w:t>98.9%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17,970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18,765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49%</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105.2%</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13,551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61%</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106.4%</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30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1,868</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106.5%</w:t>
            </w:r>
          </w:p>
        </w:tc>
        <w:tc>
          <w:tcPr>
            <w:tcW w:w="10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2"/>
                <w:szCs w:val="22"/>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43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4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36%</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108.9%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96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4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41,247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41,588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22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6"/>
              </w:rPr>
              <w:t>105.6%</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fixed rate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66,040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68,521</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69,241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53%</w:t>
            </w:r>
          </w:p>
        </w:tc>
        <w:tc>
          <w:tcPr>
            <w:tcW w:w="1240" w:type="dxa"/>
            <w:vAlign w:val="bottom"/>
            <w:gridSpan w:val="2"/>
          </w:tcPr>
          <w:p>
            <w:pPr>
              <w:jc w:val="center"/>
              <w:ind w:left="148"/>
              <w:spacing w:after="0"/>
              <w:rPr>
                <w:sz w:val="20"/>
                <w:szCs w:val="20"/>
                <w:color w:val="auto"/>
              </w:rPr>
            </w:pPr>
            <w:r>
              <w:rPr>
                <w:rFonts w:ascii="Arial" w:cs="Arial" w:eastAsia="Arial" w:hAnsi="Arial"/>
                <w:sz w:val="14"/>
                <w:szCs w:val="14"/>
                <w:color w:val="auto"/>
                <w:w w:val="96"/>
              </w:rPr>
              <w:t>104.5%</w:t>
            </w:r>
          </w:p>
        </w:tc>
        <w:tc>
          <w:tcPr>
            <w:tcW w:w="10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1"/>
                <w:szCs w:val="21"/>
                <w:color w:val="auto"/>
              </w:rPr>
            </w:pPr>
          </w:p>
        </w:tc>
        <w:tc>
          <w:tcPr>
            <w:tcW w:w="800" w:type="dxa"/>
            <w:vAlign w:val="bottom"/>
          </w:tcPr>
          <w:p>
            <w:pPr>
              <w:ind w:left="22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29</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3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$96,000 for 15-year and 30-year securities, respectively, as of December 31, 2014.</w:t>
      </w:r>
    </w:p>
    <w:p>
      <w:pPr>
        <w:ind w:left="980" w:hanging="648"/>
        <w:spacing w:after="0" w:line="241" w:lineRule="auto"/>
        <w:tabs>
          <w:tab w:leader="none" w:pos="6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109% and 118% for 15-year and 30-year securities, respectively, as of December 31, 2014. Includes $934 million and $3.1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2014.</w:t>
      </w:r>
    </w:p>
    <w:p>
      <w:pPr>
        <w:spacing w:after="0" w:line="1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2015 and December 31, 2014, the combined weighted average yield of our agency MBS portfolio, inclusive of interest and principal-only strips, was 2.76% and 2.74%, respectively.</w:t>
      </w:r>
    </w:p>
    <w:p>
      <w:pPr>
        <w:spacing w:after="0" w:line="116"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Our pass-through agency MBS collateralized by adjustable rate mortgage loans ("ARMs") have coupons linked to various indices. As of September 30, 2015 and December 31, 2014, our ARM securities had a weighted average next reset date of 47 months and 51 months, respectively.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68" w:right="239" w:bottom="1440" w:gutter="0" w:footer="0" w:header="0"/>
        </w:sectPr>
      </w:pPr>
    </w:p>
    <w:bookmarkStart w:id="36" w:name="page37"/>
    <w:bookmarkEnd w:id="36"/>
    <w:p>
      <w:pPr>
        <w:jc w:val="both"/>
        <w:spacing w:after="0" w:line="270" w:lineRule="auto"/>
        <w:rPr>
          <w:sz w:val="20"/>
          <w:szCs w:val="20"/>
          <w:color w:val="auto"/>
        </w:rPr>
      </w:pPr>
      <w:r>
        <w:rPr>
          <w:rFonts w:ascii="Arial" w:cs="Arial" w:eastAsia="Arial" w:hAnsi="Arial"/>
          <w:sz w:val="17"/>
          <w:szCs w:val="17"/>
          <w:color w:val="auto"/>
        </w:rPr>
        <w:t>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 (ii) 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September 30, 2015 and December 31, 2014 and our condensed consolidated statements of comprehensive income and key statistics for the three and nine months ended September 30, 2015 and 2014 (in millions, except per share amounts):</w:t>
      </w:r>
    </w:p>
    <w:p>
      <w:pPr>
        <w:spacing w:after="0" w:line="34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5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7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portfolio,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54,817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56,748</w:t>
            </w:r>
          </w:p>
        </w:tc>
        <w:tc>
          <w:tcPr>
            <w:tcW w:w="0" w:type="dxa"/>
            <w:vAlign w:val="bottom"/>
          </w:tcPr>
          <w:p>
            <w:pPr>
              <w:spacing w:after="0"/>
              <w:rPr>
                <w:sz w:val="1"/>
                <w:szCs w:val="1"/>
                <w:color w:val="auto"/>
              </w:rPr>
            </w:pP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60,609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67,766</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Federal Home Loan Bank advances and other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45,142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51,057</w:t>
            </w:r>
          </w:p>
        </w:tc>
        <w:tc>
          <w:tcPr>
            <w:tcW w:w="0" w:type="dxa"/>
            <w:vAlign w:val="bottom"/>
          </w:tcPr>
          <w:p>
            <w:pPr>
              <w:spacing w:after="0"/>
              <w:rPr>
                <w:sz w:val="1"/>
                <w:szCs w:val="1"/>
                <w:color w:val="auto"/>
              </w:rPr>
            </w:pPr>
          </w:p>
        </w:tc>
      </w:tr>
      <w:tr>
        <w:trPr>
          <w:trHeight w:val="237"/>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52,293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58,338</w:t>
            </w:r>
          </w:p>
        </w:tc>
        <w:tc>
          <w:tcPr>
            <w:tcW w:w="0" w:type="dxa"/>
            <w:vAlign w:val="bottom"/>
          </w:tcPr>
          <w:p>
            <w:pPr>
              <w:spacing w:after="0"/>
              <w:rPr>
                <w:sz w:val="1"/>
                <w:szCs w:val="1"/>
                <w:color w:val="auto"/>
              </w:rPr>
            </w:pPr>
          </w:p>
        </w:tc>
      </w:tr>
      <w:tr>
        <w:trPr>
          <w:trHeight w:val="33"/>
        </w:trPr>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9,428</w:t>
            </w:r>
          </w:p>
        </w:tc>
        <w:tc>
          <w:tcPr>
            <w:tcW w:w="0" w:type="dxa"/>
            <w:vAlign w:val="bottom"/>
          </w:tcPr>
          <w:p>
            <w:pPr>
              <w:spacing w:after="0"/>
              <w:rPr>
                <w:sz w:val="1"/>
                <w:szCs w:val="1"/>
                <w:color w:val="auto"/>
              </w:rPr>
            </w:pPr>
          </w:p>
        </w:tc>
      </w:tr>
      <w:tr>
        <w:trPr>
          <w:trHeight w:val="311"/>
        </w:trPr>
        <w:tc>
          <w:tcPr>
            <w:tcW w:w="7600" w:type="dxa"/>
            <w:vAlign w:val="bottom"/>
            <w:gridSpan w:val="2"/>
          </w:tcPr>
          <w:p>
            <w:pPr>
              <w:ind w:left="2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92"/>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r>
      <w:tr>
        <w:trPr>
          <w:trHeight w:val="26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295</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1,092</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1,141</w:t>
            </w:r>
          </w:p>
        </w:tc>
      </w:tr>
      <w:tr>
        <w:trPr>
          <w:trHeight w:val="270"/>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77</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244</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291</w:t>
            </w: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850</w:t>
            </w:r>
          </w:p>
        </w:tc>
      </w:tr>
      <w:tr>
        <w:trPr>
          <w:trHeight w:val="25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Other gain (loss), net </w:t>
            </w:r>
            <w:r>
              <w:rPr>
                <w:rFonts w:ascii="Arial" w:cs="Arial" w:eastAsia="Arial" w:hAnsi="Arial"/>
                <w:sz w:val="21"/>
                <w:szCs w:val="21"/>
                <w:color w:val="auto"/>
                <w:vertAlign w:val="superscript"/>
              </w:rPr>
              <w:t>2</w:t>
            </w: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(817)</w:t>
            </w:r>
          </w:p>
        </w:tc>
        <w:tc>
          <w:tcPr>
            <w:tcW w:w="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(1,115)</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(655)</w:t>
            </w:r>
          </w:p>
        </w:tc>
      </w:tr>
      <w:tr>
        <w:trPr>
          <w:trHeight w:val="27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r>
      <w:tr>
        <w:trPr>
          <w:trHeight w:val="21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(633)</w:t>
            </w: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(373)</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89</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84"/>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 (loss) available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(640)</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(394)</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73</w:t>
            </w:r>
          </w:p>
        </w:tc>
      </w:tr>
      <w:tr>
        <w:trPr>
          <w:trHeight w:val="284"/>
        </w:trPr>
        <w:tc>
          <w:tcPr>
            <w:tcW w:w="7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(633)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(373)</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89</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491</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1,180</w:t>
            </w:r>
          </w:p>
        </w:tc>
      </w:tr>
      <w:tr>
        <w:trPr>
          <w:trHeight w:val="21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16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1,269</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r>
      <w:tr>
        <w:trPr>
          <w:trHeight w:val="284"/>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available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(149)</w:t>
            </w: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(329)</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1,253</w:t>
            </w:r>
          </w:p>
        </w:tc>
      </w:tr>
      <w:tr>
        <w:trPr>
          <w:trHeight w:val="284"/>
        </w:trPr>
        <w:tc>
          <w:tcPr>
            <w:tcW w:w="7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90"/>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347.8</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352.8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350.9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353.5</w:t>
            </w:r>
          </w:p>
        </w:tc>
      </w:tr>
      <w:tr>
        <w:trPr>
          <w:trHeight w:val="237"/>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 per common share -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(1.84)</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0.21</w:t>
            </w:r>
          </w:p>
        </w:tc>
      </w:tr>
      <w:tr>
        <w:trPr>
          <w:trHeight w:val="20"/>
        </w:trPr>
        <w:tc>
          <w:tcPr>
            <w:tcW w:w="71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77"/>
        </w:trPr>
        <w:tc>
          <w:tcPr>
            <w:tcW w:w="71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(0.43)</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(0.94)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3.54</w:t>
            </w:r>
          </w:p>
        </w:tc>
      </w:tr>
      <w:tr>
        <w:trPr>
          <w:trHeight w:val="237"/>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0.60</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1.95</w:t>
            </w:r>
          </w:p>
        </w:tc>
      </w:tr>
      <w:tr>
        <w:trPr>
          <w:trHeight w:val="20"/>
        </w:trPr>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r>
      <w:tr>
        <w:trPr>
          <w:trHeight w:val="545"/>
        </w:trPr>
        <w:tc>
          <w:tcPr>
            <w:tcW w:w="7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21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Nine Months Ended September</w:t>
            </w:r>
          </w:p>
        </w:tc>
      </w:tr>
      <w:tr>
        <w:trPr>
          <w:trHeight w:val="192"/>
        </w:trPr>
        <w:tc>
          <w:tcPr>
            <w:tcW w:w="7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2"/>
              </w:rPr>
              <w:t>30,</w:t>
            </w:r>
          </w:p>
        </w:tc>
        <w:tc>
          <w:tcPr>
            <w:tcW w:w="820" w:type="dxa"/>
            <w:vAlign w:val="bottom"/>
            <w:tcBorders>
              <w:bottom w:val="single" w:sz="8" w:color="auto"/>
            </w:tcBorders>
          </w:tcPr>
          <w:p>
            <w:pPr>
              <w:spacing w:after="0"/>
              <w:rPr>
                <w:sz w:val="16"/>
                <w:szCs w:val="16"/>
                <w:color w:val="auto"/>
              </w:rPr>
            </w:pPr>
          </w:p>
        </w:tc>
      </w:tr>
      <w:tr>
        <w:trPr>
          <w:trHeight w:val="264"/>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r>
      <w:tr>
        <w:trPr>
          <w:trHeight w:val="236"/>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agency securities - at par</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$46,610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$50,498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$52,381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$54,955</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Average agency securities - at cost</w:t>
            </w:r>
          </w:p>
        </w:tc>
        <w:tc>
          <w:tcPr>
            <w:tcW w:w="160" w:type="dxa"/>
            <w:vAlign w:val="bottom"/>
          </w:tcPr>
          <w:p>
            <w:pPr>
              <w:spacing w:after="0"/>
              <w:rPr>
                <w:sz w:val="20"/>
                <w:szCs w:val="20"/>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color w:val="auto"/>
                <w:w w:val="89"/>
              </w:rPr>
              <w:t>$48,711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$52,767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$54,682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$57,469</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net TBA portfolio - at cost</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59"/>
              <w:spacing w:after="0"/>
              <w:rPr>
                <w:sz w:val="20"/>
                <w:szCs w:val="20"/>
                <w:color w:val="auto"/>
              </w:rPr>
            </w:pPr>
            <w:r>
              <w:rPr>
                <w:rFonts w:ascii="Arial" w:cs="Arial" w:eastAsia="Arial" w:hAnsi="Arial"/>
                <w:sz w:val="16"/>
                <w:szCs w:val="16"/>
                <w:color w:val="auto"/>
                <w:w w:val="93"/>
              </w:rPr>
              <w:t>$9,434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$15,680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ind w:right="79"/>
              <w:spacing w:after="0"/>
              <w:rPr>
                <w:sz w:val="20"/>
                <w:szCs w:val="20"/>
                <w:color w:val="auto"/>
              </w:rPr>
            </w:pPr>
            <w:r>
              <w:rPr>
                <w:rFonts w:ascii="Arial" w:cs="Arial" w:eastAsia="Arial" w:hAnsi="Arial"/>
                <w:sz w:val="16"/>
                <w:szCs w:val="16"/>
                <w:color w:val="auto"/>
                <w:w w:val="89"/>
              </w:rPr>
              <w:t>$7,464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99"/>
              <w:spacing w:after="0"/>
              <w:rPr>
                <w:sz w:val="20"/>
                <w:szCs w:val="20"/>
                <w:color w:val="auto"/>
              </w:rPr>
            </w:pPr>
            <w:r>
              <w:rPr>
                <w:rFonts w:ascii="Arial" w:cs="Arial" w:eastAsia="Arial" w:hAnsi="Arial"/>
                <w:sz w:val="16"/>
                <w:szCs w:val="16"/>
                <w:color w:val="auto"/>
                <w:w w:val="89"/>
              </w:rPr>
              <w:t>$11,433</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Average total assets - at fair value</w:t>
            </w:r>
          </w:p>
        </w:tc>
        <w:tc>
          <w:tcPr>
            <w:tcW w:w="160" w:type="dxa"/>
            <w:vAlign w:val="bottom"/>
          </w:tcPr>
          <w:p>
            <w:pPr>
              <w:spacing w:after="0"/>
              <w:rPr>
                <w:sz w:val="20"/>
                <w:szCs w:val="20"/>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color w:val="auto"/>
                <w:w w:val="93"/>
              </w:rPr>
              <w:t>$54,353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$64,061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$61,439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$68,438</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agency borrowings outstanding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$43,308</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$46,694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w w:val="89"/>
              </w:rPr>
              <w:t>$49,188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$51,516</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800" w:type="dxa"/>
            <w:vAlign w:val="bottom"/>
          </w:tcPr>
          <w:p>
            <w:pPr>
              <w:jc w:val="center"/>
              <w:ind w:right="59"/>
              <w:spacing w:after="0"/>
              <w:rPr>
                <w:sz w:val="20"/>
                <w:szCs w:val="20"/>
                <w:color w:val="auto"/>
              </w:rPr>
            </w:pPr>
            <w:r>
              <w:rPr>
                <w:rFonts w:ascii="Arial" w:cs="Arial" w:eastAsia="Arial" w:hAnsi="Arial"/>
                <w:sz w:val="16"/>
                <w:szCs w:val="16"/>
                <w:color w:val="auto"/>
                <w:w w:val="93"/>
              </w:rPr>
              <w:t>$8,603</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$9,455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center"/>
              <w:ind w:right="79"/>
              <w:spacing w:after="0"/>
              <w:rPr>
                <w:sz w:val="20"/>
                <w:szCs w:val="20"/>
                <w:color w:val="auto"/>
              </w:rPr>
            </w:pPr>
            <w:r>
              <w:rPr>
                <w:rFonts w:ascii="Arial" w:cs="Arial" w:eastAsia="Arial" w:hAnsi="Arial"/>
                <w:sz w:val="16"/>
                <w:szCs w:val="16"/>
                <w:color w:val="auto"/>
                <w:w w:val="89"/>
              </w:rPr>
              <w:t>$9,037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color w:val="auto"/>
                <w:w w:val="89"/>
              </w:rPr>
              <w:t>$9,256</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21"/>
                <w:szCs w:val="21"/>
                <w:color w:val="auto"/>
                <w:vertAlign w:val="superscript"/>
              </w:rPr>
              <w:t>5</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3.62 %</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21"/>
                <w:szCs w:val="21"/>
                <w:color w:val="auto"/>
                <w:vertAlign w:val="superscript"/>
              </w:rPr>
              <w:t>6</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2.42 %</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2.71 %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2.66 %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2.65 %</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7</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Average net interest rate spread</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1.24 %</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8</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1.14 %</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coupon - agency securities </w:t>
            </w:r>
            <w:r>
              <w:rPr>
                <w:rFonts w:ascii="Arial" w:cs="Arial" w:eastAsia="Arial" w:hAnsi="Arial"/>
                <w:sz w:val="16"/>
                <w:szCs w:val="16"/>
                <w:i w:val="1"/>
                <w:iCs w:val="1"/>
                <w:color w:val="auto"/>
              </w:rPr>
              <w:t>(as of period end)</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3.65 %</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asset yield - agency securities </w:t>
            </w:r>
            <w:r>
              <w:rPr>
                <w:rFonts w:ascii="Arial" w:cs="Arial" w:eastAsia="Arial" w:hAnsi="Arial"/>
                <w:sz w:val="16"/>
                <w:szCs w:val="16"/>
                <w:i w:val="1"/>
                <w:iCs w:val="1"/>
                <w:color w:val="auto"/>
              </w:rPr>
              <w:t>(as of period end)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9</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Net comprehensive income (loss) return on average common equity - annualized </w:t>
            </w:r>
            <w:r>
              <w:rPr>
                <w:rFonts w:ascii="Arial" w:cs="Arial" w:eastAsia="Arial" w:hAnsi="Arial"/>
                <w:sz w:val="21"/>
                <w:szCs w:val="21"/>
                <w:color w:val="auto"/>
                <w:vertAlign w:val="superscript"/>
              </w:rPr>
              <w:t>10</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18.6 %</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Economic return (loss) on common equity - annualized </w:t>
            </w:r>
            <w:r>
              <w:rPr>
                <w:rFonts w:ascii="Arial" w:cs="Arial" w:eastAsia="Arial" w:hAnsi="Arial"/>
                <w:sz w:val="21"/>
                <w:szCs w:val="21"/>
                <w:color w:val="auto"/>
                <w:vertAlign w:val="superscript"/>
              </w:rPr>
              <w:t>11</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19.9 %</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leverage </w:t>
            </w:r>
            <w:r>
              <w:rPr>
                <w:rFonts w:ascii="Arial" w:cs="Arial" w:eastAsia="Arial" w:hAnsi="Arial"/>
                <w:sz w:val="21"/>
                <w:szCs w:val="21"/>
                <w:color w:val="auto"/>
                <w:vertAlign w:val="superscript"/>
              </w:rPr>
              <w:t>12</w:t>
            </w:r>
          </w:p>
        </w:tc>
        <w:tc>
          <w:tcPr>
            <w:tcW w:w="160" w:type="dxa"/>
            <w:vAlign w:val="bottom"/>
          </w:tcPr>
          <w:p>
            <w:pPr>
              <w:spacing w:after="0"/>
              <w:rPr>
                <w:sz w:val="23"/>
                <w:szCs w:val="23"/>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5.1:1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5.5:1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5.7:1</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"at risk" leverage, inclusive of the net TBA position </w:t>
            </w:r>
            <w:r>
              <w:rPr>
                <w:rFonts w:ascii="Arial" w:cs="Arial" w:eastAsia="Arial" w:hAnsi="Arial"/>
                <w:sz w:val="21"/>
                <w:szCs w:val="21"/>
                <w:color w:val="auto"/>
                <w:vertAlign w:val="superscript"/>
              </w:rPr>
              <w:t>13</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7.0:1</w:t>
            </w:r>
          </w:p>
        </w:tc>
      </w:tr>
      <w:tr>
        <w:trPr>
          <w:trHeight w:val="270"/>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160" w:type="dxa"/>
            <w:vAlign w:val="bottom"/>
          </w:tcPr>
          <w:p>
            <w:pPr>
              <w:spacing w:after="0"/>
              <w:rPr>
                <w:sz w:val="23"/>
                <w:szCs w:val="23"/>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5.9:1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4.8:1</w:t>
            </w:r>
          </w:p>
        </w:tc>
      </w:tr>
      <w:tr>
        <w:trPr>
          <w:trHeight w:val="270"/>
        </w:trPr>
        <w:tc>
          <w:tcPr>
            <w:tcW w:w="7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"At risk" leverage, inclusive of net TBA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6.8:1</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6.7:1</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Expenses % of average total assets - annualized</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0.25 %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0.23 %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0.21 %</w:t>
            </w:r>
          </w:p>
        </w:tc>
      </w:tr>
      <w:tr>
        <w:trPr>
          <w:trHeight w:val="33"/>
        </w:trPr>
        <w:tc>
          <w:tcPr>
            <w:tcW w:w="7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 % of average assets, including average net TBA position - annualized</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0.21 %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Expenses % of average stockholders' equity - annualized</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1.53 %</w:t>
            </w:r>
          </w:p>
        </w:tc>
      </w:tr>
    </w:tbl>
    <w:p>
      <w:pPr>
        <w:spacing w:after="0" w:line="200" w:lineRule="exact"/>
        <w:rPr>
          <w:sz w:val="20"/>
          <w:szCs w:val="20"/>
          <w:color w:val="auto"/>
        </w:rPr>
      </w:pPr>
    </w:p>
    <w:p>
      <w:pPr>
        <w:sectPr>
          <w:pgSz w:w="11900" w:h="16838" w:orient="portrait"/>
          <w:cols w:equalWidth="0" w:num="1">
            <w:col w:w="11420"/>
          </w:cols>
          <w:pgMar w:left="240" w:top="726"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726"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980" w:hanging="648"/>
        <w:spacing w:after="0" w:line="250"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980" w:hanging="648"/>
        <w:spacing w:after="0" w:line="260" w:lineRule="auto"/>
        <w:tabs>
          <w:tab w:leader="none" w:pos="656" w:val="left"/>
        </w:tabs>
        <w:numPr>
          <w:ilvl w:val="0"/>
          <w:numId w:val="26"/>
        </w:numPr>
        <w:rPr>
          <w:rFonts w:ascii="Arial" w:cs="Arial" w:eastAsia="Arial" w:hAnsi="Arial"/>
          <w:sz w:val="13"/>
          <w:szCs w:val="13"/>
          <w:color w:val="auto"/>
        </w:rPr>
      </w:pPr>
      <w:r>
        <w:rPr>
          <w:rFonts w:ascii="Arial" w:cs="Arial" w:eastAsia="Arial" w:hAnsi="Arial"/>
          <w:sz w:val="13"/>
          <w:szCs w:val="13"/>
          <w:color w:val="auto"/>
        </w:rPr>
        <w:t>We voluntarily discontinued hedge accounting for our interest rate swaps as of September 30, 2011. Please refer to our Interest Expense and Cost of Funds discussion further below and Notes 3 and 6 of our Consolidated Financial Statements in this Quarterly Report on Form 10-Q for additional information regarding our discontinuance of hedge accounting.</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Agency borrowings include agency repo, FHLB advances and debt of consolidated VIEs. Excludes U.S. Treasury repo agreements.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cost of funds includes agency borrowings and interest rate swaps currently in effect, but excludes interest rate swap termination fees, forward starting swaps and costs associated with other supplemental hedges such as interest rate swaptions and short U.S. Treasury or TBA positions. Average cost of funds for the period was calculated by dividing our total cost of funds by our average agency borrowings outstanding for the period.</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borrowings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stockholders by our average stockholders' equity, net of the Series A and Series B Preferred Stock aggregate liquidation preference.</w:t>
      </w:r>
    </w:p>
    <w:p>
      <w:pPr>
        <w:ind w:left="980" w:right="2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98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our daily weighted average agency borrowings outstanding for the period by the sum of our average stockholders' equity less our average investment in REIT equity securities for the period. Leverage excludes U.S. Treasury repurchase agreements.</w:t>
      </w:r>
    </w:p>
    <w:p>
      <w:pPr>
        <w:ind w:left="980" w:right="2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Average "at risk" leverage, inclusive of net TBA portfolio, during the period includes the components of "average leverage" plus our daily weighted average net TBA dollar position (at cost) during the period.</w:t>
      </w:r>
    </w:p>
    <w:p>
      <w:pPr>
        <w:ind w:left="980" w:right="20" w:hanging="648"/>
        <w:spacing w:after="0" w:line="241"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our agency borrowings outstanding and our receivable / payable for unsettled agency securities by the sum of our total stockholders' equity less the fair value of investments in REIT equity securities at period end. Leverage excludes U.S. Treasury repurchase agreements.</w:t>
      </w:r>
    </w:p>
    <w:p>
      <w:pPr>
        <w:ind w:left="980" w:right="20" w:hanging="648"/>
        <w:spacing w:after="0" w:line="255" w:lineRule="auto"/>
        <w:tabs>
          <w:tab w:leader="none" w:pos="656" w:val="left"/>
        </w:tabs>
        <w:numPr>
          <w:ilvl w:val="0"/>
          <w:numId w:val="26"/>
        </w:numPr>
        <w:rPr>
          <w:rFonts w:ascii="Arial" w:cs="Arial" w:eastAsia="Arial" w:hAnsi="Arial"/>
          <w:sz w:val="14"/>
          <w:szCs w:val="14"/>
          <w:color w:val="auto"/>
        </w:rPr>
      </w:pPr>
      <w:r>
        <w:rPr>
          <w:rFonts w:ascii="Arial" w:cs="Arial" w:eastAsia="Arial" w:hAnsi="Arial"/>
          <w:sz w:val="14"/>
          <w:szCs w:val="14"/>
          <w:color w:val="auto"/>
        </w:rPr>
        <w:t>"At risk" leverage at period end, inclusive of net TBA position, includes the components of "leverage (as of period end)" plus our net TBA dollar roll position outstanding as of period end, at cost.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interest income for the three and nine months ended September 30, 2015 and 2014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9"/>
          </w:tcPr>
          <w:p>
            <w:pPr>
              <w:ind w:left="660"/>
              <w:spacing w:after="0"/>
              <w:rPr>
                <w:sz w:val="20"/>
                <w:szCs w:val="20"/>
                <w:color w:val="auto"/>
              </w:rPr>
            </w:pPr>
            <w:r>
              <w:rPr>
                <w:rFonts w:ascii="Arial" w:cs="Arial" w:eastAsia="Arial" w:hAnsi="Arial"/>
                <w:sz w:val="14"/>
                <w:szCs w:val="14"/>
                <w:b w:val="1"/>
                <w:bCs w:val="1"/>
                <w:color w:val="auto"/>
                <w:w w:val="95"/>
              </w:rPr>
              <w:t>Nine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39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264"/>
        </w:trPr>
        <w:tc>
          <w:tcPr>
            <w:tcW w:w="3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8"/>
              </w:rPr>
              <w:t>Amount</w:t>
            </w: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Yield</w:t>
            </w:r>
          </w:p>
        </w:tc>
        <w:tc>
          <w:tcPr>
            <w:tcW w:w="120" w:type="dxa"/>
            <w:vAlign w:val="bottom"/>
          </w:tcPr>
          <w:p>
            <w:pPr>
              <w:spacing w:after="0"/>
              <w:rPr>
                <w:sz w:val="22"/>
                <w:szCs w:val="22"/>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Yield</w:t>
            </w:r>
          </w:p>
        </w:tc>
      </w:tr>
      <w:tr>
        <w:trPr>
          <w:trHeight w:val="25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1,493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3.62 %</w:t>
            </w:r>
          </w:p>
        </w:tc>
      </w:tr>
      <w:tr>
        <w:trPr>
          <w:trHeight w:val="264"/>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(0.97)%</w:t>
            </w:r>
          </w:p>
        </w:tc>
      </w:tr>
      <w:tr>
        <w:trPr>
          <w:trHeight w:val="243"/>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20"/>
        </w:trPr>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45"/>
        </w:trPr>
        <w:tc>
          <w:tcPr>
            <w:tcW w:w="392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392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04"/>
        </w:trPr>
        <w:tc>
          <w:tcPr>
            <w:tcW w:w="3920" w:type="dxa"/>
            <w:vAlign w:val="bottom"/>
          </w:tcPr>
          <w:p>
            <w:pPr>
              <w:ind w:left="20"/>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principal elements impacting our interest income are the size of our average agency MBS portfolio and the yield on our investments. The following is a summary of the estimated impact of each of these elements on the increase in interest income for the three and nine months ended September 30, 2015 and 2014 (in millions):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3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Impact of Changes in the Principal Elements Impacting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2015 vs.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Due to Change in Average</w:t>
            </w:r>
          </w:p>
        </w:tc>
        <w:tc>
          <w:tcPr>
            <w:tcW w:w="1080" w:type="dxa"/>
            <w:vAlign w:val="bottom"/>
            <w:tcBorders>
              <w:bottom w:val="single" w:sz="8" w:color="auto"/>
            </w:tcBorders>
          </w:tcPr>
          <w:p>
            <w:pPr>
              <w:spacing w:after="0"/>
              <w:rPr>
                <w:sz w:val="16"/>
                <w:szCs w:val="16"/>
                <w:color w:val="auto"/>
              </w:rPr>
            </w:pPr>
          </w:p>
        </w:tc>
      </w:tr>
      <w:tr>
        <w:trPr>
          <w:trHeight w:val="153"/>
        </w:trPr>
        <w:tc>
          <w:tcPr>
            <w:tcW w:w="5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760" w:type="dxa"/>
            <w:vAlign w:val="bottom"/>
          </w:tcPr>
          <w:p>
            <w:pPr>
              <w:spacing w:after="0"/>
              <w:rPr>
                <w:sz w:val="13"/>
                <w:szCs w:val="13"/>
                <w:color w:val="auto"/>
              </w:rPr>
            </w:pPr>
          </w:p>
        </w:tc>
        <w:tc>
          <w:tcPr>
            <w:tcW w:w="1080" w:type="dxa"/>
            <w:vAlign w:val="bottom"/>
          </w:tcPr>
          <w:p>
            <w:pPr>
              <w:jc w:val="right"/>
              <w:ind w:right="688"/>
              <w:spacing w:after="0" w:line="153" w:lineRule="exact"/>
              <w:rPr>
                <w:sz w:val="20"/>
                <w:szCs w:val="20"/>
                <w:color w:val="auto"/>
              </w:rPr>
            </w:pPr>
            <w:r>
              <w:rPr>
                <w:rFonts w:ascii="Arial" w:cs="Arial" w:eastAsia="Arial" w:hAnsi="Arial"/>
                <w:sz w:val="14"/>
                <w:szCs w:val="14"/>
                <w:b w:val="1"/>
                <w:bCs w:val="1"/>
                <w:color w:val="auto"/>
                <w:w w:val="78"/>
              </w:rPr>
              <w:t>Asset</w:t>
            </w: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760" w:type="dxa"/>
            <w:vAlign w:val="bottom"/>
          </w:tcPr>
          <w:p>
            <w:pPr>
              <w:spacing w:after="0"/>
              <w:rPr>
                <w:sz w:val="16"/>
                <w:szCs w:val="16"/>
                <w:color w:val="auto"/>
              </w:rPr>
            </w:pPr>
          </w:p>
        </w:tc>
        <w:tc>
          <w:tcPr>
            <w:tcW w:w="1080" w:type="dxa"/>
            <w:vAlign w:val="bottom"/>
          </w:tcPr>
          <w:p>
            <w:pPr>
              <w:jc w:val="right"/>
              <w:ind w:right="688"/>
              <w:spacing w:after="0"/>
              <w:rPr>
                <w:sz w:val="20"/>
                <w:szCs w:val="20"/>
                <w:color w:val="auto"/>
              </w:rPr>
            </w:pPr>
            <w:r>
              <w:rPr>
                <w:rFonts w:ascii="Arial" w:cs="Arial" w:eastAsia="Arial" w:hAnsi="Arial"/>
                <w:sz w:val="14"/>
                <w:szCs w:val="14"/>
                <w:b w:val="1"/>
                <w:bCs w:val="1"/>
                <w:color w:val="auto"/>
                <w:w w:val="89"/>
              </w:rPr>
              <w:t>Yield</w:t>
            </w:r>
          </w:p>
        </w:tc>
      </w:tr>
      <w:tr>
        <w:trPr>
          <w:trHeight w:val="250"/>
        </w:trPr>
        <w:tc>
          <w:tcPr>
            <w:tcW w:w="5140" w:type="dxa"/>
            <w:vAlign w:val="bottom"/>
          </w:tcPr>
          <w:p>
            <w:pPr>
              <w:ind w:left="40"/>
              <w:spacing w:after="0"/>
              <w:rPr>
                <w:sz w:val="20"/>
                <w:szCs w:val="20"/>
                <w:color w:val="auto"/>
              </w:rPr>
            </w:pPr>
            <w:r>
              <w:rPr>
                <w:rFonts w:ascii="Arial" w:cs="Arial" w:eastAsia="Arial" w:hAnsi="Arial"/>
                <w:sz w:val="14"/>
                <w:szCs w:val="14"/>
                <w:color w:val="auto"/>
              </w:rPr>
              <w:t>Three months ended</w:t>
            </w: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5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Nine months ended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bl>
    <w:p>
      <w:pPr>
        <w:spacing w:after="0" w:line="28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average agency portfolio decreased in par value over the prior year period by 8% and 5% for the three and nine months ended September 30, 2015, respectively, reflective of lower "at risk" leverage, partially offset by a shift from TBA dollar roll funded assets to agency repo funded assets. Our reported interest income does not include our TBA dollar roll income, which we report in gain/loss on derivative instruments and other securities, net in our accompanying consolidated financial statements in this Form 10-Q.</w:t>
      </w:r>
    </w:p>
    <w:p>
      <w:pPr>
        <w:spacing w:after="0" w:line="52"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primary factor impacting our average asset yield was fluctuations in "catch-up" premium amortization adjustments recognized due to changes in our projected life CPR forecasts. We recognized "catch-up" premium amortization cost of $33 million and $15 million for the three and nine months ended September 30, 2015, respectively, compared to "catch-up" premium amortization cost of $3 million and $28 million for the three and nine months ended September 30, 2014, respectively. Excluding "catch-up" premium amortization adjustments, our average asset yield was 2.69% and 2.70% for the three and nine months ended September 30, 2015, respectively, versus 2.73% and 2.71% for the three and nine months ended September 30, 2014,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leverage was 5.9x our stockholders' equity as of September 30, 2015, compared to 5.3x and 4.8x as of December 31, 2014 and September 30, 2014, respectively, measured as the sum of our agency repurchase agreements ("agency repo"), Federal Home Loan Bank ("FHLB") advances and debt of consolidated VIEs (collectively referred to as "agency borrowings") and our net receivable / payable for unsettled agency securities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("U.S. Treasury repo") due to the temporary and highly liquid nature of these investments.</w:t>
      </w:r>
    </w:p>
    <w:p>
      <w:pPr>
        <w:spacing w:after="0" w:line="13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Inclusive of our net TBA position, our total "at risk" leverage was 6.8x our stockholders' equity as of September 30, 2015, compared to 6.9x and 6.7x as of December 31, 2014 and September 30, 2014, respectively. Since we recognize our TBA commitments as derivatives under GAAP, they are not included in our repo and other debt leverage calculations as measured from our consolidated balance sheets; however, a long TBA position carries similar risks as if we had purchased the underlying MBS assets and funded such purchases with on-balance sheet funding liabilities. Similarly, a short TBA position has substantially the same effect as selling the underlying MBS assets and reducing our on-balance sheet funding commitments. (Refer to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for further discussion of TBA dollar roll positions). Therefore, we refer to our leverage adjusted for TBA positions as our "at risk" leverage.</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agency borrowings,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7"/>
              </w:rPr>
              <w:t xml:space="preserve">Agency Borrowings </w:t>
            </w:r>
            <w:r>
              <w:rPr>
                <w:rFonts w:ascii="Arial" w:cs="Arial" w:eastAsia="Arial" w:hAnsi="Arial"/>
                <w:sz w:val="8"/>
                <w:szCs w:val="8"/>
                <w:b w:val="1"/>
                <w:bCs w:val="1"/>
                <w:color w:val="auto"/>
                <w:w w:val="87"/>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940" w:type="dxa"/>
            <w:vAlign w:val="bottom"/>
            <w:gridSpan w:val="2"/>
          </w:tcPr>
          <w:p>
            <w:pPr>
              <w:jc w:val="right"/>
              <w:ind w:right="29"/>
              <w:spacing w:after="0" w:line="135" w:lineRule="exact"/>
              <w:rPr>
                <w:sz w:val="20"/>
                <w:szCs w:val="20"/>
                <w:color w:val="auto"/>
              </w:rPr>
            </w:pPr>
            <w:r>
              <w:rPr>
                <w:rFonts w:ascii="Arial" w:cs="Arial" w:eastAsia="Arial" w:hAnsi="Arial"/>
                <w:sz w:val="13"/>
                <w:szCs w:val="13"/>
                <w:b w:val="1"/>
                <w:bCs w:val="1"/>
                <w:color w:val="auto"/>
                <w:w w:val="95"/>
              </w:rPr>
              <w:t>Average Daily</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43,308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46,049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44,683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9,434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7,265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6.8:1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June 30, 2015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50,410</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55,097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45,860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5,973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7,104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6.1:1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2015</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53,963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58,217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55,056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4,815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6.4:1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45,554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49,170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49,150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18,492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14,576</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50,989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44,368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15,680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17,769</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5.0:1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6.7:1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50,448</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52,945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48,362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13,963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18,184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57,544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63,117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14,127</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18"/>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19" w:right="239" w:bottom="1440" w:gutter="0" w:footer="0" w:header="0"/>
        </w:sectPr>
      </w:pPr>
    </w:p>
    <w:bookmarkStart w:id="40" w:name="page41"/>
    <w:bookmarkEnd w:id="40"/>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agency repo, FHLB advances and debt of consolidated VIEs. Excludes U.S. Treasury repo agreements.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borrowings outstanding by the sum of our average month-end stockholders' equity less our average investment in REIT equity securities for the period.</w:t>
      </w:r>
    </w:p>
    <w:p>
      <w:pPr>
        <w:ind w:left="660" w:right="2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Average "at risk" leverage during the period includes the components of "average leverage during the period," plus our daily weighted average net TBA position (at cost) during the period.</w:t>
      </w:r>
    </w:p>
    <w:p>
      <w:pPr>
        <w:ind w:left="660" w:hanging="328"/>
        <w:spacing w:after="0" w:line="241"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Leverage as of period end was calculated by dividing the sum of the amount of agency borrowings outstanding and net payables and receivables for unsettled agency securities by the sum of our total stockholders' equity less the fair value of our investment in REIT equity securities at period end.</w:t>
      </w: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"leverage as of period end," plus the cost basis (or contract price) of our net TBA position.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interest expense is comprised of interest expense on our agency borrowings and the reclassification of accumulated OCI into interest expense related to previously de-designated interest rate swaps. Our agency borrowings primarily consist of agency repo agreements and FHLB advances.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"adjusted net interest expense," also referred to as our "cost of funds" when stated as a percentage of our agency borrowings outstanding, includes periodic interest costs on our interest rate swaps reported in gain (loss) on derivatives and other securities, net in our consolidated statements of comprehensive income. Our cost of funds does not include swap termination fees, forward starting swaps and costs associated with our other supplemental hedges, such as swaptions and U.S. Treasury positions. Our cost of funds also does not include the implied financing cost/benefit of our net TBA dollar roll position, but does however include interest rate swap hedge costs related to our TBA dollar roll funded assets. Consequently, our cost of funds measured as a percentage of our outstanding agency borrowings is higher than if we allocated a portion of our swap hedge costs to our TBA dollar roll funded assets.</w:t>
      </w:r>
    </w:p>
    <w:p>
      <w:pPr>
        <w:spacing w:after="0" w:line="11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table below presents a reconciliation of our interest expense (the most comparable GAAP financial measure) to our adjusted net interest expense and cost of funds (non-GAAP financial measures) for the three and nine months ended September 30, 2015 and 2014 (dollars in millions):</w:t>
      </w:r>
    </w:p>
    <w:p>
      <w:pPr>
        <w:spacing w:after="0" w:line="368" w:lineRule="exact"/>
        <w:rPr>
          <w:sz w:val="20"/>
          <w:szCs w:val="20"/>
          <w:color w:val="auto"/>
        </w:rPr>
      </w:pPr>
    </w:p>
    <w:tbl>
      <w:tblPr>
        <w:tblLayout w:type="fixed"/>
        <w:tblInd w:w="110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80" w:type="dxa"/>
            <w:vAlign w:val="bottom"/>
            <w:gridSpan w:val="11"/>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10"/>
          </w:tcPr>
          <w:p>
            <w:pPr>
              <w:jc w:val="right"/>
              <w:ind w:right="28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70"/>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80" w:type="dxa"/>
            <w:vAlign w:val="bottom"/>
            <w:gridSpan w:val="2"/>
          </w:tcPr>
          <w:p>
            <w:pPr>
              <w:ind w:left="200"/>
              <w:spacing w:after="0"/>
              <w:rPr>
                <w:sz w:val="20"/>
                <w:szCs w:val="20"/>
                <w:color w:val="auto"/>
              </w:rPr>
            </w:pPr>
            <w:r>
              <w:rPr>
                <w:rFonts w:ascii="Arial" w:cs="Arial" w:eastAsia="Arial" w:hAnsi="Arial"/>
                <w:sz w:val="14"/>
                <w:szCs w:val="14"/>
                <w:color w:val="auto"/>
              </w:rPr>
              <w:t>Agency borrowing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0.45%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previously designated as hedges under</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GAAP, 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44"/>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63"/>
        </w:trPr>
        <w:tc>
          <w:tcPr>
            <w:tcW w:w="3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7"/>
              </w:rPr>
              <w:t>Other periodic interest costs of interest rate swaps,</w:t>
            </w: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net</w:t>
            </w:r>
          </w:p>
        </w:tc>
        <w:tc>
          <w:tcPr>
            <w:tcW w:w="24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33"/>
        </w:trPr>
        <w:tc>
          <w:tcPr>
            <w:tcW w:w="32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Total adjusted net interest expense and cost of</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1"/>
                <w:szCs w:val="11"/>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1"/>
                <w:szCs w:val="11"/>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543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85"/>
        </w:trPr>
        <w:tc>
          <w:tcPr>
            <w:tcW w:w="32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2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Percent of our average agency borrowings outstanding for the period annualized.</w:t>
      </w:r>
    </w:p>
    <w:p>
      <w:pPr>
        <w:spacing w:after="0" w:line="30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principal elements impacting our adjusted net interest expense are our average agency borrowings outstanding and interest rate swaps currently in effect ("current pay interest rate swaps") during the period as well as the average interest rate on our borrowings and the weighted average pay and receive rates on our interest rates swaps. The year over year increase in our cost of funds was largely due to higher swap costs as a function of increasing our ratio of interest rate swaps to our average agency borrowings outstanding. The following is a summary of the estimated impact of these elements on changes in our adjusted net interest expense for the three and nine months ended September 30, 2015 and 2014 (in millions):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Periods Ended September 30, 2015 vs.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Due to Change in Average</w:t>
            </w:r>
          </w:p>
        </w:tc>
        <w:tc>
          <w:tcPr>
            <w:tcW w:w="360" w:type="dxa"/>
            <w:vAlign w:val="bottom"/>
            <w:tcBorders>
              <w:bottom w:val="single" w:sz="8" w:color="auto"/>
            </w:tcBorders>
          </w:tcPr>
          <w:p>
            <w:pPr>
              <w:spacing w:after="0"/>
              <w:rPr>
                <w:sz w:val="16"/>
                <w:szCs w:val="16"/>
                <w:color w:val="auto"/>
              </w:rPr>
            </w:pPr>
          </w:p>
        </w:tc>
      </w:tr>
      <w:tr>
        <w:trPr>
          <w:trHeight w:val="153"/>
        </w:trPr>
        <w:tc>
          <w:tcPr>
            <w:tcW w:w="6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Total Increase /</w:t>
            </w:r>
          </w:p>
        </w:tc>
        <w:tc>
          <w:tcPr>
            <w:tcW w:w="120" w:type="dxa"/>
            <w:vAlign w:val="bottom"/>
          </w:tcPr>
          <w:p>
            <w:pPr>
              <w:spacing w:after="0"/>
              <w:rPr>
                <w:sz w:val="13"/>
                <w:szCs w:val="13"/>
                <w:color w:val="auto"/>
              </w:rPr>
            </w:pPr>
          </w:p>
        </w:tc>
        <w:tc>
          <w:tcPr>
            <w:tcW w:w="14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Borrowing / Swap</w:t>
            </w:r>
          </w:p>
        </w:tc>
        <w:tc>
          <w:tcPr>
            <w:tcW w:w="1280" w:type="dxa"/>
            <w:vAlign w:val="bottom"/>
            <w:gridSpan w:val="2"/>
          </w:tcPr>
          <w:p>
            <w:pPr>
              <w:jc w:val="right"/>
              <w:ind w:right="8"/>
              <w:spacing w:after="0" w:line="153" w:lineRule="exact"/>
              <w:rPr>
                <w:sz w:val="20"/>
                <w:szCs w:val="20"/>
                <w:color w:val="auto"/>
              </w:rPr>
            </w:pPr>
            <w:r>
              <w:rPr>
                <w:rFonts w:ascii="Arial" w:cs="Arial" w:eastAsia="Arial" w:hAnsi="Arial"/>
                <w:sz w:val="14"/>
                <w:szCs w:val="14"/>
                <w:b w:val="1"/>
                <w:bCs w:val="1"/>
                <w:color w:val="auto"/>
                <w:w w:val="99"/>
              </w:rPr>
              <w:t>Borrowing / Swap</w:t>
            </w:r>
          </w:p>
        </w:tc>
      </w:tr>
      <w:tr>
        <w:trPr>
          <w:trHeight w:val="192"/>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Rate</w:t>
            </w:r>
          </w:p>
        </w:tc>
        <w:tc>
          <w:tcPr>
            <w:tcW w:w="360" w:type="dxa"/>
            <w:vAlign w:val="bottom"/>
          </w:tcPr>
          <w:p>
            <w:pPr>
              <w:spacing w:after="0"/>
              <w:rPr>
                <w:sz w:val="16"/>
                <w:szCs w:val="16"/>
                <w:color w:val="auto"/>
              </w:rPr>
            </w:pPr>
          </w:p>
        </w:tc>
      </w:tr>
      <w:tr>
        <w:trPr>
          <w:trHeight w:val="27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Agency borrowings interest expense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6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7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borrowings 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table below presents a summary of our average agency borrowings outstanding and our average interest rates swaps in effect for the three and nine months ended September 30, 2015 and 2014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6"/>
                <w:szCs w:val="16"/>
                <w:color w:val="auto"/>
              </w:rPr>
            </w:pP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Average Ratio of Interest Rate Swaps Outstanding to Agency Borrowings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43,308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49,188</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51,516</w:t>
            </w:r>
          </w:p>
        </w:tc>
      </w:tr>
      <w:tr>
        <w:trPr>
          <w:trHeight w:val="264"/>
        </w:trPr>
        <w:tc>
          <w:tcPr>
            <w:tcW w:w="736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current pay interest rate swaps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36,615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32,211</w:t>
            </w:r>
          </w:p>
        </w:tc>
        <w:tc>
          <w:tcPr>
            <w:tcW w:w="100" w:type="dxa"/>
            <w:vAlign w:val="bottom"/>
          </w:tcPr>
          <w:p>
            <w:pPr>
              <w:spacing w:after="0"/>
              <w:rPr>
                <w:sz w:val="22"/>
                <w:szCs w:val="22"/>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35,057</w:t>
            </w:r>
          </w:p>
        </w:tc>
        <w:tc>
          <w:tcPr>
            <w:tcW w:w="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ind w:left="40"/>
              <w:spacing w:after="0"/>
              <w:rPr>
                <w:sz w:val="20"/>
                <w:szCs w:val="20"/>
                <w:color w:val="auto"/>
              </w:rPr>
            </w:pPr>
            <w:r>
              <w:rPr>
                <w:rFonts w:ascii="Arial" w:cs="Arial" w:eastAsia="Arial" w:hAnsi="Arial"/>
                <w:sz w:val="14"/>
                <w:szCs w:val="14"/>
                <w:color w:val="auto"/>
              </w:rPr>
              <w:t>Average ratio of current pay interest rate swaps to agency borrowings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pay rate on current pay interest rate swaps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64"/>
        </w:trPr>
        <w:tc>
          <w:tcPr>
            <w:tcW w:w="7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receive rate on current pay interest rate swaps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43"/>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Weighted average net pay rate on current pay interest rate swaps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3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forward starting swaps not in effect during the periods presented.</w:t>
      </w:r>
    </w:p>
    <w:p>
      <w:pPr>
        <w:spacing w:after="0" w:line="156" w:lineRule="exact"/>
        <w:rPr>
          <w:sz w:val="20"/>
          <w:szCs w:val="20"/>
          <w:color w:val="auto"/>
        </w:rPr>
      </w:pPr>
    </w:p>
    <w:p>
      <w:pPr>
        <w:jc w:val="both"/>
        <w:ind w:left="60" w:firstLine="486"/>
        <w:spacing w:after="0" w:line="276" w:lineRule="auto"/>
        <w:rPr>
          <w:sz w:val="20"/>
          <w:szCs w:val="20"/>
          <w:color w:val="auto"/>
        </w:rPr>
      </w:pPr>
      <w:r>
        <w:rPr>
          <w:rFonts w:ascii="Arial" w:cs="Arial" w:eastAsia="Arial" w:hAnsi="Arial"/>
          <w:sz w:val="17"/>
          <w:szCs w:val="17"/>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view of the forward yield curve and the timing of potential changes in short-term interest rates, time to deploy new capital, amount and timing of expirations of our existing interest rate swap portfolio, current and anticipated swap spreads and our desire to mitigate our exposure to specific sectors of the yield curve.</w:t>
      </w:r>
    </w:p>
    <w:p>
      <w:pPr>
        <w:spacing w:after="0" w:line="119"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Including forward starting swaps, our average ratio of interest rate swaps outstanding to our average agency borrowings and net TBA position (at cost) was 87% and 81% for the three and nine months ended September 30, 2015, respectively, and 54% and 57% for the three and nine months ended September 30, 2014,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6"/>
          </w:tcPr>
          <w:p>
            <w:pPr>
              <w:ind w:left="40"/>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1"/>
              </w:rPr>
              <w:t>30,</w:t>
            </w:r>
          </w:p>
        </w:tc>
        <w:tc>
          <w:tcPr>
            <w:tcW w:w="720" w:type="dxa"/>
            <w:vAlign w:val="bottom"/>
          </w:tcPr>
          <w:p>
            <w:pPr>
              <w:spacing w:after="0"/>
              <w:rPr>
                <w:sz w:val="16"/>
                <w:szCs w:val="16"/>
                <w:color w:val="auto"/>
              </w:rPr>
            </w:pPr>
          </w:p>
        </w:tc>
      </w:tr>
      <w:tr>
        <w:trPr>
          <w:trHeight w:val="264"/>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Ratio of all Interest Rate Swaps Outstanding to Agency Borrowings and Net TBA Position</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agency borrowings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43,308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46,694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49,188</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51,516</w:t>
            </w:r>
          </w:p>
        </w:tc>
      </w:tr>
      <w:tr>
        <w:trPr>
          <w:trHeight w:val="264"/>
        </w:trPr>
        <w:tc>
          <w:tcPr>
            <w:tcW w:w="7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Average net TBA portfolio - at cost</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9,434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15,680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7,464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11,433</w:t>
            </w:r>
          </w:p>
        </w:tc>
      </w:tr>
      <w:tr>
        <w:trPr>
          <w:trHeight w:val="256"/>
        </w:trPr>
        <w:tc>
          <w:tcPr>
            <w:tcW w:w="7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average agency borrowings and net TBA position</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52,742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62,374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56,652</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62,949</w:t>
            </w:r>
          </w:p>
        </w:tc>
      </w:tr>
      <w:tr>
        <w:trPr>
          <w:trHeight w:val="264"/>
        </w:trPr>
        <w:tc>
          <w:tcPr>
            <w:tcW w:w="7360" w:type="dxa"/>
            <w:vAlign w:val="bottom"/>
            <w:gridSpan w:val="2"/>
          </w:tcPr>
          <w:p>
            <w:pPr>
              <w:ind w:left="40"/>
              <w:spacing w:after="0"/>
              <w:rPr>
                <w:sz w:val="20"/>
                <w:szCs w:val="20"/>
                <w:color w:val="auto"/>
              </w:rPr>
            </w:pPr>
            <w:r>
              <w:rPr>
                <w:rFonts w:ascii="Arial" w:cs="Arial" w:eastAsia="Arial" w:hAnsi="Arial"/>
                <w:sz w:val="14"/>
                <w:szCs w:val="14"/>
                <w:color w:val="auto"/>
              </w:rPr>
              <w:t>Average notional amount of interest rate swaps (inclusive of forward starting swaps)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45,686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33,428</w:t>
            </w:r>
          </w:p>
        </w:tc>
        <w:tc>
          <w:tcPr>
            <w:tcW w:w="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45,863</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35,945</w:t>
            </w:r>
          </w:p>
        </w:tc>
      </w:tr>
      <w:tr>
        <w:trPr>
          <w:trHeight w:val="243"/>
        </w:trPr>
        <w:tc>
          <w:tcPr>
            <w:tcW w:w="7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Average ratio of interest rate swaps to agency borrowings and net TBA position</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38"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 cost, (non-GAAP financial measures) for the three and nine months ended September 30, 2015 and 2014 (dollars in millions):</w:t>
      </w:r>
    </w:p>
    <w:p>
      <w:pPr>
        <w:spacing w:after="0" w:line="26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54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64"/>
        </w:trPr>
        <w:tc>
          <w:tcPr>
            <w:tcW w:w="57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6"/>
        </w:trPr>
        <w:tc>
          <w:tcPr>
            <w:tcW w:w="5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Dividend from REIT equity securities </w:t>
            </w:r>
            <w:r>
              <w:rPr>
                <w:rFonts w:ascii="Arial" w:cs="Arial" w:eastAsia="Arial" w:hAnsi="Arial"/>
                <w:sz w:val="8"/>
                <w:szCs w:val="8"/>
                <w:color w:val="auto"/>
              </w:rPr>
              <w:t>1</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expenses</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6"/>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stockholders</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64"/>
        </w:trPr>
        <w:tc>
          <w:tcPr>
            <w:tcW w:w="5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due to change in CPR forecast</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3"/>
        </w:trPr>
        <w:tc>
          <w:tcPr>
            <w:tcW w:w="57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spread and dollar roll income, excluding "catch-up" premium amortization, available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81"/>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stockholders</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10"/>
        </w:trPr>
        <w:tc>
          <w:tcPr>
            <w:tcW w:w="57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0.51</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1"/>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 basic and diluted</w:t>
            </w: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-98425</wp:posOffset>
            </wp:positionV>
            <wp:extent cx="2212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ind w:left="660" w:hanging="328"/>
        <w:spacing w:after="0"/>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1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Net spread and dollar roll income, excluding "catch-up" premium amortization adjustments, for the three and nine months ended September 30, 2015 decreased to $0.51 and $1.81 per common share, respectively, versus $0.86 and $2.43 per common share for the three and nine months ended September 30, 2014, respectively, due to lower "at risk" leverage, a decline in TBA dollar roll income and a higher cost of funds. The decline in dollar roll income was a function of a smaller average net TBA dollar roll position, as well as an increase in implied TBA financing rates.</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Our average net interest rate spread and dollar roll income (i.e., the difference between the average yield on our assets and our average cost of funds), excluding catch-up premium amortization cost, was approximately 1.37% and 1.52% for the three and nine months ended September 30, 2015, respectively, compared to 1.89% and 1.83% for the three and nine months ended September 30, 2014, respectively. Including catch-up premium amortization adjustments, our net interest rate spread and dollar roll income was 1.14% and 1.48% for the three and nine months ended September 30, 2015, respectively, compared to 1.90% and 1.73% for the three and nine months ended September 30, 2014,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is a summary of our net gain (loss) on sale of agency MBS for the three and nine months ended September 30, 2015 and 2014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(25,640)</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4,536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25,657</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40"/>
              <w:spacing w:after="0"/>
              <w:rPr>
                <w:sz w:val="20"/>
                <w:szCs w:val="20"/>
                <w:color w:val="auto"/>
              </w:rPr>
            </w:pPr>
            <w:r>
              <w:rPr>
                <w:rFonts w:ascii="Arial" w:cs="Arial" w:eastAsia="Arial" w:hAnsi="Arial"/>
                <w:sz w:val="14"/>
                <w:szCs w:val="14"/>
                <w:color w:val="auto"/>
              </w:rPr>
              <w:t>_______________________</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3" w:name="page44"/>
    <w:bookmarkEnd w:id="43"/>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sales primarily resulted from leverage adjustments and portfolio repositioning.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 (in millions):</w:t>
      </w:r>
    </w:p>
    <w:p>
      <w:pPr>
        <w:spacing w:after="0" w:line="298"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68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59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256"/>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Periodic interest costs of interest rate swaps,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58"/>
        </w:trPr>
        <w:tc>
          <w:tcPr>
            <w:tcW w:w="5960" w:type="dxa"/>
            <w:vAlign w:val="bottom"/>
          </w:tcPr>
          <w:p>
            <w:pPr>
              <w:ind w:left="2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TBA securities - mark-to-market net gain (loss)</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6"/>
        </w:trPr>
        <w:tc>
          <w:tcPr>
            <w:tcW w:w="59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r>
      <w:tr>
        <w:trPr>
          <w:trHeight w:val="264"/>
        </w:trPr>
        <w:tc>
          <w:tcPr>
            <w:tcW w:w="5960" w:type="dxa"/>
            <w:vAlign w:val="bottom"/>
          </w:tcPr>
          <w:p>
            <w:pPr>
              <w:ind w:left="26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6"/>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w:t>
            </w:r>
          </w:p>
        </w:tc>
      </w:tr>
      <w:tr>
        <w:trPr>
          <w:trHeight w:val="258"/>
        </w:trPr>
        <w:tc>
          <w:tcPr>
            <w:tcW w:w="5960" w:type="dxa"/>
            <w:vAlign w:val="bottom"/>
          </w:tcPr>
          <w:p>
            <w:pPr>
              <w:ind w:left="20"/>
              <w:spacing w:after="0"/>
              <w:rPr>
                <w:sz w:val="20"/>
                <w:szCs w:val="20"/>
                <w:color w:val="auto"/>
              </w:rPr>
            </w:pPr>
            <w:r>
              <w:rPr>
                <w:rFonts w:ascii="Arial" w:cs="Arial" w:eastAsia="Arial" w:hAnsi="Arial"/>
                <w:sz w:val="14"/>
                <w:szCs w:val="14"/>
                <w:color w:val="auto"/>
              </w:rPr>
              <w:t>Unrealized gain (loss) on derivative instruments and other securities, net:</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TBA securities - mark-to-market net (loss) gain</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(712)</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76"/>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5960" w:type="dxa"/>
            <w:vAlign w:val="bottom"/>
          </w:tcPr>
          <w:p>
            <w:pPr>
              <w:ind w:left="110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596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$29 million and $30 million for the three months ended September 30, 2015 and 2014, respectively, and $88 million and $89 million for the nine months ended September 30, 2015 and 2014, respectively.</w:t>
      </w:r>
    </w:p>
    <w:p>
      <w:pPr>
        <w:spacing w:after="0" w:line="13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General and administrative expenses were $5 million for each of the three months ended September 30, 2015 and 2014 and $18 million and $17 million for the nine months ended September 30, 2015 and 2014, respectively. Our general and administrative expenses primarily consisted of prime broker fees, information technology costs, accounting fees, legal fees, Board of Director fees, insurance expense and general overhead expense.</w:t>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80" w:right="239" w:bottom="1440" w:gutter="0" w:footer="0" w:header="0"/>
          <w:type w:val="continuous"/>
        </w:sectPr>
      </w:pPr>
    </w:p>
    <w:bookmarkStart w:id="44" w:name="page45"/>
    <w:bookmarkEnd w:id="44"/>
    <w:p>
      <w:pPr>
        <w:jc w:val="both"/>
        <w:ind w:firstLine="432"/>
        <w:spacing w:after="0" w:line="308" w:lineRule="auto"/>
        <w:rPr>
          <w:sz w:val="20"/>
          <w:szCs w:val="20"/>
          <w:color w:val="auto"/>
        </w:rPr>
      </w:pPr>
      <w:r>
        <w:rPr>
          <w:rFonts w:ascii="Arial" w:cs="Arial" w:eastAsia="Arial" w:hAnsi="Arial"/>
          <w:sz w:val="17"/>
          <w:szCs w:val="17"/>
          <w:color w:val="auto"/>
        </w:rPr>
        <w:t>Our total annualized operating expense as a percentage of our average stockholders' equity was 1.57% and 1.47% for the three months ended September 30, 2015 and 2014, respectively, and 1.57% and 1.53% for the nine months ended September 30, 2015 and 2014,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For the three months ended September 30, 2015 and 2014, we had estimated taxable income available to common stockholders of $59 million and $85 million (or $0.17 and $0.24 per common share), respectively, and for the nine months ended September 30, 2015 and 2014, we had estimated taxable income available to common stockholders of $340 million and $352 million (or $0.97 and $1.00 per common share), respectively.</w:t>
      </w:r>
    </w:p>
    <w:p>
      <w:pPr>
        <w:spacing w:after="0" w:line="1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right="20" w:firstLine="8"/>
        <w:spacing w:after="0" w:line="261" w:lineRule="auto"/>
        <w:tabs>
          <w:tab w:leader="none" w:pos="31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13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and nine months ended September 30, 2015 and 2014 (dollars in millions):</w:t>
      </w:r>
    </w:p>
    <w:p>
      <w:pPr>
        <w:spacing w:after="0" w:line="25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52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7"/>
              </w:rPr>
              <w:t>Nine Months Ended</w:t>
            </w:r>
          </w:p>
        </w:tc>
      </w:tr>
      <w:tr>
        <w:trPr>
          <w:trHeight w:val="192"/>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5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5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Estimated book to tax differences: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6"/>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Premium amortization, net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r>
      <w:tr>
        <w:trPr>
          <w:trHeight w:val="264"/>
        </w:trPr>
        <w:tc>
          <w:tcPr>
            <w:tcW w:w="6540" w:type="dxa"/>
            <w:vAlign w:val="bottom"/>
          </w:tcPr>
          <w:p>
            <w:pPr>
              <w:ind w:left="160"/>
              <w:spacing w:after="0"/>
              <w:rPr>
                <w:sz w:val="20"/>
                <w:szCs w:val="20"/>
                <w:color w:val="auto"/>
              </w:rPr>
            </w:pPr>
            <w:r>
              <w:rPr>
                <w:rFonts w:ascii="Arial" w:cs="Arial" w:eastAsia="Arial" w:hAnsi="Arial"/>
                <w:sz w:val="14"/>
                <w:szCs w:val="14"/>
                <w:color w:val="auto"/>
              </w:rPr>
              <w:t>Realized (gain) loss, net</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177</w:t>
            </w:r>
          </w:p>
        </w:tc>
      </w:tr>
      <w:tr>
        <w:trPr>
          <w:trHeight w:val="276"/>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capital loss/(utilization of net capital loss carryforward)</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r>
      <w:tr>
        <w:trPr>
          <w:trHeight w:val="264"/>
        </w:trPr>
        <w:tc>
          <w:tcPr>
            <w:tcW w:w="6540" w:type="dxa"/>
            <w:vAlign w:val="bottom"/>
          </w:tcPr>
          <w:p>
            <w:pPr>
              <w:ind w:left="160"/>
              <w:spacing w:after="0"/>
              <w:rPr>
                <w:sz w:val="20"/>
                <w:szCs w:val="20"/>
                <w:color w:val="auto"/>
              </w:rPr>
            </w:pPr>
            <w:r>
              <w:rPr>
                <w:rFonts w:ascii="Arial" w:cs="Arial" w:eastAsia="Arial" w:hAnsi="Arial"/>
                <w:sz w:val="14"/>
                <w:szCs w:val="14"/>
                <w:color w:val="auto"/>
              </w:rPr>
              <w:t>Unrealized (gain) loss, net</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741</w:t>
            </w:r>
          </w:p>
        </w:tc>
      </w:tr>
      <w:tr>
        <w:trPr>
          <w:trHeight w:val="270"/>
        </w:trPr>
        <w:tc>
          <w:tcPr>
            <w:tcW w:w="65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540" w:type="dxa"/>
            <w:vAlign w:val="bottom"/>
            <w:tcBorders>
              <w:bottom w:val="single" w:sz="8" w:color="CCEEFF"/>
            </w:tcBorders>
          </w:tcPr>
          <w:p>
            <w:pPr>
              <w:ind w:left="820"/>
              <w:spacing w:after="0"/>
              <w:rPr>
                <w:sz w:val="20"/>
                <w:szCs w:val="20"/>
                <w:color w:val="auto"/>
              </w:rPr>
            </w:pPr>
            <w:r>
              <w:rPr>
                <w:rFonts w:ascii="Arial" w:cs="Arial" w:eastAsia="Arial" w:hAnsi="Arial"/>
                <w:sz w:val="14"/>
                <w:szCs w:val="14"/>
                <w:color w:val="auto"/>
              </w:rPr>
              <w:t>Total book to tax differences</w:t>
            </w:r>
          </w:p>
        </w:tc>
        <w:tc>
          <w:tcPr>
            <w:tcW w:w="1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279</w:t>
            </w:r>
          </w:p>
        </w:tc>
      </w:tr>
      <w:tr>
        <w:trPr>
          <w:trHeight w:val="256"/>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REIT taxable income</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r>
      <w:tr>
        <w:trPr>
          <w:trHeight w:val="264"/>
        </w:trPr>
        <w:tc>
          <w:tcPr>
            <w:tcW w:w="65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available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352</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353.5</w:t>
            </w:r>
          </w:p>
        </w:tc>
      </w:tr>
      <w:tr>
        <w:trPr>
          <w:trHeight w:val="210"/>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64"/>
        </w:trPr>
        <w:tc>
          <w:tcPr>
            <w:tcW w:w="6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0"/>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cumulative non-deductible net capital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w:t>
            </w:r>
          </w:p>
        </w:tc>
      </w:tr>
      <w:tr>
        <w:trPr>
          <w:trHeight w:val="264"/>
        </w:trPr>
        <w:tc>
          <w:tcPr>
            <w:tcW w:w="6540" w:type="dxa"/>
            <w:vAlign w:val="bottom"/>
          </w:tcPr>
          <w:p>
            <w:pPr>
              <w:ind w:left="20"/>
              <w:spacing w:after="0"/>
              <w:rPr>
                <w:sz w:val="20"/>
                <w:szCs w:val="20"/>
                <w:color w:val="auto"/>
              </w:rPr>
            </w:pPr>
            <w:r>
              <w:rPr>
                <w:rFonts w:ascii="Arial" w:cs="Arial" w:eastAsia="Arial" w:hAnsi="Arial"/>
                <w:sz w:val="14"/>
                <w:szCs w:val="14"/>
                <w:color w:val="auto"/>
              </w:rPr>
              <w:t>Net capital loss/(utilization of net capital loss carryforward)</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(658)</w:t>
            </w:r>
          </w:p>
        </w:tc>
      </w:tr>
      <w:tr>
        <w:trPr>
          <w:trHeight w:val="250"/>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net capital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1,127</w:t>
            </w:r>
          </w:p>
        </w:tc>
      </w:tr>
      <w:tr>
        <w:trPr>
          <w:trHeight w:val="243"/>
        </w:trPr>
        <w:tc>
          <w:tcPr>
            <w:tcW w:w="6540" w:type="dxa"/>
            <w:vAlign w:val="bottom"/>
          </w:tcPr>
          <w:p>
            <w:pPr>
              <w:ind w:left="20"/>
              <w:spacing w:after="0"/>
              <w:rPr>
                <w:sz w:val="20"/>
                <w:szCs w:val="20"/>
                <w:color w:val="auto"/>
              </w:rPr>
            </w:pPr>
            <w:r>
              <w:rPr>
                <w:rFonts w:ascii="Arial" w:cs="Arial" w:eastAsia="Arial" w:hAnsi="Arial"/>
                <w:sz w:val="14"/>
                <w:szCs w:val="14"/>
                <w:color w:val="auto"/>
              </w:rPr>
              <w:t>Ending cumulative non-deductible net capital loss per ending common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2015, we had $767 million (or $2.21 per common share) of net capital loss carryforwards, which can be carried forward and applied against future net capital gains through fiscal year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the nine months ended September 30, 2015 and 2014:</w:t>
      </w:r>
    </w:p>
    <w:p>
      <w:pPr>
        <w:spacing w:after="0" w:line="293" w:lineRule="exact"/>
        <w:rPr>
          <w:sz w:val="20"/>
          <w:szCs w:val="20"/>
          <w:color w:val="auto"/>
        </w:rPr>
      </w:pPr>
    </w:p>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September 30,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June 30, 2015</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31, 2015</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84"/>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1.453125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w:t>
            </w:r>
          </w:p>
        </w:tc>
      </w:tr>
      <w:tr>
        <w:trPr>
          <w:trHeight w:val="311"/>
        </w:trPr>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0.844965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final tax characterization of our fiscal year 2015 dividends will be determined and reported to stockholders on their annual Form 1099-DIV statement after the end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(loss) for the three and nine months ended September 30, 2015 and 2014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5"/>
          </w:tcPr>
          <w:p>
            <w:pPr>
              <w:ind w:left="3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4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Pr>
          <w:p>
            <w:pPr>
              <w:ind w:left="120"/>
              <w:spacing w:after="0"/>
              <w:rPr>
                <w:sz w:val="20"/>
                <w:szCs w:val="20"/>
                <w:color w:val="auto"/>
              </w:rPr>
            </w:pPr>
            <w:r>
              <w:rPr>
                <w:rFonts w:ascii="Arial" w:cs="Arial" w:eastAsia="Arial" w:hAnsi="Arial"/>
                <w:sz w:val="14"/>
                <w:szCs w:val="14"/>
                <w:color w:val="auto"/>
              </w:rPr>
              <w:t>Unrealized gain (loss),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1,076</w:t>
            </w:r>
          </w:p>
        </w:tc>
      </w:tr>
      <w:tr>
        <w:trPr>
          <w:trHeight w:val="270"/>
        </w:trPr>
        <w:tc>
          <w:tcPr>
            <w:tcW w:w="74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gain (loss) on available-for-sale securities, net: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1,059</w:t>
            </w: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74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w:t>
            </w: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1,180</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w:t>
      </w:r>
    </w:p>
    <w:p>
      <w:pPr>
        <w:spacing w:after="0" w:line="13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 Agreements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the majority of our borrowings under such master repurchase agreements will have maturities ranging up to one year, but we may have longer-term borrowings ranging up to five years or longer. Borrowings under our master repurchase agreements with maturities greater than 90 days will typically have floating rates of interest based on LIBOR plus or minus a fixed spread.</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 of September 30, 2015, we had $40.6 billion of repurchase agreements outstanding used to fund acquisitions of agency securities and we had an additional $460 million of repurchase agreements outstanding used to fund temporary holdings of U.S. Treasury securities, which we exclude from our leverage measurements due to the highly liquid and temporary nature of these investments. Our "at risk" leverage ratio was 6.8x as of September 30, 2015, compared to 6.9x as of December 31, 2014, measured as the sum of our agency borrowings (primarily consisting of our agency repurchase agreements), our net TBA position (at cost) and our net receivable / payable for unsettled agency securities divided by the sum of our total stockholders' equity less the fair value of our investment in REIT equity securities as of period end. Excluding our net TBA position, our leverage ratio was 5.9x our stockholders' equity as of September 30, 2015, compared to 5.3x as of December 31, 2014.</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September 30, 2015, our agency repo had a weighted average cost of funds of 0.52% and a weighted average remaining days-to-maturity of 201 days, compared 0.41% and 143 days, respectively, as of December 31, 2014.</w:t>
      </w:r>
    </w:p>
    <w:p>
      <w:pPr>
        <w:spacing w:after="0" w:line="11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 limit our exposure to counterparty credit risk, we diversify our funding across multiple counterparties and by counterparty region. As of September 30, 2015, we had master repurchase agreements with 36 financial institutions located throughout North America, Europe and Asia. As of September 30, 2015, a maximum of 6% of our stockholders' equity was at risk with any one repo counterparty, with the top five repo counterparties representing approximately 12% of our stockholders' equity. The table below includes a summary of our repurchase agreement funding by number of repo counterparties and counterparty region as of September 30, 2015. For further details regarding our borrowings under repurchase agreements and concentration of credit risk as of September 30, 2015, please refer to Notes 5 and 7 to our Consolidated Financial Statements in this Quarterly Report on Form 10-Q.</w:t>
      </w:r>
    </w:p>
    <w:p>
      <w:pPr>
        <w:spacing w:after="0" w:line="332"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2" w:right="239" w:bottom="1440" w:gutter="0" w:footer="0" w:header="0"/>
        </w:sectPr>
      </w:pPr>
    </w:p>
    <w:bookmarkStart w:id="47" w:name="page48"/>
    <w:bookmarkEnd w:id="47"/>
    <w:p>
      <w:pPr>
        <w:jc w:val="both"/>
        <w:ind w:firstLine="405"/>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nine months ended September 30, 2015, haircuts on our pledged collateral remained stable and as of September 30, 2015, our weighted average haircut was approximately 5% of the value of our collateral.</w:t>
      </w:r>
    </w:p>
    <w:p>
      <w:pPr>
        <w:spacing w:after="0" w:line="13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of securities securing our repurchase agreements are to be obtained from a generally recognized source agreed to by the parties. However, in certain circumstances under certain of our repurchase agreements our lenders have the sole discretion to determine their value.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2015, we had met all of our margin requirements and we had unrestricted cash and cash equivalents of $1.5 billion and unpledged securities of approximately $2.6 billion, including securities pledged to us and unpledged interests in our consolidated VIEs,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Quarterly Report on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our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September 30, 2015,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i w:val="1"/>
          <w:iCs w:val="1"/>
          <w:color w:val="auto"/>
        </w:rPr>
        <w:t>TBA Dollar Roll Transactions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3 and 6 to our Consolidated Financial Statements in this Quarterly Report on Form 10-Q).</w:t>
      </w:r>
    </w:p>
    <w:p>
      <w:pPr>
        <w:spacing w:after="0" w:line="18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September 30, 2015, we had a net long TBA position with a market value and total contract price of $7.4 billion and $7.3 billion, respectively, and a total net carrying value of $120 million recognized in derivative assets/(liabilities), at fair value on our consolidated balance sheets in this Quarterly Report on Form 10-Q.</w:t>
      </w:r>
    </w:p>
    <w:p>
      <w:pPr>
        <w:spacing w:after="0" w:line="17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Home Loan Bank Membership</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2015, our wholly-owned captive insurance subsidiary, Old Georgetown Insurance Co., LLC ("OGI"), was approved as a member of the Federal Home Loan Bank of Des Moines. The FHLBs provide a variety of products and services to their members, including long-term and short-term secured loans, called "advances." FHLB members may use a variety of real estate related assets, including agency MBS and AAA non-agency securities, as collateral for such advances. Membership in the FHLB obligates OGI to purchase membership and activity-based stock in the FHLB, the latter dependent upon the aggregate amount of advances obtained from the FHLB.</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ability to borrow from the FHLB is subject to our subsidiary's continued creditworthiness, pledging of sufficient eligible collateral to secure advances, and compliance with certain agreements with the FHLB. Each advance requires approval by the FHLB and is secured by collateral in accordance with the FHLB’s credit and collateral guidelines, as may be revised from time to time by the FHLB.</w:t>
      </w:r>
    </w:p>
    <w:p>
      <w:pPr>
        <w:spacing w:after="0" w:line="18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FHLB advances typically require higher effective "haircuts" than those required under our current repurchase agreements due to the combination of slightly higher haircuts implemented by the FHLB of Des Moines and the requirement to acquire activity-based stock in the FHLB concurrent with such borrowings. The FHLBs also determine the fair value of the securities pledged as collateral and retain the right to adjust collateral haircuts over the term of the secured borrowings. Furthermore, there is uncertainty regarding the continued membership eligibility of captive insurance subsidiaries to the FHLBs. Consequently, we do not currently anticipate FHLB advances to serve as a primary source of funding for our investment portfolio.</w:t>
      </w:r>
    </w:p>
    <w:p>
      <w:pPr>
        <w:spacing w:after="0" w:line="17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In September 2014, the Federal Housing Financing Authority ("FHFA") issued a Notice of Proposed Rulemaking and Request for Comments Involving Proposed Changes to Regulations Concerning Federal Home Loan Bank Membership Criteria (the "Proposed Rule"). If enacted, the Proposed Rule, among other things, would immediately terminate the membership of captive insurance companies that became members of the FHLB system after publication of the Proposed Rule, which would include OGI. If OGI's membership in the FHLB were terminated, the FHLB would have up to five years to redeem the FHLB stock that OGI purchased and owns as the result of its membership and level of FHLB activity. In addition, if such membership were terminated, OGI could be required to immediately unwind any outstanding debt advances from the FHLB. It is unclear at this point whether the Proposed Rule will be enacted in its current form. The ultimate content of any rule enacted by FHFA with respect to captive insurance company membership in the FHLB system, advance requirements or standards, or similar matters could have a material impact on OGI’s ability to procure funding through the FHLB, which could cause us to experience losses and could have a material adverse effect on our business to the extent of our reliance on FHLB advances.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mortgage-backed securities. We may sell our agency securities through the TBA market by delivering them into TBA contracts, subject to "good delivery" provisions promulgated by the Securities Industry and Financial Markets Association ("SIFMA"). We may alternatively sell agency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securities eligible for TBA delivery enhances our liquidity profile and provides price support for our TBA eligible securities at or above generic TBA prices. As of September 30, 2015, approximately 91% of our fixed rate agency 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we raise additional equity capital through follow-on equity offerings, through our at-the-market offering program or under our dividend reinvestment and direct stock purchase plan, we may use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Our Board of Directors adopted a program that authorizes repurchases of our common stock up to a specified amount. In October 2015, our Board of Directors extended its authorization through December 31, 2016.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Among other factors,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and nine months ended September 30, 2015, we repurchased approximately 2.4 million and 6.3 million shares, respectively, of our common stock at an average repurchase price of $19.08 and $19.57 per share, respectively, including expenses, totaling $45 million and $124 million, respectively. As of September 30, 2015, the total remaining amount authorized for repurchases of our common stock was $868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September 30, 2015,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September 30, 2015, we had not guaranteed any obligations of unconsolidated entities or entered into any commitment or intent to provide funding to any such entities.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swaptions. We also utilize TBA contracts as well as U.S. Treasury securities and U.S. Treasury futures contracts, primarily through short sales. We may also purchase or write put or call options on TBA securities and invest in mortgage and other types of derivative instruments,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September 30, 2015 and December 31, 2014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September 30, 2015 and December 31, 2014.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2015</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-20.6%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-8.6%</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+7.4%</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5"/>
              </w:rPr>
              <w:t>+13.4%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-8.3%</w:t>
            </w:r>
          </w:p>
        </w:tc>
        <w:tc>
          <w:tcPr>
            <w:tcW w:w="0" w:type="dxa"/>
            <w:vAlign w:val="bottom"/>
          </w:tcPr>
          <w:p>
            <w:pPr>
              <w:spacing w:after="0"/>
              <w:rPr>
                <w:sz w:val="1"/>
                <w:szCs w:val="1"/>
                <w:color w:val="auto"/>
              </w:rPr>
            </w:pPr>
          </w:p>
        </w:tc>
      </w:tr>
      <w:tr>
        <w:trPr>
          <w:trHeight w:val="33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41" w:lineRule="auto"/>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current pay interest rate swaps, but excludes costs associated with our other supplemental hedges, such as swaptions and U.S. Treasury securities. Also excludes costs associated with our TBA position and TBA dollar roll income/loss. Base case scenario assumes interest rates and forecasted CPR of 9% and 9% as of September 30, 2015 and December 31, 2014, respectively. As of September 30, 2015, rate shock scenarios assume a forecasted CPR of 14%, 11%, 8% and 7% for the -100, -50, +50 and +100 basis points scenarios, respectively. As of December 31, 2014, rate shock scenarios assume a forecasted CPR of 14%, 11%, 8% and 7% for such scenarios, respectively. Estimated dollar change in net interest income does not include the impact of retroactive "catch-up" premium amortization adjustments due to changes in our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residential mortgage-backed securities increase during periods of falling mortgage interest rates and decrease during periods of rising mortgage interest rates. However, this may not always be the case.</w:t>
      </w:r>
    </w:p>
    <w:p>
      <w:pPr>
        <w:spacing w:after="0" w:line="138"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and non-agency MBS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the market spread widens between the yield on our investment securities and benchmark interest rates, our net book value could decline if the value of our investment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900" w:right="239" w:bottom="1440" w:gutter="0" w:footer="0" w:header="0"/>
        </w:sectPr>
      </w:pPr>
    </w:p>
    <w:bookmarkStart w:id="52" w:name="page53"/>
    <w:bookmarkEnd w:id="52"/>
    <w:p>
      <w:pPr>
        <w:jc w:val="both"/>
        <w:spacing w:after="0" w:line="264" w:lineRule="auto"/>
        <w:rPr>
          <w:sz w:val="20"/>
          <w:szCs w:val="20"/>
          <w:color w:val="auto"/>
        </w:rPr>
      </w:pPr>
      <w:r>
        <w:rPr>
          <w:rFonts w:ascii="Arial" w:cs="Arial" w:eastAsia="Arial" w:hAnsi="Arial"/>
          <w:sz w:val="18"/>
          <w:szCs w:val="18"/>
          <w:color w:val="auto"/>
        </w:rPr>
        <w:t>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net asset value as of September 30, 2015 and December 31, 2014 should spreads widen or tighten by 10 and 25 basis points. The estimated impact of changes in spreads is in addition to our interest rate shock sensitivity included in the interest rate shock table above. The table below assumes a spread duration of 5.0 years and 5.3 years based on interest rates and MBS prices as of September 30, 2015 and December 31, 2014, respectively. However, our portfolio's sensitivity of mortgage spread changes will vary with changes in interest rates and in the size and composition of our investment portfolio. Therefore, actual results could differ materially from our estimates.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 2015</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+9.7%</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-9.7%</w:t>
            </w:r>
          </w:p>
        </w:tc>
        <w:tc>
          <w:tcPr>
            <w:tcW w:w="0" w:type="dxa"/>
            <w:vAlign w:val="bottom"/>
          </w:tcPr>
          <w:p>
            <w:pPr>
              <w:spacing w:after="0"/>
              <w:rPr>
                <w:sz w:val="1"/>
                <w:szCs w:val="1"/>
                <w:color w:val="auto"/>
              </w:rPr>
            </w:pPr>
          </w:p>
        </w:tc>
      </w:tr>
      <w:tr>
        <w:trPr>
          <w:trHeight w:val="330"/>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+9.8%</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primary liquidity risk for us arises from financing long-term assets with shorter-term borrowings through repurchase agreements. Our assets that are pledged to secure repurchase agreements are agency MBS and U.S. Treasury securities. As of September 30, 2015, we had unrestricted cash and cash equivalents of $1.5 billion and unpledged securities of approximately $2.6 billion, including securities pledged to us and unpledged interests in our consolidated VIEs,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4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projected weighted-average life and estimated duration (or interest rate sensitivity) of our investments is based on our Manager's assumptions regarding the rate at which the borrowers will prepay the underlying mortgage loans. In general, we use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4" w:right="2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agency securities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other debt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September 30, 2015.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There have been no material changes to the risk factors previously disclosed in our Annual Report on Form 10-K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ind w:firstLine="513"/>
        <w:spacing w:after="0" w:line="308" w:lineRule="auto"/>
        <w:rPr>
          <w:sz w:val="20"/>
          <w:szCs w:val="20"/>
          <w:color w:val="auto"/>
        </w:rPr>
      </w:pPr>
      <w:r>
        <w:rPr>
          <w:rFonts w:ascii="Arial" w:cs="Arial" w:eastAsia="Arial" w:hAnsi="Arial"/>
          <w:sz w:val="17"/>
          <w:szCs w:val="17"/>
          <w:color w:val="auto"/>
        </w:rPr>
        <w:t>The following table presents information with respect to purchases of our common stock made during the three months ended September 30, 2015 by us or any "affiliated purchaser" of us, as defined in Rule 10b-18(a)(3) under the Exchange Act (in millions, except per share amounts):</w:t>
      </w:r>
    </w:p>
    <w:p>
      <w:pPr>
        <w:spacing w:after="0" w:line="72"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Total Number of Shares</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Net Price</w:t>
            </w: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4"/>
        </w:trPr>
        <w:tc>
          <w:tcPr>
            <w:tcW w:w="378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Settlement Date</w:t>
            </w:r>
          </w:p>
        </w:tc>
        <w:tc>
          <w:tcPr>
            <w:tcW w:w="17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16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7"/>
        </w:trPr>
        <w:tc>
          <w:tcPr>
            <w:tcW w:w="378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Purchased</w:t>
            </w: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Paid Per Share</w:t>
            </w: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 xml:space="preserve">Plans or Programs </w:t>
            </w:r>
            <w:r>
              <w:rPr>
                <w:rFonts w:ascii="Arial" w:cs="Arial" w:eastAsia="Arial" w:hAnsi="Arial"/>
                <w:sz w:val="8"/>
                <w:szCs w:val="8"/>
                <w:b w:val="1"/>
                <w:bCs w:val="1"/>
                <w:color w:val="auto"/>
                <w:w w:val="91"/>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3, 2015 - August 27, 2015</w:t>
            </w:r>
          </w:p>
        </w:tc>
        <w:tc>
          <w:tcPr>
            <w:tcW w:w="16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$19.16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1.3</w:t>
            </w:r>
          </w:p>
        </w:tc>
        <w:tc>
          <w:tcPr>
            <w:tcW w:w="120" w:type="dxa"/>
            <w:vAlign w:val="bottom"/>
            <w:shd w:val="clear" w:color="auto" w:fill="CCEEFF"/>
          </w:tcPr>
          <w:p>
            <w:pPr>
              <w:spacing w:after="0"/>
              <w:rPr>
                <w:sz w:val="23"/>
                <w:szCs w:val="23"/>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September 3, 2015 - September 16, 2015</w:t>
            </w:r>
          </w:p>
        </w:tc>
        <w:tc>
          <w:tcPr>
            <w:tcW w:w="16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$18.94</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1.1</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4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8890</wp:posOffset>
            </wp:positionV>
            <wp:extent cx="4073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described in Note 9 of our accompanying Consolidated Financial Statements in this Form 10-Q.</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0" w:right="239" w:bottom="1440" w:gutter="0" w:footer="0" w:header="0"/>
        </w:sectPr>
      </w:pPr>
    </w:p>
    <w:bookmarkStart w:id="55" w:name="page56"/>
    <w:bookmarkEnd w:id="55"/>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40" w:top="887" w:right="31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6, 2015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580" w:right="279" w:bottom="1440" w:gutter="0" w:footer="0" w:header="0"/>
        </w:sectPr>
      </w:pPr>
    </w:p>
    <w:bookmarkStart w:id="57" w:name="page58"/>
    <w:bookmarkEnd w:id="57"/>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 and Chief Executive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580" w:right="239" w:bottom="1440" w:gutter="0" w:footer="0" w:header="0"/>
        </w:sectPr>
      </w:pPr>
    </w:p>
    <w:bookmarkStart w:id="58" w:name="page59"/>
    <w:bookmarkEnd w:id="58"/>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1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 (Principal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6, 2015</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10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(Principal Financial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6380" w:type="dxa"/>
            <w:vAlign w:val="bottom"/>
            <w:gridSpan w:val="2"/>
          </w:tcPr>
          <w:p>
            <w:pPr>
              <w:ind w:left="20"/>
              <w:spacing w:after="0"/>
              <w:rPr>
                <w:sz w:val="20"/>
                <w:szCs w:val="20"/>
                <w:color w:val="auto"/>
              </w:rPr>
            </w:pPr>
            <w:r>
              <w:rPr>
                <w:rFonts w:ascii="Arial" w:cs="Arial" w:eastAsia="Arial" w:hAnsi="Arial"/>
                <w:sz w:val="18"/>
                <w:szCs w:val="18"/>
                <w:color w:val="auto"/>
              </w:rPr>
              <w:t>November 6,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815"/>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Roman"/>
      <w:start w:val="3"/>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32"/>
    </w:lvl>
  </w:abstractNum>
  <w:abstractNum w:abstractNumId="38">
    <w:nsid w:val="580BD78F"/>
    <w:multiLevelType w:val="hybridMultilevel"/>
    <w:lvl w:ilvl="0">
      <w:lvlJc w:val="left"/>
      <w:lvlText w:val="**"/>
      <w:numFmt w:val="bullet"/>
      <w:start w:val="1"/>
    </w:lvl>
    <w:lvl w:ilvl="1">
      <w:lvlJc w:val="left"/>
      <w:lvlText w:val="(%2)"/>
      <w:numFmt w:val="lowerLetter"/>
      <w:start w:val="2"/>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2019-12-29T14:17:57Z</dcterms:created>
  <dcterms:modified xsi:type="dcterms:W3CDTF">2019-12-29T14:17:57Z</dcterms:modified>
</cp:coreProperties>
</file>