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260" w:type="dxa"/>
        <w:tblCellMar>
          <w:top w:w="0" w:type="dxa"/>
          <w:left w:w="0" w:type="dxa"/>
          <w:bottom w:w="0" w:type="dxa"/>
          <w:right w:w="0" w:type="dxa"/>
        </w:tblCellMar>
      </w:tblPr>
      <w:tr>
        <w:trPr>
          <w:trHeight w:val="212"/>
        </w:trPr>
        <w:tc>
          <w:tcPr>
            <w:tcW w:w="1200" w:type="dxa"/>
            <w:vAlign w:val="bottom"/>
          </w:tcPr>
          <w:p>
            <w:pPr>
              <w:spacing w:after="0"/>
              <w:rPr>
                <w:sz w:val="18"/>
                <w:szCs w:val="18"/>
                <w:color w:val="auto"/>
              </w:rPr>
            </w:pPr>
          </w:p>
        </w:tc>
        <w:tc>
          <w:tcPr>
            <w:tcW w:w="7880" w:type="dxa"/>
            <w:vAlign w:val="bottom"/>
          </w:tcPr>
          <w:p>
            <w:pPr>
              <w:jc w:val="center"/>
              <w:ind w:left="365"/>
              <w:spacing w:after="0"/>
              <w:rPr>
                <w:sz w:val="20"/>
                <w:szCs w:val="20"/>
                <w:color w:val="auto"/>
              </w:rPr>
            </w:pPr>
            <w:r>
              <w:rPr>
                <w:rFonts w:ascii="Arial" w:cs="Arial" w:eastAsia="Arial" w:hAnsi="Arial"/>
                <w:sz w:val="18"/>
                <w:szCs w:val="18"/>
                <w:b w:val="1"/>
                <w:bCs w:val="1"/>
                <w:color w:val="auto"/>
              </w:rPr>
              <w:t>UNITED STATES</w:t>
            </w:r>
          </w:p>
        </w:tc>
        <w:tc>
          <w:tcPr>
            <w:tcW w:w="0" w:type="dxa"/>
            <w:vAlign w:val="bottom"/>
          </w:tcPr>
          <w:p>
            <w:pPr>
              <w:spacing w:after="0"/>
              <w:rPr>
                <w:sz w:val="1"/>
                <w:szCs w:val="1"/>
                <w:color w:val="auto"/>
              </w:rPr>
            </w:pPr>
          </w:p>
        </w:tc>
      </w:tr>
      <w:tr>
        <w:trPr>
          <w:trHeight w:val="213"/>
        </w:trPr>
        <w:tc>
          <w:tcPr>
            <w:tcW w:w="1200" w:type="dxa"/>
            <w:vAlign w:val="bottom"/>
          </w:tcPr>
          <w:p>
            <w:pPr>
              <w:spacing w:after="0"/>
              <w:rPr>
                <w:sz w:val="18"/>
                <w:szCs w:val="18"/>
                <w:color w:val="auto"/>
              </w:rPr>
            </w:pPr>
          </w:p>
        </w:tc>
        <w:tc>
          <w:tcPr>
            <w:tcW w:w="7880" w:type="dxa"/>
            <w:vAlign w:val="bottom"/>
          </w:tcPr>
          <w:p>
            <w:pPr>
              <w:jc w:val="center"/>
              <w:ind w:left="385"/>
              <w:spacing w:after="0"/>
              <w:rPr>
                <w:sz w:val="20"/>
                <w:szCs w:val="20"/>
                <w:color w:val="auto"/>
              </w:rPr>
            </w:pPr>
            <w:r>
              <w:rPr>
                <w:rFonts w:ascii="Arial" w:cs="Arial" w:eastAsia="Arial" w:hAnsi="Arial"/>
                <w:sz w:val="18"/>
                <w:szCs w:val="18"/>
                <w:b w:val="1"/>
                <w:bCs w:val="1"/>
                <w:color w:val="auto"/>
              </w:rPr>
              <w:t>SECURITIES AND EXCHANGE COMMISSION</w:t>
            </w:r>
          </w:p>
        </w:tc>
        <w:tc>
          <w:tcPr>
            <w:tcW w:w="0" w:type="dxa"/>
            <w:vAlign w:val="bottom"/>
          </w:tcPr>
          <w:p>
            <w:pPr>
              <w:spacing w:after="0"/>
              <w:rPr>
                <w:sz w:val="1"/>
                <w:szCs w:val="1"/>
                <w:color w:val="auto"/>
              </w:rPr>
            </w:pPr>
          </w:p>
        </w:tc>
      </w:tr>
      <w:tr>
        <w:trPr>
          <w:trHeight w:val="149"/>
        </w:trPr>
        <w:tc>
          <w:tcPr>
            <w:tcW w:w="1200" w:type="dxa"/>
            <w:vAlign w:val="bottom"/>
          </w:tcPr>
          <w:p>
            <w:pPr>
              <w:spacing w:after="0"/>
              <w:rPr>
                <w:sz w:val="12"/>
                <w:szCs w:val="12"/>
                <w:color w:val="auto"/>
              </w:rPr>
            </w:pPr>
          </w:p>
        </w:tc>
        <w:tc>
          <w:tcPr>
            <w:tcW w:w="7880" w:type="dxa"/>
            <w:vAlign w:val="bottom"/>
          </w:tcPr>
          <w:p>
            <w:pPr>
              <w:jc w:val="center"/>
              <w:ind w:left="385"/>
              <w:spacing w:after="0"/>
              <w:rPr>
                <w:sz w:val="20"/>
                <w:szCs w:val="20"/>
                <w:color w:val="auto"/>
              </w:rPr>
            </w:pPr>
            <w:r>
              <w:rPr>
                <w:rFonts w:ascii="Arial" w:cs="Arial" w:eastAsia="Arial" w:hAnsi="Arial"/>
                <w:sz w:val="13"/>
                <w:szCs w:val="13"/>
                <w:b w:val="1"/>
                <w:bCs w:val="1"/>
                <w:color w:val="auto"/>
                <w:w w:val="93"/>
              </w:rPr>
              <w:t>Washington, D.C. 20549</w:t>
            </w:r>
          </w:p>
        </w:tc>
        <w:tc>
          <w:tcPr>
            <w:tcW w:w="0" w:type="dxa"/>
            <w:vAlign w:val="bottom"/>
          </w:tcPr>
          <w:p>
            <w:pPr>
              <w:spacing w:after="0"/>
              <w:rPr>
                <w:sz w:val="1"/>
                <w:szCs w:val="1"/>
                <w:color w:val="auto"/>
              </w:rPr>
            </w:pPr>
          </w:p>
        </w:tc>
      </w:tr>
      <w:tr>
        <w:trPr>
          <w:trHeight w:val="237"/>
        </w:trPr>
        <w:tc>
          <w:tcPr>
            <w:tcW w:w="1200" w:type="dxa"/>
            <w:vAlign w:val="bottom"/>
            <w:vMerge w:val="restart"/>
          </w:tcPr>
          <w:p>
            <w:pPr>
              <w:spacing w:after="0" w:line="131" w:lineRule="exact"/>
              <w:rPr>
                <w:sz w:val="20"/>
                <w:szCs w:val="20"/>
                <w:color w:val="auto"/>
              </w:rPr>
            </w:pPr>
            <w:r>
              <w:rPr>
                <w:rFonts w:ascii="MS PGothic" w:cs="MS PGothic" w:eastAsia="MS PGothic" w:hAnsi="MS PGothic"/>
                <w:sz w:val="13"/>
                <w:szCs w:val="13"/>
                <w:color w:val="auto"/>
              </w:rPr>
              <w:t>☒</w:t>
            </w:r>
          </w:p>
        </w:tc>
        <w:tc>
          <w:tcPr>
            <w:tcW w:w="7880" w:type="dxa"/>
            <w:vAlign w:val="bottom"/>
          </w:tcPr>
          <w:p>
            <w:pPr>
              <w:jc w:val="center"/>
              <w:ind w:left="365"/>
              <w:spacing w:after="0"/>
              <w:rPr>
                <w:sz w:val="20"/>
                <w:szCs w:val="20"/>
                <w:color w:val="auto"/>
              </w:rPr>
            </w:pPr>
            <w:r>
              <w:rPr>
                <w:rFonts w:ascii="Arial" w:cs="Arial" w:eastAsia="Arial" w:hAnsi="Arial"/>
                <w:sz w:val="18"/>
                <w:szCs w:val="18"/>
                <w:b w:val="1"/>
                <w:bCs w:val="1"/>
                <w:color w:val="auto"/>
              </w:rPr>
              <w:t>FORM 10-Q</w:t>
            </w:r>
          </w:p>
        </w:tc>
        <w:tc>
          <w:tcPr>
            <w:tcW w:w="0" w:type="dxa"/>
            <w:vAlign w:val="bottom"/>
          </w:tcPr>
          <w:p>
            <w:pPr>
              <w:spacing w:after="0"/>
              <w:rPr>
                <w:sz w:val="1"/>
                <w:szCs w:val="1"/>
                <w:color w:val="auto"/>
              </w:rPr>
            </w:pPr>
          </w:p>
        </w:tc>
      </w:tr>
      <w:tr>
        <w:trPr>
          <w:trHeight w:val="200"/>
        </w:trPr>
        <w:tc>
          <w:tcPr>
            <w:tcW w:w="1200" w:type="dxa"/>
            <w:vAlign w:val="bottom"/>
            <w:vMerge w:val="continue"/>
          </w:tcPr>
          <w:p>
            <w:pPr>
              <w:spacing w:after="0"/>
              <w:rPr>
                <w:sz w:val="17"/>
                <w:szCs w:val="17"/>
                <w:color w:val="auto"/>
              </w:rPr>
            </w:pPr>
          </w:p>
        </w:tc>
        <w:tc>
          <w:tcPr>
            <w:tcW w:w="7880" w:type="dxa"/>
            <w:vAlign w:val="bottom"/>
          </w:tcPr>
          <w:p>
            <w:pPr>
              <w:ind w:left="1080"/>
              <w:spacing w:after="0"/>
              <w:rPr>
                <w:sz w:val="20"/>
                <w:szCs w:val="20"/>
                <w:color w:val="auto"/>
              </w:rPr>
            </w:pPr>
            <w:r>
              <w:rPr>
                <w:rFonts w:ascii="Arial" w:cs="Arial" w:eastAsia="Arial" w:hAnsi="Arial"/>
                <w:sz w:val="13"/>
                <w:szCs w:val="13"/>
                <w:b w:val="1"/>
                <w:bCs w:val="1"/>
                <w:color w:val="auto"/>
              </w:rPr>
              <w:t>QUARTERLY REPORT PURSUANT TO SECTION 13 OR 15(D) OF THE SECURITIES EXCHANGE ACT OF 1934</w:t>
            </w:r>
          </w:p>
        </w:tc>
        <w:tc>
          <w:tcPr>
            <w:tcW w:w="0" w:type="dxa"/>
            <w:vAlign w:val="bottom"/>
          </w:tcPr>
          <w:p>
            <w:pPr>
              <w:spacing w:after="0"/>
              <w:rPr>
                <w:sz w:val="1"/>
                <w:szCs w:val="1"/>
                <w:color w:val="auto"/>
              </w:rPr>
            </w:pPr>
          </w:p>
        </w:tc>
      </w:tr>
      <w:tr>
        <w:trPr>
          <w:trHeight w:val="226"/>
        </w:trPr>
        <w:tc>
          <w:tcPr>
            <w:tcW w:w="1200" w:type="dxa"/>
            <w:vAlign w:val="bottom"/>
          </w:tcPr>
          <w:p>
            <w:pPr>
              <w:spacing w:after="0"/>
              <w:rPr>
                <w:sz w:val="19"/>
                <w:szCs w:val="19"/>
                <w:color w:val="auto"/>
              </w:rPr>
            </w:pPr>
          </w:p>
        </w:tc>
        <w:tc>
          <w:tcPr>
            <w:tcW w:w="7880" w:type="dxa"/>
            <w:vAlign w:val="bottom"/>
          </w:tcPr>
          <w:p>
            <w:pPr>
              <w:jc w:val="center"/>
              <w:ind w:left="385"/>
              <w:spacing w:after="0"/>
              <w:rPr>
                <w:sz w:val="20"/>
                <w:szCs w:val="20"/>
                <w:color w:val="auto"/>
              </w:rPr>
            </w:pPr>
            <w:r>
              <w:rPr>
                <w:rFonts w:ascii="Arial" w:cs="Arial" w:eastAsia="Arial" w:hAnsi="Arial"/>
                <w:sz w:val="13"/>
                <w:szCs w:val="13"/>
                <w:b w:val="1"/>
                <w:bCs w:val="1"/>
                <w:color w:val="auto"/>
                <w:w w:val="93"/>
              </w:rPr>
              <w:t>For the quarterly period ended June 30, 2021</w:t>
            </w:r>
          </w:p>
        </w:tc>
        <w:tc>
          <w:tcPr>
            <w:tcW w:w="0" w:type="dxa"/>
            <w:vAlign w:val="bottom"/>
          </w:tcPr>
          <w:p>
            <w:pPr>
              <w:spacing w:after="0"/>
              <w:rPr>
                <w:sz w:val="1"/>
                <w:szCs w:val="1"/>
                <w:color w:val="auto"/>
              </w:rPr>
            </w:pPr>
          </w:p>
        </w:tc>
      </w:tr>
      <w:tr>
        <w:trPr>
          <w:trHeight w:val="173"/>
        </w:trPr>
        <w:tc>
          <w:tcPr>
            <w:tcW w:w="1200" w:type="dxa"/>
            <w:vAlign w:val="bottom"/>
            <w:vMerge w:val="restart"/>
          </w:tcPr>
          <w:p>
            <w:pPr>
              <w:spacing w:after="0" w:line="131" w:lineRule="exact"/>
              <w:rPr>
                <w:sz w:val="20"/>
                <w:szCs w:val="20"/>
                <w:color w:val="auto"/>
              </w:rPr>
            </w:pPr>
            <w:r>
              <w:rPr>
                <w:rFonts w:ascii="MS PGothic" w:cs="MS PGothic" w:eastAsia="MS PGothic" w:hAnsi="MS PGothic"/>
                <w:sz w:val="13"/>
                <w:szCs w:val="13"/>
                <w:color w:val="auto"/>
              </w:rPr>
              <w:t>☐</w:t>
            </w:r>
          </w:p>
        </w:tc>
        <w:tc>
          <w:tcPr>
            <w:tcW w:w="7880" w:type="dxa"/>
            <w:vAlign w:val="bottom"/>
          </w:tcPr>
          <w:p>
            <w:pPr>
              <w:jc w:val="center"/>
              <w:ind w:left="365"/>
              <w:spacing w:after="0"/>
              <w:rPr>
                <w:sz w:val="20"/>
                <w:szCs w:val="20"/>
                <w:color w:val="auto"/>
              </w:rPr>
            </w:pPr>
            <w:r>
              <w:rPr>
                <w:rFonts w:ascii="Arial" w:cs="Arial" w:eastAsia="Arial" w:hAnsi="Arial"/>
                <w:sz w:val="13"/>
                <w:szCs w:val="13"/>
                <w:b w:val="1"/>
                <w:bCs w:val="1"/>
                <w:color w:val="auto"/>
              </w:rPr>
              <w:t>OR</w:t>
            </w:r>
          </w:p>
        </w:tc>
        <w:tc>
          <w:tcPr>
            <w:tcW w:w="0" w:type="dxa"/>
            <w:vAlign w:val="bottom"/>
          </w:tcPr>
          <w:p>
            <w:pPr>
              <w:spacing w:after="0"/>
              <w:rPr>
                <w:sz w:val="1"/>
                <w:szCs w:val="1"/>
                <w:color w:val="auto"/>
              </w:rPr>
            </w:pPr>
          </w:p>
        </w:tc>
      </w:tr>
      <w:tr>
        <w:trPr>
          <w:trHeight w:val="201"/>
        </w:trPr>
        <w:tc>
          <w:tcPr>
            <w:tcW w:w="1200" w:type="dxa"/>
            <w:vAlign w:val="bottom"/>
            <w:vMerge w:val="continue"/>
          </w:tcPr>
          <w:p>
            <w:pPr>
              <w:spacing w:after="0"/>
              <w:rPr>
                <w:sz w:val="17"/>
                <w:szCs w:val="17"/>
                <w:color w:val="auto"/>
              </w:rPr>
            </w:pPr>
          </w:p>
        </w:tc>
        <w:tc>
          <w:tcPr>
            <w:tcW w:w="7880" w:type="dxa"/>
            <w:vAlign w:val="bottom"/>
          </w:tcPr>
          <w:p>
            <w:pPr>
              <w:ind w:left="1080"/>
              <w:spacing w:after="0"/>
              <w:rPr>
                <w:sz w:val="20"/>
                <w:szCs w:val="20"/>
                <w:color w:val="auto"/>
              </w:rPr>
            </w:pPr>
            <w:r>
              <w:rPr>
                <w:rFonts w:ascii="Arial" w:cs="Arial" w:eastAsia="Arial" w:hAnsi="Arial"/>
                <w:sz w:val="13"/>
                <w:szCs w:val="13"/>
                <w:b w:val="1"/>
                <w:bCs w:val="1"/>
                <w:color w:val="auto"/>
              </w:rPr>
              <w:t>TRANSITION REPORT PURSUANT TO SECTION 13 OR 15(D) OF THE SECURITIES EXCHANGE ACT OF 1934</w:t>
            </w:r>
          </w:p>
        </w:tc>
        <w:tc>
          <w:tcPr>
            <w:tcW w:w="0" w:type="dxa"/>
            <w:vAlign w:val="bottom"/>
          </w:tcPr>
          <w:p>
            <w:pPr>
              <w:spacing w:after="0"/>
              <w:rPr>
                <w:sz w:val="1"/>
                <w:szCs w:val="1"/>
                <w:color w:val="auto"/>
              </w:rPr>
            </w:pPr>
          </w:p>
        </w:tc>
      </w:tr>
      <w:tr>
        <w:trPr>
          <w:trHeight w:val="248"/>
        </w:trPr>
        <w:tc>
          <w:tcPr>
            <w:tcW w:w="1200" w:type="dxa"/>
            <w:vAlign w:val="bottom"/>
          </w:tcPr>
          <w:p>
            <w:pPr>
              <w:spacing w:after="0"/>
              <w:rPr>
                <w:sz w:val="21"/>
                <w:szCs w:val="21"/>
                <w:color w:val="auto"/>
              </w:rPr>
            </w:pPr>
          </w:p>
        </w:tc>
        <w:tc>
          <w:tcPr>
            <w:tcW w:w="7880" w:type="dxa"/>
            <w:vAlign w:val="bottom"/>
          </w:tcPr>
          <w:p>
            <w:pPr>
              <w:jc w:val="center"/>
              <w:ind w:left="365"/>
              <w:spacing w:after="0"/>
              <w:rPr>
                <w:sz w:val="20"/>
                <w:szCs w:val="20"/>
                <w:color w:val="auto"/>
              </w:rPr>
            </w:pPr>
            <w:r>
              <w:rPr>
                <w:rFonts w:ascii="Arial" w:cs="Arial" w:eastAsia="Arial" w:hAnsi="Arial"/>
                <w:sz w:val="13"/>
                <w:szCs w:val="13"/>
                <w:b w:val="1"/>
                <w:bCs w:val="1"/>
                <w:color w:val="auto"/>
                <w:w w:val="91"/>
              </w:rPr>
              <w:t>Commission file number 001-34057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274320</wp:posOffset>
            </wp:positionH>
            <wp:positionV relativeFrom="page">
              <wp:posOffset>485775</wp:posOffset>
            </wp:positionV>
            <wp:extent cx="700786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07860" cy="7620"/>
                    </a:xfrm>
                    <a:prstGeom prst="rect">
                      <a:avLst/>
                    </a:prstGeom>
                    <a:noFill/>
                  </pic:spPr>
                </pic:pic>
              </a:graphicData>
            </a:graphic>
          </wp:anchor>
        </w:drawing>
        <w:drawing>
          <wp:anchor simplePos="0" relativeHeight="251657728" behindDoc="1" locked="0" layoutInCell="0" allowOverlap="1">
            <wp:simplePos x="0" y="0"/>
            <wp:positionH relativeFrom="page">
              <wp:posOffset>274320</wp:posOffset>
            </wp:positionH>
            <wp:positionV relativeFrom="page">
              <wp:posOffset>454025</wp:posOffset>
            </wp:positionV>
            <wp:extent cx="700786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07860" cy="7620"/>
                    </a:xfrm>
                    <a:prstGeom prst="rect">
                      <a:avLst/>
                    </a:prstGeom>
                    <a:noFill/>
                  </pic:spPr>
                </pic:pic>
              </a:graphicData>
            </a:graphic>
          </wp:anchor>
        </w:drawing>
        <w:drawing>
          <wp:anchor simplePos="0" relativeHeight="251657728" behindDoc="1" locked="0" layoutInCell="0" allowOverlap="1">
            <wp:simplePos x="0" y="0"/>
            <wp:positionH relativeFrom="column">
              <wp:posOffset>2626995</wp:posOffset>
            </wp:positionH>
            <wp:positionV relativeFrom="paragraph">
              <wp:posOffset>331470</wp:posOffset>
            </wp:positionV>
            <wp:extent cx="1888490" cy="5715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88490" cy="5715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tbl>
      <w:tblPr>
        <w:tblLayout w:type="fixed"/>
        <w:tblInd w:w="0" w:type="dxa"/>
        <w:tblCellMar>
          <w:top w:w="0" w:type="dxa"/>
          <w:left w:w="0" w:type="dxa"/>
          <w:bottom w:w="0" w:type="dxa"/>
          <w:right w:w="0" w:type="dxa"/>
        </w:tblCellMar>
      </w:tblPr>
      <w:tr>
        <w:trPr>
          <w:trHeight w:val="213"/>
        </w:trPr>
        <w:tc>
          <w:tcPr>
            <w:tcW w:w="7380" w:type="dxa"/>
            <w:vAlign w:val="bottom"/>
            <w:gridSpan w:val="4"/>
          </w:tcPr>
          <w:p>
            <w:pPr>
              <w:jc w:val="center"/>
              <w:ind w:left="3792"/>
              <w:spacing w:after="0"/>
              <w:rPr>
                <w:sz w:val="20"/>
                <w:szCs w:val="20"/>
                <w:color w:val="auto"/>
              </w:rPr>
            </w:pPr>
            <w:r>
              <w:rPr>
                <w:rFonts w:ascii="Arial" w:cs="Arial" w:eastAsia="Arial" w:hAnsi="Arial"/>
                <w:sz w:val="18"/>
                <w:szCs w:val="18"/>
                <w:b w:val="1"/>
                <w:bCs w:val="1"/>
                <w:color w:val="auto"/>
              </w:rPr>
              <w:t>AGNC INVESTMENT CORP.</w:t>
            </w:r>
          </w:p>
        </w:tc>
        <w:tc>
          <w:tcPr>
            <w:tcW w:w="3860" w:type="dxa"/>
            <w:vAlign w:val="bottom"/>
          </w:tcPr>
          <w:p>
            <w:pPr>
              <w:spacing w:after="0"/>
              <w:rPr>
                <w:sz w:val="18"/>
                <w:szCs w:val="18"/>
                <w:color w:val="auto"/>
              </w:rPr>
            </w:pPr>
          </w:p>
        </w:tc>
      </w:tr>
      <w:tr>
        <w:trPr>
          <w:trHeight w:val="154"/>
        </w:trPr>
        <w:tc>
          <w:tcPr>
            <w:tcW w:w="7380" w:type="dxa"/>
            <w:vAlign w:val="bottom"/>
            <w:gridSpan w:val="4"/>
          </w:tcPr>
          <w:p>
            <w:pPr>
              <w:jc w:val="center"/>
              <w:ind w:left="3812"/>
              <w:spacing w:after="0"/>
              <w:rPr>
                <w:sz w:val="20"/>
                <w:szCs w:val="20"/>
                <w:color w:val="auto"/>
              </w:rPr>
            </w:pPr>
            <w:r>
              <w:rPr>
                <w:rFonts w:ascii="Arial" w:cs="Arial" w:eastAsia="Arial" w:hAnsi="Arial"/>
                <w:sz w:val="13"/>
                <w:szCs w:val="13"/>
                <w:b w:val="1"/>
                <w:bCs w:val="1"/>
                <w:color w:val="auto"/>
                <w:w w:val="91"/>
              </w:rPr>
              <w:t>(Exact name of registrant as specified in its charter)</w:t>
            </w:r>
          </w:p>
        </w:tc>
        <w:tc>
          <w:tcPr>
            <w:tcW w:w="3860" w:type="dxa"/>
            <w:vAlign w:val="bottom"/>
          </w:tcPr>
          <w:p>
            <w:pPr>
              <w:spacing w:after="0"/>
              <w:rPr>
                <w:sz w:val="13"/>
                <w:szCs w:val="13"/>
                <w:color w:val="auto"/>
              </w:rPr>
            </w:pPr>
          </w:p>
        </w:tc>
      </w:tr>
      <w:tr>
        <w:trPr>
          <w:trHeight w:val="169"/>
        </w:trPr>
        <w:tc>
          <w:tcPr>
            <w:tcW w:w="7380" w:type="dxa"/>
            <w:vAlign w:val="bottom"/>
            <w:gridSpan w:val="4"/>
          </w:tcPr>
          <w:p>
            <w:pPr>
              <w:jc w:val="right"/>
              <w:ind w:right="100"/>
              <w:spacing w:after="0"/>
              <w:rPr>
                <w:sz w:val="20"/>
                <w:szCs w:val="20"/>
                <w:color w:val="auto"/>
              </w:rPr>
            </w:pPr>
            <w:r>
              <w:rPr>
                <w:rFonts w:ascii="Arial" w:cs="Arial" w:eastAsia="Arial" w:hAnsi="Arial"/>
                <w:sz w:val="13"/>
                <w:szCs w:val="13"/>
                <w:color w:val="auto"/>
              </w:rPr>
              <w:t>__________________________________________________</w:t>
            </w:r>
          </w:p>
        </w:tc>
        <w:tc>
          <w:tcPr>
            <w:tcW w:w="3860" w:type="dxa"/>
            <w:vAlign w:val="bottom"/>
          </w:tcPr>
          <w:p>
            <w:pPr>
              <w:spacing w:after="0"/>
              <w:rPr>
                <w:sz w:val="14"/>
                <w:szCs w:val="14"/>
                <w:color w:val="auto"/>
              </w:rPr>
            </w:pPr>
          </w:p>
        </w:tc>
      </w:tr>
      <w:tr>
        <w:trPr>
          <w:trHeight w:val="187"/>
        </w:trPr>
        <w:tc>
          <w:tcPr>
            <w:tcW w:w="572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1"/>
              </w:rPr>
              <w:t>Delaware</w:t>
            </w: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60" w:type="dxa"/>
            <w:vAlign w:val="bottom"/>
          </w:tcPr>
          <w:p>
            <w:pPr>
              <w:jc w:val="center"/>
              <w:ind w:right="1273"/>
              <w:spacing w:after="0"/>
              <w:rPr>
                <w:sz w:val="20"/>
                <w:szCs w:val="20"/>
                <w:color w:val="auto"/>
              </w:rPr>
            </w:pPr>
            <w:r>
              <w:rPr>
                <w:rFonts w:ascii="Arial" w:cs="Arial" w:eastAsia="Arial" w:hAnsi="Arial"/>
                <w:sz w:val="13"/>
                <w:szCs w:val="13"/>
                <w:b w:val="1"/>
                <w:bCs w:val="1"/>
                <w:color w:val="auto"/>
                <w:w w:val="92"/>
              </w:rPr>
              <w:t>26-1701984</w:t>
            </w:r>
          </w:p>
        </w:tc>
      </w:tr>
      <w:tr>
        <w:trPr>
          <w:trHeight w:val="135"/>
        </w:trPr>
        <w:tc>
          <w:tcPr>
            <w:tcW w:w="572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93"/>
              </w:rPr>
              <w:t>(State or Other Jurisdiction of</w:t>
            </w: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60" w:type="dxa"/>
            <w:vAlign w:val="bottom"/>
          </w:tcPr>
          <w:p>
            <w:pPr>
              <w:jc w:val="center"/>
              <w:ind w:right="1273"/>
              <w:spacing w:after="0" w:line="135" w:lineRule="exact"/>
              <w:rPr>
                <w:sz w:val="20"/>
                <w:szCs w:val="20"/>
                <w:color w:val="auto"/>
              </w:rPr>
            </w:pPr>
            <w:r>
              <w:rPr>
                <w:rFonts w:ascii="Arial" w:cs="Arial" w:eastAsia="Arial" w:hAnsi="Arial"/>
                <w:sz w:val="13"/>
                <w:szCs w:val="13"/>
                <w:b w:val="1"/>
                <w:bCs w:val="1"/>
                <w:color w:val="auto"/>
                <w:w w:val="96"/>
              </w:rPr>
              <w:t>(I.R.S. Employer</w:t>
            </w:r>
          </w:p>
        </w:tc>
      </w:tr>
      <w:tr>
        <w:trPr>
          <w:trHeight w:val="173"/>
        </w:trPr>
        <w:tc>
          <w:tcPr>
            <w:tcW w:w="572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5"/>
              </w:rPr>
              <w:t>Incorporation or Organization)</w:t>
            </w: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60" w:type="dxa"/>
            <w:vAlign w:val="bottom"/>
          </w:tcPr>
          <w:p>
            <w:pPr>
              <w:jc w:val="center"/>
              <w:ind w:right="1273"/>
              <w:spacing w:after="0"/>
              <w:rPr>
                <w:sz w:val="20"/>
                <w:szCs w:val="20"/>
                <w:color w:val="auto"/>
              </w:rPr>
            </w:pPr>
            <w:r>
              <w:rPr>
                <w:rFonts w:ascii="Arial" w:cs="Arial" w:eastAsia="Arial" w:hAnsi="Arial"/>
                <w:sz w:val="13"/>
                <w:szCs w:val="13"/>
                <w:b w:val="1"/>
                <w:bCs w:val="1"/>
                <w:color w:val="auto"/>
                <w:w w:val="94"/>
              </w:rPr>
              <w:t>Identification No.)</w:t>
            </w:r>
          </w:p>
        </w:tc>
      </w:tr>
      <w:tr>
        <w:trPr>
          <w:trHeight w:val="232"/>
        </w:trPr>
        <w:tc>
          <w:tcPr>
            <w:tcW w:w="7380" w:type="dxa"/>
            <w:vAlign w:val="bottom"/>
            <w:gridSpan w:val="4"/>
          </w:tcPr>
          <w:p>
            <w:pPr>
              <w:jc w:val="center"/>
              <w:ind w:left="3792"/>
              <w:spacing w:after="0"/>
              <w:rPr>
                <w:sz w:val="20"/>
                <w:szCs w:val="20"/>
                <w:color w:val="auto"/>
              </w:rPr>
            </w:pPr>
            <w:r>
              <w:rPr>
                <w:rFonts w:ascii="Arial" w:cs="Arial" w:eastAsia="Arial" w:hAnsi="Arial"/>
                <w:sz w:val="13"/>
                <w:szCs w:val="13"/>
                <w:b w:val="1"/>
                <w:bCs w:val="1"/>
                <w:color w:val="auto"/>
                <w:w w:val="93"/>
              </w:rPr>
              <w:t>2 Bethesda Metro Center, 12th Floor</w:t>
            </w:r>
          </w:p>
        </w:tc>
        <w:tc>
          <w:tcPr>
            <w:tcW w:w="3860" w:type="dxa"/>
            <w:vAlign w:val="bottom"/>
          </w:tcPr>
          <w:p>
            <w:pPr>
              <w:spacing w:after="0"/>
              <w:rPr>
                <w:sz w:val="20"/>
                <w:szCs w:val="20"/>
                <w:color w:val="auto"/>
              </w:rPr>
            </w:pPr>
          </w:p>
        </w:tc>
      </w:tr>
      <w:tr>
        <w:trPr>
          <w:trHeight w:val="150"/>
        </w:trPr>
        <w:tc>
          <w:tcPr>
            <w:tcW w:w="7380" w:type="dxa"/>
            <w:vAlign w:val="bottom"/>
            <w:gridSpan w:val="4"/>
          </w:tcPr>
          <w:p>
            <w:pPr>
              <w:jc w:val="center"/>
              <w:ind w:left="3792"/>
              <w:spacing w:after="0"/>
              <w:rPr>
                <w:sz w:val="20"/>
                <w:szCs w:val="20"/>
                <w:color w:val="auto"/>
              </w:rPr>
            </w:pPr>
            <w:r>
              <w:rPr>
                <w:rFonts w:ascii="Arial" w:cs="Arial" w:eastAsia="Arial" w:hAnsi="Arial"/>
                <w:sz w:val="13"/>
                <w:szCs w:val="13"/>
                <w:b w:val="1"/>
                <w:bCs w:val="1"/>
                <w:color w:val="auto"/>
                <w:w w:val="93"/>
              </w:rPr>
              <w:t>Bethesda, Maryland 20814</w:t>
            </w:r>
          </w:p>
        </w:tc>
        <w:tc>
          <w:tcPr>
            <w:tcW w:w="3860" w:type="dxa"/>
            <w:vAlign w:val="bottom"/>
          </w:tcPr>
          <w:p>
            <w:pPr>
              <w:spacing w:after="0"/>
              <w:rPr>
                <w:sz w:val="13"/>
                <w:szCs w:val="13"/>
                <w:color w:val="auto"/>
              </w:rPr>
            </w:pPr>
          </w:p>
        </w:tc>
      </w:tr>
      <w:tr>
        <w:trPr>
          <w:trHeight w:val="150"/>
        </w:trPr>
        <w:tc>
          <w:tcPr>
            <w:tcW w:w="7380" w:type="dxa"/>
            <w:vAlign w:val="bottom"/>
            <w:gridSpan w:val="4"/>
          </w:tcPr>
          <w:p>
            <w:pPr>
              <w:jc w:val="center"/>
              <w:ind w:left="3792"/>
              <w:spacing w:after="0"/>
              <w:rPr>
                <w:sz w:val="20"/>
                <w:szCs w:val="20"/>
                <w:color w:val="auto"/>
              </w:rPr>
            </w:pPr>
            <w:r>
              <w:rPr>
                <w:rFonts w:ascii="Arial" w:cs="Arial" w:eastAsia="Arial" w:hAnsi="Arial"/>
                <w:sz w:val="13"/>
                <w:szCs w:val="13"/>
                <w:b w:val="1"/>
                <w:bCs w:val="1"/>
                <w:color w:val="auto"/>
                <w:w w:val="90"/>
              </w:rPr>
              <w:t>(Address of principal executive offices)</w:t>
            </w:r>
          </w:p>
        </w:tc>
        <w:tc>
          <w:tcPr>
            <w:tcW w:w="3860" w:type="dxa"/>
            <w:vAlign w:val="bottom"/>
          </w:tcPr>
          <w:p>
            <w:pPr>
              <w:spacing w:after="0"/>
              <w:rPr>
                <w:sz w:val="13"/>
                <w:szCs w:val="13"/>
                <w:color w:val="auto"/>
              </w:rPr>
            </w:pPr>
          </w:p>
        </w:tc>
      </w:tr>
      <w:tr>
        <w:trPr>
          <w:trHeight w:val="150"/>
        </w:trPr>
        <w:tc>
          <w:tcPr>
            <w:tcW w:w="7280" w:type="dxa"/>
            <w:vAlign w:val="bottom"/>
            <w:gridSpan w:val="3"/>
          </w:tcPr>
          <w:p>
            <w:pPr>
              <w:jc w:val="right"/>
              <w:ind w:right="1173"/>
              <w:spacing w:after="0"/>
              <w:rPr>
                <w:sz w:val="20"/>
                <w:szCs w:val="20"/>
                <w:color w:val="auto"/>
              </w:rPr>
            </w:pPr>
            <w:r>
              <w:rPr>
                <w:rFonts w:ascii="Arial" w:cs="Arial" w:eastAsia="Arial" w:hAnsi="Arial"/>
                <w:sz w:val="13"/>
                <w:szCs w:val="13"/>
                <w:b w:val="1"/>
                <w:bCs w:val="1"/>
                <w:color w:val="auto"/>
              </w:rPr>
              <w:t>(301) 968-9315</w:t>
            </w:r>
          </w:p>
        </w:tc>
        <w:tc>
          <w:tcPr>
            <w:tcW w:w="100" w:type="dxa"/>
            <w:vAlign w:val="bottom"/>
          </w:tcPr>
          <w:p>
            <w:pPr>
              <w:spacing w:after="0"/>
              <w:rPr>
                <w:sz w:val="13"/>
                <w:szCs w:val="13"/>
                <w:color w:val="auto"/>
              </w:rPr>
            </w:pPr>
          </w:p>
        </w:tc>
        <w:tc>
          <w:tcPr>
            <w:tcW w:w="3860" w:type="dxa"/>
            <w:vAlign w:val="bottom"/>
          </w:tcPr>
          <w:p>
            <w:pPr>
              <w:spacing w:after="0"/>
              <w:rPr>
                <w:sz w:val="13"/>
                <w:szCs w:val="13"/>
                <w:color w:val="auto"/>
              </w:rPr>
            </w:pPr>
          </w:p>
        </w:tc>
      </w:tr>
      <w:tr>
        <w:trPr>
          <w:trHeight w:val="154"/>
        </w:trPr>
        <w:tc>
          <w:tcPr>
            <w:tcW w:w="7380" w:type="dxa"/>
            <w:vAlign w:val="bottom"/>
            <w:gridSpan w:val="4"/>
          </w:tcPr>
          <w:p>
            <w:pPr>
              <w:jc w:val="center"/>
              <w:ind w:left="3792"/>
              <w:spacing w:after="0"/>
              <w:rPr>
                <w:sz w:val="20"/>
                <w:szCs w:val="20"/>
                <w:color w:val="auto"/>
              </w:rPr>
            </w:pPr>
            <w:r>
              <w:rPr>
                <w:rFonts w:ascii="Arial" w:cs="Arial" w:eastAsia="Arial" w:hAnsi="Arial"/>
                <w:sz w:val="13"/>
                <w:szCs w:val="13"/>
                <w:b w:val="1"/>
                <w:bCs w:val="1"/>
                <w:color w:val="auto"/>
                <w:w w:val="91"/>
              </w:rPr>
              <w:t>(Registrant’s telephone number, including area code)</w:t>
            </w:r>
          </w:p>
        </w:tc>
        <w:tc>
          <w:tcPr>
            <w:tcW w:w="3860" w:type="dxa"/>
            <w:vAlign w:val="bottom"/>
          </w:tcPr>
          <w:p>
            <w:pPr>
              <w:spacing w:after="0"/>
              <w:rPr>
                <w:sz w:val="13"/>
                <w:szCs w:val="13"/>
                <w:color w:val="auto"/>
              </w:rPr>
            </w:pPr>
          </w:p>
        </w:tc>
      </w:tr>
      <w:tr>
        <w:trPr>
          <w:trHeight w:val="150"/>
        </w:trPr>
        <w:tc>
          <w:tcPr>
            <w:tcW w:w="7380" w:type="dxa"/>
            <w:vAlign w:val="bottom"/>
            <w:gridSpan w:val="4"/>
          </w:tcPr>
          <w:p>
            <w:pPr>
              <w:jc w:val="center"/>
              <w:ind w:left="3832"/>
              <w:spacing w:after="0"/>
              <w:rPr>
                <w:sz w:val="20"/>
                <w:szCs w:val="20"/>
                <w:color w:val="auto"/>
              </w:rPr>
            </w:pPr>
            <w:r>
              <w:rPr>
                <w:rFonts w:ascii="Arial" w:cs="Arial" w:eastAsia="Arial" w:hAnsi="Arial"/>
                <w:sz w:val="13"/>
                <w:szCs w:val="13"/>
                <w:color w:val="auto"/>
                <w:w w:val="91"/>
              </w:rPr>
              <w:t>__________________________________________________</w:t>
            </w:r>
          </w:p>
        </w:tc>
        <w:tc>
          <w:tcPr>
            <w:tcW w:w="3860" w:type="dxa"/>
            <w:vAlign w:val="bottom"/>
          </w:tcPr>
          <w:p>
            <w:pPr>
              <w:spacing w:after="0"/>
              <w:rPr>
                <w:sz w:val="13"/>
                <w:szCs w:val="13"/>
                <w:color w:val="auto"/>
              </w:rPr>
            </w:pPr>
          </w:p>
        </w:tc>
      </w:tr>
      <w:tr>
        <w:trPr>
          <w:trHeight w:val="169"/>
        </w:trPr>
        <w:tc>
          <w:tcPr>
            <w:tcW w:w="5720" w:type="dxa"/>
            <w:vAlign w:val="bottom"/>
            <w:gridSpan w:val="2"/>
          </w:tcPr>
          <w:p>
            <w:pPr>
              <w:spacing w:after="0"/>
              <w:rPr>
                <w:sz w:val="20"/>
                <w:szCs w:val="20"/>
                <w:color w:val="auto"/>
              </w:rPr>
            </w:pPr>
            <w:r>
              <w:rPr>
                <w:rFonts w:ascii="Arial" w:cs="Arial" w:eastAsia="Arial" w:hAnsi="Arial"/>
                <w:sz w:val="13"/>
                <w:szCs w:val="13"/>
                <w:color w:val="auto"/>
              </w:rPr>
              <w:t>Securities registered pursuant to Section 12(b) of the Act:</w:t>
            </w: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60" w:type="dxa"/>
            <w:vAlign w:val="bottom"/>
          </w:tcPr>
          <w:p>
            <w:pPr>
              <w:spacing w:after="0"/>
              <w:rPr>
                <w:sz w:val="14"/>
                <w:szCs w:val="14"/>
                <w:color w:val="auto"/>
              </w:rPr>
            </w:pPr>
          </w:p>
        </w:tc>
      </w:tr>
      <w:tr>
        <w:trPr>
          <w:trHeight w:val="192"/>
        </w:trPr>
        <w:tc>
          <w:tcPr>
            <w:tcW w:w="57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1"/>
              </w:rPr>
              <w:t>Title of Each Class</w:t>
            </w:r>
          </w:p>
        </w:tc>
        <w:tc>
          <w:tcPr>
            <w:tcW w:w="16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2"/>
              </w:rPr>
              <w:t>Trading Symbol(s)</w:t>
            </w:r>
          </w:p>
        </w:tc>
        <w:tc>
          <w:tcPr>
            <w:tcW w:w="3860" w:type="dxa"/>
            <w:vAlign w:val="bottom"/>
          </w:tcPr>
          <w:p>
            <w:pPr>
              <w:jc w:val="center"/>
              <w:spacing w:after="0"/>
              <w:rPr>
                <w:sz w:val="20"/>
                <w:szCs w:val="20"/>
                <w:color w:val="auto"/>
              </w:rPr>
            </w:pPr>
            <w:r>
              <w:rPr>
                <w:rFonts w:ascii="Arial" w:cs="Arial" w:eastAsia="Arial" w:hAnsi="Arial"/>
                <w:sz w:val="13"/>
                <w:szCs w:val="13"/>
                <w:b w:val="1"/>
                <w:bCs w:val="1"/>
                <w:color w:val="auto"/>
                <w:w w:val="91"/>
              </w:rPr>
              <w:t>Name of Exchange on Which Registered</w:t>
            </w:r>
          </w:p>
        </w:tc>
      </w:tr>
      <w:tr>
        <w:trPr>
          <w:trHeight w:val="166"/>
        </w:trPr>
        <w:tc>
          <w:tcPr>
            <w:tcW w:w="562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91"/>
              </w:rPr>
              <w:t>Common Stock, par value $0.01 per share</w:t>
            </w:r>
          </w:p>
        </w:tc>
        <w:tc>
          <w:tcPr>
            <w:tcW w:w="100" w:type="dxa"/>
            <w:vAlign w:val="bottom"/>
          </w:tcPr>
          <w:p>
            <w:pPr>
              <w:spacing w:after="0"/>
              <w:rPr>
                <w:sz w:val="14"/>
                <w:szCs w:val="14"/>
                <w:color w:val="auto"/>
              </w:rPr>
            </w:pPr>
          </w:p>
        </w:tc>
        <w:tc>
          <w:tcPr>
            <w:tcW w:w="156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rPr>
              <w:t>AGNC</w:t>
            </w:r>
          </w:p>
        </w:tc>
        <w:tc>
          <w:tcPr>
            <w:tcW w:w="100" w:type="dxa"/>
            <w:vAlign w:val="bottom"/>
          </w:tcPr>
          <w:p>
            <w:pPr>
              <w:spacing w:after="0"/>
              <w:rPr>
                <w:sz w:val="14"/>
                <w:szCs w:val="14"/>
                <w:color w:val="auto"/>
              </w:rPr>
            </w:pPr>
          </w:p>
        </w:tc>
        <w:tc>
          <w:tcPr>
            <w:tcW w:w="386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92"/>
              </w:rPr>
              <w:t>The Nasdaq Global Select Market</w:t>
            </w:r>
          </w:p>
        </w:tc>
      </w:tr>
      <w:tr>
        <w:trPr>
          <w:trHeight w:val="171"/>
        </w:trPr>
        <w:tc>
          <w:tcPr>
            <w:tcW w:w="5720" w:type="dxa"/>
            <w:vAlign w:val="bottom"/>
            <w:gridSpan w:val="2"/>
          </w:tcPr>
          <w:p>
            <w:pPr>
              <w:jc w:val="center"/>
              <w:ind w:right="80"/>
              <w:spacing w:after="0"/>
              <w:rPr>
                <w:sz w:val="20"/>
                <w:szCs w:val="20"/>
                <w:color w:val="auto"/>
              </w:rPr>
            </w:pPr>
            <w:r>
              <w:rPr>
                <w:rFonts w:ascii="Arial" w:cs="Arial" w:eastAsia="Arial" w:hAnsi="Arial"/>
                <w:sz w:val="13"/>
                <w:szCs w:val="13"/>
                <w:color w:val="auto"/>
                <w:w w:val="92"/>
              </w:rPr>
              <w:t>Depositary shares of 7.000% Series C Fixed-to-Floating Rate Cumulative Redeemable Preferred Stock</w:t>
            </w:r>
          </w:p>
        </w:tc>
        <w:tc>
          <w:tcPr>
            <w:tcW w:w="1660" w:type="dxa"/>
            <w:vAlign w:val="bottom"/>
            <w:gridSpan w:val="2"/>
          </w:tcPr>
          <w:p>
            <w:pPr>
              <w:jc w:val="center"/>
              <w:ind w:right="100"/>
              <w:spacing w:after="0"/>
              <w:rPr>
                <w:sz w:val="20"/>
                <w:szCs w:val="20"/>
                <w:color w:val="auto"/>
              </w:rPr>
            </w:pPr>
            <w:r>
              <w:rPr>
                <w:rFonts w:ascii="Arial" w:cs="Arial" w:eastAsia="Arial" w:hAnsi="Arial"/>
                <w:sz w:val="13"/>
                <w:szCs w:val="13"/>
                <w:color w:val="auto"/>
              </w:rPr>
              <w:t>AGNCN</w:t>
            </w:r>
          </w:p>
        </w:tc>
        <w:tc>
          <w:tcPr>
            <w:tcW w:w="3860" w:type="dxa"/>
            <w:vAlign w:val="bottom"/>
          </w:tcPr>
          <w:p>
            <w:pPr>
              <w:jc w:val="center"/>
              <w:spacing w:after="0"/>
              <w:rPr>
                <w:sz w:val="20"/>
                <w:szCs w:val="20"/>
                <w:color w:val="auto"/>
              </w:rPr>
            </w:pPr>
            <w:r>
              <w:rPr>
                <w:rFonts w:ascii="Arial" w:cs="Arial" w:eastAsia="Arial" w:hAnsi="Arial"/>
                <w:sz w:val="13"/>
                <w:szCs w:val="13"/>
                <w:color w:val="auto"/>
                <w:w w:val="92"/>
              </w:rPr>
              <w:t>The Nasdaq Global Select Market</w:t>
            </w:r>
          </w:p>
        </w:tc>
      </w:tr>
      <w:tr>
        <w:trPr>
          <w:trHeight w:val="175"/>
        </w:trPr>
        <w:tc>
          <w:tcPr>
            <w:tcW w:w="5720" w:type="dxa"/>
            <w:vAlign w:val="bottom"/>
            <w:gridSpan w:val="2"/>
          </w:tcPr>
          <w:p>
            <w:pPr>
              <w:jc w:val="center"/>
              <w:ind w:right="100"/>
              <w:spacing w:after="0"/>
              <w:rPr>
                <w:sz w:val="20"/>
                <w:szCs w:val="20"/>
                <w:color w:val="auto"/>
              </w:rPr>
            </w:pPr>
            <w:r>
              <w:rPr>
                <w:rFonts w:ascii="Arial" w:cs="Arial" w:eastAsia="Arial" w:hAnsi="Arial"/>
                <w:sz w:val="13"/>
                <w:szCs w:val="13"/>
                <w:color w:val="auto"/>
                <w:w w:val="92"/>
              </w:rPr>
              <w:t>Depositary shares of 6.875% Series D Fixed-to-Floating Rate Cumulative Redeemable Preferred Stock</w:t>
            </w:r>
          </w:p>
        </w:tc>
        <w:tc>
          <w:tcPr>
            <w:tcW w:w="1660" w:type="dxa"/>
            <w:vAlign w:val="bottom"/>
            <w:gridSpan w:val="2"/>
          </w:tcPr>
          <w:p>
            <w:pPr>
              <w:jc w:val="center"/>
              <w:ind w:right="80"/>
              <w:spacing w:after="0"/>
              <w:rPr>
                <w:sz w:val="20"/>
                <w:szCs w:val="20"/>
                <w:color w:val="auto"/>
              </w:rPr>
            </w:pPr>
            <w:r>
              <w:rPr>
                <w:rFonts w:ascii="Arial" w:cs="Arial" w:eastAsia="Arial" w:hAnsi="Arial"/>
                <w:sz w:val="13"/>
                <w:szCs w:val="13"/>
                <w:color w:val="auto"/>
              </w:rPr>
              <w:t>AGNCM</w:t>
            </w:r>
          </w:p>
        </w:tc>
        <w:tc>
          <w:tcPr>
            <w:tcW w:w="3860" w:type="dxa"/>
            <w:vAlign w:val="bottom"/>
          </w:tcPr>
          <w:p>
            <w:pPr>
              <w:jc w:val="center"/>
              <w:spacing w:after="0"/>
              <w:rPr>
                <w:sz w:val="20"/>
                <w:szCs w:val="20"/>
                <w:color w:val="auto"/>
              </w:rPr>
            </w:pPr>
            <w:r>
              <w:rPr>
                <w:rFonts w:ascii="Arial" w:cs="Arial" w:eastAsia="Arial" w:hAnsi="Arial"/>
                <w:sz w:val="13"/>
                <w:szCs w:val="13"/>
                <w:color w:val="auto"/>
                <w:w w:val="92"/>
              </w:rPr>
              <w:t>The Nasdaq Global Select Market</w:t>
            </w:r>
          </w:p>
        </w:tc>
      </w:tr>
      <w:tr>
        <w:trPr>
          <w:trHeight w:val="175"/>
        </w:trPr>
        <w:tc>
          <w:tcPr>
            <w:tcW w:w="5720" w:type="dxa"/>
            <w:vAlign w:val="bottom"/>
            <w:gridSpan w:val="2"/>
          </w:tcPr>
          <w:p>
            <w:pPr>
              <w:jc w:val="center"/>
              <w:ind w:right="100"/>
              <w:spacing w:after="0"/>
              <w:rPr>
                <w:sz w:val="20"/>
                <w:szCs w:val="20"/>
                <w:color w:val="auto"/>
              </w:rPr>
            </w:pPr>
            <w:r>
              <w:rPr>
                <w:rFonts w:ascii="Arial" w:cs="Arial" w:eastAsia="Arial" w:hAnsi="Arial"/>
                <w:sz w:val="13"/>
                <w:szCs w:val="13"/>
                <w:color w:val="auto"/>
                <w:w w:val="92"/>
              </w:rPr>
              <w:t>Depositary shares of 6.50% Series E Fixed-to-Floating Rate Cumulative Redeemable Preferred Stock</w:t>
            </w:r>
          </w:p>
        </w:tc>
        <w:tc>
          <w:tcPr>
            <w:tcW w:w="1660" w:type="dxa"/>
            <w:vAlign w:val="bottom"/>
            <w:gridSpan w:val="2"/>
          </w:tcPr>
          <w:p>
            <w:pPr>
              <w:jc w:val="center"/>
              <w:ind w:right="100"/>
              <w:spacing w:after="0"/>
              <w:rPr>
                <w:sz w:val="20"/>
                <w:szCs w:val="20"/>
                <w:color w:val="auto"/>
              </w:rPr>
            </w:pPr>
            <w:r>
              <w:rPr>
                <w:rFonts w:ascii="Arial" w:cs="Arial" w:eastAsia="Arial" w:hAnsi="Arial"/>
                <w:sz w:val="13"/>
                <w:szCs w:val="13"/>
                <w:color w:val="auto"/>
              </w:rPr>
              <w:t>AGNCO</w:t>
            </w:r>
          </w:p>
        </w:tc>
        <w:tc>
          <w:tcPr>
            <w:tcW w:w="3860" w:type="dxa"/>
            <w:vAlign w:val="bottom"/>
          </w:tcPr>
          <w:p>
            <w:pPr>
              <w:jc w:val="center"/>
              <w:spacing w:after="0"/>
              <w:rPr>
                <w:sz w:val="20"/>
                <w:szCs w:val="20"/>
                <w:color w:val="auto"/>
              </w:rPr>
            </w:pPr>
            <w:r>
              <w:rPr>
                <w:rFonts w:ascii="Arial" w:cs="Arial" w:eastAsia="Arial" w:hAnsi="Arial"/>
                <w:sz w:val="13"/>
                <w:szCs w:val="13"/>
                <w:color w:val="auto"/>
                <w:w w:val="92"/>
              </w:rPr>
              <w:t>The Nasdaq Global Select Market</w:t>
            </w:r>
          </w:p>
        </w:tc>
      </w:tr>
      <w:tr>
        <w:trPr>
          <w:trHeight w:val="175"/>
        </w:trPr>
        <w:tc>
          <w:tcPr>
            <w:tcW w:w="5720" w:type="dxa"/>
            <w:vAlign w:val="bottom"/>
            <w:gridSpan w:val="2"/>
          </w:tcPr>
          <w:p>
            <w:pPr>
              <w:jc w:val="center"/>
              <w:ind w:right="100"/>
              <w:spacing w:after="0"/>
              <w:rPr>
                <w:sz w:val="20"/>
                <w:szCs w:val="20"/>
                <w:color w:val="auto"/>
              </w:rPr>
            </w:pPr>
            <w:r>
              <w:rPr>
                <w:rFonts w:ascii="Arial" w:cs="Arial" w:eastAsia="Arial" w:hAnsi="Arial"/>
                <w:sz w:val="13"/>
                <w:szCs w:val="13"/>
                <w:color w:val="auto"/>
                <w:w w:val="92"/>
              </w:rPr>
              <w:t>Depositary shares of 6.125% Series F Fixed-to-Floating Rate Cumulative Redeemable Preferred Stock</w:t>
            </w:r>
          </w:p>
        </w:tc>
        <w:tc>
          <w:tcPr>
            <w:tcW w:w="1660" w:type="dxa"/>
            <w:vAlign w:val="bottom"/>
            <w:gridSpan w:val="2"/>
          </w:tcPr>
          <w:p>
            <w:pPr>
              <w:jc w:val="center"/>
              <w:ind w:right="80"/>
              <w:spacing w:after="0"/>
              <w:rPr>
                <w:sz w:val="20"/>
                <w:szCs w:val="20"/>
                <w:color w:val="auto"/>
              </w:rPr>
            </w:pPr>
            <w:r>
              <w:rPr>
                <w:rFonts w:ascii="Arial" w:cs="Arial" w:eastAsia="Arial" w:hAnsi="Arial"/>
                <w:sz w:val="13"/>
                <w:szCs w:val="13"/>
                <w:color w:val="auto"/>
                <w:w w:val="99"/>
              </w:rPr>
              <w:t>AGNCP</w:t>
            </w:r>
          </w:p>
        </w:tc>
        <w:tc>
          <w:tcPr>
            <w:tcW w:w="3860" w:type="dxa"/>
            <w:vAlign w:val="bottom"/>
          </w:tcPr>
          <w:p>
            <w:pPr>
              <w:jc w:val="center"/>
              <w:spacing w:after="0"/>
              <w:rPr>
                <w:sz w:val="20"/>
                <w:szCs w:val="20"/>
                <w:color w:val="auto"/>
              </w:rPr>
            </w:pPr>
            <w:r>
              <w:rPr>
                <w:rFonts w:ascii="Arial" w:cs="Arial" w:eastAsia="Arial" w:hAnsi="Arial"/>
                <w:sz w:val="13"/>
                <w:szCs w:val="13"/>
                <w:color w:val="auto"/>
                <w:w w:val="92"/>
              </w:rPr>
              <w:t>The Nasdaq Global Select Market</w:t>
            </w:r>
          </w:p>
        </w:tc>
      </w:tr>
    </w:tbl>
    <w:p>
      <w:pPr>
        <w:spacing w:after="0" w:line="77" w:lineRule="exact"/>
        <w:rPr>
          <w:sz w:val="24"/>
          <w:szCs w:val="24"/>
          <w:color w:val="auto"/>
        </w:rPr>
      </w:pPr>
    </w:p>
    <w:p>
      <w:pPr>
        <w:jc w:val="center"/>
        <w:ind w:right="-299"/>
        <w:spacing w:after="0"/>
        <w:rPr>
          <w:sz w:val="20"/>
          <w:szCs w:val="20"/>
          <w:color w:val="auto"/>
        </w:rPr>
      </w:pPr>
      <w:r>
        <w:rPr>
          <w:rFonts w:ascii="Arial" w:cs="Arial" w:eastAsia="Arial" w:hAnsi="Arial"/>
          <w:sz w:val="13"/>
          <w:szCs w:val="13"/>
          <w:b w:val="1"/>
          <w:bCs w:val="1"/>
          <w:color w:val="auto"/>
        </w:rPr>
        <w:t>Securities Registered Pursuant to Section 12(g) of the Act: None</w:t>
      </w:r>
    </w:p>
    <w:p>
      <w:pPr>
        <w:spacing w:after="0" w:line="14" w:lineRule="exact"/>
        <w:rPr>
          <w:sz w:val="24"/>
          <w:szCs w:val="24"/>
          <w:color w:val="auto"/>
        </w:rPr>
      </w:pPr>
    </w:p>
    <w:p>
      <w:pPr>
        <w:ind w:right="160" w:firstLine="300"/>
        <w:spacing w:after="0" w:line="156" w:lineRule="exact"/>
        <w:rPr>
          <w:sz w:val="20"/>
          <w:szCs w:val="20"/>
          <w:color w:val="auto"/>
        </w:rPr>
      </w:pPr>
      <w:r>
        <w:rPr>
          <w:rFonts w:ascii="Arial" w:cs="Arial" w:eastAsia="Arial" w:hAnsi="Arial"/>
          <w:sz w:val="13"/>
          <w:szCs w:val="13"/>
          <w:color w:val="auto"/>
        </w:rPr>
        <w:t xml:space="preserve">Indicate by check mark whether the registrant (1) has filed all reports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3"/>
          <w:szCs w:val="13"/>
          <w:color w:val="auto"/>
        </w:rPr>
        <w:t>☐</w:t>
      </w:r>
    </w:p>
    <w:p>
      <w:pPr>
        <w:spacing w:after="0" w:line="1" w:lineRule="exact"/>
        <w:rPr>
          <w:sz w:val="24"/>
          <w:szCs w:val="24"/>
          <w:color w:val="auto"/>
        </w:rPr>
      </w:pPr>
    </w:p>
    <w:p>
      <w:pPr>
        <w:ind w:firstLine="300"/>
        <w:spacing w:after="0" w:line="156"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x No </w:t>
      </w:r>
      <w:r>
        <w:rPr>
          <w:rFonts w:ascii="MS PGothic" w:cs="MS PGothic" w:eastAsia="MS PGothic" w:hAnsi="MS PGothic"/>
          <w:sz w:val="13"/>
          <w:szCs w:val="13"/>
          <w:color w:val="auto"/>
        </w:rPr>
        <w:t>☐</w:t>
      </w:r>
    </w:p>
    <w:p>
      <w:pPr>
        <w:spacing w:after="0" w:line="1" w:lineRule="exact"/>
        <w:rPr>
          <w:sz w:val="24"/>
          <w:szCs w:val="24"/>
          <w:color w:val="auto"/>
        </w:rPr>
      </w:pPr>
    </w:p>
    <w:p>
      <w:pPr>
        <w:ind w:right="40" w:firstLine="300"/>
        <w:spacing w:after="0" w:line="247"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300" w:type="dxa"/>
        <w:tblCellMar>
          <w:top w:w="0" w:type="dxa"/>
          <w:left w:w="0" w:type="dxa"/>
          <w:bottom w:w="0" w:type="dxa"/>
          <w:right w:w="0" w:type="dxa"/>
        </w:tblCellMar>
      </w:tblPr>
      <w:tr>
        <w:trPr>
          <w:trHeight w:val="169"/>
        </w:trPr>
        <w:tc>
          <w:tcPr>
            <w:tcW w:w="206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940" w:type="dxa"/>
            <w:vAlign w:val="bottom"/>
          </w:tcPr>
          <w:p>
            <w:pPr>
              <w:ind w:left="620"/>
              <w:spacing w:after="0" w:line="131" w:lineRule="exact"/>
              <w:rPr>
                <w:sz w:val="20"/>
                <w:szCs w:val="20"/>
                <w:color w:val="auto"/>
              </w:rPr>
            </w:pPr>
            <w:r>
              <w:rPr>
                <w:rFonts w:ascii="MS PGothic" w:cs="MS PGothic" w:eastAsia="MS PGothic" w:hAnsi="MS PGothic"/>
                <w:sz w:val="13"/>
                <w:szCs w:val="13"/>
                <w:color w:val="auto"/>
              </w:rPr>
              <w:t>☒</w:t>
            </w:r>
          </w:p>
        </w:tc>
        <w:tc>
          <w:tcPr>
            <w:tcW w:w="2580" w:type="dxa"/>
            <w:vAlign w:val="bottom"/>
          </w:tcPr>
          <w:p>
            <w:pPr>
              <w:ind w:left="180"/>
              <w:spacing w:after="0"/>
              <w:rPr>
                <w:sz w:val="20"/>
                <w:szCs w:val="20"/>
                <w:color w:val="auto"/>
              </w:rPr>
            </w:pPr>
            <w:r>
              <w:rPr>
                <w:rFonts w:ascii="Arial" w:cs="Arial" w:eastAsia="Arial" w:hAnsi="Arial"/>
                <w:sz w:val="13"/>
                <w:szCs w:val="13"/>
                <w:color w:val="auto"/>
              </w:rPr>
              <w:t>Accelerated filer</w:t>
            </w:r>
          </w:p>
        </w:tc>
        <w:tc>
          <w:tcPr>
            <w:tcW w:w="980" w:type="dxa"/>
            <w:vAlign w:val="bottom"/>
          </w:tcPr>
          <w:p>
            <w:pPr>
              <w:ind w:left="86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87"/>
        </w:trPr>
        <w:tc>
          <w:tcPr>
            <w:tcW w:w="2060" w:type="dxa"/>
            <w:vAlign w:val="bottom"/>
          </w:tcPr>
          <w:p>
            <w:pPr>
              <w:spacing w:after="0"/>
              <w:rPr>
                <w:sz w:val="20"/>
                <w:szCs w:val="20"/>
                <w:color w:val="auto"/>
              </w:rPr>
            </w:pPr>
            <w:r>
              <w:rPr>
                <w:rFonts w:ascii="Arial" w:cs="Arial" w:eastAsia="Arial" w:hAnsi="Arial"/>
                <w:sz w:val="13"/>
                <w:szCs w:val="13"/>
                <w:color w:val="auto"/>
              </w:rPr>
              <w:t>Non-accelerated filer</w:t>
            </w:r>
          </w:p>
        </w:tc>
        <w:tc>
          <w:tcPr>
            <w:tcW w:w="940" w:type="dxa"/>
            <w:vAlign w:val="bottom"/>
          </w:tcPr>
          <w:p>
            <w:pPr>
              <w:ind w:left="620"/>
              <w:spacing w:after="0" w:line="131" w:lineRule="exact"/>
              <w:rPr>
                <w:sz w:val="20"/>
                <w:szCs w:val="20"/>
                <w:color w:val="auto"/>
              </w:rPr>
            </w:pPr>
            <w:r>
              <w:rPr>
                <w:rFonts w:ascii="MS PGothic" w:cs="MS PGothic" w:eastAsia="MS PGothic" w:hAnsi="MS PGothic"/>
                <w:sz w:val="13"/>
                <w:szCs w:val="13"/>
                <w:color w:val="auto"/>
              </w:rPr>
              <w:t>☐</w:t>
            </w:r>
          </w:p>
        </w:tc>
        <w:tc>
          <w:tcPr>
            <w:tcW w:w="2580" w:type="dxa"/>
            <w:vAlign w:val="bottom"/>
          </w:tcPr>
          <w:p>
            <w:pPr>
              <w:ind w:left="180"/>
              <w:spacing w:after="0"/>
              <w:rPr>
                <w:sz w:val="20"/>
                <w:szCs w:val="20"/>
                <w:color w:val="auto"/>
              </w:rPr>
            </w:pPr>
            <w:r>
              <w:rPr>
                <w:rFonts w:ascii="Arial" w:cs="Arial" w:eastAsia="Arial" w:hAnsi="Arial"/>
                <w:sz w:val="13"/>
                <w:szCs w:val="13"/>
                <w:color w:val="auto"/>
              </w:rPr>
              <w:t>Smaller Reporting Company</w:t>
            </w:r>
          </w:p>
        </w:tc>
        <w:tc>
          <w:tcPr>
            <w:tcW w:w="980" w:type="dxa"/>
            <w:vAlign w:val="bottom"/>
          </w:tcPr>
          <w:p>
            <w:pPr>
              <w:ind w:left="86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08"/>
        </w:trPr>
        <w:tc>
          <w:tcPr>
            <w:tcW w:w="2060" w:type="dxa"/>
            <w:vAlign w:val="bottom"/>
          </w:tcPr>
          <w:p>
            <w:pPr>
              <w:spacing w:after="0"/>
              <w:rPr>
                <w:sz w:val="20"/>
                <w:szCs w:val="20"/>
                <w:color w:val="auto"/>
              </w:rPr>
            </w:pPr>
            <w:r>
              <w:rPr>
                <w:rFonts w:ascii="Arial" w:cs="Arial" w:eastAsia="Arial" w:hAnsi="Arial"/>
                <w:sz w:val="13"/>
                <w:szCs w:val="13"/>
                <w:color w:val="auto"/>
              </w:rPr>
              <w:t>Emerging growth company</w:t>
            </w:r>
          </w:p>
        </w:tc>
        <w:tc>
          <w:tcPr>
            <w:tcW w:w="940" w:type="dxa"/>
            <w:vAlign w:val="bottom"/>
          </w:tcPr>
          <w:p>
            <w:pPr>
              <w:ind w:left="620"/>
              <w:spacing w:after="0" w:line="131" w:lineRule="exact"/>
              <w:rPr>
                <w:sz w:val="20"/>
                <w:szCs w:val="20"/>
                <w:color w:val="auto"/>
              </w:rPr>
            </w:pPr>
            <w:r>
              <w:rPr>
                <w:rFonts w:ascii="MS PGothic" w:cs="MS PGothic" w:eastAsia="MS PGothic" w:hAnsi="MS PGothic"/>
                <w:sz w:val="13"/>
                <w:szCs w:val="13"/>
                <w:color w:val="auto"/>
              </w:rPr>
              <w:t>☐</w:t>
            </w:r>
          </w:p>
        </w:tc>
        <w:tc>
          <w:tcPr>
            <w:tcW w:w="2580" w:type="dxa"/>
            <w:vAlign w:val="bottom"/>
          </w:tcPr>
          <w:p>
            <w:pPr>
              <w:spacing w:after="0"/>
              <w:rPr>
                <w:sz w:val="18"/>
                <w:szCs w:val="18"/>
                <w:color w:val="auto"/>
              </w:rPr>
            </w:pPr>
          </w:p>
        </w:tc>
        <w:tc>
          <w:tcPr>
            <w:tcW w:w="980" w:type="dxa"/>
            <w:vAlign w:val="bottom"/>
          </w:tcPr>
          <w:p>
            <w:pPr>
              <w:spacing w:after="0"/>
              <w:rPr>
                <w:sz w:val="18"/>
                <w:szCs w:val="18"/>
                <w:color w:val="auto"/>
              </w:rPr>
            </w:pPr>
          </w:p>
        </w:tc>
      </w:tr>
    </w:tbl>
    <w:p>
      <w:pPr>
        <w:spacing w:after="0" w:line="92" w:lineRule="exact"/>
        <w:rPr>
          <w:sz w:val="24"/>
          <w:szCs w:val="24"/>
          <w:color w:val="auto"/>
        </w:rPr>
      </w:pPr>
    </w:p>
    <w:p>
      <w:pPr>
        <w:ind w:right="220" w:firstLine="300"/>
        <w:spacing w:after="0" w:line="165" w:lineRule="exact"/>
        <w:rPr>
          <w:sz w:val="20"/>
          <w:szCs w:val="20"/>
          <w:color w:val="auto"/>
        </w:rPr>
      </w:pPr>
      <w:r>
        <w:rPr>
          <w:rFonts w:ascii="Arial" w:cs="Arial" w:eastAsia="Arial" w:hAnsi="Arial"/>
          <w:sz w:val="13"/>
          <w:szCs w:val="13"/>
          <w:color w:val="auto"/>
        </w:rPr>
        <w:t xml:space="preserve">If an emerging growth company, indicate by check mark if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 w:lineRule="exact"/>
        <w:rPr>
          <w:sz w:val="24"/>
          <w:szCs w:val="24"/>
          <w:color w:val="auto"/>
        </w:rPr>
      </w:pPr>
    </w:p>
    <w:p>
      <w:pPr>
        <w:ind w:left="300" w:right="3940"/>
        <w:spacing w:after="0" w:line="157" w:lineRule="exact"/>
        <w:rPr>
          <w:sz w:val="20"/>
          <w:szCs w:val="20"/>
          <w:color w:val="auto"/>
        </w:rPr>
      </w:pPr>
      <w:r>
        <w:rPr>
          <w:rFonts w:ascii="Arial" w:cs="Arial" w:eastAsia="Arial" w:hAnsi="Arial"/>
          <w:sz w:val="12"/>
          <w:szCs w:val="12"/>
          <w:color w:val="auto"/>
        </w:rPr>
        <w:t xml:space="preserve">Indicate by check mark whether the registrant is a shell company (as defined in Rule 12b-2 of the Exchange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x The number of shares of the issuer's common stock, $0.01 par value, outstanding as of July 31, 2021 was 524,908,382.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446405</wp:posOffset>
            </wp:positionV>
            <wp:extent cx="7167880" cy="412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7880" cy="41275"/>
                    </a:xfrm>
                    <a:prstGeom prst="rect">
                      <a:avLst/>
                    </a:prstGeom>
                    <a:noFill/>
                  </pic:spPr>
                </pic:pic>
              </a:graphicData>
            </a:graphic>
          </wp:anchor>
        </w:drawing>
        <w:drawing>
          <wp:anchor simplePos="0" relativeHeight="251657728" behindDoc="1" locked="0" layoutInCell="0" allowOverlap="1">
            <wp:simplePos x="0" y="0"/>
            <wp:positionH relativeFrom="column">
              <wp:posOffset>190500</wp:posOffset>
            </wp:positionH>
            <wp:positionV relativeFrom="paragraph">
              <wp:posOffset>46355</wp:posOffset>
            </wp:positionV>
            <wp:extent cx="700786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07860" cy="7620"/>
                    </a:xfrm>
                    <a:prstGeom prst="rect">
                      <a:avLst/>
                    </a:prstGeom>
                    <a:noFill/>
                  </pic:spPr>
                </pic:pic>
              </a:graphicData>
            </a:graphic>
          </wp:anchor>
        </w:drawing>
        <w:drawing>
          <wp:anchor simplePos="0" relativeHeight="251657728" behindDoc="1" locked="0" layoutInCell="0" allowOverlap="1">
            <wp:simplePos x="0" y="0"/>
            <wp:positionH relativeFrom="column">
              <wp:posOffset>190500</wp:posOffset>
            </wp:positionH>
            <wp:positionV relativeFrom="paragraph">
              <wp:posOffset>14605</wp:posOffset>
            </wp:positionV>
            <wp:extent cx="700786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07860" cy="7620"/>
                    </a:xfrm>
                    <a:prstGeom prst="rect">
                      <a:avLst/>
                    </a:prstGeom>
                    <a:noFill/>
                  </pic:spPr>
                </pic:pic>
              </a:graphicData>
            </a:graphic>
          </wp:anchor>
        </w:drawing>
      </w:r>
    </w:p>
    <w:p>
      <w:pPr>
        <w:sectPr>
          <w:pgSz w:w="11900" w:h="16838" w:orient="portrait"/>
          <w:cols w:equalWidth="0" w:num="1">
            <w:col w:w="11240"/>
          </w:cols>
          <w:pgMar w:left="320" w:top="844" w:right="339" w:bottom="1440" w:gutter="0" w:footer="0" w:header="0"/>
        </w:sectPr>
      </w:pPr>
    </w:p>
    <w:bookmarkStart w:id="1" w:name="page2"/>
    <w:bookmarkEnd w:id="1"/>
    <w:p>
      <w:pPr>
        <w:jc w:val="center"/>
        <w:ind w:right="-639"/>
        <w:spacing w:after="0"/>
        <w:rPr>
          <w:sz w:val="20"/>
          <w:szCs w:val="20"/>
          <w:color w:val="auto"/>
        </w:rPr>
      </w:pPr>
      <w:r>
        <w:rPr>
          <w:rFonts w:ascii="Arial" w:cs="Arial" w:eastAsia="Arial" w:hAnsi="Arial"/>
          <w:sz w:val="17"/>
          <w:szCs w:val="17"/>
          <w:b w:val="1"/>
          <w:bCs w:val="1"/>
          <w:color w:val="auto"/>
        </w:rPr>
        <w:t>AGNC INVESTMENT CORP.</w:t>
      </w:r>
    </w:p>
    <w:p>
      <w:pPr>
        <w:spacing w:after="0" w:line="92" w:lineRule="exact"/>
        <w:rPr>
          <w:sz w:val="20"/>
          <w:szCs w:val="20"/>
          <w:color w:val="auto"/>
        </w:rPr>
      </w:pPr>
    </w:p>
    <w:p>
      <w:pPr>
        <w:jc w:val="center"/>
        <w:ind w:right="-639"/>
        <w:spacing w:after="0"/>
        <w:rPr>
          <w:sz w:val="20"/>
          <w:szCs w:val="20"/>
          <w:color w:val="auto"/>
        </w:rPr>
      </w:pPr>
      <w:r>
        <w:rPr>
          <w:rFonts w:ascii="Arial" w:cs="Arial" w:eastAsia="Arial" w:hAnsi="Arial"/>
          <w:sz w:val="17"/>
          <w:szCs w:val="17"/>
          <w:b w:val="1"/>
          <w:bCs w:val="1"/>
          <w:color w:val="auto"/>
        </w:rPr>
        <w:t>TABLE OF CONTENTS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00" w:type="dxa"/>
            <w:vAlign w:val="bottom"/>
            <w:gridSpan w:val="4"/>
          </w:tcPr>
          <w:p>
            <w:pPr>
              <w:spacing w:after="0"/>
              <w:rPr>
                <w:rFonts w:ascii="Arial" w:cs="Arial" w:eastAsia="Arial" w:hAnsi="Arial"/>
                <w:sz w:val="15"/>
                <w:szCs w:val="15"/>
                <w:b w:val="1"/>
                <w:bCs w:val="1"/>
                <w:color w:val="0000FF"/>
              </w:rPr>
            </w:pPr>
            <w:hyperlink w:anchor="page47">
              <w:r>
                <w:rPr>
                  <w:rFonts w:ascii="Arial" w:cs="Arial" w:eastAsia="Arial" w:hAnsi="Arial"/>
                  <w:sz w:val="15"/>
                  <w:szCs w:val="15"/>
                  <w:b w:val="1"/>
                  <w:bCs w:val="1"/>
                  <w:color w:val="0000FF"/>
                </w:rPr>
                <w:t>PART I.</w:t>
              </w:r>
            </w:hyperlink>
          </w:p>
        </w:tc>
        <w:tc>
          <w:tcPr>
            <w:tcW w:w="9380" w:type="dxa"/>
            <w:vAlign w:val="bottom"/>
            <w:gridSpan w:val="12"/>
          </w:tcPr>
          <w:p>
            <w:pPr>
              <w:spacing w:after="0"/>
              <w:rPr>
                <w:rFonts w:ascii="Arial" w:cs="Arial" w:eastAsia="Arial" w:hAnsi="Arial"/>
                <w:sz w:val="15"/>
                <w:szCs w:val="15"/>
                <w:b w:val="1"/>
                <w:bCs w:val="1"/>
                <w:color w:val="0000FF"/>
              </w:rPr>
            </w:pPr>
            <w:hyperlink w:anchor="page2">
              <w:r>
                <w:rPr>
                  <w:rFonts w:ascii="Arial" w:cs="Arial" w:eastAsia="Arial" w:hAnsi="Arial"/>
                  <w:sz w:val="15"/>
                  <w:szCs w:val="15"/>
                  <w:b w:val="1"/>
                  <w:bCs w:val="1"/>
                  <w:color w:val="0000FF"/>
                </w:rPr>
                <w:t>FINANCIAL INFORMATION</w:t>
              </w:r>
            </w:hyperlink>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0"/>
        </w:trPr>
        <w:tc>
          <w:tcPr>
            <w:tcW w:w="420" w:type="dxa"/>
            <w:vAlign w:val="bottom"/>
            <w:tcBorders>
              <w:top w:val="single" w:sz="8" w:color="0000FF"/>
            </w:tcBorders>
          </w:tcPr>
          <w:p>
            <w:pPr>
              <w:spacing w:after="0"/>
              <w:rPr>
                <w:rFonts w:ascii="Arial" w:cs="Arial" w:eastAsia="Arial" w:hAnsi="Arial"/>
                <w:sz w:val="15"/>
                <w:szCs w:val="15"/>
                <w:color w:val="0000FF"/>
                <w:w w:val="82"/>
              </w:rPr>
            </w:pPr>
            <w:hyperlink w:anchor="page3">
              <w:r>
                <w:rPr>
                  <w:rFonts w:ascii="Arial" w:cs="Arial" w:eastAsia="Arial" w:hAnsi="Arial"/>
                  <w:sz w:val="15"/>
                  <w:szCs w:val="15"/>
                  <w:color w:val="0000FF"/>
                  <w:w w:val="82"/>
                </w:rPr>
                <w:t>Item 1.</w:t>
              </w:r>
            </w:hyperlink>
          </w:p>
        </w:tc>
        <w:tc>
          <w:tcPr>
            <w:tcW w:w="100" w:type="dxa"/>
            <w:vAlign w:val="bottom"/>
            <w:tcBorders>
              <w:top w:val="single" w:sz="8" w:color="0000FF"/>
            </w:tcBorders>
          </w:tcPr>
          <w:p>
            <w:pPr>
              <w:spacing w:after="0"/>
              <w:rPr>
                <w:sz w:val="15"/>
                <w:szCs w:val="15"/>
                <w:color w:val="auto"/>
              </w:rPr>
            </w:pPr>
          </w:p>
        </w:tc>
        <w:tc>
          <w:tcPr>
            <w:tcW w:w="480" w:type="dxa"/>
            <w:vAlign w:val="bottom"/>
            <w:gridSpan w:val="2"/>
          </w:tcPr>
          <w:p>
            <w:pPr>
              <w:spacing w:after="0"/>
              <w:rPr>
                <w:sz w:val="15"/>
                <w:szCs w:val="15"/>
                <w:color w:val="auto"/>
              </w:rPr>
            </w:pPr>
          </w:p>
        </w:tc>
        <w:tc>
          <w:tcPr>
            <w:tcW w:w="2000" w:type="dxa"/>
            <w:vAlign w:val="bottom"/>
            <w:tcBorders>
              <w:top w:val="single" w:sz="8" w:color="0000FF"/>
            </w:tcBorders>
            <w:gridSpan w:val="9"/>
          </w:tcPr>
          <w:p>
            <w:pPr>
              <w:spacing w:after="0"/>
              <w:rPr>
                <w:rFonts w:ascii="Arial" w:cs="Arial" w:eastAsia="Arial" w:hAnsi="Arial"/>
                <w:sz w:val="15"/>
                <w:szCs w:val="15"/>
                <w:color w:val="0000FF"/>
              </w:rPr>
            </w:pPr>
            <w:hyperlink w:anchor="page3">
              <w:r>
                <w:rPr>
                  <w:rFonts w:ascii="Arial" w:cs="Arial" w:eastAsia="Arial" w:hAnsi="Arial"/>
                  <w:sz w:val="15"/>
                  <w:szCs w:val="15"/>
                  <w:color w:val="0000FF"/>
                </w:rPr>
                <w:t>Financial Statements</w:t>
              </w:r>
            </w:hyperlink>
          </w:p>
        </w:tc>
        <w:tc>
          <w:tcPr>
            <w:tcW w:w="7380" w:type="dxa"/>
            <w:vAlign w:val="bottom"/>
            <w:gridSpan w:val="3"/>
          </w:tcPr>
          <w:p>
            <w:pPr>
              <w:spacing w:after="0"/>
              <w:rPr>
                <w:sz w:val="15"/>
                <w:szCs w:val="15"/>
                <w:color w:val="auto"/>
              </w:rPr>
            </w:pPr>
          </w:p>
        </w:tc>
        <w:tc>
          <w:tcPr>
            <w:tcW w:w="160" w:type="dxa"/>
            <w:vAlign w:val="bottom"/>
          </w:tcPr>
          <w:p>
            <w:pPr>
              <w:jc w:val="center"/>
              <w:spacing w:after="0"/>
              <w:rPr>
                <w:rFonts w:ascii="Arial" w:cs="Arial" w:eastAsia="Arial" w:hAnsi="Arial"/>
                <w:sz w:val="15"/>
                <w:szCs w:val="15"/>
                <w:color w:val="0000FF"/>
                <w:w w:val="71"/>
              </w:rPr>
            </w:pPr>
            <w:hyperlink w:anchor="page3">
              <w:r>
                <w:rPr>
                  <w:rFonts w:ascii="Arial" w:cs="Arial" w:eastAsia="Arial" w:hAnsi="Arial"/>
                  <w:sz w:val="15"/>
                  <w:szCs w:val="15"/>
                  <w:color w:val="0000FF"/>
                  <w:w w:val="71"/>
                </w:rPr>
                <w:t>2</w:t>
              </w:r>
            </w:hyperlink>
          </w:p>
        </w:tc>
        <w:tc>
          <w:tcPr>
            <w:tcW w:w="20" w:type="dxa"/>
            <w:vAlign w:val="bottom"/>
          </w:tcPr>
          <w:p>
            <w:pPr>
              <w:spacing w:after="0"/>
              <w:rPr>
                <w:sz w:val="15"/>
                <w:szCs w:val="15"/>
                <w:color w:val="auto"/>
              </w:rPr>
            </w:pPr>
          </w:p>
        </w:tc>
      </w:tr>
      <w:tr>
        <w:trPr>
          <w:trHeight w:val="20"/>
        </w:trPr>
        <w:tc>
          <w:tcPr>
            <w:tcW w:w="4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0"/>
        </w:trPr>
        <w:tc>
          <w:tcPr>
            <w:tcW w:w="420" w:type="dxa"/>
            <w:vAlign w:val="bottom"/>
          </w:tcPr>
          <w:p>
            <w:pPr>
              <w:spacing w:after="0"/>
              <w:rPr>
                <w:rFonts w:ascii="Arial" w:cs="Arial" w:eastAsia="Arial" w:hAnsi="Arial"/>
                <w:sz w:val="15"/>
                <w:szCs w:val="15"/>
                <w:color w:val="0000FF"/>
                <w:w w:val="82"/>
              </w:rPr>
            </w:pPr>
            <w:hyperlink w:anchor="page24">
              <w:r>
                <w:rPr>
                  <w:rFonts w:ascii="Arial" w:cs="Arial" w:eastAsia="Arial" w:hAnsi="Arial"/>
                  <w:sz w:val="15"/>
                  <w:szCs w:val="15"/>
                  <w:color w:val="0000FF"/>
                  <w:w w:val="82"/>
                </w:rPr>
                <w:t>Item 2.</w:t>
              </w:r>
            </w:hyperlink>
          </w:p>
        </w:tc>
        <w:tc>
          <w:tcPr>
            <w:tcW w:w="580" w:type="dxa"/>
            <w:vAlign w:val="bottom"/>
            <w:gridSpan w:val="3"/>
          </w:tcPr>
          <w:p>
            <w:pPr>
              <w:spacing w:after="0"/>
              <w:rPr>
                <w:sz w:val="15"/>
                <w:szCs w:val="15"/>
                <w:color w:val="auto"/>
              </w:rPr>
            </w:pPr>
          </w:p>
        </w:tc>
        <w:tc>
          <w:tcPr>
            <w:tcW w:w="5380" w:type="dxa"/>
            <w:vAlign w:val="bottom"/>
            <w:gridSpan w:val="11"/>
          </w:tcPr>
          <w:p>
            <w:pPr>
              <w:spacing w:after="0"/>
              <w:rPr>
                <w:rFonts w:ascii="Arial" w:cs="Arial" w:eastAsia="Arial" w:hAnsi="Arial"/>
                <w:sz w:val="15"/>
                <w:szCs w:val="15"/>
                <w:color w:val="0000FF"/>
                <w:w w:val="90"/>
              </w:rPr>
            </w:pPr>
            <w:hyperlink w:anchor="page24">
              <w:r>
                <w:rPr>
                  <w:rFonts w:ascii="Arial" w:cs="Arial" w:eastAsia="Arial" w:hAnsi="Arial"/>
                  <w:sz w:val="15"/>
                  <w:szCs w:val="15"/>
                  <w:color w:val="0000FF"/>
                  <w:w w:val="90"/>
                </w:rPr>
                <w:t>Management's Discussion and Analysis of Financial Condition and Results of Operations</w:t>
              </w:r>
            </w:hyperlink>
          </w:p>
        </w:tc>
        <w:tc>
          <w:tcPr>
            <w:tcW w:w="4000" w:type="dxa"/>
            <w:vAlign w:val="bottom"/>
          </w:tcPr>
          <w:p>
            <w:pPr>
              <w:spacing w:after="0"/>
              <w:rPr>
                <w:sz w:val="15"/>
                <w:szCs w:val="15"/>
                <w:color w:val="auto"/>
              </w:rPr>
            </w:pPr>
          </w:p>
        </w:tc>
        <w:tc>
          <w:tcPr>
            <w:tcW w:w="160" w:type="dxa"/>
            <w:vAlign w:val="bottom"/>
          </w:tcPr>
          <w:p>
            <w:pPr>
              <w:jc w:val="center"/>
              <w:spacing w:after="0"/>
              <w:rPr>
                <w:rFonts w:ascii="Arial" w:cs="Arial" w:eastAsia="Arial" w:hAnsi="Arial"/>
                <w:sz w:val="15"/>
                <w:szCs w:val="15"/>
                <w:color w:val="0000FF"/>
                <w:w w:val="83"/>
              </w:rPr>
            </w:pPr>
            <w:hyperlink w:anchor="page24">
              <w:r>
                <w:rPr>
                  <w:rFonts w:ascii="Arial" w:cs="Arial" w:eastAsia="Arial" w:hAnsi="Arial"/>
                  <w:sz w:val="15"/>
                  <w:szCs w:val="15"/>
                  <w:color w:val="0000FF"/>
                  <w:w w:val="83"/>
                </w:rPr>
                <w:t>23</w:t>
              </w:r>
            </w:hyperlink>
          </w:p>
        </w:tc>
        <w:tc>
          <w:tcPr>
            <w:tcW w:w="20" w:type="dxa"/>
            <w:vAlign w:val="bottom"/>
          </w:tcPr>
          <w:p>
            <w:pPr>
              <w:spacing w:after="0"/>
              <w:rPr>
                <w:sz w:val="15"/>
                <w:szCs w:val="15"/>
                <w:color w:val="auto"/>
              </w:rPr>
            </w:pPr>
          </w:p>
        </w:tc>
      </w:tr>
      <w:tr>
        <w:trPr>
          <w:trHeight w:val="20"/>
        </w:trPr>
        <w:tc>
          <w:tcPr>
            <w:tcW w:w="4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1740" w:type="dxa"/>
            <w:vAlign w:val="bottom"/>
            <w:tcBorders>
              <w:left w:val="single" w:sz="8" w:color="0000FF"/>
            </w:tcBorders>
            <w:shd w:val="clear" w:color="auto" w:fill="0000FF"/>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0"/>
        </w:trPr>
        <w:tc>
          <w:tcPr>
            <w:tcW w:w="420" w:type="dxa"/>
            <w:vAlign w:val="bottom"/>
          </w:tcPr>
          <w:p>
            <w:pPr>
              <w:spacing w:after="0"/>
              <w:rPr>
                <w:rFonts w:ascii="Arial" w:cs="Arial" w:eastAsia="Arial" w:hAnsi="Arial"/>
                <w:sz w:val="15"/>
                <w:szCs w:val="15"/>
                <w:color w:val="0000FF"/>
                <w:w w:val="82"/>
              </w:rPr>
            </w:pPr>
            <w:hyperlink w:anchor="page44">
              <w:r>
                <w:rPr>
                  <w:rFonts w:ascii="Arial" w:cs="Arial" w:eastAsia="Arial" w:hAnsi="Arial"/>
                  <w:sz w:val="15"/>
                  <w:szCs w:val="15"/>
                  <w:color w:val="0000FF"/>
                  <w:w w:val="82"/>
                </w:rPr>
                <w:t>Item 3.</w:t>
              </w:r>
            </w:hyperlink>
          </w:p>
        </w:tc>
        <w:tc>
          <w:tcPr>
            <w:tcW w:w="580" w:type="dxa"/>
            <w:vAlign w:val="bottom"/>
            <w:gridSpan w:val="3"/>
          </w:tcPr>
          <w:p>
            <w:pPr>
              <w:spacing w:after="0"/>
              <w:rPr>
                <w:sz w:val="15"/>
                <w:szCs w:val="15"/>
                <w:color w:val="auto"/>
              </w:rPr>
            </w:pPr>
          </w:p>
        </w:tc>
        <w:tc>
          <w:tcPr>
            <w:tcW w:w="3640" w:type="dxa"/>
            <w:vAlign w:val="bottom"/>
            <w:gridSpan w:val="10"/>
          </w:tcPr>
          <w:p>
            <w:pPr>
              <w:spacing w:after="0"/>
              <w:rPr>
                <w:rFonts w:ascii="Arial" w:cs="Arial" w:eastAsia="Arial" w:hAnsi="Arial"/>
                <w:sz w:val="15"/>
                <w:szCs w:val="15"/>
                <w:color w:val="0000FF"/>
                <w:w w:val="91"/>
              </w:rPr>
            </w:pPr>
            <w:hyperlink w:anchor="page44">
              <w:r>
                <w:rPr>
                  <w:rFonts w:ascii="Arial" w:cs="Arial" w:eastAsia="Arial" w:hAnsi="Arial"/>
                  <w:sz w:val="15"/>
                  <w:szCs w:val="15"/>
                  <w:color w:val="0000FF"/>
                  <w:w w:val="91"/>
                </w:rPr>
                <w:t>Quantitative and Qualitative Disclosures About Market Risk</w:t>
              </w:r>
            </w:hyperlink>
          </w:p>
        </w:tc>
        <w:tc>
          <w:tcPr>
            <w:tcW w:w="174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160" w:type="dxa"/>
            <w:vAlign w:val="bottom"/>
          </w:tcPr>
          <w:p>
            <w:pPr>
              <w:jc w:val="center"/>
              <w:spacing w:after="0"/>
              <w:rPr>
                <w:rFonts w:ascii="Arial" w:cs="Arial" w:eastAsia="Arial" w:hAnsi="Arial"/>
                <w:sz w:val="15"/>
                <w:szCs w:val="15"/>
                <w:color w:val="0000FF"/>
                <w:w w:val="83"/>
              </w:rPr>
            </w:pPr>
            <w:hyperlink w:anchor="page44">
              <w:r>
                <w:rPr>
                  <w:rFonts w:ascii="Arial" w:cs="Arial" w:eastAsia="Arial" w:hAnsi="Arial"/>
                  <w:sz w:val="15"/>
                  <w:szCs w:val="15"/>
                  <w:color w:val="0000FF"/>
                  <w:w w:val="83"/>
                </w:rPr>
                <w:t>43</w:t>
              </w:r>
            </w:hyperlink>
          </w:p>
        </w:tc>
        <w:tc>
          <w:tcPr>
            <w:tcW w:w="20" w:type="dxa"/>
            <w:vAlign w:val="bottom"/>
          </w:tcPr>
          <w:p>
            <w:pPr>
              <w:spacing w:after="0"/>
              <w:rPr>
                <w:sz w:val="15"/>
                <w:szCs w:val="15"/>
                <w:color w:val="auto"/>
              </w:rPr>
            </w:pPr>
          </w:p>
        </w:tc>
      </w:tr>
      <w:tr>
        <w:trPr>
          <w:trHeight w:val="20"/>
        </w:trPr>
        <w:tc>
          <w:tcPr>
            <w:tcW w:w="4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5740" w:type="dxa"/>
            <w:vAlign w:val="bottom"/>
            <w:tcBorders>
              <w:left w:val="single" w:sz="8" w:color="0000FF"/>
            </w:tcBorders>
            <w:gridSpan w:val="2"/>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0"/>
        </w:trPr>
        <w:tc>
          <w:tcPr>
            <w:tcW w:w="420" w:type="dxa"/>
            <w:vAlign w:val="bottom"/>
          </w:tcPr>
          <w:p>
            <w:pPr>
              <w:spacing w:after="0"/>
              <w:rPr>
                <w:rFonts w:ascii="Arial" w:cs="Arial" w:eastAsia="Arial" w:hAnsi="Arial"/>
                <w:sz w:val="15"/>
                <w:szCs w:val="15"/>
                <w:color w:val="0000FF"/>
                <w:w w:val="82"/>
              </w:rPr>
            </w:pPr>
            <w:hyperlink w:anchor="page47">
              <w:r>
                <w:rPr>
                  <w:rFonts w:ascii="Arial" w:cs="Arial" w:eastAsia="Arial" w:hAnsi="Arial"/>
                  <w:sz w:val="15"/>
                  <w:szCs w:val="15"/>
                  <w:color w:val="0000FF"/>
                  <w:w w:val="82"/>
                </w:rPr>
                <w:t>Item 4.</w:t>
              </w:r>
            </w:hyperlink>
          </w:p>
        </w:tc>
        <w:tc>
          <w:tcPr>
            <w:tcW w:w="580" w:type="dxa"/>
            <w:vAlign w:val="bottom"/>
            <w:gridSpan w:val="3"/>
          </w:tcPr>
          <w:p>
            <w:pPr>
              <w:spacing w:after="0"/>
              <w:rPr>
                <w:sz w:val="15"/>
                <w:szCs w:val="15"/>
                <w:color w:val="auto"/>
              </w:rPr>
            </w:pPr>
          </w:p>
        </w:tc>
        <w:tc>
          <w:tcPr>
            <w:tcW w:w="3640" w:type="dxa"/>
            <w:vAlign w:val="bottom"/>
            <w:gridSpan w:val="10"/>
          </w:tcPr>
          <w:p>
            <w:pPr>
              <w:spacing w:after="0"/>
              <w:rPr>
                <w:rFonts w:ascii="Arial" w:cs="Arial" w:eastAsia="Arial" w:hAnsi="Arial"/>
                <w:sz w:val="15"/>
                <w:szCs w:val="15"/>
                <w:color w:val="0000FF"/>
              </w:rPr>
            </w:pPr>
            <w:hyperlink w:anchor="page47">
              <w:r>
                <w:rPr>
                  <w:rFonts w:ascii="Arial" w:cs="Arial" w:eastAsia="Arial" w:hAnsi="Arial"/>
                  <w:sz w:val="15"/>
                  <w:szCs w:val="15"/>
                  <w:color w:val="0000FF"/>
                </w:rPr>
                <w:t>Controls and Procedures</w:t>
              </w:r>
            </w:hyperlink>
          </w:p>
        </w:tc>
        <w:tc>
          <w:tcPr>
            <w:tcW w:w="5740" w:type="dxa"/>
            <w:vAlign w:val="bottom"/>
            <w:gridSpan w:val="2"/>
          </w:tcPr>
          <w:p>
            <w:pPr>
              <w:spacing w:after="0"/>
              <w:rPr>
                <w:sz w:val="15"/>
                <w:szCs w:val="15"/>
                <w:color w:val="auto"/>
              </w:rPr>
            </w:pPr>
          </w:p>
        </w:tc>
        <w:tc>
          <w:tcPr>
            <w:tcW w:w="160" w:type="dxa"/>
            <w:vAlign w:val="bottom"/>
          </w:tcPr>
          <w:p>
            <w:pPr>
              <w:jc w:val="center"/>
              <w:spacing w:after="0"/>
              <w:rPr>
                <w:rFonts w:ascii="Arial" w:cs="Arial" w:eastAsia="Arial" w:hAnsi="Arial"/>
                <w:sz w:val="15"/>
                <w:szCs w:val="15"/>
                <w:color w:val="0000FF"/>
                <w:w w:val="83"/>
              </w:rPr>
            </w:pPr>
            <w:hyperlink w:anchor="page47">
              <w:r>
                <w:rPr>
                  <w:rFonts w:ascii="Arial" w:cs="Arial" w:eastAsia="Arial" w:hAnsi="Arial"/>
                  <w:sz w:val="15"/>
                  <w:szCs w:val="15"/>
                  <w:color w:val="0000FF"/>
                  <w:w w:val="83"/>
                </w:rPr>
                <w:t>46</w:t>
              </w:r>
            </w:hyperlink>
          </w:p>
        </w:tc>
        <w:tc>
          <w:tcPr>
            <w:tcW w:w="20" w:type="dxa"/>
            <w:vAlign w:val="bottom"/>
          </w:tcPr>
          <w:p>
            <w:pPr>
              <w:spacing w:after="0"/>
              <w:rPr>
                <w:sz w:val="15"/>
                <w:szCs w:val="15"/>
                <w:color w:val="auto"/>
              </w:rPr>
            </w:pPr>
          </w:p>
        </w:tc>
      </w:tr>
      <w:tr>
        <w:trPr>
          <w:trHeight w:val="20"/>
        </w:trPr>
        <w:tc>
          <w:tcPr>
            <w:tcW w:w="4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5740" w:type="dxa"/>
            <w:vAlign w:val="bottom"/>
            <w:gridSpan w:val="2"/>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7"/>
        </w:trPr>
        <w:tc>
          <w:tcPr>
            <w:tcW w:w="620" w:type="dxa"/>
            <w:vAlign w:val="bottom"/>
            <w:tcBorders>
              <w:bottom w:val="single" w:sz="8" w:color="0000FF"/>
            </w:tcBorders>
            <w:gridSpan w:val="3"/>
          </w:tcPr>
          <w:p>
            <w:pPr>
              <w:spacing w:after="0"/>
              <w:rPr>
                <w:rFonts w:ascii="Arial" w:cs="Arial" w:eastAsia="Arial" w:hAnsi="Arial"/>
                <w:sz w:val="15"/>
                <w:szCs w:val="15"/>
                <w:b w:val="1"/>
                <w:bCs w:val="1"/>
                <w:color w:val="0000FF"/>
              </w:rPr>
            </w:pPr>
            <w:hyperlink w:anchor="page47">
              <w:r>
                <w:rPr>
                  <w:rFonts w:ascii="Arial" w:cs="Arial" w:eastAsia="Arial" w:hAnsi="Arial"/>
                  <w:sz w:val="15"/>
                  <w:szCs w:val="15"/>
                  <w:b w:val="1"/>
                  <w:bCs w:val="1"/>
                  <w:color w:val="0000FF"/>
                </w:rPr>
                <w:t>PART II.</w:t>
              </w:r>
            </w:hyperlink>
          </w:p>
        </w:tc>
        <w:tc>
          <w:tcPr>
            <w:tcW w:w="380" w:type="dxa"/>
            <w:vAlign w:val="bottom"/>
          </w:tcPr>
          <w:p>
            <w:pPr>
              <w:spacing w:after="0"/>
              <w:rPr>
                <w:sz w:val="24"/>
                <w:szCs w:val="24"/>
                <w:color w:val="auto"/>
              </w:rPr>
            </w:pPr>
          </w:p>
        </w:tc>
        <w:tc>
          <w:tcPr>
            <w:tcW w:w="1700" w:type="dxa"/>
            <w:vAlign w:val="bottom"/>
            <w:tcBorders>
              <w:bottom w:val="single" w:sz="8" w:color="0000FF"/>
            </w:tcBorders>
            <w:gridSpan w:val="7"/>
          </w:tcPr>
          <w:p>
            <w:pPr>
              <w:spacing w:after="0"/>
              <w:rPr>
                <w:rFonts w:ascii="Arial" w:cs="Arial" w:eastAsia="Arial" w:hAnsi="Arial"/>
                <w:sz w:val="15"/>
                <w:szCs w:val="15"/>
                <w:b w:val="1"/>
                <w:bCs w:val="1"/>
                <w:color w:val="0000FF"/>
              </w:rPr>
            </w:pPr>
            <w:hyperlink w:anchor="page47">
              <w:r>
                <w:rPr>
                  <w:rFonts w:ascii="Arial" w:cs="Arial" w:eastAsia="Arial" w:hAnsi="Arial"/>
                  <w:sz w:val="15"/>
                  <w:szCs w:val="15"/>
                  <w:b w:val="1"/>
                  <w:bCs w:val="1"/>
                  <w:color w:val="0000FF"/>
                </w:rPr>
                <w:t>OTHER INFORMATION</w:t>
              </w:r>
            </w:hyperlink>
          </w:p>
        </w:tc>
        <w:tc>
          <w:tcPr>
            <w:tcW w:w="7680" w:type="dxa"/>
            <w:vAlign w:val="bottom"/>
            <w:gridSpan w:val="5"/>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5"/>
        </w:trPr>
        <w:tc>
          <w:tcPr>
            <w:tcW w:w="520" w:type="dxa"/>
            <w:vAlign w:val="bottom"/>
            <w:tcBorders>
              <w:bottom w:val="single" w:sz="8" w:color="0000FF"/>
            </w:tcBorders>
            <w:gridSpan w:val="2"/>
          </w:tcPr>
          <w:p>
            <w:pPr>
              <w:spacing w:after="0" w:line="168" w:lineRule="exact"/>
              <w:rPr>
                <w:rFonts w:ascii="Arial" w:cs="Arial" w:eastAsia="Arial" w:hAnsi="Arial"/>
                <w:sz w:val="15"/>
                <w:szCs w:val="15"/>
                <w:color w:val="0000FF"/>
              </w:rPr>
            </w:pPr>
            <w:hyperlink w:anchor="page48">
              <w:r>
                <w:rPr>
                  <w:rFonts w:ascii="Arial" w:cs="Arial" w:eastAsia="Arial" w:hAnsi="Arial"/>
                  <w:sz w:val="15"/>
                  <w:szCs w:val="15"/>
                  <w:color w:val="0000FF"/>
                </w:rPr>
                <w:t>Item 1.</w:t>
              </w:r>
            </w:hyperlink>
          </w:p>
        </w:tc>
        <w:tc>
          <w:tcPr>
            <w:tcW w:w="480" w:type="dxa"/>
            <w:vAlign w:val="bottom"/>
            <w:gridSpan w:val="2"/>
          </w:tcPr>
          <w:p>
            <w:pPr>
              <w:spacing w:after="0"/>
              <w:rPr>
                <w:sz w:val="16"/>
                <w:szCs w:val="16"/>
                <w:color w:val="auto"/>
              </w:rPr>
            </w:pPr>
          </w:p>
        </w:tc>
        <w:tc>
          <w:tcPr>
            <w:tcW w:w="1920" w:type="dxa"/>
            <w:vAlign w:val="bottom"/>
            <w:tcBorders>
              <w:bottom w:val="single" w:sz="8" w:color="0000FF"/>
            </w:tcBorders>
            <w:gridSpan w:val="8"/>
          </w:tcPr>
          <w:p>
            <w:pPr>
              <w:spacing w:after="0" w:line="168" w:lineRule="exact"/>
              <w:rPr>
                <w:rFonts w:ascii="Arial" w:cs="Arial" w:eastAsia="Arial" w:hAnsi="Arial"/>
                <w:sz w:val="15"/>
                <w:szCs w:val="15"/>
                <w:color w:val="0000FF"/>
              </w:rPr>
            </w:pPr>
            <w:hyperlink w:anchor="page48">
              <w:r>
                <w:rPr>
                  <w:rFonts w:ascii="Arial" w:cs="Arial" w:eastAsia="Arial" w:hAnsi="Arial"/>
                  <w:sz w:val="15"/>
                  <w:szCs w:val="15"/>
                  <w:color w:val="0000FF"/>
                </w:rPr>
                <w:t>Legal Proceedings</w:t>
              </w:r>
            </w:hyperlink>
          </w:p>
        </w:tc>
        <w:tc>
          <w:tcPr>
            <w:tcW w:w="7460" w:type="dxa"/>
            <w:vAlign w:val="bottom"/>
            <w:gridSpan w:val="4"/>
          </w:tcPr>
          <w:p>
            <w:pPr>
              <w:spacing w:after="0"/>
              <w:rPr>
                <w:sz w:val="16"/>
                <w:szCs w:val="16"/>
                <w:color w:val="auto"/>
              </w:rPr>
            </w:pPr>
          </w:p>
        </w:tc>
        <w:tc>
          <w:tcPr>
            <w:tcW w:w="180" w:type="dxa"/>
            <w:vAlign w:val="bottom"/>
            <w:tcBorders>
              <w:bottom w:val="single" w:sz="8" w:color="0000FF"/>
            </w:tcBorders>
            <w:gridSpan w:val="2"/>
          </w:tcPr>
          <w:p>
            <w:pPr>
              <w:jc w:val="center"/>
              <w:spacing w:after="0" w:line="160" w:lineRule="exact"/>
              <w:rPr>
                <w:rFonts w:ascii="Arial" w:cs="Arial" w:eastAsia="Arial" w:hAnsi="Arial"/>
                <w:sz w:val="17"/>
                <w:szCs w:val="17"/>
                <w:color w:val="0000FF"/>
                <w:w w:val="94"/>
              </w:rPr>
            </w:pPr>
            <w:hyperlink w:anchor="page48">
              <w:r>
                <w:rPr>
                  <w:rFonts w:ascii="Arial" w:cs="Arial" w:eastAsia="Arial" w:hAnsi="Arial"/>
                  <w:sz w:val="17"/>
                  <w:szCs w:val="17"/>
                  <w:color w:val="0000FF"/>
                  <w:w w:val="94"/>
                </w:rPr>
                <w:t>47</w:t>
              </w:r>
            </w:hyperlink>
          </w:p>
        </w:tc>
      </w:tr>
      <w:tr>
        <w:trPr>
          <w:trHeight w:val="187"/>
        </w:trPr>
        <w:tc>
          <w:tcPr>
            <w:tcW w:w="1000" w:type="dxa"/>
            <w:vAlign w:val="bottom"/>
            <w:gridSpan w:val="4"/>
          </w:tcPr>
          <w:p>
            <w:pPr>
              <w:spacing w:after="0"/>
              <w:rPr>
                <w:rFonts w:ascii="Arial" w:cs="Arial" w:eastAsia="Arial" w:hAnsi="Arial"/>
                <w:sz w:val="15"/>
                <w:szCs w:val="15"/>
                <w:color w:val="0000FF"/>
              </w:rPr>
            </w:pPr>
            <w:hyperlink w:anchor="page48">
              <w:r>
                <w:rPr>
                  <w:rFonts w:ascii="Arial" w:cs="Arial" w:eastAsia="Arial" w:hAnsi="Arial"/>
                  <w:sz w:val="15"/>
                  <w:szCs w:val="15"/>
                  <w:color w:val="0000FF"/>
                </w:rPr>
                <w:t>Item 1A.</w:t>
              </w:r>
            </w:hyperlink>
          </w:p>
        </w:tc>
        <w:tc>
          <w:tcPr>
            <w:tcW w:w="9380" w:type="dxa"/>
            <w:vAlign w:val="bottom"/>
            <w:gridSpan w:val="12"/>
          </w:tcPr>
          <w:p>
            <w:pPr>
              <w:spacing w:after="0"/>
              <w:rPr>
                <w:rFonts w:ascii="Arial" w:cs="Arial" w:eastAsia="Arial" w:hAnsi="Arial"/>
                <w:sz w:val="15"/>
                <w:szCs w:val="15"/>
                <w:color w:val="0000FF"/>
              </w:rPr>
            </w:pPr>
            <w:hyperlink w:anchor="page48">
              <w:r>
                <w:rPr>
                  <w:rFonts w:ascii="Arial" w:cs="Arial" w:eastAsia="Arial" w:hAnsi="Arial"/>
                  <w:sz w:val="15"/>
                  <w:szCs w:val="15"/>
                  <w:color w:val="0000FF"/>
                </w:rPr>
                <w:t>Risk Factors</w:t>
              </w:r>
            </w:hyperlink>
          </w:p>
        </w:tc>
        <w:tc>
          <w:tcPr>
            <w:tcW w:w="160" w:type="dxa"/>
            <w:vAlign w:val="bottom"/>
          </w:tcPr>
          <w:p>
            <w:pPr>
              <w:jc w:val="center"/>
              <w:spacing w:after="0"/>
              <w:rPr>
                <w:rFonts w:ascii="Arial" w:cs="Arial" w:eastAsia="Arial" w:hAnsi="Arial"/>
                <w:sz w:val="15"/>
                <w:szCs w:val="15"/>
                <w:color w:val="0000FF"/>
                <w:w w:val="83"/>
              </w:rPr>
            </w:pPr>
            <w:hyperlink w:anchor="page48">
              <w:r>
                <w:rPr>
                  <w:rFonts w:ascii="Arial" w:cs="Arial" w:eastAsia="Arial" w:hAnsi="Arial"/>
                  <w:sz w:val="15"/>
                  <w:szCs w:val="15"/>
                  <w:color w:val="0000FF"/>
                  <w:w w:val="83"/>
                </w:rPr>
                <w:t>47</w:t>
              </w:r>
            </w:hyperlink>
          </w:p>
        </w:tc>
        <w:tc>
          <w:tcPr>
            <w:tcW w:w="20" w:type="dxa"/>
            <w:vAlign w:val="bottom"/>
          </w:tcPr>
          <w:p>
            <w:pPr>
              <w:spacing w:after="0"/>
              <w:rPr>
                <w:sz w:val="16"/>
                <w:szCs w:val="16"/>
                <w:color w:val="auto"/>
              </w:rPr>
            </w:pPr>
          </w:p>
        </w:tc>
      </w:tr>
      <w:tr>
        <w:trPr>
          <w:trHeight w:val="20"/>
        </w:trPr>
        <w:tc>
          <w:tcPr>
            <w:tcW w:w="52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5740" w:type="dxa"/>
            <w:vAlign w:val="bottom"/>
            <w:gridSpan w:val="2"/>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0"/>
        </w:trPr>
        <w:tc>
          <w:tcPr>
            <w:tcW w:w="420" w:type="dxa"/>
            <w:vAlign w:val="bottom"/>
          </w:tcPr>
          <w:p>
            <w:pPr>
              <w:spacing w:after="0"/>
              <w:rPr>
                <w:rFonts w:ascii="Arial" w:cs="Arial" w:eastAsia="Arial" w:hAnsi="Arial"/>
                <w:sz w:val="15"/>
                <w:szCs w:val="15"/>
                <w:color w:val="0000FF"/>
                <w:w w:val="82"/>
              </w:rPr>
            </w:pPr>
            <w:hyperlink w:anchor="page48">
              <w:r>
                <w:rPr>
                  <w:rFonts w:ascii="Arial" w:cs="Arial" w:eastAsia="Arial" w:hAnsi="Arial"/>
                  <w:sz w:val="15"/>
                  <w:szCs w:val="15"/>
                  <w:color w:val="0000FF"/>
                  <w:w w:val="82"/>
                </w:rPr>
                <w:t>Item 2.</w:t>
              </w:r>
            </w:hyperlink>
          </w:p>
        </w:tc>
        <w:tc>
          <w:tcPr>
            <w:tcW w:w="100" w:type="dxa"/>
            <w:vAlign w:val="bottom"/>
          </w:tcPr>
          <w:p>
            <w:pPr>
              <w:spacing w:after="0"/>
              <w:rPr>
                <w:sz w:val="15"/>
                <w:szCs w:val="15"/>
                <w:color w:val="auto"/>
              </w:rPr>
            </w:pPr>
          </w:p>
        </w:tc>
        <w:tc>
          <w:tcPr>
            <w:tcW w:w="480" w:type="dxa"/>
            <w:vAlign w:val="bottom"/>
            <w:gridSpan w:val="2"/>
          </w:tcPr>
          <w:p>
            <w:pPr>
              <w:spacing w:after="0"/>
              <w:rPr>
                <w:sz w:val="15"/>
                <w:szCs w:val="15"/>
                <w:color w:val="auto"/>
              </w:rPr>
            </w:pPr>
          </w:p>
        </w:tc>
        <w:tc>
          <w:tcPr>
            <w:tcW w:w="3640" w:type="dxa"/>
            <w:vAlign w:val="bottom"/>
            <w:gridSpan w:val="10"/>
          </w:tcPr>
          <w:p>
            <w:pPr>
              <w:spacing w:after="0"/>
              <w:rPr>
                <w:rFonts w:ascii="Arial" w:cs="Arial" w:eastAsia="Arial" w:hAnsi="Arial"/>
                <w:sz w:val="15"/>
                <w:szCs w:val="15"/>
                <w:color w:val="0000FF"/>
                <w:w w:val="89"/>
              </w:rPr>
            </w:pPr>
            <w:hyperlink w:anchor="page48">
              <w:r>
                <w:rPr>
                  <w:rFonts w:ascii="Arial" w:cs="Arial" w:eastAsia="Arial" w:hAnsi="Arial"/>
                  <w:sz w:val="15"/>
                  <w:szCs w:val="15"/>
                  <w:color w:val="0000FF"/>
                  <w:w w:val="89"/>
                </w:rPr>
                <w:t>Unregistered Sales of Equity Securities and Use of Proceeds</w:t>
              </w:r>
            </w:hyperlink>
          </w:p>
        </w:tc>
        <w:tc>
          <w:tcPr>
            <w:tcW w:w="5740" w:type="dxa"/>
            <w:vAlign w:val="bottom"/>
            <w:gridSpan w:val="2"/>
          </w:tcPr>
          <w:p>
            <w:pPr>
              <w:spacing w:after="0"/>
              <w:rPr>
                <w:sz w:val="15"/>
                <w:szCs w:val="15"/>
                <w:color w:val="auto"/>
              </w:rPr>
            </w:pPr>
          </w:p>
        </w:tc>
        <w:tc>
          <w:tcPr>
            <w:tcW w:w="160" w:type="dxa"/>
            <w:vAlign w:val="bottom"/>
          </w:tcPr>
          <w:p>
            <w:pPr>
              <w:jc w:val="center"/>
              <w:spacing w:after="0"/>
              <w:rPr>
                <w:rFonts w:ascii="Arial" w:cs="Arial" w:eastAsia="Arial" w:hAnsi="Arial"/>
                <w:sz w:val="15"/>
                <w:szCs w:val="15"/>
                <w:color w:val="0000FF"/>
                <w:w w:val="83"/>
              </w:rPr>
            </w:pPr>
            <w:hyperlink w:anchor="page48">
              <w:r>
                <w:rPr>
                  <w:rFonts w:ascii="Arial" w:cs="Arial" w:eastAsia="Arial" w:hAnsi="Arial"/>
                  <w:sz w:val="15"/>
                  <w:szCs w:val="15"/>
                  <w:color w:val="0000FF"/>
                  <w:w w:val="83"/>
                </w:rPr>
                <w:t>47</w:t>
              </w:r>
            </w:hyperlink>
          </w:p>
        </w:tc>
        <w:tc>
          <w:tcPr>
            <w:tcW w:w="20" w:type="dxa"/>
            <w:vAlign w:val="bottom"/>
          </w:tcPr>
          <w:p>
            <w:pPr>
              <w:spacing w:after="0"/>
              <w:rPr>
                <w:sz w:val="15"/>
                <w:szCs w:val="15"/>
                <w:color w:val="auto"/>
              </w:rPr>
            </w:pPr>
          </w:p>
        </w:tc>
      </w:tr>
      <w:tr>
        <w:trPr>
          <w:trHeight w:val="20"/>
        </w:trPr>
        <w:tc>
          <w:tcPr>
            <w:tcW w:w="4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820" w:type="dxa"/>
            <w:vAlign w:val="bottom"/>
            <w:gridSpan w:val="5"/>
            <w:shd w:val="clear" w:color="auto" w:fill="0000FF"/>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5740" w:type="dxa"/>
            <w:vAlign w:val="bottom"/>
            <w:gridSpan w:val="2"/>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5"/>
        </w:trPr>
        <w:tc>
          <w:tcPr>
            <w:tcW w:w="420" w:type="dxa"/>
            <w:vAlign w:val="bottom"/>
            <w:tcBorders>
              <w:bottom w:val="single" w:sz="8" w:color="0000FF"/>
            </w:tcBorders>
          </w:tcPr>
          <w:p>
            <w:pPr>
              <w:spacing w:after="0" w:line="168" w:lineRule="exact"/>
              <w:rPr>
                <w:rFonts w:ascii="Arial" w:cs="Arial" w:eastAsia="Arial" w:hAnsi="Arial"/>
                <w:sz w:val="15"/>
                <w:szCs w:val="15"/>
                <w:color w:val="0000FF"/>
                <w:w w:val="82"/>
              </w:rPr>
            </w:pPr>
            <w:hyperlink w:anchor="page48">
              <w:r>
                <w:rPr>
                  <w:rFonts w:ascii="Arial" w:cs="Arial" w:eastAsia="Arial" w:hAnsi="Arial"/>
                  <w:sz w:val="15"/>
                  <w:szCs w:val="15"/>
                  <w:color w:val="0000FF"/>
                  <w:w w:val="82"/>
                </w:rPr>
                <w:t>Item 3.</w:t>
              </w:r>
            </w:hyperlink>
          </w:p>
        </w:tc>
        <w:tc>
          <w:tcPr>
            <w:tcW w:w="200" w:type="dxa"/>
            <w:vAlign w:val="bottom"/>
            <w:tcBorders>
              <w:bottom w:val="single" w:sz="8" w:color="0000FF"/>
            </w:tcBorders>
            <w:gridSpan w:val="2"/>
          </w:tcPr>
          <w:p>
            <w:pPr>
              <w:spacing w:after="0"/>
              <w:rPr>
                <w:sz w:val="16"/>
                <w:szCs w:val="16"/>
                <w:color w:val="auto"/>
              </w:rPr>
            </w:pPr>
          </w:p>
        </w:tc>
        <w:tc>
          <w:tcPr>
            <w:tcW w:w="380" w:type="dxa"/>
            <w:vAlign w:val="bottom"/>
          </w:tcPr>
          <w:p>
            <w:pPr>
              <w:spacing w:after="0"/>
              <w:rPr>
                <w:sz w:val="16"/>
                <w:szCs w:val="16"/>
                <w:color w:val="auto"/>
              </w:rPr>
            </w:pPr>
          </w:p>
        </w:tc>
        <w:tc>
          <w:tcPr>
            <w:tcW w:w="3640" w:type="dxa"/>
            <w:vAlign w:val="bottom"/>
            <w:tcBorders>
              <w:bottom w:val="single" w:sz="8" w:color="0000FF"/>
            </w:tcBorders>
            <w:gridSpan w:val="10"/>
          </w:tcPr>
          <w:p>
            <w:pPr>
              <w:spacing w:after="0" w:line="168" w:lineRule="exact"/>
              <w:rPr>
                <w:rFonts w:ascii="Arial" w:cs="Arial" w:eastAsia="Arial" w:hAnsi="Arial"/>
                <w:sz w:val="15"/>
                <w:szCs w:val="15"/>
                <w:color w:val="0000FF"/>
              </w:rPr>
            </w:pPr>
            <w:hyperlink w:anchor="page48">
              <w:r>
                <w:rPr>
                  <w:rFonts w:ascii="Arial" w:cs="Arial" w:eastAsia="Arial" w:hAnsi="Arial"/>
                  <w:sz w:val="15"/>
                  <w:szCs w:val="15"/>
                  <w:color w:val="0000FF"/>
                </w:rPr>
                <w:t>Defaults upon Senior Securities</w:t>
              </w:r>
            </w:hyperlink>
          </w:p>
        </w:tc>
        <w:tc>
          <w:tcPr>
            <w:tcW w:w="5740" w:type="dxa"/>
            <w:vAlign w:val="bottom"/>
            <w:tcBorders>
              <w:bottom w:val="single" w:sz="8" w:color="0000FF"/>
            </w:tcBorders>
            <w:gridSpan w:val="2"/>
          </w:tcPr>
          <w:p>
            <w:pPr>
              <w:spacing w:after="0"/>
              <w:rPr>
                <w:sz w:val="16"/>
                <w:szCs w:val="16"/>
                <w:color w:val="auto"/>
              </w:rPr>
            </w:pPr>
          </w:p>
        </w:tc>
        <w:tc>
          <w:tcPr>
            <w:tcW w:w="180" w:type="dxa"/>
            <w:vAlign w:val="bottom"/>
            <w:tcBorders>
              <w:bottom w:val="single" w:sz="8" w:color="0000FF"/>
            </w:tcBorders>
            <w:gridSpan w:val="2"/>
          </w:tcPr>
          <w:p>
            <w:pPr>
              <w:jc w:val="center"/>
              <w:spacing w:after="0" w:line="167" w:lineRule="exact"/>
              <w:rPr>
                <w:rFonts w:ascii="Arial" w:cs="Arial" w:eastAsia="Arial" w:hAnsi="Arial"/>
                <w:sz w:val="17"/>
                <w:szCs w:val="17"/>
                <w:color w:val="0000FF"/>
                <w:w w:val="94"/>
              </w:rPr>
            </w:pPr>
            <w:hyperlink w:anchor="page48">
              <w:r>
                <w:rPr>
                  <w:rFonts w:ascii="Arial" w:cs="Arial" w:eastAsia="Arial" w:hAnsi="Arial"/>
                  <w:sz w:val="17"/>
                  <w:szCs w:val="17"/>
                  <w:color w:val="0000FF"/>
                  <w:w w:val="94"/>
                </w:rPr>
                <w:t>47</w:t>
              </w:r>
            </w:hyperlink>
          </w:p>
        </w:tc>
      </w:tr>
      <w:tr>
        <w:trPr>
          <w:trHeight w:val="187"/>
        </w:trPr>
        <w:tc>
          <w:tcPr>
            <w:tcW w:w="420" w:type="dxa"/>
            <w:vAlign w:val="bottom"/>
          </w:tcPr>
          <w:p>
            <w:pPr>
              <w:spacing w:after="0"/>
              <w:rPr>
                <w:rFonts w:ascii="Arial" w:cs="Arial" w:eastAsia="Arial" w:hAnsi="Arial"/>
                <w:sz w:val="15"/>
                <w:szCs w:val="15"/>
                <w:color w:val="0000FF"/>
                <w:w w:val="82"/>
              </w:rPr>
            </w:pPr>
            <w:hyperlink w:anchor="page48">
              <w:r>
                <w:rPr>
                  <w:rFonts w:ascii="Arial" w:cs="Arial" w:eastAsia="Arial" w:hAnsi="Arial"/>
                  <w:sz w:val="15"/>
                  <w:szCs w:val="15"/>
                  <w:color w:val="0000FF"/>
                  <w:w w:val="82"/>
                </w:rPr>
                <w:t>Item 4.</w:t>
              </w:r>
            </w:hyperlink>
          </w:p>
        </w:tc>
        <w:tc>
          <w:tcPr>
            <w:tcW w:w="580" w:type="dxa"/>
            <w:vAlign w:val="bottom"/>
            <w:gridSpan w:val="3"/>
          </w:tcPr>
          <w:p>
            <w:pPr>
              <w:spacing w:after="0"/>
              <w:rPr>
                <w:sz w:val="16"/>
                <w:szCs w:val="16"/>
                <w:color w:val="auto"/>
              </w:rPr>
            </w:pPr>
          </w:p>
        </w:tc>
        <w:tc>
          <w:tcPr>
            <w:tcW w:w="9380" w:type="dxa"/>
            <w:vAlign w:val="bottom"/>
            <w:gridSpan w:val="12"/>
          </w:tcPr>
          <w:p>
            <w:pPr>
              <w:spacing w:after="0"/>
              <w:rPr>
                <w:rFonts w:ascii="Arial" w:cs="Arial" w:eastAsia="Arial" w:hAnsi="Arial"/>
                <w:sz w:val="15"/>
                <w:szCs w:val="15"/>
                <w:color w:val="0000FF"/>
              </w:rPr>
            </w:pPr>
            <w:hyperlink w:anchor="page48">
              <w:r>
                <w:rPr>
                  <w:rFonts w:ascii="Arial" w:cs="Arial" w:eastAsia="Arial" w:hAnsi="Arial"/>
                  <w:sz w:val="15"/>
                  <w:szCs w:val="15"/>
                  <w:color w:val="0000FF"/>
                </w:rPr>
                <w:t>Mine Safety Disclosures</w:t>
              </w:r>
            </w:hyperlink>
          </w:p>
        </w:tc>
        <w:tc>
          <w:tcPr>
            <w:tcW w:w="160" w:type="dxa"/>
            <w:vAlign w:val="bottom"/>
          </w:tcPr>
          <w:p>
            <w:pPr>
              <w:jc w:val="center"/>
              <w:spacing w:after="0"/>
              <w:rPr>
                <w:rFonts w:ascii="Arial" w:cs="Arial" w:eastAsia="Arial" w:hAnsi="Arial"/>
                <w:sz w:val="15"/>
                <w:szCs w:val="15"/>
                <w:color w:val="0000FF"/>
                <w:w w:val="83"/>
              </w:rPr>
            </w:pPr>
            <w:hyperlink w:anchor="page48">
              <w:r>
                <w:rPr>
                  <w:rFonts w:ascii="Arial" w:cs="Arial" w:eastAsia="Arial" w:hAnsi="Arial"/>
                  <w:sz w:val="15"/>
                  <w:szCs w:val="15"/>
                  <w:color w:val="0000FF"/>
                  <w:w w:val="83"/>
                </w:rPr>
                <w:t>47</w:t>
              </w:r>
            </w:hyperlink>
          </w:p>
        </w:tc>
        <w:tc>
          <w:tcPr>
            <w:tcW w:w="20" w:type="dxa"/>
            <w:vAlign w:val="bottom"/>
          </w:tcPr>
          <w:p>
            <w:pPr>
              <w:spacing w:after="0"/>
              <w:rPr>
                <w:sz w:val="16"/>
                <w:szCs w:val="16"/>
                <w:color w:val="auto"/>
              </w:rPr>
            </w:pPr>
          </w:p>
        </w:tc>
      </w:tr>
      <w:tr>
        <w:trPr>
          <w:trHeight w:val="20"/>
        </w:trPr>
        <w:tc>
          <w:tcPr>
            <w:tcW w:w="4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7900" w:type="dxa"/>
            <w:vAlign w:val="bottom"/>
            <w:gridSpan w:val="6"/>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0"/>
        </w:trPr>
        <w:tc>
          <w:tcPr>
            <w:tcW w:w="420" w:type="dxa"/>
            <w:vAlign w:val="bottom"/>
          </w:tcPr>
          <w:p>
            <w:pPr>
              <w:spacing w:after="0"/>
              <w:rPr>
                <w:rFonts w:ascii="Arial" w:cs="Arial" w:eastAsia="Arial" w:hAnsi="Arial"/>
                <w:sz w:val="15"/>
                <w:szCs w:val="15"/>
                <w:color w:val="0000FF"/>
                <w:w w:val="82"/>
              </w:rPr>
            </w:pPr>
            <w:hyperlink w:anchor="page48">
              <w:r>
                <w:rPr>
                  <w:rFonts w:ascii="Arial" w:cs="Arial" w:eastAsia="Arial" w:hAnsi="Arial"/>
                  <w:sz w:val="15"/>
                  <w:szCs w:val="15"/>
                  <w:color w:val="0000FF"/>
                  <w:w w:val="82"/>
                </w:rPr>
                <w:t>Item 5.</w:t>
              </w:r>
            </w:hyperlink>
          </w:p>
        </w:tc>
        <w:tc>
          <w:tcPr>
            <w:tcW w:w="580" w:type="dxa"/>
            <w:vAlign w:val="bottom"/>
            <w:gridSpan w:val="3"/>
          </w:tcPr>
          <w:p>
            <w:pPr>
              <w:spacing w:after="0"/>
              <w:rPr>
                <w:sz w:val="15"/>
                <w:szCs w:val="15"/>
                <w:color w:val="auto"/>
              </w:rPr>
            </w:pPr>
          </w:p>
        </w:tc>
        <w:tc>
          <w:tcPr>
            <w:tcW w:w="1480" w:type="dxa"/>
            <w:vAlign w:val="bottom"/>
            <w:gridSpan w:val="6"/>
          </w:tcPr>
          <w:p>
            <w:pPr>
              <w:spacing w:after="0"/>
              <w:rPr>
                <w:rFonts w:ascii="Arial" w:cs="Arial" w:eastAsia="Arial" w:hAnsi="Arial"/>
                <w:sz w:val="15"/>
                <w:szCs w:val="15"/>
                <w:color w:val="0000FF"/>
              </w:rPr>
            </w:pPr>
            <w:hyperlink w:anchor="page48">
              <w:r>
                <w:rPr>
                  <w:rFonts w:ascii="Arial" w:cs="Arial" w:eastAsia="Arial" w:hAnsi="Arial"/>
                  <w:sz w:val="15"/>
                  <w:szCs w:val="15"/>
                  <w:color w:val="0000FF"/>
                </w:rPr>
                <w:t>Other Information</w:t>
              </w:r>
            </w:hyperlink>
          </w:p>
        </w:tc>
        <w:tc>
          <w:tcPr>
            <w:tcW w:w="7900" w:type="dxa"/>
            <w:vAlign w:val="bottom"/>
            <w:gridSpan w:val="6"/>
          </w:tcPr>
          <w:p>
            <w:pPr>
              <w:spacing w:after="0"/>
              <w:rPr>
                <w:sz w:val="15"/>
                <w:szCs w:val="15"/>
                <w:color w:val="auto"/>
              </w:rPr>
            </w:pPr>
          </w:p>
        </w:tc>
        <w:tc>
          <w:tcPr>
            <w:tcW w:w="160" w:type="dxa"/>
            <w:vAlign w:val="bottom"/>
          </w:tcPr>
          <w:p>
            <w:pPr>
              <w:jc w:val="center"/>
              <w:spacing w:after="0"/>
              <w:rPr>
                <w:rFonts w:ascii="Arial" w:cs="Arial" w:eastAsia="Arial" w:hAnsi="Arial"/>
                <w:sz w:val="15"/>
                <w:szCs w:val="15"/>
                <w:color w:val="0000FF"/>
                <w:w w:val="83"/>
              </w:rPr>
            </w:pPr>
            <w:hyperlink w:anchor="page48">
              <w:r>
                <w:rPr>
                  <w:rFonts w:ascii="Arial" w:cs="Arial" w:eastAsia="Arial" w:hAnsi="Arial"/>
                  <w:sz w:val="15"/>
                  <w:szCs w:val="15"/>
                  <w:color w:val="0000FF"/>
                  <w:w w:val="83"/>
                </w:rPr>
                <w:t>47</w:t>
              </w:r>
            </w:hyperlink>
          </w:p>
        </w:tc>
        <w:tc>
          <w:tcPr>
            <w:tcW w:w="20" w:type="dxa"/>
            <w:vAlign w:val="bottom"/>
          </w:tcPr>
          <w:p>
            <w:pPr>
              <w:spacing w:after="0"/>
              <w:rPr>
                <w:sz w:val="15"/>
                <w:szCs w:val="15"/>
                <w:color w:val="auto"/>
              </w:rPr>
            </w:pPr>
          </w:p>
        </w:tc>
      </w:tr>
      <w:tr>
        <w:trPr>
          <w:trHeight w:val="20"/>
        </w:trPr>
        <w:tc>
          <w:tcPr>
            <w:tcW w:w="4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8280" w:type="dxa"/>
            <w:vAlign w:val="bottom"/>
            <w:gridSpan w:val="9"/>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0"/>
        </w:trPr>
        <w:tc>
          <w:tcPr>
            <w:tcW w:w="420" w:type="dxa"/>
            <w:vAlign w:val="bottom"/>
          </w:tcPr>
          <w:p>
            <w:pPr>
              <w:spacing w:after="0"/>
              <w:rPr>
                <w:rFonts w:ascii="Arial" w:cs="Arial" w:eastAsia="Arial" w:hAnsi="Arial"/>
                <w:sz w:val="15"/>
                <w:szCs w:val="15"/>
                <w:color w:val="0000FF"/>
                <w:w w:val="82"/>
              </w:rPr>
            </w:pPr>
            <w:hyperlink w:anchor="page48">
              <w:r>
                <w:rPr>
                  <w:rFonts w:ascii="Arial" w:cs="Arial" w:eastAsia="Arial" w:hAnsi="Arial"/>
                  <w:sz w:val="15"/>
                  <w:szCs w:val="15"/>
                  <w:color w:val="0000FF"/>
                  <w:w w:val="82"/>
                </w:rPr>
                <w:t>Item 6.</w:t>
              </w:r>
            </w:hyperlink>
          </w:p>
        </w:tc>
        <w:tc>
          <w:tcPr>
            <w:tcW w:w="580" w:type="dxa"/>
            <w:vAlign w:val="bottom"/>
            <w:gridSpan w:val="3"/>
          </w:tcPr>
          <w:p>
            <w:pPr>
              <w:spacing w:after="0"/>
              <w:rPr>
                <w:sz w:val="15"/>
                <w:szCs w:val="15"/>
                <w:color w:val="auto"/>
              </w:rPr>
            </w:pPr>
          </w:p>
        </w:tc>
        <w:tc>
          <w:tcPr>
            <w:tcW w:w="1100" w:type="dxa"/>
            <w:vAlign w:val="bottom"/>
            <w:gridSpan w:val="3"/>
          </w:tcPr>
          <w:p>
            <w:pPr>
              <w:spacing w:after="0"/>
              <w:rPr>
                <w:rFonts w:ascii="Arial" w:cs="Arial" w:eastAsia="Arial" w:hAnsi="Arial"/>
                <w:sz w:val="15"/>
                <w:szCs w:val="15"/>
                <w:color w:val="0000FF"/>
              </w:rPr>
            </w:pPr>
            <w:hyperlink w:anchor="page48">
              <w:r>
                <w:rPr>
                  <w:rFonts w:ascii="Arial" w:cs="Arial" w:eastAsia="Arial" w:hAnsi="Arial"/>
                  <w:sz w:val="15"/>
                  <w:szCs w:val="15"/>
                  <w:color w:val="0000FF"/>
                </w:rPr>
                <w:t>Exhibits</w:t>
              </w:r>
            </w:hyperlink>
          </w:p>
        </w:tc>
        <w:tc>
          <w:tcPr>
            <w:tcW w:w="8280" w:type="dxa"/>
            <w:vAlign w:val="bottom"/>
            <w:gridSpan w:val="9"/>
          </w:tcPr>
          <w:p>
            <w:pPr>
              <w:spacing w:after="0"/>
              <w:rPr>
                <w:sz w:val="15"/>
                <w:szCs w:val="15"/>
                <w:color w:val="auto"/>
              </w:rPr>
            </w:pPr>
          </w:p>
        </w:tc>
        <w:tc>
          <w:tcPr>
            <w:tcW w:w="160" w:type="dxa"/>
            <w:vAlign w:val="bottom"/>
          </w:tcPr>
          <w:p>
            <w:pPr>
              <w:jc w:val="center"/>
              <w:spacing w:after="0"/>
              <w:rPr>
                <w:rFonts w:ascii="Arial" w:cs="Arial" w:eastAsia="Arial" w:hAnsi="Arial"/>
                <w:sz w:val="15"/>
                <w:szCs w:val="15"/>
                <w:color w:val="0000FF"/>
                <w:w w:val="83"/>
              </w:rPr>
            </w:pPr>
            <w:hyperlink w:anchor="page48">
              <w:r>
                <w:rPr>
                  <w:rFonts w:ascii="Arial" w:cs="Arial" w:eastAsia="Arial" w:hAnsi="Arial"/>
                  <w:sz w:val="15"/>
                  <w:szCs w:val="15"/>
                  <w:color w:val="0000FF"/>
                  <w:w w:val="83"/>
                </w:rPr>
                <w:t>47</w:t>
              </w:r>
            </w:hyperlink>
          </w:p>
        </w:tc>
        <w:tc>
          <w:tcPr>
            <w:tcW w:w="20" w:type="dxa"/>
            <w:vAlign w:val="bottom"/>
          </w:tcPr>
          <w:p>
            <w:pPr>
              <w:spacing w:after="0"/>
              <w:rPr>
                <w:sz w:val="15"/>
                <w:szCs w:val="15"/>
                <w:color w:val="auto"/>
              </w:rPr>
            </w:pPr>
          </w:p>
        </w:tc>
      </w:tr>
      <w:tr>
        <w:trPr>
          <w:trHeight w:val="20"/>
        </w:trPr>
        <w:tc>
          <w:tcPr>
            <w:tcW w:w="4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7"/>
        </w:trPr>
        <w:tc>
          <w:tcPr>
            <w:tcW w:w="1000" w:type="dxa"/>
            <w:vAlign w:val="bottom"/>
            <w:gridSpan w:val="4"/>
          </w:tcPr>
          <w:p>
            <w:pPr>
              <w:spacing w:after="0"/>
              <w:rPr>
                <w:sz w:val="20"/>
                <w:szCs w:val="20"/>
                <w:color w:val="auto"/>
              </w:rPr>
            </w:pPr>
            <w:r>
              <w:rPr>
                <w:rFonts w:ascii="Arial" w:cs="Arial" w:eastAsia="Arial" w:hAnsi="Arial"/>
                <w:sz w:val="15"/>
                <w:szCs w:val="15"/>
                <w:color w:val="0000FF"/>
              </w:rPr>
              <w:t>Signatures</w:t>
            </w: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60" w:type="dxa"/>
            <w:vAlign w:val="bottom"/>
          </w:tcPr>
          <w:p>
            <w:pPr>
              <w:jc w:val="center"/>
              <w:spacing w:after="0"/>
              <w:rPr>
                <w:rFonts w:ascii="Arial" w:cs="Arial" w:eastAsia="Arial" w:hAnsi="Arial"/>
                <w:sz w:val="15"/>
                <w:szCs w:val="15"/>
                <w:color w:val="0000FF"/>
                <w:w w:val="83"/>
              </w:rPr>
            </w:pPr>
            <w:hyperlink w:anchor="page50">
              <w:r>
                <w:rPr>
                  <w:rFonts w:ascii="Arial" w:cs="Arial" w:eastAsia="Arial" w:hAnsi="Arial"/>
                  <w:sz w:val="15"/>
                  <w:szCs w:val="15"/>
                  <w:color w:val="0000FF"/>
                  <w:w w:val="83"/>
                </w:rPr>
                <w:t>50</w:t>
              </w:r>
            </w:hyperlink>
          </w:p>
        </w:tc>
        <w:tc>
          <w:tcPr>
            <w:tcW w:w="20" w:type="dxa"/>
            <w:vAlign w:val="bottom"/>
          </w:tcPr>
          <w:p>
            <w:pPr>
              <w:spacing w:after="0"/>
              <w:rPr>
                <w:sz w:val="24"/>
                <w:szCs w:val="24"/>
                <w:color w:val="auto"/>
              </w:rPr>
            </w:pPr>
          </w:p>
        </w:tc>
      </w:tr>
      <w:tr>
        <w:trPr>
          <w:trHeight w:val="20"/>
        </w:trPr>
        <w:tc>
          <w:tcPr>
            <w:tcW w:w="4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61595</wp:posOffset>
            </wp:positionV>
            <wp:extent cx="7167880" cy="412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0560"/>
          </w:cols>
          <w:pgMar w:left="340" w:top="835" w:right="999" w:bottom="1440" w:gutter="0" w:footer="0" w:header="0"/>
        </w:sectPr>
      </w:pPr>
    </w:p>
    <w:bookmarkStart w:id="2" w:name="page3"/>
    <w:bookmarkEnd w:id="2"/>
    <w:p>
      <w:pPr>
        <w:jc w:val="center"/>
        <w:spacing w:after="0"/>
        <w:rPr>
          <w:sz w:val="20"/>
          <w:szCs w:val="20"/>
          <w:color w:val="auto"/>
        </w:rPr>
      </w:pPr>
      <w:r>
        <w:rPr>
          <w:rFonts w:ascii="Arial" w:cs="Arial" w:eastAsia="Arial" w:hAnsi="Arial"/>
          <w:sz w:val="17"/>
          <w:szCs w:val="17"/>
          <w:b w:val="1"/>
          <w:bCs w:val="1"/>
          <w:color w:val="auto"/>
        </w:rPr>
        <w:t>PART I. FINANCIAL INFORMATION</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 </w:t>
      </w:r>
      <w:r>
        <w:rPr>
          <w:rFonts w:ascii="Arial" w:cs="Arial" w:eastAsia="Arial" w:hAnsi="Arial"/>
          <w:sz w:val="17"/>
          <w:szCs w:val="17"/>
          <w:b w:val="1"/>
          <w:bCs w:val="1"/>
          <w:i w:val="1"/>
          <w:iCs w:val="1"/>
          <w:color w:val="auto"/>
        </w:rPr>
        <w:t>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AGNC INVESTMENT CORP.</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BALANCE SHEETS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millions, except per share data)</w:t>
      </w:r>
    </w:p>
    <w:p>
      <w:pPr>
        <w:spacing w:after="0" w:line="22" w:lineRule="exact"/>
        <w:rPr>
          <w:sz w:val="20"/>
          <w:szCs w:val="20"/>
          <w:color w:val="auto"/>
        </w:rPr>
      </w:pPr>
    </w:p>
    <w:tbl>
      <w:tblPr>
        <w:tblLayout w:type="fixed"/>
        <w:tblInd w:w="20" w:type="dxa"/>
        <w:tblCellMar>
          <w:top w:w="0" w:type="dxa"/>
          <w:left w:w="0" w:type="dxa"/>
          <w:bottom w:w="0" w:type="dxa"/>
          <w:right w:w="0" w:type="dxa"/>
        </w:tblCellMar>
      </w:tblPr>
      <w:tr>
        <w:trPr>
          <w:trHeight w:val="178"/>
        </w:trPr>
        <w:tc>
          <w:tcPr>
            <w:tcW w:w="7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gridSpan w:val="2"/>
          </w:tcPr>
          <w:p>
            <w:pPr>
              <w:ind w:left="160"/>
              <w:spacing w:after="0"/>
              <w:rPr>
                <w:sz w:val="20"/>
                <w:szCs w:val="20"/>
                <w:color w:val="auto"/>
              </w:rPr>
            </w:pPr>
            <w:r>
              <w:rPr>
                <w:rFonts w:ascii="Arial" w:cs="Arial" w:eastAsia="Arial" w:hAnsi="Arial"/>
                <w:sz w:val="13"/>
                <w:szCs w:val="13"/>
                <w:b w:val="1"/>
                <w:bCs w:val="1"/>
                <w:color w:val="auto"/>
              </w:rPr>
              <w:t>June 30, 2021</w:t>
            </w:r>
          </w:p>
        </w:tc>
        <w:tc>
          <w:tcPr>
            <w:tcW w:w="180" w:type="dxa"/>
            <w:vAlign w:val="bottom"/>
          </w:tcPr>
          <w:p>
            <w:pPr>
              <w:spacing w:after="0"/>
              <w:rPr>
                <w:sz w:val="15"/>
                <w:szCs w:val="15"/>
                <w:color w:val="auto"/>
              </w:rPr>
            </w:pPr>
          </w:p>
        </w:tc>
        <w:tc>
          <w:tcPr>
            <w:tcW w:w="1420" w:type="dxa"/>
            <w:vAlign w:val="bottom"/>
          </w:tcPr>
          <w:p>
            <w:pPr>
              <w:jc w:val="right"/>
              <w:ind w:right="185"/>
              <w:spacing w:after="0"/>
              <w:rPr>
                <w:sz w:val="20"/>
                <w:szCs w:val="20"/>
                <w:color w:val="auto"/>
              </w:rPr>
            </w:pPr>
            <w:r>
              <w:rPr>
                <w:rFonts w:ascii="Arial" w:cs="Arial" w:eastAsia="Arial" w:hAnsi="Arial"/>
                <w:sz w:val="13"/>
                <w:szCs w:val="13"/>
                <w:b w:val="1"/>
                <w:bCs w:val="1"/>
                <w:color w:val="auto"/>
                <w:w w:val="97"/>
              </w:rPr>
              <w:t>December 31, 2020</w:t>
            </w:r>
          </w:p>
        </w:tc>
      </w:tr>
      <w:tr>
        <w:trPr>
          <w:trHeight w:val="171"/>
        </w:trPr>
        <w:tc>
          <w:tcPr>
            <w:tcW w:w="794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ind w:right="366"/>
              <w:spacing w:after="0"/>
              <w:rPr>
                <w:sz w:val="20"/>
                <w:szCs w:val="20"/>
                <w:color w:val="auto"/>
              </w:rPr>
            </w:pPr>
            <w:r>
              <w:rPr>
                <w:rFonts w:ascii="Arial" w:cs="Arial" w:eastAsia="Arial" w:hAnsi="Arial"/>
                <w:sz w:val="13"/>
                <w:szCs w:val="13"/>
                <w:b w:val="1"/>
                <w:bCs w:val="1"/>
                <w:color w:val="auto"/>
              </w:rPr>
              <w:t>(Unaudited)</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spacing w:after="0"/>
              <w:rPr>
                <w:sz w:val="14"/>
                <w:szCs w:val="14"/>
                <w:color w:val="auto"/>
              </w:rPr>
            </w:pPr>
          </w:p>
        </w:tc>
      </w:tr>
      <w:tr>
        <w:trPr>
          <w:trHeight w:val="201"/>
        </w:trPr>
        <w:tc>
          <w:tcPr>
            <w:tcW w:w="79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Assets:</w:t>
            </w: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197"/>
        </w:trPr>
        <w:tc>
          <w:tcPr>
            <w:tcW w:w="7940" w:type="dxa"/>
            <w:vAlign w:val="bottom"/>
          </w:tcPr>
          <w:p>
            <w:pPr>
              <w:ind w:left="200"/>
              <w:spacing w:after="0"/>
              <w:rPr>
                <w:sz w:val="20"/>
                <w:szCs w:val="20"/>
                <w:color w:val="auto"/>
              </w:rPr>
            </w:pPr>
            <w:r>
              <w:rPr>
                <w:rFonts w:ascii="Arial" w:cs="Arial" w:eastAsia="Arial" w:hAnsi="Arial"/>
                <w:sz w:val="15"/>
                <w:szCs w:val="15"/>
                <w:color w:val="auto"/>
              </w:rPr>
              <w:t>Agency securities, at fair value (including pledged securities of $49,686 and $53,698, respectively)</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5"/>
                <w:szCs w:val="15"/>
                <w:color w:val="auto"/>
              </w:rPr>
              <w:t>57,896</w:t>
            </w:r>
          </w:p>
        </w:tc>
        <w:tc>
          <w:tcPr>
            <w:tcW w:w="100" w:type="dxa"/>
            <w:vAlign w:val="bottom"/>
          </w:tcPr>
          <w:p>
            <w:pPr>
              <w:spacing w:after="0"/>
              <w:rPr>
                <w:sz w:val="17"/>
                <w:szCs w:val="17"/>
                <w:color w:val="auto"/>
              </w:rPr>
            </w:pPr>
          </w:p>
        </w:tc>
        <w:tc>
          <w:tcPr>
            <w:tcW w:w="180" w:type="dxa"/>
            <w:vAlign w:val="bottom"/>
          </w:tcPr>
          <w:p>
            <w:pPr>
              <w:jc w:val="right"/>
              <w:ind w:right="5"/>
              <w:spacing w:after="0"/>
              <w:rPr>
                <w:sz w:val="20"/>
                <w:szCs w:val="20"/>
                <w:color w:val="auto"/>
              </w:rPr>
            </w:pPr>
            <w:r>
              <w:rPr>
                <w:rFonts w:ascii="Arial" w:cs="Arial" w:eastAsia="Arial" w:hAnsi="Arial"/>
                <w:sz w:val="15"/>
                <w:szCs w:val="15"/>
                <w:color w:val="auto"/>
                <w:w w:val="95"/>
              </w:rPr>
              <w:t>$</w:t>
            </w:r>
          </w:p>
        </w:tc>
        <w:tc>
          <w:tcPr>
            <w:tcW w:w="1420" w:type="dxa"/>
            <w:vAlign w:val="bottom"/>
          </w:tcPr>
          <w:p>
            <w:pPr>
              <w:jc w:val="right"/>
              <w:ind w:right="5"/>
              <w:spacing w:after="0"/>
              <w:rPr>
                <w:sz w:val="20"/>
                <w:szCs w:val="20"/>
                <w:color w:val="auto"/>
              </w:rPr>
            </w:pPr>
            <w:r>
              <w:rPr>
                <w:rFonts w:ascii="Arial" w:cs="Arial" w:eastAsia="Arial" w:hAnsi="Arial"/>
                <w:sz w:val="15"/>
                <w:szCs w:val="15"/>
                <w:color w:val="auto"/>
              </w:rPr>
              <w:t>64,836</w:t>
            </w:r>
          </w:p>
        </w:tc>
      </w:tr>
      <w:tr>
        <w:trPr>
          <w:trHeight w:val="203"/>
        </w:trPr>
        <w:tc>
          <w:tcPr>
            <w:tcW w:w="79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Agency securities transferred to consolidated variable interest entities, at fair value (pledged securities)</w:t>
            </w: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295</w:t>
            </w:r>
          </w:p>
        </w:tc>
      </w:tr>
      <w:tr>
        <w:trPr>
          <w:trHeight w:val="197"/>
        </w:trPr>
        <w:tc>
          <w:tcPr>
            <w:tcW w:w="7940" w:type="dxa"/>
            <w:vAlign w:val="bottom"/>
          </w:tcPr>
          <w:p>
            <w:pPr>
              <w:ind w:left="200"/>
              <w:spacing w:after="0"/>
              <w:rPr>
                <w:sz w:val="20"/>
                <w:szCs w:val="20"/>
                <w:color w:val="auto"/>
              </w:rPr>
            </w:pPr>
            <w:r>
              <w:rPr>
                <w:rFonts w:ascii="Arial" w:cs="Arial" w:eastAsia="Arial" w:hAnsi="Arial"/>
                <w:sz w:val="15"/>
                <w:szCs w:val="15"/>
                <w:color w:val="auto"/>
              </w:rPr>
              <w:t>Credit risk transfer securities, at fair value (including pledged securities of $502 and $455, respectively)</w:t>
            </w:r>
          </w:p>
        </w:tc>
        <w:tc>
          <w:tcPr>
            <w:tcW w:w="2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1,105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jc w:val="right"/>
              <w:ind w:right="5"/>
              <w:spacing w:after="0"/>
              <w:rPr>
                <w:sz w:val="20"/>
                <w:szCs w:val="20"/>
                <w:color w:val="auto"/>
              </w:rPr>
            </w:pPr>
            <w:r>
              <w:rPr>
                <w:rFonts w:ascii="Arial" w:cs="Arial" w:eastAsia="Arial" w:hAnsi="Arial"/>
                <w:sz w:val="15"/>
                <w:szCs w:val="15"/>
                <w:color w:val="auto"/>
              </w:rPr>
              <w:t>737</w:t>
            </w:r>
          </w:p>
        </w:tc>
      </w:tr>
      <w:tr>
        <w:trPr>
          <w:trHeight w:val="203"/>
        </w:trPr>
        <w:tc>
          <w:tcPr>
            <w:tcW w:w="79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Non-Agency securities, at fair value (including pledged securities of $377 and $458, respectively)</w:t>
            </w: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546</w:t>
            </w:r>
          </w:p>
        </w:tc>
      </w:tr>
      <w:tr>
        <w:trPr>
          <w:trHeight w:val="197"/>
        </w:trPr>
        <w:tc>
          <w:tcPr>
            <w:tcW w:w="7940" w:type="dxa"/>
            <w:vAlign w:val="bottom"/>
          </w:tcPr>
          <w:p>
            <w:pPr>
              <w:ind w:left="200"/>
              <w:spacing w:after="0"/>
              <w:rPr>
                <w:sz w:val="20"/>
                <w:szCs w:val="20"/>
                <w:color w:val="auto"/>
              </w:rPr>
            </w:pPr>
            <w:r>
              <w:rPr>
                <w:rFonts w:ascii="Arial" w:cs="Arial" w:eastAsia="Arial" w:hAnsi="Arial"/>
                <w:sz w:val="15"/>
                <w:szCs w:val="15"/>
                <w:color w:val="auto"/>
              </w:rPr>
              <w:t>U.S. Treasury securities, at fair value (including pledged securities of $397 and $0, respectively)</w:t>
            </w:r>
          </w:p>
        </w:tc>
        <w:tc>
          <w:tcPr>
            <w:tcW w:w="2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397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jc w:val="right"/>
              <w:ind w:right="5"/>
              <w:spacing w:after="0"/>
              <w:rPr>
                <w:sz w:val="20"/>
                <w:szCs w:val="20"/>
                <w:color w:val="auto"/>
              </w:rPr>
            </w:pPr>
            <w:r>
              <w:rPr>
                <w:rFonts w:ascii="Arial" w:cs="Arial" w:eastAsia="Arial" w:hAnsi="Arial"/>
                <w:sz w:val="15"/>
                <w:szCs w:val="15"/>
                <w:color w:val="auto"/>
              </w:rPr>
              <w:t>—</w:t>
            </w:r>
          </w:p>
        </w:tc>
      </w:tr>
      <w:tr>
        <w:trPr>
          <w:trHeight w:val="203"/>
        </w:trPr>
        <w:tc>
          <w:tcPr>
            <w:tcW w:w="79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Cash and cash equivalents</w:t>
            </w: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947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1,017</w:t>
            </w:r>
          </w:p>
        </w:tc>
      </w:tr>
      <w:tr>
        <w:trPr>
          <w:trHeight w:val="197"/>
        </w:trPr>
        <w:tc>
          <w:tcPr>
            <w:tcW w:w="7940" w:type="dxa"/>
            <w:vAlign w:val="bottom"/>
          </w:tcPr>
          <w:p>
            <w:pPr>
              <w:ind w:left="200"/>
              <w:spacing w:after="0"/>
              <w:rPr>
                <w:sz w:val="20"/>
                <w:szCs w:val="20"/>
                <w:color w:val="auto"/>
              </w:rPr>
            </w:pPr>
            <w:r>
              <w:rPr>
                <w:rFonts w:ascii="Arial" w:cs="Arial" w:eastAsia="Arial" w:hAnsi="Arial"/>
                <w:sz w:val="15"/>
                <w:szCs w:val="15"/>
                <w:color w:val="auto"/>
              </w:rPr>
              <w:t>Restricted cash</w:t>
            </w:r>
          </w:p>
        </w:tc>
        <w:tc>
          <w:tcPr>
            <w:tcW w:w="2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623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jc w:val="right"/>
              <w:ind w:right="5"/>
              <w:spacing w:after="0"/>
              <w:rPr>
                <w:sz w:val="20"/>
                <w:szCs w:val="20"/>
                <w:color w:val="auto"/>
              </w:rPr>
            </w:pPr>
            <w:r>
              <w:rPr>
                <w:rFonts w:ascii="Arial" w:cs="Arial" w:eastAsia="Arial" w:hAnsi="Arial"/>
                <w:sz w:val="15"/>
                <w:szCs w:val="15"/>
                <w:color w:val="auto"/>
              </w:rPr>
              <w:t>1,307</w:t>
            </w:r>
          </w:p>
        </w:tc>
      </w:tr>
      <w:tr>
        <w:trPr>
          <w:trHeight w:val="203"/>
        </w:trPr>
        <w:tc>
          <w:tcPr>
            <w:tcW w:w="79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Derivative assets, at fair value</w:t>
            </w: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391</w:t>
            </w:r>
          </w:p>
        </w:tc>
      </w:tr>
      <w:tr>
        <w:trPr>
          <w:trHeight w:val="197"/>
        </w:trPr>
        <w:tc>
          <w:tcPr>
            <w:tcW w:w="7940" w:type="dxa"/>
            <w:vAlign w:val="bottom"/>
          </w:tcPr>
          <w:p>
            <w:pPr>
              <w:ind w:left="200"/>
              <w:spacing w:after="0"/>
              <w:rPr>
                <w:sz w:val="20"/>
                <w:szCs w:val="20"/>
                <w:color w:val="auto"/>
              </w:rPr>
            </w:pPr>
            <w:r>
              <w:rPr>
                <w:rFonts w:ascii="Arial" w:cs="Arial" w:eastAsia="Arial" w:hAnsi="Arial"/>
                <w:sz w:val="15"/>
                <w:szCs w:val="15"/>
                <w:color w:val="auto"/>
              </w:rPr>
              <w:t>Receivable for investment securities sold (including pledged securities of $147 and $207, respectively)</w:t>
            </w:r>
          </w:p>
        </w:tc>
        <w:tc>
          <w:tcPr>
            <w:tcW w:w="2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147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jc w:val="right"/>
              <w:ind w:right="5"/>
              <w:spacing w:after="0"/>
              <w:rPr>
                <w:sz w:val="20"/>
                <w:szCs w:val="20"/>
                <w:color w:val="auto"/>
              </w:rPr>
            </w:pPr>
            <w:r>
              <w:rPr>
                <w:rFonts w:ascii="Arial" w:cs="Arial" w:eastAsia="Arial" w:hAnsi="Arial"/>
                <w:sz w:val="15"/>
                <w:szCs w:val="15"/>
                <w:color w:val="auto"/>
              </w:rPr>
              <w:t>210</w:t>
            </w:r>
          </w:p>
        </w:tc>
      </w:tr>
      <w:tr>
        <w:trPr>
          <w:trHeight w:val="203"/>
        </w:trPr>
        <w:tc>
          <w:tcPr>
            <w:tcW w:w="79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Receivable under reverse repurchase agreements</w:t>
            </w: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11,979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11,748</w:t>
            </w:r>
          </w:p>
        </w:tc>
      </w:tr>
      <w:tr>
        <w:trPr>
          <w:trHeight w:val="197"/>
        </w:trPr>
        <w:tc>
          <w:tcPr>
            <w:tcW w:w="7940" w:type="dxa"/>
            <w:vAlign w:val="bottom"/>
          </w:tcPr>
          <w:p>
            <w:pPr>
              <w:ind w:left="200"/>
              <w:spacing w:after="0"/>
              <w:rPr>
                <w:sz w:val="20"/>
                <w:szCs w:val="20"/>
                <w:color w:val="auto"/>
              </w:rPr>
            </w:pPr>
            <w:r>
              <w:rPr>
                <w:rFonts w:ascii="Arial" w:cs="Arial" w:eastAsia="Arial" w:hAnsi="Arial"/>
                <w:sz w:val="15"/>
                <w:szCs w:val="15"/>
                <w:color w:val="auto"/>
              </w:rPr>
              <w:t>Goodwill</w:t>
            </w:r>
          </w:p>
        </w:tc>
        <w:tc>
          <w:tcPr>
            <w:tcW w:w="2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526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jc w:val="right"/>
              <w:ind w:right="5"/>
              <w:spacing w:after="0"/>
              <w:rPr>
                <w:sz w:val="20"/>
                <w:szCs w:val="20"/>
                <w:color w:val="auto"/>
              </w:rPr>
            </w:pPr>
            <w:r>
              <w:rPr>
                <w:rFonts w:ascii="Arial" w:cs="Arial" w:eastAsia="Arial" w:hAnsi="Arial"/>
                <w:sz w:val="15"/>
                <w:szCs w:val="15"/>
                <w:color w:val="auto"/>
              </w:rPr>
              <w:t>526</w:t>
            </w:r>
          </w:p>
        </w:tc>
      </w:tr>
      <w:tr>
        <w:trPr>
          <w:trHeight w:val="200"/>
        </w:trPr>
        <w:tc>
          <w:tcPr>
            <w:tcW w:w="79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Other assets</w:t>
            </w:r>
          </w:p>
        </w:tc>
        <w:tc>
          <w:tcPr>
            <w:tcW w:w="24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256</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204</w:t>
            </w:r>
          </w:p>
        </w:tc>
      </w:tr>
      <w:tr>
        <w:trPr>
          <w:trHeight w:val="195"/>
        </w:trPr>
        <w:tc>
          <w:tcPr>
            <w:tcW w:w="7940" w:type="dxa"/>
            <w:vAlign w:val="bottom"/>
          </w:tcPr>
          <w:p>
            <w:pPr>
              <w:ind w:left="500"/>
              <w:spacing w:after="0"/>
              <w:rPr>
                <w:sz w:val="20"/>
                <w:szCs w:val="20"/>
                <w:color w:val="auto"/>
              </w:rPr>
            </w:pPr>
            <w:r>
              <w:rPr>
                <w:rFonts w:ascii="Arial" w:cs="Arial" w:eastAsia="Arial" w:hAnsi="Arial"/>
                <w:sz w:val="15"/>
                <w:szCs w:val="15"/>
                <w:color w:val="auto"/>
              </w:rPr>
              <w:t>Total assets</w:t>
            </w: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75,055</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95"/>
              </w:rPr>
              <w:t>$</w:t>
            </w:r>
          </w:p>
        </w:tc>
        <w:tc>
          <w:tcPr>
            <w:tcW w:w="142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81,817</w:t>
            </w: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65"/>
        </w:trPr>
        <w:tc>
          <w:tcPr>
            <w:tcW w:w="7940" w:type="dxa"/>
            <w:vAlign w:val="bottom"/>
            <w:shd w:val="clear" w:color="auto" w:fill="CCEEFF"/>
          </w:tcPr>
          <w:p>
            <w:pPr>
              <w:ind w:left="20"/>
              <w:spacing w:after="0" w:line="165" w:lineRule="exact"/>
              <w:rPr>
                <w:sz w:val="20"/>
                <w:szCs w:val="20"/>
                <w:color w:val="auto"/>
              </w:rPr>
            </w:pPr>
            <w:r>
              <w:rPr>
                <w:rFonts w:ascii="Arial" w:cs="Arial" w:eastAsia="Arial" w:hAnsi="Arial"/>
                <w:sz w:val="15"/>
                <w:szCs w:val="15"/>
                <w:b w:val="1"/>
                <w:bCs w:val="1"/>
                <w:color w:val="auto"/>
              </w:rPr>
              <w:t>Liabilities:</w:t>
            </w:r>
          </w:p>
        </w:tc>
        <w:tc>
          <w:tcPr>
            <w:tcW w:w="24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r>
      <w:tr>
        <w:trPr>
          <w:trHeight w:val="197"/>
        </w:trPr>
        <w:tc>
          <w:tcPr>
            <w:tcW w:w="7940" w:type="dxa"/>
            <w:vAlign w:val="bottom"/>
          </w:tcPr>
          <w:p>
            <w:pPr>
              <w:ind w:left="200"/>
              <w:spacing w:after="0"/>
              <w:rPr>
                <w:sz w:val="20"/>
                <w:szCs w:val="20"/>
                <w:color w:val="auto"/>
              </w:rPr>
            </w:pPr>
            <w:r>
              <w:rPr>
                <w:rFonts w:ascii="Arial" w:cs="Arial" w:eastAsia="Arial" w:hAnsi="Arial"/>
                <w:sz w:val="15"/>
                <w:szCs w:val="15"/>
                <w:color w:val="auto"/>
              </w:rPr>
              <w:t>Repurchase agreements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5"/>
                <w:szCs w:val="15"/>
                <w:color w:val="auto"/>
              </w:rPr>
              <w:t>48,737</w:t>
            </w:r>
          </w:p>
        </w:tc>
        <w:tc>
          <w:tcPr>
            <w:tcW w:w="100" w:type="dxa"/>
            <w:vAlign w:val="bottom"/>
          </w:tcPr>
          <w:p>
            <w:pPr>
              <w:spacing w:after="0"/>
              <w:rPr>
                <w:sz w:val="17"/>
                <w:szCs w:val="17"/>
                <w:color w:val="auto"/>
              </w:rPr>
            </w:pPr>
          </w:p>
        </w:tc>
        <w:tc>
          <w:tcPr>
            <w:tcW w:w="180" w:type="dxa"/>
            <w:vAlign w:val="bottom"/>
          </w:tcPr>
          <w:p>
            <w:pPr>
              <w:jc w:val="right"/>
              <w:ind w:right="5"/>
              <w:spacing w:after="0"/>
              <w:rPr>
                <w:sz w:val="20"/>
                <w:szCs w:val="20"/>
                <w:color w:val="auto"/>
              </w:rPr>
            </w:pPr>
            <w:r>
              <w:rPr>
                <w:rFonts w:ascii="Arial" w:cs="Arial" w:eastAsia="Arial" w:hAnsi="Arial"/>
                <w:sz w:val="15"/>
                <w:szCs w:val="15"/>
                <w:color w:val="auto"/>
                <w:w w:val="95"/>
              </w:rPr>
              <w:t>$</w:t>
            </w:r>
          </w:p>
        </w:tc>
        <w:tc>
          <w:tcPr>
            <w:tcW w:w="1420" w:type="dxa"/>
            <w:vAlign w:val="bottom"/>
          </w:tcPr>
          <w:p>
            <w:pPr>
              <w:jc w:val="right"/>
              <w:ind w:right="5"/>
              <w:spacing w:after="0"/>
              <w:rPr>
                <w:sz w:val="20"/>
                <w:szCs w:val="20"/>
                <w:color w:val="auto"/>
              </w:rPr>
            </w:pPr>
            <w:r>
              <w:rPr>
                <w:rFonts w:ascii="Arial" w:cs="Arial" w:eastAsia="Arial" w:hAnsi="Arial"/>
                <w:sz w:val="15"/>
                <w:szCs w:val="15"/>
                <w:color w:val="auto"/>
              </w:rPr>
              <w:t>52,366</w:t>
            </w:r>
          </w:p>
        </w:tc>
      </w:tr>
      <w:tr>
        <w:trPr>
          <w:trHeight w:val="203"/>
        </w:trPr>
        <w:tc>
          <w:tcPr>
            <w:tcW w:w="79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Debt of consolidated variable interest entities, at fair value</w:t>
            </w: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177</w:t>
            </w:r>
          </w:p>
        </w:tc>
      </w:tr>
      <w:tr>
        <w:trPr>
          <w:trHeight w:val="197"/>
        </w:trPr>
        <w:tc>
          <w:tcPr>
            <w:tcW w:w="7940" w:type="dxa"/>
            <w:vAlign w:val="bottom"/>
          </w:tcPr>
          <w:p>
            <w:pPr>
              <w:ind w:left="200"/>
              <w:spacing w:after="0"/>
              <w:rPr>
                <w:sz w:val="20"/>
                <w:szCs w:val="20"/>
                <w:color w:val="auto"/>
              </w:rPr>
            </w:pPr>
            <w:r>
              <w:rPr>
                <w:rFonts w:ascii="Arial" w:cs="Arial" w:eastAsia="Arial" w:hAnsi="Arial"/>
                <w:sz w:val="15"/>
                <w:szCs w:val="15"/>
                <w:color w:val="auto"/>
              </w:rPr>
              <w:t>Payable for investment securities purchased</w:t>
            </w:r>
          </w:p>
        </w:tc>
        <w:tc>
          <w:tcPr>
            <w:tcW w:w="2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3,697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jc w:val="right"/>
              <w:ind w:right="5"/>
              <w:spacing w:after="0"/>
              <w:rPr>
                <w:sz w:val="20"/>
                <w:szCs w:val="20"/>
                <w:color w:val="auto"/>
              </w:rPr>
            </w:pPr>
            <w:r>
              <w:rPr>
                <w:rFonts w:ascii="Arial" w:cs="Arial" w:eastAsia="Arial" w:hAnsi="Arial"/>
                <w:sz w:val="15"/>
                <w:szCs w:val="15"/>
                <w:color w:val="auto"/>
              </w:rPr>
              <w:t>6,157</w:t>
            </w:r>
          </w:p>
        </w:tc>
      </w:tr>
      <w:tr>
        <w:trPr>
          <w:trHeight w:val="203"/>
        </w:trPr>
        <w:tc>
          <w:tcPr>
            <w:tcW w:w="79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Derivative liabilities, at fair value</w:t>
            </w: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2</w:t>
            </w:r>
          </w:p>
        </w:tc>
      </w:tr>
      <w:tr>
        <w:trPr>
          <w:trHeight w:val="197"/>
        </w:trPr>
        <w:tc>
          <w:tcPr>
            <w:tcW w:w="7940" w:type="dxa"/>
            <w:vAlign w:val="bottom"/>
          </w:tcPr>
          <w:p>
            <w:pPr>
              <w:ind w:left="200"/>
              <w:spacing w:after="0"/>
              <w:rPr>
                <w:sz w:val="20"/>
                <w:szCs w:val="20"/>
                <w:color w:val="auto"/>
              </w:rPr>
            </w:pPr>
            <w:r>
              <w:rPr>
                <w:rFonts w:ascii="Arial" w:cs="Arial" w:eastAsia="Arial" w:hAnsi="Arial"/>
                <w:sz w:val="15"/>
                <w:szCs w:val="15"/>
                <w:color w:val="auto"/>
              </w:rPr>
              <w:t>Dividends payable</w:t>
            </w:r>
          </w:p>
        </w:tc>
        <w:tc>
          <w:tcPr>
            <w:tcW w:w="2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88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jc w:val="right"/>
              <w:ind w:right="5"/>
              <w:spacing w:after="0"/>
              <w:rPr>
                <w:sz w:val="20"/>
                <w:szCs w:val="20"/>
                <w:color w:val="auto"/>
              </w:rPr>
            </w:pPr>
            <w:r>
              <w:rPr>
                <w:rFonts w:ascii="Arial" w:cs="Arial" w:eastAsia="Arial" w:hAnsi="Arial"/>
                <w:sz w:val="15"/>
                <w:szCs w:val="15"/>
                <w:color w:val="auto"/>
              </w:rPr>
              <w:t>90</w:t>
            </w:r>
          </w:p>
        </w:tc>
      </w:tr>
      <w:tr>
        <w:trPr>
          <w:trHeight w:val="203"/>
        </w:trPr>
        <w:tc>
          <w:tcPr>
            <w:tcW w:w="79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Obligation to return securities borrowed under reverse repurchase agreements, at fair value</w:t>
            </w: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10,920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11,727</w:t>
            </w:r>
          </w:p>
        </w:tc>
      </w:tr>
      <w:tr>
        <w:trPr>
          <w:trHeight w:val="197"/>
        </w:trPr>
        <w:tc>
          <w:tcPr>
            <w:tcW w:w="7940" w:type="dxa"/>
            <w:vAlign w:val="bottom"/>
            <w:tcBorders>
              <w:bottom w:val="single" w:sz="8" w:color="CCEEFF"/>
            </w:tcBorders>
          </w:tcPr>
          <w:p>
            <w:pPr>
              <w:ind w:left="200"/>
              <w:spacing w:after="0"/>
              <w:rPr>
                <w:sz w:val="20"/>
                <w:szCs w:val="20"/>
                <w:color w:val="auto"/>
              </w:rPr>
            </w:pPr>
            <w:r>
              <w:rPr>
                <w:rFonts w:ascii="Arial" w:cs="Arial" w:eastAsia="Arial" w:hAnsi="Arial"/>
                <w:sz w:val="15"/>
                <w:szCs w:val="15"/>
                <w:color w:val="auto"/>
              </w:rPr>
              <w:t>Accounts payable and other liabilities</w:t>
            </w: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783</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219</w:t>
            </w:r>
          </w:p>
        </w:tc>
      </w:tr>
      <w:tr>
        <w:trPr>
          <w:trHeight w:val="195"/>
        </w:trPr>
        <w:tc>
          <w:tcPr>
            <w:tcW w:w="7940" w:type="dxa"/>
            <w:vAlign w:val="bottom"/>
            <w:shd w:val="clear" w:color="auto" w:fill="CCEEFF"/>
          </w:tcPr>
          <w:p>
            <w:pPr>
              <w:ind w:left="500"/>
              <w:spacing w:after="0"/>
              <w:rPr>
                <w:sz w:val="20"/>
                <w:szCs w:val="20"/>
                <w:color w:val="auto"/>
              </w:rPr>
            </w:pPr>
            <w:r>
              <w:rPr>
                <w:rFonts w:ascii="Arial" w:cs="Arial" w:eastAsia="Arial" w:hAnsi="Arial"/>
                <w:sz w:val="15"/>
                <w:szCs w:val="15"/>
                <w:color w:val="auto"/>
              </w:rPr>
              <w:t>Total liabilities</w:t>
            </w:r>
          </w:p>
        </w:tc>
        <w:tc>
          <w:tcPr>
            <w:tcW w:w="24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64,387</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70,738</w:t>
            </w:r>
          </w:p>
        </w:tc>
      </w:tr>
      <w:tr>
        <w:trPr>
          <w:trHeight w:val="177"/>
        </w:trPr>
        <w:tc>
          <w:tcPr>
            <w:tcW w:w="7940" w:type="dxa"/>
            <w:vAlign w:val="bottom"/>
          </w:tcPr>
          <w:p>
            <w:pPr>
              <w:ind w:left="20"/>
              <w:spacing w:after="0"/>
              <w:rPr>
                <w:sz w:val="20"/>
                <w:szCs w:val="20"/>
                <w:color w:val="auto"/>
              </w:rPr>
            </w:pPr>
            <w:r>
              <w:rPr>
                <w:rFonts w:ascii="Arial" w:cs="Arial" w:eastAsia="Arial" w:hAnsi="Arial"/>
                <w:sz w:val="15"/>
                <w:szCs w:val="15"/>
                <w:b w:val="1"/>
                <w:bCs w:val="1"/>
                <w:color w:val="auto"/>
              </w:rPr>
              <w:t>Stockholders' equity:</w:t>
            </w: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203"/>
        </w:trPr>
        <w:tc>
          <w:tcPr>
            <w:tcW w:w="79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Preferred Stock - aggregate liquidation preference of $1,538</w:t>
            </w: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1,489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1,489</w:t>
            </w:r>
          </w:p>
        </w:tc>
      </w:tr>
      <w:tr>
        <w:trPr>
          <w:trHeight w:val="197"/>
        </w:trPr>
        <w:tc>
          <w:tcPr>
            <w:tcW w:w="7940" w:type="dxa"/>
            <w:vAlign w:val="bottom"/>
          </w:tcPr>
          <w:p>
            <w:pPr>
              <w:ind w:left="200"/>
              <w:spacing w:after="0"/>
              <w:rPr>
                <w:sz w:val="20"/>
                <w:szCs w:val="20"/>
                <w:color w:val="auto"/>
              </w:rPr>
            </w:pPr>
            <w:r>
              <w:rPr>
                <w:rFonts w:ascii="Arial" w:cs="Arial" w:eastAsia="Arial" w:hAnsi="Arial"/>
                <w:sz w:val="15"/>
                <w:szCs w:val="15"/>
                <w:color w:val="auto"/>
                <w:w w:val="96"/>
              </w:rPr>
              <w:t>Common stock - $0.01 par value; 1,500 shares authorized; 524.9 and 539.5 shares issued and outstanding, respectively</w:t>
            </w:r>
          </w:p>
        </w:tc>
        <w:tc>
          <w:tcPr>
            <w:tcW w:w="2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jc w:val="right"/>
              <w:ind w:right="5"/>
              <w:spacing w:after="0"/>
              <w:rPr>
                <w:sz w:val="20"/>
                <w:szCs w:val="20"/>
                <w:color w:val="auto"/>
              </w:rPr>
            </w:pPr>
            <w:r>
              <w:rPr>
                <w:rFonts w:ascii="Arial" w:cs="Arial" w:eastAsia="Arial" w:hAnsi="Arial"/>
                <w:sz w:val="15"/>
                <w:szCs w:val="15"/>
                <w:color w:val="auto"/>
              </w:rPr>
              <w:t>5</w:t>
            </w:r>
          </w:p>
        </w:tc>
      </w:tr>
      <w:tr>
        <w:trPr>
          <w:trHeight w:val="203"/>
        </w:trPr>
        <w:tc>
          <w:tcPr>
            <w:tcW w:w="79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Additional paid-in capital</w:t>
            </w:r>
          </w:p>
        </w:tc>
        <w:tc>
          <w:tcPr>
            <w:tcW w:w="24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13,741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13,972</w:t>
            </w:r>
          </w:p>
        </w:tc>
      </w:tr>
      <w:tr>
        <w:trPr>
          <w:trHeight w:val="197"/>
        </w:trPr>
        <w:tc>
          <w:tcPr>
            <w:tcW w:w="7940" w:type="dxa"/>
            <w:vAlign w:val="bottom"/>
          </w:tcPr>
          <w:p>
            <w:pPr>
              <w:ind w:left="200"/>
              <w:spacing w:after="0"/>
              <w:rPr>
                <w:sz w:val="20"/>
                <w:szCs w:val="20"/>
                <w:color w:val="auto"/>
              </w:rPr>
            </w:pPr>
            <w:r>
              <w:rPr>
                <w:rFonts w:ascii="Arial" w:cs="Arial" w:eastAsia="Arial" w:hAnsi="Arial"/>
                <w:sz w:val="15"/>
                <w:szCs w:val="15"/>
                <w:color w:val="auto"/>
              </w:rPr>
              <w:t>Retained deficit</w:t>
            </w:r>
          </w:p>
        </w:tc>
        <w:tc>
          <w:tcPr>
            <w:tcW w:w="2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5"/>
                <w:szCs w:val="15"/>
                <w:color w:val="auto"/>
              </w:rPr>
              <w:t>(4,972)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(5,106)</w:t>
            </w:r>
          </w:p>
        </w:tc>
      </w:tr>
      <w:tr>
        <w:trPr>
          <w:trHeight w:val="203"/>
        </w:trPr>
        <w:tc>
          <w:tcPr>
            <w:tcW w:w="79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Accumulated other comprehensive income</w:t>
            </w:r>
          </w:p>
        </w:tc>
        <w:tc>
          <w:tcPr>
            <w:tcW w:w="24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405</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719</w:t>
            </w:r>
          </w:p>
        </w:tc>
      </w:tr>
      <w:tr>
        <w:trPr>
          <w:trHeight w:val="189"/>
        </w:trPr>
        <w:tc>
          <w:tcPr>
            <w:tcW w:w="7940" w:type="dxa"/>
            <w:vAlign w:val="bottom"/>
            <w:tcBorders>
              <w:bottom w:val="single" w:sz="8" w:color="CCEEFF"/>
            </w:tcBorders>
          </w:tcPr>
          <w:p>
            <w:pPr>
              <w:ind w:left="500"/>
              <w:spacing w:after="0"/>
              <w:rPr>
                <w:sz w:val="20"/>
                <w:szCs w:val="20"/>
                <w:color w:val="auto"/>
              </w:rPr>
            </w:pPr>
            <w:r>
              <w:rPr>
                <w:rFonts w:ascii="Arial" w:cs="Arial" w:eastAsia="Arial" w:hAnsi="Arial"/>
                <w:sz w:val="15"/>
                <w:szCs w:val="15"/>
                <w:color w:val="auto"/>
              </w:rPr>
              <w:t>Total stockholders' equity</w:t>
            </w: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10,668</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11,079</w:t>
            </w:r>
          </w:p>
        </w:tc>
      </w:tr>
      <w:tr>
        <w:trPr>
          <w:trHeight w:val="220"/>
        </w:trPr>
        <w:tc>
          <w:tcPr>
            <w:tcW w:w="79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5"/>
                <w:szCs w:val="15"/>
                <w:color w:val="auto"/>
              </w:rPr>
              <w:t>Total liabilities and stockholders' equity</w:t>
            </w: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75,055</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95"/>
              </w:rPr>
              <w:t>$</w:t>
            </w:r>
          </w:p>
        </w:tc>
        <w:tc>
          <w:tcPr>
            <w:tcW w:w="142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81,817</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1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835"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7"/>
          <w:szCs w:val="17"/>
          <w:b w:val="1"/>
          <w:bCs w:val="1"/>
          <w:color w:val="auto"/>
        </w:rPr>
        <w:t>AGNC INVESTMENT CORP.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COMPREHENSIVE INCOME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millions, except per share data)</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180" w:type="dxa"/>
            <w:vAlign w:val="bottom"/>
          </w:tcPr>
          <w:p>
            <w:pPr>
              <w:spacing w:after="0"/>
              <w:rPr>
                <w:sz w:val="17"/>
                <w:szCs w:val="17"/>
                <w:color w:val="auto"/>
              </w:rPr>
            </w:pPr>
          </w:p>
        </w:tc>
        <w:tc>
          <w:tcPr>
            <w:tcW w:w="2060" w:type="dxa"/>
            <w:vAlign w:val="bottom"/>
            <w:gridSpan w:val="6"/>
          </w:tcPr>
          <w:p>
            <w:pPr>
              <w:ind w:left="20"/>
              <w:spacing w:after="0"/>
              <w:rPr>
                <w:sz w:val="20"/>
                <w:szCs w:val="20"/>
                <w:color w:val="auto"/>
              </w:rPr>
            </w:pPr>
            <w:r>
              <w:rPr>
                <w:rFonts w:ascii="Arial" w:cs="Arial" w:eastAsia="Arial" w:hAnsi="Arial"/>
                <w:sz w:val="15"/>
                <w:szCs w:val="15"/>
                <w:b w:val="1"/>
                <w:bCs w:val="1"/>
                <w:color w:val="auto"/>
                <w:w w:val="95"/>
              </w:rPr>
              <w:t>Three Months Ended June 30,</w:t>
            </w:r>
          </w:p>
        </w:tc>
        <w:tc>
          <w:tcPr>
            <w:tcW w:w="120" w:type="dxa"/>
            <w:vAlign w:val="bottom"/>
          </w:tcPr>
          <w:p>
            <w:pPr>
              <w:spacing w:after="0"/>
              <w:rPr>
                <w:sz w:val="17"/>
                <w:szCs w:val="17"/>
                <w:color w:val="auto"/>
              </w:rPr>
            </w:pPr>
          </w:p>
        </w:tc>
        <w:tc>
          <w:tcPr>
            <w:tcW w:w="1880" w:type="dxa"/>
            <w:vAlign w:val="bottom"/>
            <w:gridSpan w:val="4"/>
          </w:tcPr>
          <w:p>
            <w:pPr>
              <w:jc w:val="right"/>
              <w:ind w:right="37"/>
              <w:spacing w:after="0"/>
              <w:rPr>
                <w:sz w:val="20"/>
                <w:szCs w:val="20"/>
                <w:color w:val="auto"/>
              </w:rPr>
            </w:pPr>
            <w:r>
              <w:rPr>
                <w:rFonts w:ascii="Arial" w:cs="Arial" w:eastAsia="Arial" w:hAnsi="Arial"/>
                <w:sz w:val="15"/>
                <w:szCs w:val="15"/>
                <w:b w:val="1"/>
                <w:bCs w:val="1"/>
                <w:color w:val="auto"/>
                <w:w w:val="89"/>
              </w:rPr>
              <w:t>Six Months Ended June 30,</w:t>
            </w:r>
          </w:p>
        </w:tc>
        <w:tc>
          <w:tcPr>
            <w:tcW w:w="0" w:type="dxa"/>
            <w:vAlign w:val="bottom"/>
          </w:tcPr>
          <w:p>
            <w:pPr>
              <w:spacing w:after="0"/>
              <w:rPr>
                <w:sz w:val="1"/>
                <w:szCs w:val="1"/>
                <w:color w:val="auto"/>
              </w:rPr>
            </w:pPr>
          </w:p>
        </w:tc>
      </w:tr>
      <w:tr>
        <w:trPr>
          <w:trHeight w:val="192"/>
        </w:trPr>
        <w:tc>
          <w:tcPr>
            <w:tcW w:w="71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ind w:right="237"/>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ind w:right="237"/>
              <w:spacing w:after="0"/>
              <w:rPr>
                <w:sz w:val="20"/>
                <w:szCs w:val="20"/>
                <w:color w:val="auto"/>
              </w:rPr>
            </w:pPr>
            <w:r>
              <w:rPr>
                <w:rFonts w:ascii="Arial" w:cs="Arial" w:eastAsia="Arial" w:hAnsi="Arial"/>
                <w:sz w:val="15"/>
                <w:szCs w:val="15"/>
                <w:b w:val="1"/>
                <w:bCs w:val="1"/>
                <w:color w:val="auto"/>
              </w:rPr>
              <w:t>2020</w:t>
            </w:r>
          </w:p>
        </w:tc>
        <w:tc>
          <w:tcPr>
            <w:tcW w:w="8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237"/>
              <w:spacing w:after="0"/>
              <w:rPr>
                <w:sz w:val="20"/>
                <w:szCs w:val="20"/>
                <w:color w:val="auto"/>
              </w:rPr>
            </w:pPr>
            <w:r>
              <w:rPr>
                <w:rFonts w:ascii="Arial" w:cs="Arial" w:eastAsia="Arial" w:hAnsi="Arial"/>
                <w:sz w:val="15"/>
                <w:szCs w:val="15"/>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ind w:right="237"/>
              <w:spacing w:after="0"/>
              <w:rPr>
                <w:sz w:val="20"/>
                <w:szCs w:val="20"/>
                <w:color w:val="auto"/>
              </w:rPr>
            </w:pPr>
            <w:r>
              <w:rPr>
                <w:rFonts w:ascii="Arial" w:cs="Arial" w:eastAsia="Arial" w:hAnsi="Arial"/>
                <w:sz w:val="15"/>
                <w:szCs w:val="15"/>
                <w:b w:val="1"/>
                <w:bCs w:val="1"/>
                <w:color w:val="auto"/>
              </w:rPr>
              <w:t>2020</w:t>
            </w:r>
          </w:p>
        </w:tc>
        <w:tc>
          <w:tcPr>
            <w:tcW w:w="0" w:type="dxa"/>
            <w:vAlign w:val="bottom"/>
          </w:tcPr>
          <w:p>
            <w:pPr>
              <w:spacing w:after="0"/>
              <w:rPr>
                <w:sz w:val="1"/>
                <w:szCs w:val="1"/>
                <w:color w:val="auto"/>
              </w:rPr>
            </w:pPr>
          </w:p>
        </w:tc>
      </w:tr>
      <w:tr>
        <w:trPr>
          <w:trHeight w:val="195"/>
        </w:trPr>
        <w:tc>
          <w:tcPr>
            <w:tcW w:w="71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Interest income:</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7180" w:type="dxa"/>
            <w:vAlign w:val="bottom"/>
          </w:tcPr>
          <w:p>
            <w:pPr>
              <w:ind w:left="320"/>
              <w:spacing w:after="0"/>
              <w:rPr>
                <w:sz w:val="20"/>
                <w:szCs w:val="20"/>
                <w:color w:val="auto"/>
              </w:rPr>
            </w:pPr>
            <w:r>
              <w:rPr>
                <w:rFonts w:ascii="Arial" w:cs="Arial" w:eastAsia="Arial" w:hAnsi="Arial"/>
                <w:sz w:val="17"/>
                <w:szCs w:val="17"/>
                <w:color w:val="auto"/>
              </w:rPr>
              <w:t>Interest income</w:t>
            </w:r>
          </w:p>
        </w:tc>
        <w:tc>
          <w:tcPr>
            <w:tcW w:w="200" w:type="dxa"/>
            <w:vAlign w:val="bottom"/>
          </w:tcPr>
          <w:p>
            <w:pPr>
              <w:ind w:left="20"/>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249</w:t>
            </w:r>
          </w:p>
        </w:tc>
        <w:tc>
          <w:tcPr>
            <w:tcW w:w="100" w:type="dxa"/>
            <w:vAlign w:val="bottom"/>
          </w:tcPr>
          <w:p>
            <w:pPr>
              <w:spacing w:after="0"/>
              <w:rPr>
                <w:sz w:val="18"/>
                <w:szCs w:val="18"/>
                <w:color w:val="auto"/>
              </w:rPr>
            </w:pPr>
          </w:p>
        </w:tc>
        <w:tc>
          <w:tcPr>
            <w:tcW w:w="200" w:type="dxa"/>
            <w:vAlign w:val="bottom"/>
          </w:tcPr>
          <w:p>
            <w:pPr>
              <w:jc w:val="right"/>
              <w:ind w:right="17"/>
              <w:spacing w:after="0"/>
              <w:rPr>
                <w:sz w:val="20"/>
                <w:szCs w:val="20"/>
                <w:color w:val="auto"/>
              </w:rPr>
            </w:pPr>
            <w:r>
              <w:rPr>
                <w:rFonts w:ascii="Arial" w:cs="Arial" w:eastAsia="Arial" w:hAnsi="Arial"/>
                <w:sz w:val="17"/>
                <w:szCs w:val="17"/>
                <w:color w:val="auto"/>
                <w:w w:val="84"/>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429</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806</w:t>
            </w:r>
          </w:p>
        </w:tc>
        <w:tc>
          <w:tcPr>
            <w:tcW w:w="100" w:type="dxa"/>
            <w:vAlign w:val="bottom"/>
          </w:tcPr>
          <w:p>
            <w:pPr>
              <w:spacing w:after="0"/>
              <w:rPr>
                <w:sz w:val="18"/>
                <w:szCs w:val="18"/>
                <w:color w:val="auto"/>
              </w:rPr>
            </w:pPr>
          </w:p>
        </w:tc>
        <w:tc>
          <w:tcPr>
            <w:tcW w:w="220" w:type="dxa"/>
            <w:vAlign w:val="bottom"/>
          </w:tcPr>
          <w:p>
            <w:pPr>
              <w:jc w:val="right"/>
              <w:ind w:right="37"/>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920</w:t>
            </w:r>
          </w:p>
        </w:tc>
        <w:tc>
          <w:tcPr>
            <w:tcW w:w="0" w:type="dxa"/>
            <w:vAlign w:val="bottom"/>
          </w:tcPr>
          <w:p>
            <w:pPr>
              <w:spacing w:after="0"/>
              <w:rPr>
                <w:sz w:val="1"/>
                <w:szCs w:val="1"/>
                <w:color w:val="auto"/>
              </w:rPr>
            </w:pPr>
          </w:p>
        </w:tc>
      </w:tr>
      <w:tr>
        <w:trPr>
          <w:trHeight w:val="212"/>
        </w:trPr>
        <w:tc>
          <w:tcPr>
            <w:tcW w:w="71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Interest expense</w:t>
            </w: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134</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560</w:t>
            </w:r>
          </w:p>
        </w:tc>
        <w:tc>
          <w:tcPr>
            <w:tcW w:w="0" w:type="dxa"/>
            <w:vAlign w:val="bottom"/>
          </w:tcPr>
          <w:p>
            <w:pPr>
              <w:spacing w:after="0"/>
              <w:rPr>
                <w:sz w:val="1"/>
                <w:szCs w:val="1"/>
                <w:color w:val="auto"/>
              </w:rPr>
            </w:pPr>
          </w:p>
        </w:tc>
      </w:tr>
      <w:tr>
        <w:trPr>
          <w:trHeight w:val="205"/>
        </w:trPr>
        <w:tc>
          <w:tcPr>
            <w:tcW w:w="7180" w:type="dxa"/>
            <w:vAlign w:val="bottom"/>
            <w:tcBorders>
              <w:bottom w:val="single" w:sz="8" w:color="CCEEFF"/>
            </w:tcBorders>
          </w:tcPr>
          <w:p>
            <w:pPr>
              <w:ind w:left="620"/>
              <w:spacing w:after="0"/>
              <w:rPr>
                <w:sz w:val="20"/>
                <w:szCs w:val="20"/>
                <w:color w:val="auto"/>
              </w:rPr>
            </w:pPr>
            <w:r>
              <w:rPr>
                <w:rFonts w:ascii="Arial" w:cs="Arial" w:eastAsia="Arial" w:hAnsi="Arial"/>
                <w:sz w:val="17"/>
                <w:szCs w:val="17"/>
                <w:color w:val="auto"/>
              </w:rPr>
              <w:t>Net interest income</w:t>
            </w: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232</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295</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760</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360</w:t>
            </w:r>
          </w:p>
        </w:tc>
        <w:tc>
          <w:tcPr>
            <w:tcW w:w="0" w:type="dxa"/>
            <w:vAlign w:val="bottom"/>
          </w:tcPr>
          <w:p>
            <w:pPr>
              <w:spacing w:after="0"/>
              <w:rPr>
                <w:sz w:val="1"/>
                <w:szCs w:val="1"/>
                <w:color w:val="auto"/>
              </w:rPr>
            </w:pPr>
          </w:p>
        </w:tc>
      </w:tr>
      <w:tr>
        <w:trPr>
          <w:trHeight w:val="192"/>
        </w:trPr>
        <w:tc>
          <w:tcPr>
            <w:tcW w:w="7180" w:type="dxa"/>
            <w:vAlign w:val="bottom"/>
            <w:shd w:val="clear" w:color="auto" w:fill="CCEEFF"/>
          </w:tcPr>
          <w:p>
            <w:pPr>
              <w:ind w:left="20"/>
              <w:spacing w:after="0" w:line="193" w:lineRule="exact"/>
              <w:rPr>
                <w:sz w:val="20"/>
                <w:szCs w:val="20"/>
                <w:color w:val="auto"/>
              </w:rPr>
            </w:pPr>
            <w:r>
              <w:rPr>
                <w:rFonts w:ascii="Arial" w:cs="Arial" w:eastAsia="Arial" w:hAnsi="Arial"/>
                <w:sz w:val="17"/>
                <w:szCs w:val="17"/>
                <w:b w:val="1"/>
                <w:bCs w:val="1"/>
                <w:color w:val="auto"/>
              </w:rPr>
              <w:t>Other gain (loss), net:</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7180" w:type="dxa"/>
            <w:vAlign w:val="bottom"/>
          </w:tcPr>
          <w:p>
            <w:pPr>
              <w:ind w:left="320"/>
              <w:spacing w:after="0"/>
              <w:rPr>
                <w:sz w:val="20"/>
                <w:szCs w:val="20"/>
                <w:color w:val="auto"/>
              </w:rPr>
            </w:pPr>
            <w:r>
              <w:rPr>
                <w:rFonts w:ascii="Arial" w:cs="Arial" w:eastAsia="Arial" w:hAnsi="Arial"/>
                <w:sz w:val="17"/>
                <w:szCs w:val="17"/>
                <w:color w:val="auto"/>
              </w:rPr>
              <w:t>Gain on sale of investment securities, net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153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647</w:t>
            </w:r>
          </w:p>
        </w:tc>
        <w:tc>
          <w:tcPr>
            <w:tcW w:w="0" w:type="dxa"/>
            <w:vAlign w:val="bottom"/>
          </w:tcPr>
          <w:p>
            <w:pPr>
              <w:spacing w:after="0"/>
              <w:rPr>
                <w:sz w:val="1"/>
                <w:szCs w:val="1"/>
                <w:color w:val="auto"/>
              </w:rPr>
            </w:pPr>
          </w:p>
        </w:tc>
      </w:tr>
      <w:tr>
        <w:trPr>
          <w:trHeight w:val="212"/>
        </w:trPr>
        <w:tc>
          <w:tcPr>
            <w:tcW w:w="7180" w:type="dxa"/>
            <w:vAlign w:val="bottom"/>
            <w:shd w:val="clear" w:color="auto" w:fill="CCEEFF"/>
          </w:tcPr>
          <w:p>
            <w:pPr>
              <w:ind w:left="320"/>
              <w:spacing w:after="0"/>
              <w:rPr>
                <w:sz w:val="20"/>
                <w:szCs w:val="20"/>
                <w:color w:val="auto"/>
              </w:rPr>
            </w:pPr>
            <w:r>
              <w:rPr>
                <w:rFonts w:ascii="Arial" w:cs="Arial" w:eastAsia="Arial" w:hAnsi="Arial"/>
                <w:sz w:val="17"/>
                <w:szCs w:val="17"/>
                <w:color w:val="auto"/>
                <w:w w:val="96"/>
              </w:rPr>
              <w:t>Unrealized gain (loss) on investment securities measured at fair value through net income, net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876</w:t>
            </w:r>
          </w:p>
        </w:tc>
        <w:tc>
          <w:tcPr>
            <w:tcW w:w="0" w:type="dxa"/>
            <w:vAlign w:val="bottom"/>
          </w:tcPr>
          <w:p>
            <w:pPr>
              <w:spacing w:after="0"/>
              <w:rPr>
                <w:sz w:val="1"/>
                <w:szCs w:val="1"/>
                <w:color w:val="auto"/>
              </w:rPr>
            </w:pPr>
          </w:p>
        </w:tc>
      </w:tr>
      <w:tr>
        <w:trPr>
          <w:trHeight w:val="212"/>
        </w:trPr>
        <w:tc>
          <w:tcPr>
            <w:tcW w:w="718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Gain (loss) on derivative instruments and other securities, net</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(618)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(385)</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(3,539)</w:t>
            </w:r>
          </w:p>
        </w:tc>
        <w:tc>
          <w:tcPr>
            <w:tcW w:w="0" w:type="dxa"/>
            <w:vAlign w:val="bottom"/>
          </w:tcPr>
          <w:p>
            <w:pPr>
              <w:spacing w:after="0"/>
              <w:rPr>
                <w:sz w:val="1"/>
                <w:szCs w:val="1"/>
                <w:color w:val="auto"/>
              </w:rPr>
            </w:pPr>
          </w:p>
        </w:tc>
      </w:tr>
      <w:tr>
        <w:trPr>
          <w:trHeight w:val="205"/>
        </w:trPr>
        <w:tc>
          <w:tcPr>
            <w:tcW w:w="7180" w:type="dxa"/>
            <w:vAlign w:val="bottom"/>
            <w:shd w:val="clear" w:color="auto" w:fill="CCEEFF"/>
          </w:tcPr>
          <w:p>
            <w:pPr>
              <w:ind w:left="620"/>
              <w:spacing w:after="0"/>
              <w:rPr>
                <w:sz w:val="20"/>
                <w:szCs w:val="20"/>
                <w:color w:val="auto"/>
              </w:rPr>
            </w:pPr>
            <w:r>
              <w:rPr>
                <w:rFonts w:ascii="Arial" w:cs="Arial" w:eastAsia="Arial" w:hAnsi="Arial"/>
                <w:sz w:val="17"/>
                <w:szCs w:val="17"/>
                <w:color w:val="auto"/>
              </w:rPr>
              <w:t>Total other gain (loss), net:</w:t>
            </w: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(621)</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447</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(150)</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(2,016)</w:t>
            </w:r>
          </w:p>
        </w:tc>
        <w:tc>
          <w:tcPr>
            <w:tcW w:w="0" w:type="dxa"/>
            <w:vAlign w:val="bottom"/>
          </w:tcPr>
          <w:p>
            <w:pPr>
              <w:spacing w:after="0"/>
              <w:rPr>
                <w:sz w:val="1"/>
                <w:szCs w:val="1"/>
                <w:color w:val="auto"/>
              </w:rPr>
            </w:pPr>
          </w:p>
        </w:tc>
      </w:tr>
      <w:tr>
        <w:trPr>
          <w:trHeight w:val="192"/>
        </w:trPr>
        <w:tc>
          <w:tcPr>
            <w:tcW w:w="7180" w:type="dxa"/>
            <w:vAlign w:val="bottom"/>
          </w:tcPr>
          <w:p>
            <w:pPr>
              <w:ind w:left="20"/>
              <w:spacing w:after="0" w:line="193" w:lineRule="exact"/>
              <w:rPr>
                <w:sz w:val="20"/>
                <w:szCs w:val="20"/>
                <w:color w:val="auto"/>
              </w:rPr>
            </w:pPr>
            <w:r>
              <w:rPr>
                <w:rFonts w:ascii="Arial" w:cs="Arial" w:eastAsia="Arial" w:hAnsi="Arial"/>
                <w:sz w:val="17"/>
                <w:szCs w:val="17"/>
                <w:b w:val="1"/>
                <w:bCs w:val="1"/>
                <w:color w:val="auto"/>
              </w:rPr>
              <w:t>Expenses:</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71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Compensation and benefits</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0" w:type="dxa"/>
            <w:vAlign w:val="bottom"/>
          </w:tcPr>
          <w:p>
            <w:pPr>
              <w:spacing w:after="0"/>
              <w:rPr>
                <w:sz w:val="1"/>
                <w:szCs w:val="1"/>
                <w:color w:val="auto"/>
              </w:rPr>
            </w:pPr>
          </w:p>
        </w:tc>
      </w:tr>
      <w:tr>
        <w:trPr>
          <w:trHeight w:val="212"/>
        </w:trPr>
        <w:tc>
          <w:tcPr>
            <w:tcW w:w="7180" w:type="dxa"/>
            <w:vAlign w:val="bottom"/>
            <w:tcBorders>
              <w:bottom w:val="single" w:sz="8" w:color="CCEEFF"/>
            </w:tcBorders>
          </w:tcPr>
          <w:p>
            <w:pPr>
              <w:ind w:left="320"/>
              <w:spacing w:after="0"/>
              <w:rPr>
                <w:sz w:val="20"/>
                <w:szCs w:val="20"/>
                <w:color w:val="auto"/>
              </w:rPr>
            </w:pPr>
            <w:r>
              <w:rPr>
                <w:rFonts w:ascii="Arial" w:cs="Arial" w:eastAsia="Arial" w:hAnsi="Arial"/>
                <w:sz w:val="17"/>
                <w:szCs w:val="17"/>
                <w:color w:val="auto"/>
              </w:rPr>
              <w:t>Other operating expense</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205"/>
        </w:trPr>
        <w:tc>
          <w:tcPr>
            <w:tcW w:w="7180" w:type="dxa"/>
            <w:vAlign w:val="bottom"/>
            <w:shd w:val="clear" w:color="auto" w:fill="CCEEFF"/>
          </w:tcPr>
          <w:p>
            <w:pPr>
              <w:ind w:left="620"/>
              <w:spacing w:after="0"/>
              <w:rPr>
                <w:sz w:val="20"/>
                <w:szCs w:val="20"/>
                <w:color w:val="auto"/>
              </w:rPr>
            </w:pPr>
            <w:r>
              <w:rPr>
                <w:rFonts w:ascii="Arial" w:cs="Arial" w:eastAsia="Arial" w:hAnsi="Arial"/>
                <w:sz w:val="17"/>
                <w:szCs w:val="17"/>
                <w:color w:val="auto"/>
              </w:rPr>
              <w:t>Total operating expense</w:t>
            </w: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205"/>
        </w:trPr>
        <w:tc>
          <w:tcPr>
            <w:tcW w:w="7180" w:type="dxa"/>
            <w:vAlign w:val="bottom"/>
          </w:tcPr>
          <w:p>
            <w:pPr>
              <w:ind w:left="20"/>
              <w:spacing w:after="0"/>
              <w:rPr>
                <w:sz w:val="20"/>
                <w:szCs w:val="20"/>
                <w:color w:val="auto"/>
              </w:rPr>
            </w:pPr>
            <w:r>
              <w:rPr>
                <w:rFonts w:ascii="Arial" w:cs="Arial" w:eastAsia="Arial" w:hAnsi="Arial"/>
                <w:sz w:val="17"/>
                <w:szCs w:val="17"/>
                <w:b w:val="1"/>
                <w:bCs w:val="1"/>
                <w:color w:val="auto"/>
              </w:rPr>
              <w:t>Net income (loss)</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(411)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718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564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(1,703)</w:t>
            </w:r>
          </w:p>
        </w:tc>
        <w:tc>
          <w:tcPr>
            <w:tcW w:w="0" w:type="dxa"/>
            <w:vAlign w:val="bottom"/>
          </w:tcPr>
          <w:p>
            <w:pPr>
              <w:spacing w:after="0"/>
              <w:rPr>
                <w:sz w:val="1"/>
                <w:szCs w:val="1"/>
                <w:color w:val="auto"/>
              </w:rPr>
            </w:pPr>
          </w:p>
        </w:tc>
      </w:tr>
      <w:tr>
        <w:trPr>
          <w:trHeight w:val="212"/>
        </w:trPr>
        <w:tc>
          <w:tcPr>
            <w:tcW w:w="71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Dividends on preferred stock</w:t>
            </w: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0" w:type="dxa"/>
            <w:vAlign w:val="bottom"/>
          </w:tcPr>
          <w:p>
            <w:pPr>
              <w:spacing w:after="0"/>
              <w:rPr>
                <w:sz w:val="1"/>
                <w:szCs w:val="1"/>
                <w:color w:val="auto"/>
              </w:rPr>
            </w:pPr>
          </w:p>
        </w:tc>
      </w:tr>
      <w:tr>
        <w:trPr>
          <w:trHeight w:val="205"/>
        </w:trPr>
        <w:tc>
          <w:tcPr>
            <w:tcW w:w="7180" w:type="dxa"/>
            <w:vAlign w:val="bottom"/>
          </w:tcPr>
          <w:p>
            <w:pPr>
              <w:ind w:left="20"/>
              <w:spacing w:after="0"/>
              <w:rPr>
                <w:sz w:val="20"/>
                <w:szCs w:val="20"/>
                <w:color w:val="auto"/>
              </w:rPr>
            </w:pPr>
            <w:r>
              <w:rPr>
                <w:rFonts w:ascii="Arial" w:cs="Arial" w:eastAsia="Arial" w:hAnsi="Arial"/>
                <w:sz w:val="17"/>
                <w:szCs w:val="17"/>
                <w:b w:val="1"/>
                <w:bCs w:val="1"/>
                <w:color w:val="auto"/>
              </w:rPr>
              <w:t>Net income (loss) available (attributable) to common stockholders</w:t>
            </w: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(436)</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w w:val="84"/>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693</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514</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w w:val="84"/>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(1,749)</w:t>
            </w:r>
          </w:p>
        </w:tc>
        <w:tc>
          <w:tcPr>
            <w:tcW w:w="0" w:type="dxa"/>
            <w:vAlign w:val="bottom"/>
          </w:tcPr>
          <w:p>
            <w:pPr>
              <w:spacing w:after="0"/>
              <w:rPr>
                <w:sz w:val="1"/>
                <w:szCs w:val="1"/>
                <w:color w:val="auto"/>
              </w:rPr>
            </w:pPr>
          </w:p>
        </w:tc>
      </w:tr>
      <w:tr>
        <w:trPr>
          <w:trHeight w:val="20"/>
        </w:trPr>
        <w:tc>
          <w:tcPr>
            <w:tcW w:w="7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7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180" w:type="dxa"/>
            <w:vAlign w:val="bottom"/>
          </w:tcPr>
          <w:p>
            <w:pPr>
              <w:ind w:left="20"/>
              <w:spacing w:after="0"/>
              <w:rPr>
                <w:sz w:val="20"/>
                <w:szCs w:val="20"/>
                <w:color w:val="auto"/>
              </w:rPr>
            </w:pPr>
            <w:r>
              <w:rPr>
                <w:rFonts w:ascii="Arial" w:cs="Arial" w:eastAsia="Arial" w:hAnsi="Arial"/>
                <w:sz w:val="17"/>
                <w:szCs w:val="17"/>
                <w:b w:val="1"/>
                <w:bCs w:val="1"/>
                <w:color w:val="auto"/>
              </w:rPr>
              <w:t>Net income (loss)</w:t>
            </w:r>
          </w:p>
        </w:tc>
        <w:tc>
          <w:tcPr>
            <w:tcW w:w="200" w:type="dxa"/>
            <w:vAlign w:val="bottom"/>
          </w:tcPr>
          <w:p>
            <w:pPr>
              <w:ind w:left="20"/>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(411)</w:t>
            </w:r>
          </w:p>
        </w:tc>
        <w:tc>
          <w:tcPr>
            <w:tcW w:w="100" w:type="dxa"/>
            <w:vAlign w:val="bottom"/>
          </w:tcPr>
          <w:p>
            <w:pPr>
              <w:spacing w:after="0"/>
              <w:rPr>
                <w:sz w:val="18"/>
                <w:szCs w:val="18"/>
                <w:color w:val="auto"/>
              </w:rPr>
            </w:pPr>
          </w:p>
        </w:tc>
        <w:tc>
          <w:tcPr>
            <w:tcW w:w="200" w:type="dxa"/>
            <w:vAlign w:val="bottom"/>
          </w:tcPr>
          <w:p>
            <w:pPr>
              <w:jc w:val="right"/>
              <w:ind w:right="17"/>
              <w:spacing w:after="0"/>
              <w:rPr>
                <w:sz w:val="20"/>
                <w:szCs w:val="20"/>
                <w:color w:val="auto"/>
              </w:rPr>
            </w:pPr>
            <w:r>
              <w:rPr>
                <w:rFonts w:ascii="Arial" w:cs="Arial" w:eastAsia="Arial" w:hAnsi="Arial"/>
                <w:sz w:val="17"/>
                <w:szCs w:val="17"/>
                <w:color w:val="auto"/>
                <w:w w:val="84"/>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718</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564</w:t>
            </w:r>
          </w:p>
        </w:tc>
        <w:tc>
          <w:tcPr>
            <w:tcW w:w="100" w:type="dxa"/>
            <w:vAlign w:val="bottom"/>
          </w:tcPr>
          <w:p>
            <w:pPr>
              <w:spacing w:after="0"/>
              <w:rPr>
                <w:sz w:val="18"/>
                <w:szCs w:val="18"/>
                <w:color w:val="auto"/>
              </w:rPr>
            </w:pPr>
          </w:p>
        </w:tc>
        <w:tc>
          <w:tcPr>
            <w:tcW w:w="220" w:type="dxa"/>
            <w:vAlign w:val="bottom"/>
          </w:tcPr>
          <w:p>
            <w:pPr>
              <w:jc w:val="right"/>
              <w:ind w:right="37"/>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(1,703)</w:t>
            </w:r>
          </w:p>
        </w:tc>
        <w:tc>
          <w:tcPr>
            <w:tcW w:w="0" w:type="dxa"/>
            <w:vAlign w:val="bottom"/>
          </w:tcPr>
          <w:p>
            <w:pPr>
              <w:spacing w:after="0"/>
              <w:rPr>
                <w:sz w:val="1"/>
                <w:szCs w:val="1"/>
                <w:color w:val="auto"/>
              </w:rPr>
            </w:pPr>
          </w:p>
        </w:tc>
      </w:tr>
      <w:tr>
        <w:trPr>
          <w:trHeight w:val="163"/>
        </w:trPr>
        <w:tc>
          <w:tcPr>
            <w:tcW w:w="7180" w:type="dxa"/>
            <w:vAlign w:val="bottom"/>
            <w:shd w:val="clear" w:color="auto" w:fill="CCEEFF"/>
          </w:tcPr>
          <w:p>
            <w:pPr>
              <w:ind w:left="320"/>
              <w:spacing w:after="0" w:line="163" w:lineRule="exact"/>
              <w:rPr>
                <w:sz w:val="20"/>
                <w:szCs w:val="20"/>
                <w:color w:val="auto"/>
              </w:rPr>
            </w:pPr>
            <w:r>
              <w:rPr>
                <w:rFonts w:ascii="Arial" w:cs="Arial" w:eastAsia="Arial" w:hAnsi="Arial"/>
                <w:sz w:val="17"/>
                <w:szCs w:val="17"/>
                <w:color w:val="auto"/>
                <w:w w:val="91"/>
              </w:rPr>
              <w:t>Unrealized gain (loss) on investment securities measured at fair value through other comprehensive</w:t>
            </w:r>
          </w:p>
        </w:tc>
        <w:tc>
          <w:tcPr>
            <w:tcW w:w="20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203</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(314)</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667</w:t>
            </w:r>
          </w:p>
        </w:tc>
        <w:tc>
          <w:tcPr>
            <w:tcW w:w="0" w:type="dxa"/>
            <w:vAlign w:val="bottom"/>
          </w:tcPr>
          <w:p>
            <w:pPr>
              <w:spacing w:after="0"/>
              <w:rPr>
                <w:sz w:val="1"/>
                <w:szCs w:val="1"/>
                <w:color w:val="auto"/>
              </w:rPr>
            </w:pPr>
          </w:p>
        </w:tc>
      </w:tr>
      <w:tr>
        <w:trPr>
          <w:trHeight w:val="212"/>
        </w:trPr>
        <w:tc>
          <w:tcPr>
            <w:tcW w:w="71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income (loss), net</w:t>
            </w: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7180" w:type="dxa"/>
            <w:vAlign w:val="bottom"/>
          </w:tcPr>
          <w:p>
            <w:pPr>
              <w:ind w:left="20"/>
              <w:spacing w:after="0"/>
              <w:rPr>
                <w:sz w:val="20"/>
                <w:szCs w:val="20"/>
                <w:color w:val="auto"/>
              </w:rPr>
            </w:pPr>
            <w:r>
              <w:rPr>
                <w:rFonts w:ascii="Arial" w:cs="Arial" w:eastAsia="Arial" w:hAnsi="Arial"/>
                <w:sz w:val="17"/>
                <w:szCs w:val="17"/>
                <w:b w:val="1"/>
                <w:bCs w:val="1"/>
                <w:color w:val="auto"/>
              </w:rPr>
              <w:t>Comprehensive income (loss)</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(488)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921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250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(1,036)</w:t>
            </w:r>
          </w:p>
        </w:tc>
        <w:tc>
          <w:tcPr>
            <w:tcW w:w="0" w:type="dxa"/>
            <w:vAlign w:val="bottom"/>
          </w:tcPr>
          <w:p>
            <w:pPr>
              <w:spacing w:after="0"/>
              <w:rPr>
                <w:sz w:val="1"/>
                <w:szCs w:val="1"/>
                <w:color w:val="auto"/>
              </w:rPr>
            </w:pPr>
          </w:p>
        </w:tc>
      </w:tr>
      <w:tr>
        <w:trPr>
          <w:trHeight w:val="212"/>
        </w:trPr>
        <w:tc>
          <w:tcPr>
            <w:tcW w:w="71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Dividends on preferred stock</w:t>
            </w: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0" w:type="dxa"/>
            <w:vAlign w:val="bottom"/>
          </w:tcPr>
          <w:p>
            <w:pPr>
              <w:spacing w:after="0"/>
              <w:rPr>
                <w:sz w:val="1"/>
                <w:szCs w:val="1"/>
                <w:color w:val="auto"/>
              </w:rPr>
            </w:pPr>
          </w:p>
        </w:tc>
      </w:tr>
      <w:tr>
        <w:trPr>
          <w:trHeight w:val="205"/>
        </w:trPr>
        <w:tc>
          <w:tcPr>
            <w:tcW w:w="7180" w:type="dxa"/>
            <w:vAlign w:val="bottom"/>
          </w:tcPr>
          <w:p>
            <w:pPr>
              <w:ind w:left="40"/>
              <w:spacing w:after="0"/>
              <w:rPr>
                <w:sz w:val="20"/>
                <w:szCs w:val="20"/>
                <w:color w:val="auto"/>
              </w:rPr>
            </w:pPr>
            <w:r>
              <w:rPr>
                <w:rFonts w:ascii="Arial" w:cs="Arial" w:eastAsia="Arial" w:hAnsi="Arial"/>
                <w:sz w:val="17"/>
                <w:szCs w:val="17"/>
                <w:b w:val="1"/>
                <w:bCs w:val="1"/>
                <w:color w:val="auto"/>
              </w:rPr>
              <w:t>Comprehensive income (loss) available (attributable) to common stockholders</w:t>
            </w: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(513)</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w w:val="84"/>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896</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200</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w w:val="84"/>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(1,082)</w:t>
            </w:r>
          </w:p>
        </w:tc>
        <w:tc>
          <w:tcPr>
            <w:tcW w:w="0" w:type="dxa"/>
            <w:vAlign w:val="bottom"/>
          </w:tcPr>
          <w:p>
            <w:pPr>
              <w:spacing w:after="0"/>
              <w:rPr>
                <w:sz w:val="1"/>
                <w:szCs w:val="1"/>
                <w:color w:val="auto"/>
              </w:rPr>
            </w:pPr>
          </w:p>
        </w:tc>
      </w:tr>
      <w:tr>
        <w:trPr>
          <w:trHeight w:val="20"/>
        </w:trPr>
        <w:tc>
          <w:tcPr>
            <w:tcW w:w="7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7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180" w:type="dxa"/>
            <w:vAlign w:val="bottom"/>
          </w:tcPr>
          <w:p>
            <w:pPr>
              <w:ind w:left="20"/>
              <w:spacing w:after="0"/>
              <w:rPr>
                <w:sz w:val="20"/>
                <w:szCs w:val="20"/>
                <w:color w:val="auto"/>
              </w:rPr>
            </w:pPr>
            <w:r>
              <w:rPr>
                <w:rFonts w:ascii="Arial" w:cs="Arial" w:eastAsia="Arial" w:hAnsi="Arial"/>
                <w:sz w:val="17"/>
                <w:szCs w:val="17"/>
                <w:b w:val="1"/>
                <w:bCs w:val="1"/>
                <w:color w:val="auto"/>
              </w:rPr>
              <w:t>Weighted average number of common shares outstanding - basic</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526.6</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560.3</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530.1</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554.2</w:t>
            </w:r>
          </w:p>
        </w:tc>
        <w:tc>
          <w:tcPr>
            <w:tcW w:w="0" w:type="dxa"/>
            <w:vAlign w:val="bottom"/>
          </w:tcPr>
          <w:p>
            <w:pPr>
              <w:spacing w:after="0"/>
              <w:rPr>
                <w:sz w:val="1"/>
                <w:szCs w:val="1"/>
                <w:color w:val="auto"/>
              </w:rPr>
            </w:pPr>
          </w:p>
        </w:tc>
      </w:tr>
      <w:tr>
        <w:trPr>
          <w:trHeight w:val="20"/>
        </w:trPr>
        <w:tc>
          <w:tcPr>
            <w:tcW w:w="7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Weighted average number of common shares outstanding - diluted</w:t>
            </w: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526.6</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560.8</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531.9</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554.2</w:t>
            </w:r>
          </w:p>
        </w:tc>
        <w:tc>
          <w:tcPr>
            <w:tcW w:w="0" w:type="dxa"/>
            <w:vAlign w:val="bottom"/>
          </w:tcPr>
          <w:p>
            <w:pPr>
              <w:spacing w:after="0"/>
              <w:rPr>
                <w:sz w:val="1"/>
                <w:szCs w:val="1"/>
                <w:color w:val="auto"/>
              </w:rPr>
            </w:pP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7180" w:type="dxa"/>
            <w:vAlign w:val="bottom"/>
          </w:tcPr>
          <w:p>
            <w:pPr>
              <w:ind w:left="20"/>
              <w:spacing w:after="0" w:line="183" w:lineRule="exact"/>
              <w:rPr>
                <w:sz w:val="20"/>
                <w:szCs w:val="20"/>
                <w:color w:val="auto"/>
              </w:rPr>
            </w:pPr>
            <w:r>
              <w:rPr>
                <w:rFonts w:ascii="Arial" w:cs="Arial" w:eastAsia="Arial" w:hAnsi="Arial"/>
                <w:sz w:val="17"/>
                <w:szCs w:val="17"/>
                <w:b w:val="1"/>
                <w:bCs w:val="1"/>
                <w:color w:val="auto"/>
              </w:rPr>
              <w:t>Net income (loss) per common share - basic</w:t>
            </w:r>
          </w:p>
        </w:tc>
        <w:tc>
          <w:tcPr>
            <w:tcW w:w="200" w:type="dxa"/>
            <w:vAlign w:val="bottom"/>
            <w:tcBorders>
              <w:bottom w:val="single" w:sz="8" w:color="auto"/>
            </w:tcBorders>
          </w:tcPr>
          <w:p>
            <w:pPr>
              <w:ind w:left="20"/>
              <w:spacing w:after="0" w:line="183" w:lineRule="exact"/>
              <w:rPr>
                <w:sz w:val="20"/>
                <w:szCs w:val="20"/>
                <w:color w:val="auto"/>
              </w:rPr>
            </w:pPr>
            <w:r>
              <w:rPr>
                <w:rFonts w:ascii="Arial" w:cs="Arial" w:eastAsia="Arial" w:hAnsi="Arial"/>
                <w:sz w:val="17"/>
                <w:szCs w:val="17"/>
                <w:color w:val="auto"/>
              </w:rPr>
              <w:t>$</w:t>
            </w:r>
          </w:p>
        </w:tc>
        <w:tc>
          <w:tcPr>
            <w:tcW w:w="7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(0.83)</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17"/>
              <w:spacing w:after="0" w:line="183" w:lineRule="exact"/>
              <w:rPr>
                <w:sz w:val="20"/>
                <w:szCs w:val="20"/>
                <w:color w:val="auto"/>
              </w:rPr>
            </w:pPr>
            <w:r>
              <w:rPr>
                <w:rFonts w:ascii="Arial" w:cs="Arial" w:eastAsia="Arial" w:hAnsi="Arial"/>
                <w:sz w:val="17"/>
                <w:szCs w:val="17"/>
                <w:color w:val="auto"/>
                <w:w w:val="84"/>
              </w:rPr>
              <w:t>$</w:t>
            </w:r>
          </w:p>
        </w:tc>
        <w:tc>
          <w:tcPr>
            <w:tcW w:w="7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1.24</w:t>
            </w:r>
          </w:p>
        </w:tc>
        <w:tc>
          <w:tcPr>
            <w:tcW w:w="80" w:type="dxa"/>
            <w:vAlign w:val="bottom"/>
          </w:tcPr>
          <w:p>
            <w:pPr>
              <w:spacing w:after="0"/>
              <w:rPr>
                <w:sz w:val="15"/>
                <w:szCs w:val="15"/>
                <w:color w:val="auto"/>
              </w:rPr>
            </w:pPr>
          </w:p>
        </w:tc>
        <w:tc>
          <w:tcPr>
            <w:tcW w:w="1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0.97</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37"/>
              <w:spacing w:after="0" w:line="183" w:lineRule="exact"/>
              <w:rPr>
                <w:sz w:val="20"/>
                <w:szCs w:val="20"/>
                <w:color w:val="auto"/>
              </w:rPr>
            </w:pPr>
            <w:r>
              <w:rPr>
                <w:rFonts w:ascii="Arial" w:cs="Arial" w:eastAsia="Arial" w:hAnsi="Arial"/>
                <w:sz w:val="17"/>
                <w:szCs w:val="17"/>
                <w:color w:val="auto"/>
                <w:w w:val="84"/>
              </w:rPr>
              <w:t>$</w:t>
            </w:r>
          </w:p>
        </w:tc>
        <w:tc>
          <w:tcPr>
            <w:tcW w:w="7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(3.16)</w:t>
            </w:r>
          </w:p>
        </w:tc>
        <w:tc>
          <w:tcPr>
            <w:tcW w:w="0" w:type="dxa"/>
            <w:vAlign w:val="bottom"/>
          </w:tcPr>
          <w:p>
            <w:pPr>
              <w:spacing w:after="0"/>
              <w:rPr>
                <w:sz w:val="1"/>
                <w:szCs w:val="1"/>
                <w:color w:val="auto"/>
              </w:rPr>
            </w:pPr>
          </w:p>
        </w:tc>
      </w:tr>
      <w:tr>
        <w:trPr>
          <w:trHeight w:val="20"/>
        </w:trPr>
        <w:tc>
          <w:tcPr>
            <w:tcW w:w="7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Net income (loss) per common share - diluted</w:t>
            </w: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(0.83)</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w w:val="84"/>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1.24</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0.97</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w w:val="84"/>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(3.16)</w:t>
            </w:r>
          </w:p>
        </w:tc>
        <w:tc>
          <w:tcPr>
            <w:tcW w:w="0" w:type="dxa"/>
            <w:vAlign w:val="bottom"/>
          </w:tcPr>
          <w:p>
            <w:pPr>
              <w:spacing w:after="0"/>
              <w:rPr>
                <w:sz w:val="1"/>
                <w:szCs w:val="1"/>
                <w:color w:val="auto"/>
              </w:rPr>
            </w:pP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7180" w:type="dxa"/>
            <w:vAlign w:val="bottom"/>
          </w:tcPr>
          <w:p>
            <w:pPr>
              <w:ind w:left="20"/>
              <w:spacing w:after="0" w:line="183" w:lineRule="exact"/>
              <w:rPr>
                <w:sz w:val="20"/>
                <w:szCs w:val="20"/>
                <w:color w:val="auto"/>
              </w:rPr>
            </w:pPr>
            <w:r>
              <w:rPr>
                <w:rFonts w:ascii="Arial" w:cs="Arial" w:eastAsia="Arial" w:hAnsi="Arial"/>
                <w:sz w:val="17"/>
                <w:szCs w:val="17"/>
                <w:b w:val="1"/>
                <w:bCs w:val="1"/>
                <w:color w:val="auto"/>
              </w:rPr>
              <w:t>Dividends declared per common share</w:t>
            </w:r>
          </w:p>
        </w:tc>
        <w:tc>
          <w:tcPr>
            <w:tcW w:w="200" w:type="dxa"/>
            <w:vAlign w:val="bottom"/>
            <w:tcBorders>
              <w:bottom w:val="single" w:sz="8" w:color="auto"/>
            </w:tcBorders>
          </w:tcPr>
          <w:p>
            <w:pPr>
              <w:ind w:left="20"/>
              <w:spacing w:after="0" w:line="183" w:lineRule="exact"/>
              <w:rPr>
                <w:sz w:val="20"/>
                <w:szCs w:val="20"/>
                <w:color w:val="auto"/>
              </w:rPr>
            </w:pPr>
            <w:r>
              <w:rPr>
                <w:rFonts w:ascii="Arial" w:cs="Arial" w:eastAsia="Arial" w:hAnsi="Arial"/>
                <w:sz w:val="17"/>
                <w:szCs w:val="17"/>
                <w:color w:val="auto"/>
              </w:rPr>
              <w:t>$</w:t>
            </w:r>
          </w:p>
        </w:tc>
        <w:tc>
          <w:tcPr>
            <w:tcW w:w="7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0.36</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17"/>
              <w:spacing w:after="0" w:line="183" w:lineRule="exact"/>
              <w:rPr>
                <w:sz w:val="20"/>
                <w:szCs w:val="20"/>
                <w:color w:val="auto"/>
              </w:rPr>
            </w:pPr>
            <w:r>
              <w:rPr>
                <w:rFonts w:ascii="Arial" w:cs="Arial" w:eastAsia="Arial" w:hAnsi="Arial"/>
                <w:sz w:val="17"/>
                <w:szCs w:val="17"/>
                <w:color w:val="auto"/>
                <w:w w:val="84"/>
              </w:rPr>
              <w:t>$</w:t>
            </w:r>
          </w:p>
        </w:tc>
        <w:tc>
          <w:tcPr>
            <w:tcW w:w="7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0.36</w:t>
            </w:r>
          </w:p>
        </w:tc>
        <w:tc>
          <w:tcPr>
            <w:tcW w:w="80" w:type="dxa"/>
            <w:vAlign w:val="bottom"/>
          </w:tcPr>
          <w:p>
            <w:pPr>
              <w:spacing w:after="0"/>
              <w:rPr>
                <w:sz w:val="15"/>
                <w:szCs w:val="15"/>
                <w:color w:val="auto"/>
              </w:rPr>
            </w:pPr>
          </w:p>
        </w:tc>
        <w:tc>
          <w:tcPr>
            <w:tcW w:w="1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0.72</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37"/>
              <w:spacing w:after="0" w:line="183" w:lineRule="exact"/>
              <w:rPr>
                <w:sz w:val="20"/>
                <w:szCs w:val="20"/>
                <w:color w:val="auto"/>
              </w:rPr>
            </w:pPr>
            <w:r>
              <w:rPr>
                <w:rFonts w:ascii="Arial" w:cs="Arial" w:eastAsia="Arial" w:hAnsi="Arial"/>
                <w:sz w:val="17"/>
                <w:szCs w:val="17"/>
                <w:color w:val="auto"/>
                <w:w w:val="84"/>
              </w:rPr>
              <w:t>$</w:t>
            </w:r>
          </w:p>
        </w:tc>
        <w:tc>
          <w:tcPr>
            <w:tcW w:w="7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0.84</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835" w:right="339" w:bottom="1440" w:gutter="0" w:footer="0" w:header="0"/>
        </w:sectPr>
      </w:pPr>
    </w:p>
    <w:bookmarkStart w:id="4" w:name="page5"/>
    <w:bookmarkEnd w:id="4"/>
    <w:p>
      <w:pPr>
        <w:jc w:val="center"/>
        <w:ind w:right="-259"/>
        <w:spacing w:after="0"/>
        <w:rPr>
          <w:sz w:val="20"/>
          <w:szCs w:val="20"/>
          <w:color w:val="auto"/>
        </w:rPr>
      </w:pPr>
      <w:r>
        <w:rPr>
          <w:rFonts w:ascii="Arial" w:cs="Arial" w:eastAsia="Arial" w:hAnsi="Arial"/>
          <w:sz w:val="17"/>
          <w:szCs w:val="17"/>
          <w:b w:val="1"/>
          <w:bCs w:val="1"/>
          <w:color w:val="auto"/>
        </w:rPr>
        <w:t>AGNC INVESTMENT CORP.</w:t>
      </w:r>
    </w:p>
    <w:p>
      <w:pPr>
        <w:spacing w:after="0" w:line="21" w:lineRule="exact"/>
        <w:rPr>
          <w:sz w:val="20"/>
          <w:szCs w:val="20"/>
          <w:color w:val="auto"/>
        </w:rPr>
      </w:pPr>
    </w:p>
    <w:p>
      <w:pPr>
        <w:jc w:val="center"/>
        <w:ind w:right="-259"/>
        <w:spacing w:after="0"/>
        <w:rPr>
          <w:sz w:val="20"/>
          <w:szCs w:val="20"/>
          <w:color w:val="auto"/>
        </w:rPr>
      </w:pPr>
      <w:r>
        <w:rPr>
          <w:rFonts w:ascii="Arial" w:cs="Arial" w:eastAsia="Arial" w:hAnsi="Arial"/>
          <w:sz w:val="17"/>
          <w:szCs w:val="17"/>
          <w:b w:val="1"/>
          <w:bCs w:val="1"/>
          <w:color w:val="auto"/>
        </w:rPr>
        <w:t>CONSOLIDATED STATEMENTS OF STOCKHOLDERS' EQUITY</w:t>
      </w:r>
    </w:p>
    <w:p>
      <w:pPr>
        <w:spacing w:after="0" w:line="4" w:lineRule="exact"/>
        <w:rPr>
          <w:sz w:val="20"/>
          <w:szCs w:val="20"/>
          <w:color w:val="auto"/>
        </w:rPr>
      </w:pPr>
    </w:p>
    <w:p>
      <w:pPr>
        <w:ind w:left="5200"/>
        <w:spacing w:after="0"/>
        <w:rPr>
          <w:sz w:val="20"/>
          <w:szCs w:val="20"/>
          <w:color w:val="auto"/>
        </w:rPr>
      </w:pPr>
      <w:r>
        <w:rPr>
          <w:rFonts w:ascii="Arial" w:cs="Arial" w:eastAsia="Arial" w:hAnsi="Arial"/>
          <w:sz w:val="17"/>
          <w:szCs w:val="17"/>
          <w:b w:val="1"/>
          <w:bCs w:val="1"/>
          <w:color w:val="auto"/>
        </w:rPr>
        <w:t>(Unaudited)</w:t>
      </w:r>
    </w:p>
    <w:p>
      <w:pPr>
        <w:spacing w:after="0" w:line="4" w:lineRule="exact"/>
        <w:rPr>
          <w:sz w:val="20"/>
          <w:szCs w:val="20"/>
          <w:color w:val="auto"/>
        </w:rPr>
      </w:pPr>
    </w:p>
    <w:p>
      <w:pPr>
        <w:ind w:left="5200"/>
        <w:spacing w:after="0"/>
        <w:rPr>
          <w:sz w:val="20"/>
          <w:szCs w:val="20"/>
          <w:color w:val="auto"/>
        </w:rPr>
      </w:pPr>
      <w:r>
        <w:rPr>
          <w:rFonts w:ascii="Arial" w:cs="Arial" w:eastAsia="Arial" w:hAnsi="Arial"/>
          <w:sz w:val="17"/>
          <w:szCs w:val="17"/>
          <w:b w:val="1"/>
          <w:bCs w:val="1"/>
          <w:color w:val="auto"/>
        </w:rPr>
        <w:t>(in millions)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94"/>
              </w:rPr>
              <w:t>Additional</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Accumulated</w:t>
            </w: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3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60" w:type="dxa"/>
            <w:vAlign w:val="bottom"/>
            <w:gridSpan w:val="3"/>
            <w:vMerge w:val="restart"/>
          </w:tcPr>
          <w:p>
            <w:pPr>
              <w:jc w:val="right"/>
              <w:ind w:right="233"/>
              <w:spacing w:after="0"/>
              <w:rPr>
                <w:sz w:val="20"/>
                <w:szCs w:val="20"/>
                <w:color w:val="auto"/>
              </w:rPr>
            </w:pPr>
            <w:r>
              <w:rPr>
                <w:rFonts w:ascii="Arial" w:cs="Arial" w:eastAsia="Arial" w:hAnsi="Arial"/>
                <w:sz w:val="13"/>
                <w:szCs w:val="13"/>
                <w:b w:val="1"/>
                <w:bCs w:val="1"/>
                <w:color w:val="auto"/>
              </w:rPr>
              <w:t>Common Stock</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tcPr>
          <w:p>
            <w:pPr>
              <w:jc w:val="center"/>
              <w:ind w:right="240"/>
              <w:spacing w:after="0" w:line="125" w:lineRule="exact"/>
              <w:rPr>
                <w:sz w:val="20"/>
                <w:szCs w:val="20"/>
                <w:color w:val="auto"/>
              </w:rPr>
            </w:pPr>
            <w:r>
              <w:rPr>
                <w:rFonts w:ascii="Arial" w:cs="Arial" w:eastAsia="Arial" w:hAnsi="Arial"/>
                <w:sz w:val="13"/>
                <w:szCs w:val="13"/>
                <w:b w:val="1"/>
                <w:bCs w:val="1"/>
                <w:color w:val="auto"/>
                <w:w w:val="97"/>
              </w:rPr>
              <w:t>Other</w:t>
            </w: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3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gridSpan w:val="2"/>
          </w:tcPr>
          <w:p>
            <w:pPr>
              <w:jc w:val="center"/>
              <w:ind w:right="240"/>
              <w:spacing w:after="0" w:line="95" w:lineRule="exact"/>
              <w:rPr>
                <w:sz w:val="20"/>
                <w:szCs w:val="20"/>
                <w:color w:val="auto"/>
              </w:rPr>
            </w:pPr>
            <w:r>
              <w:rPr>
                <w:rFonts w:ascii="Arial" w:cs="Arial" w:eastAsia="Arial" w:hAnsi="Arial"/>
                <w:sz w:val="11"/>
                <w:szCs w:val="11"/>
                <w:b w:val="1"/>
                <w:bCs w:val="1"/>
                <w:color w:val="auto"/>
              </w:rPr>
              <w:t>Preferred</w:t>
            </w:r>
          </w:p>
        </w:tc>
        <w:tc>
          <w:tcPr>
            <w:tcW w:w="1660" w:type="dxa"/>
            <w:vAlign w:val="bottom"/>
            <w:tcBorders>
              <w:bottom w:val="single" w:sz="8" w:color="auto"/>
            </w:tcBorders>
            <w:gridSpan w:val="3"/>
            <w:vMerge w:val="continue"/>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gridSpan w:val="2"/>
          </w:tcPr>
          <w:p>
            <w:pPr>
              <w:jc w:val="center"/>
              <w:ind w:right="200"/>
              <w:spacing w:after="0" w:line="95" w:lineRule="exact"/>
              <w:rPr>
                <w:sz w:val="20"/>
                <w:szCs w:val="20"/>
                <w:color w:val="auto"/>
              </w:rPr>
            </w:pPr>
            <w:r>
              <w:rPr>
                <w:rFonts w:ascii="Arial" w:cs="Arial" w:eastAsia="Arial" w:hAnsi="Arial"/>
                <w:sz w:val="11"/>
                <w:szCs w:val="11"/>
                <w:b w:val="1"/>
                <w:bCs w:val="1"/>
                <w:color w:val="auto"/>
              </w:rPr>
              <w:t>Paid-in</w:t>
            </w:r>
          </w:p>
        </w:tc>
        <w:tc>
          <w:tcPr>
            <w:tcW w:w="140" w:type="dxa"/>
            <w:vAlign w:val="bottom"/>
          </w:tcPr>
          <w:p>
            <w:pPr>
              <w:spacing w:after="0"/>
              <w:rPr>
                <w:sz w:val="8"/>
                <w:szCs w:val="8"/>
                <w:color w:val="auto"/>
              </w:rPr>
            </w:pPr>
          </w:p>
        </w:tc>
        <w:tc>
          <w:tcPr>
            <w:tcW w:w="860" w:type="dxa"/>
            <w:vAlign w:val="bottom"/>
            <w:gridSpan w:val="2"/>
          </w:tcPr>
          <w:p>
            <w:pPr>
              <w:jc w:val="center"/>
              <w:ind w:right="260"/>
              <w:spacing w:after="0" w:line="95" w:lineRule="exact"/>
              <w:rPr>
                <w:sz w:val="20"/>
                <w:szCs w:val="20"/>
                <w:color w:val="auto"/>
              </w:rPr>
            </w:pPr>
            <w:r>
              <w:rPr>
                <w:rFonts w:ascii="Arial" w:cs="Arial" w:eastAsia="Arial" w:hAnsi="Arial"/>
                <w:sz w:val="11"/>
                <w:szCs w:val="11"/>
                <w:b w:val="1"/>
                <w:bCs w:val="1"/>
                <w:color w:val="auto"/>
              </w:rPr>
              <w:t>Retained</w:t>
            </w:r>
          </w:p>
        </w:tc>
        <w:tc>
          <w:tcPr>
            <w:tcW w:w="120" w:type="dxa"/>
            <w:vAlign w:val="bottom"/>
          </w:tcPr>
          <w:p>
            <w:pPr>
              <w:spacing w:after="0"/>
              <w:rPr>
                <w:sz w:val="8"/>
                <w:szCs w:val="8"/>
                <w:color w:val="auto"/>
              </w:rPr>
            </w:pPr>
          </w:p>
        </w:tc>
        <w:tc>
          <w:tcPr>
            <w:tcW w:w="1220" w:type="dxa"/>
            <w:vAlign w:val="bottom"/>
            <w:gridSpan w:val="2"/>
          </w:tcPr>
          <w:p>
            <w:pPr>
              <w:jc w:val="center"/>
              <w:ind w:right="240"/>
              <w:spacing w:after="0" w:line="95" w:lineRule="exact"/>
              <w:rPr>
                <w:sz w:val="20"/>
                <w:szCs w:val="20"/>
                <w:color w:val="auto"/>
              </w:rPr>
            </w:pPr>
            <w:r>
              <w:rPr>
                <w:rFonts w:ascii="Arial" w:cs="Arial" w:eastAsia="Arial" w:hAnsi="Arial"/>
                <w:sz w:val="11"/>
                <w:szCs w:val="11"/>
                <w:b w:val="1"/>
                <w:bCs w:val="1"/>
                <w:color w:val="auto"/>
              </w:rPr>
              <w:t>Comprehensive</w:t>
            </w: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4"/>
        </w:trPr>
        <w:tc>
          <w:tcPr>
            <w:tcW w:w="3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Stock</w:t>
            </w:r>
          </w:p>
        </w:tc>
        <w:tc>
          <w:tcPr>
            <w:tcW w:w="980" w:type="dxa"/>
            <w:vAlign w:val="bottom"/>
            <w:gridSpan w:val="2"/>
          </w:tcPr>
          <w:p>
            <w:pPr>
              <w:ind w:left="240"/>
              <w:spacing w:after="0"/>
              <w:rPr>
                <w:sz w:val="20"/>
                <w:szCs w:val="20"/>
                <w:color w:val="auto"/>
              </w:rPr>
            </w:pPr>
            <w:r>
              <w:rPr>
                <w:rFonts w:ascii="Arial" w:cs="Arial" w:eastAsia="Arial" w:hAnsi="Arial"/>
                <w:sz w:val="13"/>
                <w:szCs w:val="13"/>
                <w:b w:val="1"/>
                <w:bCs w:val="1"/>
                <w:color w:val="auto"/>
              </w:rPr>
              <w:t>Shares</w:t>
            </w:r>
          </w:p>
        </w:tc>
        <w:tc>
          <w:tcPr>
            <w:tcW w:w="680" w:type="dxa"/>
            <w:vAlign w:val="bottom"/>
          </w:tcPr>
          <w:p>
            <w:pPr>
              <w:jc w:val="right"/>
              <w:spacing w:after="0"/>
              <w:rPr>
                <w:sz w:val="20"/>
                <w:szCs w:val="20"/>
                <w:color w:val="auto"/>
              </w:rPr>
            </w:pPr>
            <w:r>
              <w:rPr>
                <w:rFonts w:ascii="Arial" w:cs="Arial" w:eastAsia="Arial" w:hAnsi="Arial"/>
                <w:sz w:val="13"/>
                <w:szCs w:val="13"/>
                <w:b w:val="1"/>
                <w:bCs w:val="1"/>
                <w:color w:val="auto"/>
              </w:rPr>
              <w:t>Amount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6"/>
              </w:rPr>
              <w:t>Capital</w:t>
            </w:r>
          </w:p>
        </w:tc>
        <w:tc>
          <w:tcPr>
            <w:tcW w:w="140" w:type="dxa"/>
            <w:vAlign w:val="bottom"/>
          </w:tcPr>
          <w:p>
            <w:pPr>
              <w:spacing w:after="0"/>
              <w:rPr>
                <w:sz w:val="15"/>
                <w:szCs w:val="15"/>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Deficit</w:t>
            </w:r>
          </w:p>
        </w:tc>
        <w:tc>
          <w:tcPr>
            <w:tcW w:w="120" w:type="dxa"/>
            <w:vAlign w:val="bottom"/>
          </w:tcPr>
          <w:p>
            <w:pPr>
              <w:spacing w:after="0"/>
              <w:rPr>
                <w:sz w:val="15"/>
                <w:szCs w:val="15"/>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0"/>
              </w:rPr>
              <w:t>Income (Loss)</w:t>
            </w:r>
          </w:p>
        </w:tc>
        <w:tc>
          <w:tcPr>
            <w:tcW w:w="180" w:type="dxa"/>
            <w:vAlign w:val="bottom"/>
          </w:tcPr>
          <w:p>
            <w:pPr>
              <w:spacing w:after="0"/>
              <w:rPr>
                <w:sz w:val="15"/>
                <w:szCs w:val="15"/>
                <w:color w:val="auto"/>
              </w:rPr>
            </w:pPr>
          </w:p>
        </w:tc>
        <w:tc>
          <w:tcPr>
            <w:tcW w:w="720" w:type="dxa"/>
            <w:vAlign w:val="bottom"/>
          </w:tcPr>
          <w:p>
            <w:pPr>
              <w:jc w:val="right"/>
              <w:ind w:right="253"/>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6"/>
        </w:trPr>
        <w:tc>
          <w:tcPr>
            <w:tcW w:w="37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Balance, March 31, 2020</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1,489</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567.7</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533"/>
              <w:spacing w:after="0"/>
              <w:rPr>
                <w:sz w:val="20"/>
                <w:szCs w:val="20"/>
                <w:color w:val="auto"/>
              </w:rPr>
            </w:pPr>
            <w:r>
              <w:rPr>
                <w:rFonts w:ascii="Arial" w:cs="Arial" w:eastAsia="Arial" w:hAnsi="Arial"/>
                <w:sz w:val="13"/>
                <w:szCs w:val="13"/>
                <w:color w:val="auto"/>
                <w:w w:val="82"/>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14,334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(6,592)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561</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9,798</w:t>
            </w:r>
          </w:p>
        </w:tc>
        <w:tc>
          <w:tcPr>
            <w:tcW w:w="0" w:type="dxa"/>
            <w:vAlign w:val="bottom"/>
          </w:tcPr>
          <w:p>
            <w:pPr>
              <w:spacing w:after="0"/>
              <w:rPr>
                <w:sz w:val="1"/>
                <w:szCs w:val="1"/>
                <w:color w:val="auto"/>
              </w:rPr>
            </w:pPr>
          </w:p>
        </w:tc>
      </w:tr>
      <w:tr>
        <w:trPr>
          <w:trHeight w:val="172"/>
        </w:trPr>
        <w:tc>
          <w:tcPr>
            <w:tcW w:w="3780" w:type="dxa"/>
            <w:vAlign w:val="bottom"/>
          </w:tcPr>
          <w:p>
            <w:pPr>
              <w:ind w:left="220"/>
              <w:spacing w:after="0"/>
              <w:rPr>
                <w:sz w:val="20"/>
                <w:szCs w:val="20"/>
                <w:color w:val="auto"/>
              </w:rPr>
            </w:pPr>
            <w:r>
              <w:rPr>
                <w:rFonts w:ascii="Arial" w:cs="Arial" w:eastAsia="Arial" w:hAnsi="Arial"/>
                <w:sz w:val="13"/>
                <w:szCs w:val="13"/>
                <w:color w:val="auto"/>
              </w:rPr>
              <w:t>Net income</w:t>
            </w:r>
          </w:p>
        </w:tc>
        <w:tc>
          <w:tcPr>
            <w:tcW w:w="1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718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718</w:t>
            </w:r>
          </w:p>
        </w:tc>
        <w:tc>
          <w:tcPr>
            <w:tcW w:w="0" w:type="dxa"/>
            <w:vAlign w:val="bottom"/>
          </w:tcPr>
          <w:p>
            <w:pPr>
              <w:spacing w:after="0"/>
              <w:rPr>
                <w:sz w:val="1"/>
                <w:szCs w:val="1"/>
                <w:color w:val="auto"/>
              </w:rPr>
            </w:pPr>
          </w:p>
        </w:tc>
      </w:tr>
      <w:tr>
        <w:trPr>
          <w:trHeight w:val="178"/>
        </w:trPr>
        <w:tc>
          <w:tcPr>
            <w:tcW w:w="37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Other comprehensive income:</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3780" w:type="dxa"/>
            <w:vAlign w:val="bottom"/>
          </w:tcPr>
          <w:p>
            <w:pPr>
              <w:ind w:left="320"/>
              <w:spacing w:after="0"/>
              <w:rPr>
                <w:sz w:val="20"/>
                <w:szCs w:val="20"/>
                <w:color w:val="auto"/>
              </w:rPr>
            </w:pPr>
            <w:r>
              <w:rPr>
                <w:rFonts w:ascii="Arial" w:cs="Arial" w:eastAsia="Arial" w:hAnsi="Arial"/>
                <w:sz w:val="13"/>
                <w:szCs w:val="13"/>
                <w:color w:val="auto"/>
              </w:rPr>
              <w:t>Unrealized gain on available-for-sale securities, net</w:t>
            </w:r>
          </w:p>
        </w:tc>
        <w:tc>
          <w:tcPr>
            <w:tcW w:w="1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203</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203</w:t>
            </w:r>
          </w:p>
        </w:tc>
        <w:tc>
          <w:tcPr>
            <w:tcW w:w="0" w:type="dxa"/>
            <w:vAlign w:val="bottom"/>
          </w:tcPr>
          <w:p>
            <w:pPr>
              <w:spacing w:after="0"/>
              <w:rPr>
                <w:sz w:val="1"/>
                <w:szCs w:val="1"/>
                <w:color w:val="auto"/>
              </w:rPr>
            </w:pPr>
          </w:p>
        </w:tc>
      </w:tr>
      <w:tr>
        <w:trPr>
          <w:trHeight w:val="178"/>
        </w:trPr>
        <w:tc>
          <w:tcPr>
            <w:tcW w:w="37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Stock-based compensation, net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72"/>
        </w:trPr>
        <w:tc>
          <w:tcPr>
            <w:tcW w:w="3780" w:type="dxa"/>
            <w:vAlign w:val="bottom"/>
          </w:tcPr>
          <w:p>
            <w:pPr>
              <w:ind w:left="220"/>
              <w:spacing w:after="0"/>
              <w:rPr>
                <w:sz w:val="20"/>
                <w:szCs w:val="20"/>
                <w:color w:val="auto"/>
              </w:rPr>
            </w:pPr>
            <w:r>
              <w:rPr>
                <w:rFonts w:ascii="Arial" w:cs="Arial" w:eastAsia="Arial" w:hAnsi="Arial"/>
                <w:sz w:val="13"/>
                <w:szCs w:val="13"/>
                <w:color w:val="auto"/>
              </w:rPr>
              <w:t>Repurchase of common stock</w:t>
            </w:r>
          </w:p>
        </w:tc>
        <w:tc>
          <w:tcPr>
            <w:tcW w:w="1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(12.2)</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(147)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(147)</w:t>
            </w:r>
          </w:p>
        </w:tc>
        <w:tc>
          <w:tcPr>
            <w:tcW w:w="0" w:type="dxa"/>
            <w:vAlign w:val="bottom"/>
          </w:tcPr>
          <w:p>
            <w:pPr>
              <w:spacing w:after="0"/>
              <w:rPr>
                <w:sz w:val="1"/>
                <w:szCs w:val="1"/>
                <w:color w:val="auto"/>
              </w:rPr>
            </w:pPr>
          </w:p>
        </w:tc>
      </w:tr>
      <w:tr>
        <w:trPr>
          <w:trHeight w:val="178"/>
        </w:trPr>
        <w:tc>
          <w:tcPr>
            <w:tcW w:w="37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Preferred dividends declared</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0" w:type="dxa"/>
            <w:vAlign w:val="bottom"/>
          </w:tcPr>
          <w:p>
            <w:pPr>
              <w:spacing w:after="0"/>
              <w:rPr>
                <w:sz w:val="1"/>
                <w:szCs w:val="1"/>
                <w:color w:val="auto"/>
              </w:rPr>
            </w:pPr>
          </w:p>
        </w:tc>
      </w:tr>
      <w:tr>
        <w:trPr>
          <w:trHeight w:val="172"/>
        </w:trPr>
        <w:tc>
          <w:tcPr>
            <w:tcW w:w="3780" w:type="dxa"/>
            <w:vAlign w:val="bottom"/>
          </w:tcPr>
          <w:p>
            <w:pPr>
              <w:ind w:left="220"/>
              <w:spacing w:after="0"/>
              <w:rPr>
                <w:sz w:val="20"/>
                <w:szCs w:val="20"/>
                <w:color w:val="auto"/>
              </w:rPr>
            </w:pPr>
            <w:r>
              <w:rPr>
                <w:rFonts w:ascii="Arial" w:cs="Arial" w:eastAsia="Arial" w:hAnsi="Arial"/>
                <w:sz w:val="13"/>
                <w:szCs w:val="13"/>
                <w:color w:val="auto"/>
              </w:rPr>
              <w:t>Common dividends declared</w:t>
            </w:r>
          </w:p>
        </w:tc>
        <w:tc>
          <w:tcPr>
            <w:tcW w:w="1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(201)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(201)</w:t>
            </w:r>
          </w:p>
        </w:tc>
        <w:tc>
          <w:tcPr>
            <w:tcW w:w="0" w:type="dxa"/>
            <w:vAlign w:val="bottom"/>
          </w:tcPr>
          <w:p>
            <w:pPr>
              <w:spacing w:after="0"/>
              <w:rPr>
                <w:sz w:val="1"/>
                <w:szCs w:val="1"/>
                <w:color w:val="auto"/>
              </w:rPr>
            </w:pPr>
          </w:p>
        </w:tc>
      </w:tr>
      <w:tr>
        <w:trPr>
          <w:trHeight w:val="196"/>
        </w:trPr>
        <w:tc>
          <w:tcPr>
            <w:tcW w:w="3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June 30, 2020</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1,489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555.5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680" w:type="dxa"/>
            <w:vAlign w:val="bottom"/>
            <w:tcBorders>
              <w:top w:val="single" w:sz="8" w:color="auto"/>
              <w:bottom w:val="single" w:sz="8" w:color="auto"/>
            </w:tcBorders>
            <w:shd w:val="clear" w:color="auto" w:fill="CCEEFF"/>
          </w:tcPr>
          <w:p>
            <w:pPr>
              <w:jc w:val="right"/>
              <w:ind w:right="533"/>
              <w:spacing w:after="0"/>
              <w:rPr>
                <w:sz w:val="20"/>
                <w:szCs w:val="20"/>
                <w:color w:val="auto"/>
              </w:rPr>
            </w:pPr>
            <w:r>
              <w:rPr>
                <w:rFonts w:ascii="Arial" w:cs="Arial" w:eastAsia="Arial" w:hAnsi="Arial"/>
                <w:sz w:val="13"/>
                <w:szCs w:val="13"/>
                <w:color w:val="auto"/>
                <w:w w:val="82"/>
              </w:rPr>
              <w:t>$</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14,191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(6,100)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764</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10,350</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7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Balance, March 31, 2021</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1,489</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524.9</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533"/>
              <w:spacing w:after="0"/>
              <w:rPr>
                <w:sz w:val="20"/>
                <w:szCs w:val="20"/>
                <w:color w:val="auto"/>
              </w:rPr>
            </w:pPr>
            <w:r>
              <w:rPr>
                <w:rFonts w:ascii="Arial" w:cs="Arial" w:eastAsia="Arial" w:hAnsi="Arial"/>
                <w:sz w:val="13"/>
                <w:szCs w:val="13"/>
                <w:color w:val="auto"/>
                <w:w w:val="82"/>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13,736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(4,348)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482</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11,364</w:t>
            </w:r>
          </w:p>
        </w:tc>
        <w:tc>
          <w:tcPr>
            <w:tcW w:w="0" w:type="dxa"/>
            <w:vAlign w:val="bottom"/>
          </w:tcPr>
          <w:p>
            <w:pPr>
              <w:spacing w:after="0"/>
              <w:rPr>
                <w:sz w:val="1"/>
                <w:szCs w:val="1"/>
                <w:color w:val="auto"/>
              </w:rPr>
            </w:pPr>
          </w:p>
        </w:tc>
      </w:tr>
      <w:tr>
        <w:trPr>
          <w:trHeight w:val="172"/>
        </w:trPr>
        <w:tc>
          <w:tcPr>
            <w:tcW w:w="3780" w:type="dxa"/>
            <w:vAlign w:val="bottom"/>
          </w:tcPr>
          <w:p>
            <w:pPr>
              <w:ind w:left="220"/>
              <w:spacing w:after="0"/>
              <w:rPr>
                <w:sz w:val="20"/>
                <w:szCs w:val="20"/>
                <w:color w:val="auto"/>
              </w:rPr>
            </w:pPr>
            <w:r>
              <w:rPr>
                <w:rFonts w:ascii="Arial" w:cs="Arial" w:eastAsia="Arial" w:hAnsi="Arial"/>
                <w:sz w:val="13"/>
                <w:szCs w:val="13"/>
                <w:color w:val="auto"/>
              </w:rPr>
              <w:t>Net loss</w:t>
            </w:r>
          </w:p>
        </w:tc>
        <w:tc>
          <w:tcPr>
            <w:tcW w:w="1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(411)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(411)</w:t>
            </w:r>
          </w:p>
        </w:tc>
        <w:tc>
          <w:tcPr>
            <w:tcW w:w="0" w:type="dxa"/>
            <w:vAlign w:val="bottom"/>
          </w:tcPr>
          <w:p>
            <w:pPr>
              <w:spacing w:after="0"/>
              <w:rPr>
                <w:sz w:val="1"/>
                <w:szCs w:val="1"/>
                <w:color w:val="auto"/>
              </w:rPr>
            </w:pPr>
          </w:p>
        </w:tc>
      </w:tr>
      <w:tr>
        <w:trPr>
          <w:trHeight w:val="178"/>
        </w:trPr>
        <w:tc>
          <w:tcPr>
            <w:tcW w:w="37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Other comprehensive loss:</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3780" w:type="dxa"/>
            <w:vAlign w:val="bottom"/>
          </w:tcPr>
          <w:p>
            <w:pPr>
              <w:ind w:left="320"/>
              <w:spacing w:after="0"/>
              <w:rPr>
                <w:sz w:val="20"/>
                <w:szCs w:val="20"/>
                <w:color w:val="auto"/>
              </w:rPr>
            </w:pPr>
            <w:r>
              <w:rPr>
                <w:rFonts w:ascii="Arial" w:cs="Arial" w:eastAsia="Arial" w:hAnsi="Arial"/>
                <w:sz w:val="13"/>
                <w:szCs w:val="13"/>
                <w:color w:val="auto"/>
              </w:rPr>
              <w:t>Unrealized loss on available-for-sale securities, net</w:t>
            </w:r>
          </w:p>
        </w:tc>
        <w:tc>
          <w:tcPr>
            <w:tcW w:w="1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(77)</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(77)</w:t>
            </w:r>
          </w:p>
        </w:tc>
        <w:tc>
          <w:tcPr>
            <w:tcW w:w="0" w:type="dxa"/>
            <w:vAlign w:val="bottom"/>
          </w:tcPr>
          <w:p>
            <w:pPr>
              <w:spacing w:after="0"/>
              <w:rPr>
                <w:sz w:val="1"/>
                <w:szCs w:val="1"/>
                <w:color w:val="auto"/>
              </w:rPr>
            </w:pPr>
          </w:p>
        </w:tc>
      </w:tr>
      <w:tr>
        <w:trPr>
          <w:trHeight w:val="178"/>
        </w:trPr>
        <w:tc>
          <w:tcPr>
            <w:tcW w:w="37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Stock-based compensation, net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72"/>
        </w:trPr>
        <w:tc>
          <w:tcPr>
            <w:tcW w:w="3780" w:type="dxa"/>
            <w:vAlign w:val="bottom"/>
          </w:tcPr>
          <w:p>
            <w:pPr>
              <w:ind w:left="220"/>
              <w:spacing w:after="0"/>
              <w:rPr>
                <w:sz w:val="20"/>
                <w:szCs w:val="20"/>
                <w:color w:val="auto"/>
              </w:rPr>
            </w:pPr>
            <w:r>
              <w:rPr>
                <w:rFonts w:ascii="Arial" w:cs="Arial" w:eastAsia="Arial" w:hAnsi="Arial"/>
                <w:sz w:val="13"/>
                <w:szCs w:val="13"/>
                <w:color w:val="auto"/>
              </w:rPr>
              <w:t>Preferred dividends declared</w:t>
            </w:r>
          </w:p>
        </w:tc>
        <w:tc>
          <w:tcPr>
            <w:tcW w:w="1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(25)</w:t>
            </w:r>
          </w:p>
        </w:tc>
        <w:tc>
          <w:tcPr>
            <w:tcW w:w="0" w:type="dxa"/>
            <w:vAlign w:val="bottom"/>
          </w:tcPr>
          <w:p>
            <w:pPr>
              <w:spacing w:after="0"/>
              <w:rPr>
                <w:sz w:val="1"/>
                <w:szCs w:val="1"/>
                <w:color w:val="auto"/>
              </w:rPr>
            </w:pPr>
          </w:p>
        </w:tc>
      </w:tr>
      <w:tr>
        <w:trPr>
          <w:trHeight w:val="175"/>
        </w:trPr>
        <w:tc>
          <w:tcPr>
            <w:tcW w:w="37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Common dividends declared</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(188)</w:t>
            </w:r>
          </w:p>
        </w:tc>
        <w:tc>
          <w:tcPr>
            <w:tcW w:w="0" w:type="dxa"/>
            <w:vAlign w:val="bottom"/>
          </w:tcPr>
          <w:p>
            <w:pPr>
              <w:spacing w:after="0"/>
              <w:rPr>
                <w:sz w:val="1"/>
                <w:szCs w:val="1"/>
                <w:color w:val="auto"/>
              </w:rPr>
            </w:pPr>
          </w:p>
        </w:tc>
      </w:tr>
      <w:tr>
        <w:trPr>
          <w:trHeight w:val="171"/>
        </w:trPr>
        <w:tc>
          <w:tcPr>
            <w:tcW w:w="3780" w:type="dxa"/>
            <w:vAlign w:val="bottom"/>
          </w:tcPr>
          <w:p>
            <w:pPr>
              <w:ind w:left="20"/>
              <w:spacing w:after="0"/>
              <w:rPr>
                <w:sz w:val="20"/>
                <w:szCs w:val="20"/>
                <w:color w:val="auto"/>
              </w:rPr>
            </w:pPr>
            <w:r>
              <w:rPr>
                <w:rFonts w:ascii="Arial" w:cs="Arial" w:eastAsia="Arial" w:hAnsi="Arial"/>
                <w:sz w:val="13"/>
                <w:szCs w:val="13"/>
                <w:b w:val="1"/>
                <w:bCs w:val="1"/>
                <w:color w:val="auto"/>
              </w:rPr>
              <w:t>Balance, June 30, 2021</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1,489</w:t>
            </w:r>
          </w:p>
        </w:tc>
        <w:tc>
          <w:tcPr>
            <w:tcW w:w="100" w:type="dxa"/>
            <w:vAlign w:val="bottom"/>
          </w:tcPr>
          <w:p>
            <w:pPr>
              <w:spacing w:after="0"/>
              <w:rPr>
                <w:sz w:val="14"/>
                <w:szCs w:val="1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524.9</w:t>
            </w:r>
          </w:p>
        </w:tc>
        <w:tc>
          <w:tcPr>
            <w:tcW w:w="100" w:type="dxa"/>
            <w:vAlign w:val="bottom"/>
          </w:tcPr>
          <w:p>
            <w:pPr>
              <w:spacing w:after="0"/>
              <w:rPr>
                <w:sz w:val="14"/>
                <w:szCs w:val="14"/>
                <w:color w:val="auto"/>
              </w:rPr>
            </w:pPr>
          </w:p>
        </w:tc>
        <w:tc>
          <w:tcPr>
            <w:tcW w:w="68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3"/>
                <w:szCs w:val="13"/>
                <w:color w:val="auto"/>
                <w:w w:val="82"/>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13,741</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(4,972)</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405</w:t>
            </w:r>
          </w:p>
        </w:tc>
        <w:tc>
          <w:tcPr>
            <w:tcW w:w="14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10,668</w:t>
            </w:r>
          </w:p>
        </w:tc>
        <w:tc>
          <w:tcPr>
            <w:tcW w:w="0" w:type="dxa"/>
            <w:vAlign w:val="bottom"/>
          </w:tcPr>
          <w:p>
            <w:pPr>
              <w:spacing w:after="0"/>
              <w:rPr>
                <w:sz w:val="1"/>
                <w:szCs w:val="1"/>
                <w:color w:val="auto"/>
              </w:rPr>
            </w:pPr>
          </w:p>
        </w:tc>
      </w:tr>
      <w:tr>
        <w:trPr>
          <w:trHeight w:val="20"/>
        </w:trPr>
        <w:tc>
          <w:tcPr>
            <w:tcW w:w="37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3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3780" w:type="dxa"/>
            <w:vAlign w:val="bottom"/>
          </w:tcPr>
          <w:p>
            <w:pPr>
              <w:ind w:left="20"/>
              <w:spacing w:after="0"/>
              <w:rPr>
                <w:sz w:val="20"/>
                <w:szCs w:val="20"/>
                <w:color w:val="auto"/>
              </w:rPr>
            </w:pPr>
            <w:r>
              <w:rPr>
                <w:rFonts w:ascii="Arial" w:cs="Arial" w:eastAsia="Arial" w:hAnsi="Arial"/>
                <w:sz w:val="13"/>
                <w:szCs w:val="13"/>
                <w:b w:val="1"/>
                <w:bCs w:val="1"/>
                <w:color w:val="auto"/>
              </w:rPr>
              <w:t>Balance, December 31, 2019</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932</w:t>
            </w: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540.9</w:t>
            </w:r>
          </w:p>
        </w:tc>
        <w:tc>
          <w:tcPr>
            <w:tcW w:w="100" w:type="dxa"/>
            <w:vAlign w:val="bottom"/>
          </w:tcPr>
          <w:p>
            <w:pPr>
              <w:spacing w:after="0"/>
              <w:rPr>
                <w:sz w:val="15"/>
                <w:szCs w:val="15"/>
                <w:color w:val="auto"/>
              </w:rPr>
            </w:pPr>
          </w:p>
        </w:tc>
        <w:tc>
          <w:tcPr>
            <w:tcW w:w="680" w:type="dxa"/>
            <w:vAlign w:val="bottom"/>
          </w:tcPr>
          <w:p>
            <w:pPr>
              <w:jc w:val="right"/>
              <w:ind w:right="533"/>
              <w:spacing w:after="0"/>
              <w:rPr>
                <w:sz w:val="20"/>
                <w:szCs w:val="20"/>
                <w:color w:val="auto"/>
              </w:rPr>
            </w:pPr>
            <w:r>
              <w:rPr>
                <w:rFonts w:ascii="Arial" w:cs="Arial" w:eastAsia="Arial" w:hAnsi="Arial"/>
                <w:sz w:val="13"/>
                <w:szCs w:val="13"/>
                <w:color w:val="auto"/>
                <w:w w:val="82"/>
              </w:rPr>
              <w:t>$</w:t>
            </w:r>
          </w:p>
        </w:tc>
        <w:tc>
          <w:tcPr>
            <w:tcW w:w="200" w:type="dxa"/>
            <w:vAlign w:val="bottom"/>
          </w:tcPr>
          <w:p>
            <w:pPr>
              <w:jc w:val="right"/>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13,893</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(3,886)</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97</w:t>
            </w:r>
          </w:p>
        </w:tc>
        <w:tc>
          <w:tcPr>
            <w:tcW w:w="140" w:type="dxa"/>
            <w:vAlign w:val="bottom"/>
          </w:tcPr>
          <w:p>
            <w:pPr>
              <w:spacing w:after="0"/>
              <w:rPr>
                <w:sz w:val="15"/>
                <w:szCs w:val="15"/>
                <w:color w:val="auto"/>
              </w:rPr>
            </w:pPr>
          </w:p>
        </w:tc>
        <w:tc>
          <w:tcPr>
            <w:tcW w:w="180" w:type="dxa"/>
            <w:vAlign w:val="bottom"/>
          </w:tcPr>
          <w:p>
            <w:pPr>
              <w:jc w:val="right"/>
              <w:ind w:right="33"/>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11,041</w:t>
            </w:r>
          </w:p>
        </w:tc>
        <w:tc>
          <w:tcPr>
            <w:tcW w:w="0" w:type="dxa"/>
            <w:vAlign w:val="bottom"/>
          </w:tcPr>
          <w:p>
            <w:pPr>
              <w:spacing w:after="0"/>
              <w:rPr>
                <w:sz w:val="1"/>
                <w:szCs w:val="1"/>
                <w:color w:val="auto"/>
              </w:rPr>
            </w:pPr>
          </w:p>
        </w:tc>
      </w:tr>
      <w:tr>
        <w:trPr>
          <w:trHeight w:val="176"/>
        </w:trPr>
        <w:tc>
          <w:tcPr>
            <w:tcW w:w="37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Net loss</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(1,703)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(1,703)</w:t>
            </w:r>
          </w:p>
        </w:tc>
        <w:tc>
          <w:tcPr>
            <w:tcW w:w="0" w:type="dxa"/>
            <w:vAlign w:val="bottom"/>
          </w:tcPr>
          <w:p>
            <w:pPr>
              <w:spacing w:after="0"/>
              <w:rPr>
                <w:sz w:val="1"/>
                <w:szCs w:val="1"/>
                <w:color w:val="auto"/>
              </w:rPr>
            </w:pPr>
          </w:p>
        </w:tc>
      </w:tr>
      <w:tr>
        <w:trPr>
          <w:trHeight w:val="172"/>
        </w:trPr>
        <w:tc>
          <w:tcPr>
            <w:tcW w:w="3780" w:type="dxa"/>
            <w:vAlign w:val="bottom"/>
          </w:tcPr>
          <w:p>
            <w:pPr>
              <w:ind w:left="220"/>
              <w:spacing w:after="0"/>
              <w:rPr>
                <w:sz w:val="20"/>
                <w:szCs w:val="20"/>
                <w:color w:val="auto"/>
              </w:rPr>
            </w:pPr>
            <w:r>
              <w:rPr>
                <w:rFonts w:ascii="Arial" w:cs="Arial" w:eastAsia="Arial" w:hAnsi="Arial"/>
                <w:sz w:val="13"/>
                <w:szCs w:val="13"/>
                <w:color w:val="auto"/>
              </w:rPr>
              <w:t>Other comprehensive income:</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3780" w:type="dxa"/>
            <w:vAlign w:val="bottom"/>
            <w:shd w:val="clear" w:color="auto" w:fill="CCEEFF"/>
          </w:tcPr>
          <w:p>
            <w:pPr>
              <w:ind w:left="320"/>
              <w:spacing w:after="0"/>
              <w:rPr>
                <w:sz w:val="20"/>
                <w:szCs w:val="20"/>
                <w:color w:val="auto"/>
              </w:rPr>
            </w:pPr>
            <w:r>
              <w:rPr>
                <w:rFonts w:ascii="Arial" w:cs="Arial" w:eastAsia="Arial" w:hAnsi="Arial"/>
                <w:sz w:val="13"/>
                <w:szCs w:val="13"/>
                <w:color w:val="auto"/>
              </w:rPr>
              <w:t>Unrealized gain on available-for-sale securities, net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667</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667</w:t>
            </w:r>
          </w:p>
        </w:tc>
        <w:tc>
          <w:tcPr>
            <w:tcW w:w="0" w:type="dxa"/>
            <w:vAlign w:val="bottom"/>
          </w:tcPr>
          <w:p>
            <w:pPr>
              <w:spacing w:after="0"/>
              <w:rPr>
                <w:sz w:val="1"/>
                <w:szCs w:val="1"/>
                <w:color w:val="auto"/>
              </w:rPr>
            </w:pPr>
          </w:p>
        </w:tc>
      </w:tr>
      <w:tr>
        <w:trPr>
          <w:trHeight w:val="172"/>
        </w:trPr>
        <w:tc>
          <w:tcPr>
            <w:tcW w:w="3780" w:type="dxa"/>
            <w:vAlign w:val="bottom"/>
          </w:tcPr>
          <w:p>
            <w:pPr>
              <w:ind w:left="220"/>
              <w:spacing w:after="0"/>
              <w:rPr>
                <w:sz w:val="20"/>
                <w:szCs w:val="20"/>
                <w:color w:val="auto"/>
              </w:rPr>
            </w:pPr>
            <w:r>
              <w:rPr>
                <w:rFonts w:ascii="Arial" w:cs="Arial" w:eastAsia="Arial" w:hAnsi="Arial"/>
                <w:sz w:val="13"/>
                <w:szCs w:val="13"/>
                <w:color w:val="auto"/>
              </w:rPr>
              <w:t>Stock-based compensation, net</w:t>
            </w:r>
          </w:p>
        </w:tc>
        <w:tc>
          <w:tcPr>
            <w:tcW w:w="1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0.1</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78"/>
        </w:trPr>
        <w:tc>
          <w:tcPr>
            <w:tcW w:w="37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Issuance of preferred stock, net of offering cost</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557</w:t>
            </w: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557</w:t>
            </w:r>
          </w:p>
        </w:tc>
        <w:tc>
          <w:tcPr>
            <w:tcW w:w="0" w:type="dxa"/>
            <w:vAlign w:val="bottom"/>
          </w:tcPr>
          <w:p>
            <w:pPr>
              <w:spacing w:after="0"/>
              <w:rPr>
                <w:sz w:val="1"/>
                <w:szCs w:val="1"/>
                <w:color w:val="auto"/>
              </w:rPr>
            </w:pPr>
          </w:p>
        </w:tc>
      </w:tr>
      <w:tr>
        <w:trPr>
          <w:trHeight w:val="172"/>
        </w:trPr>
        <w:tc>
          <w:tcPr>
            <w:tcW w:w="3780" w:type="dxa"/>
            <w:vAlign w:val="bottom"/>
          </w:tcPr>
          <w:p>
            <w:pPr>
              <w:ind w:left="220"/>
              <w:spacing w:after="0"/>
              <w:rPr>
                <w:sz w:val="20"/>
                <w:szCs w:val="20"/>
                <w:color w:val="auto"/>
              </w:rPr>
            </w:pPr>
            <w:r>
              <w:rPr>
                <w:rFonts w:ascii="Arial" w:cs="Arial" w:eastAsia="Arial" w:hAnsi="Arial"/>
                <w:sz w:val="13"/>
                <w:szCs w:val="13"/>
                <w:color w:val="auto"/>
              </w:rPr>
              <w:t>Issuance of common stock, net of offering cost</w:t>
            </w:r>
          </w:p>
        </w:tc>
        <w:tc>
          <w:tcPr>
            <w:tcW w:w="1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26.7</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438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439</w:t>
            </w:r>
          </w:p>
        </w:tc>
        <w:tc>
          <w:tcPr>
            <w:tcW w:w="0" w:type="dxa"/>
            <w:vAlign w:val="bottom"/>
          </w:tcPr>
          <w:p>
            <w:pPr>
              <w:spacing w:after="0"/>
              <w:rPr>
                <w:sz w:val="1"/>
                <w:szCs w:val="1"/>
                <w:color w:val="auto"/>
              </w:rPr>
            </w:pPr>
          </w:p>
        </w:tc>
      </w:tr>
      <w:tr>
        <w:trPr>
          <w:trHeight w:val="178"/>
        </w:trPr>
        <w:tc>
          <w:tcPr>
            <w:tcW w:w="37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Repurchase of common stock</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w:t>
            </w:r>
          </w:p>
        </w:tc>
        <w:tc>
          <w:tcPr>
            <w:tcW w:w="0" w:type="dxa"/>
            <w:vAlign w:val="bottom"/>
          </w:tcPr>
          <w:p>
            <w:pPr>
              <w:spacing w:after="0"/>
              <w:rPr>
                <w:sz w:val="1"/>
                <w:szCs w:val="1"/>
                <w:color w:val="auto"/>
              </w:rPr>
            </w:pPr>
          </w:p>
        </w:tc>
      </w:tr>
      <w:tr>
        <w:trPr>
          <w:trHeight w:val="172"/>
        </w:trPr>
        <w:tc>
          <w:tcPr>
            <w:tcW w:w="3780" w:type="dxa"/>
            <w:vAlign w:val="bottom"/>
          </w:tcPr>
          <w:p>
            <w:pPr>
              <w:ind w:left="220"/>
              <w:spacing w:after="0"/>
              <w:rPr>
                <w:sz w:val="20"/>
                <w:szCs w:val="20"/>
                <w:color w:val="auto"/>
              </w:rPr>
            </w:pPr>
            <w:r>
              <w:rPr>
                <w:rFonts w:ascii="Arial" w:cs="Arial" w:eastAsia="Arial" w:hAnsi="Arial"/>
                <w:sz w:val="13"/>
                <w:szCs w:val="13"/>
                <w:color w:val="auto"/>
              </w:rPr>
              <w:t>Preferred dividends declared</w:t>
            </w:r>
          </w:p>
        </w:tc>
        <w:tc>
          <w:tcPr>
            <w:tcW w:w="1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(46)</w:t>
            </w:r>
          </w:p>
        </w:tc>
        <w:tc>
          <w:tcPr>
            <w:tcW w:w="0" w:type="dxa"/>
            <w:vAlign w:val="bottom"/>
          </w:tcPr>
          <w:p>
            <w:pPr>
              <w:spacing w:after="0"/>
              <w:rPr>
                <w:sz w:val="1"/>
                <w:szCs w:val="1"/>
                <w:color w:val="auto"/>
              </w:rPr>
            </w:pPr>
          </w:p>
        </w:tc>
      </w:tr>
      <w:tr>
        <w:trPr>
          <w:trHeight w:val="175"/>
        </w:trPr>
        <w:tc>
          <w:tcPr>
            <w:tcW w:w="37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Common dividends declared</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(465)</w:t>
            </w:r>
          </w:p>
        </w:tc>
        <w:tc>
          <w:tcPr>
            <w:tcW w:w="0" w:type="dxa"/>
            <w:vAlign w:val="bottom"/>
          </w:tcPr>
          <w:p>
            <w:pPr>
              <w:spacing w:after="0"/>
              <w:rPr>
                <w:sz w:val="1"/>
                <w:szCs w:val="1"/>
                <w:color w:val="auto"/>
              </w:rPr>
            </w:pPr>
          </w:p>
        </w:tc>
      </w:tr>
      <w:tr>
        <w:trPr>
          <w:trHeight w:val="171"/>
        </w:trPr>
        <w:tc>
          <w:tcPr>
            <w:tcW w:w="3780" w:type="dxa"/>
            <w:vAlign w:val="bottom"/>
          </w:tcPr>
          <w:p>
            <w:pPr>
              <w:ind w:left="20"/>
              <w:spacing w:after="0"/>
              <w:rPr>
                <w:sz w:val="20"/>
                <w:szCs w:val="20"/>
                <w:color w:val="auto"/>
              </w:rPr>
            </w:pPr>
            <w:r>
              <w:rPr>
                <w:rFonts w:ascii="Arial" w:cs="Arial" w:eastAsia="Arial" w:hAnsi="Arial"/>
                <w:sz w:val="13"/>
                <w:szCs w:val="13"/>
                <w:b w:val="1"/>
                <w:bCs w:val="1"/>
                <w:color w:val="auto"/>
              </w:rPr>
              <w:t>Balance, June 30, 2020</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1,489</w:t>
            </w:r>
          </w:p>
        </w:tc>
        <w:tc>
          <w:tcPr>
            <w:tcW w:w="100" w:type="dxa"/>
            <w:vAlign w:val="bottom"/>
          </w:tcPr>
          <w:p>
            <w:pPr>
              <w:spacing w:after="0"/>
              <w:rPr>
                <w:sz w:val="14"/>
                <w:szCs w:val="1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555.5</w:t>
            </w:r>
          </w:p>
        </w:tc>
        <w:tc>
          <w:tcPr>
            <w:tcW w:w="100" w:type="dxa"/>
            <w:vAlign w:val="bottom"/>
          </w:tcPr>
          <w:p>
            <w:pPr>
              <w:spacing w:after="0"/>
              <w:rPr>
                <w:sz w:val="14"/>
                <w:szCs w:val="14"/>
                <w:color w:val="auto"/>
              </w:rPr>
            </w:pPr>
          </w:p>
        </w:tc>
        <w:tc>
          <w:tcPr>
            <w:tcW w:w="68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3"/>
                <w:szCs w:val="13"/>
                <w:color w:val="auto"/>
                <w:w w:val="82"/>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14,191</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(6,100)</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764</w:t>
            </w:r>
          </w:p>
        </w:tc>
        <w:tc>
          <w:tcPr>
            <w:tcW w:w="14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10,350</w:t>
            </w:r>
          </w:p>
        </w:tc>
        <w:tc>
          <w:tcPr>
            <w:tcW w:w="0" w:type="dxa"/>
            <w:vAlign w:val="bottom"/>
          </w:tcPr>
          <w:p>
            <w:pPr>
              <w:spacing w:after="0"/>
              <w:rPr>
                <w:sz w:val="1"/>
                <w:szCs w:val="1"/>
                <w:color w:val="auto"/>
              </w:rPr>
            </w:pPr>
          </w:p>
        </w:tc>
      </w:tr>
      <w:tr>
        <w:trPr>
          <w:trHeight w:val="20"/>
        </w:trPr>
        <w:tc>
          <w:tcPr>
            <w:tcW w:w="37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3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3780" w:type="dxa"/>
            <w:vAlign w:val="bottom"/>
          </w:tcPr>
          <w:p>
            <w:pPr>
              <w:ind w:left="20"/>
              <w:spacing w:after="0"/>
              <w:rPr>
                <w:sz w:val="20"/>
                <w:szCs w:val="20"/>
                <w:color w:val="auto"/>
              </w:rPr>
            </w:pPr>
            <w:r>
              <w:rPr>
                <w:rFonts w:ascii="Arial" w:cs="Arial" w:eastAsia="Arial" w:hAnsi="Arial"/>
                <w:sz w:val="13"/>
                <w:szCs w:val="13"/>
                <w:b w:val="1"/>
                <w:bCs w:val="1"/>
                <w:color w:val="auto"/>
              </w:rPr>
              <w:t>Balance, December 31, 2020</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1,489</w:t>
            </w: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539.5</w:t>
            </w:r>
          </w:p>
        </w:tc>
        <w:tc>
          <w:tcPr>
            <w:tcW w:w="100" w:type="dxa"/>
            <w:vAlign w:val="bottom"/>
          </w:tcPr>
          <w:p>
            <w:pPr>
              <w:spacing w:after="0"/>
              <w:rPr>
                <w:sz w:val="15"/>
                <w:szCs w:val="15"/>
                <w:color w:val="auto"/>
              </w:rPr>
            </w:pPr>
          </w:p>
        </w:tc>
        <w:tc>
          <w:tcPr>
            <w:tcW w:w="680" w:type="dxa"/>
            <w:vAlign w:val="bottom"/>
          </w:tcPr>
          <w:p>
            <w:pPr>
              <w:jc w:val="right"/>
              <w:ind w:right="533"/>
              <w:spacing w:after="0"/>
              <w:rPr>
                <w:sz w:val="20"/>
                <w:szCs w:val="20"/>
                <w:color w:val="auto"/>
              </w:rPr>
            </w:pPr>
            <w:r>
              <w:rPr>
                <w:rFonts w:ascii="Arial" w:cs="Arial" w:eastAsia="Arial" w:hAnsi="Arial"/>
                <w:sz w:val="13"/>
                <w:szCs w:val="13"/>
                <w:color w:val="auto"/>
                <w:w w:val="82"/>
              </w:rPr>
              <w:t>$</w:t>
            </w:r>
          </w:p>
        </w:tc>
        <w:tc>
          <w:tcPr>
            <w:tcW w:w="200" w:type="dxa"/>
            <w:vAlign w:val="bottom"/>
          </w:tcPr>
          <w:p>
            <w:pPr>
              <w:jc w:val="right"/>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13,972</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(5,106)</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719</w:t>
            </w:r>
          </w:p>
        </w:tc>
        <w:tc>
          <w:tcPr>
            <w:tcW w:w="140" w:type="dxa"/>
            <w:vAlign w:val="bottom"/>
          </w:tcPr>
          <w:p>
            <w:pPr>
              <w:spacing w:after="0"/>
              <w:rPr>
                <w:sz w:val="15"/>
                <w:szCs w:val="15"/>
                <w:color w:val="auto"/>
              </w:rPr>
            </w:pPr>
          </w:p>
        </w:tc>
        <w:tc>
          <w:tcPr>
            <w:tcW w:w="180" w:type="dxa"/>
            <w:vAlign w:val="bottom"/>
          </w:tcPr>
          <w:p>
            <w:pPr>
              <w:jc w:val="right"/>
              <w:ind w:right="33"/>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11,079</w:t>
            </w:r>
          </w:p>
        </w:tc>
        <w:tc>
          <w:tcPr>
            <w:tcW w:w="0" w:type="dxa"/>
            <w:vAlign w:val="bottom"/>
          </w:tcPr>
          <w:p>
            <w:pPr>
              <w:spacing w:after="0"/>
              <w:rPr>
                <w:sz w:val="1"/>
                <w:szCs w:val="1"/>
                <w:color w:val="auto"/>
              </w:rPr>
            </w:pPr>
          </w:p>
        </w:tc>
      </w:tr>
      <w:tr>
        <w:trPr>
          <w:trHeight w:val="176"/>
        </w:trPr>
        <w:tc>
          <w:tcPr>
            <w:tcW w:w="37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Net income</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564</w:t>
            </w:r>
          </w:p>
        </w:tc>
        <w:tc>
          <w:tcPr>
            <w:tcW w:w="0" w:type="dxa"/>
            <w:vAlign w:val="bottom"/>
          </w:tcPr>
          <w:p>
            <w:pPr>
              <w:spacing w:after="0"/>
              <w:rPr>
                <w:sz w:val="1"/>
                <w:szCs w:val="1"/>
                <w:color w:val="auto"/>
              </w:rPr>
            </w:pPr>
          </w:p>
        </w:tc>
      </w:tr>
      <w:tr>
        <w:trPr>
          <w:trHeight w:val="172"/>
        </w:trPr>
        <w:tc>
          <w:tcPr>
            <w:tcW w:w="3780" w:type="dxa"/>
            <w:vAlign w:val="bottom"/>
          </w:tcPr>
          <w:p>
            <w:pPr>
              <w:ind w:left="220"/>
              <w:spacing w:after="0"/>
              <w:rPr>
                <w:sz w:val="20"/>
                <w:szCs w:val="20"/>
                <w:color w:val="auto"/>
              </w:rPr>
            </w:pPr>
            <w:r>
              <w:rPr>
                <w:rFonts w:ascii="Arial" w:cs="Arial" w:eastAsia="Arial" w:hAnsi="Arial"/>
                <w:sz w:val="13"/>
                <w:szCs w:val="13"/>
                <w:color w:val="auto"/>
              </w:rPr>
              <w:t>Other comprehensive loss:</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3780" w:type="dxa"/>
            <w:vAlign w:val="bottom"/>
            <w:shd w:val="clear" w:color="auto" w:fill="CCEEFF"/>
          </w:tcPr>
          <w:p>
            <w:pPr>
              <w:ind w:left="320"/>
              <w:spacing w:after="0"/>
              <w:rPr>
                <w:sz w:val="20"/>
                <w:szCs w:val="20"/>
                <w:color w:val="auto"/>
              </w:rPr>
            </w:pPr>
            <w:r>
              <w:rPr>
                <w:rFonts w:ascii="Arial" w:cs="Arial" w:eastAsia="Arial" w:hAnsi="Arial"/>
                <w:sz w:val="13"/>
                <w:szCs w:val="13"/>
                <w:color w:val="auto"/>
              </w:rPr>
              <w:t>Unrealized loss on available-for-sale securities, net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(314)</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(314)</w:t>
            </w:r>
          </w:p>
        </w:tc>
        <w:tc>
          <w:tcPr>
            <w:tcW w:w="0" w:type="dxa"/>
            <w:vAlign w:val="bottom"/>
          </w:tcPr>
          <w:p>
            <w:pPr>
              <w:spacing w:after="0"/>
              <w:rPr>
                <w:sz w:val="1"/>
                <w:szCs w:val="1"/>
                <w:color w:val="auto"/>
              </w:rPr>
            </w:pPr>
          </w:p>
        </w:tc>
      </w:tr>
      <w:tr>
        <w:trPr>
          <w:trHeight w:val="172"/>
        </w:trPr>
        <w:tc>
          <w:tcPr>
            <w:tcW w:w="3780" w:type="dxa"/>
            <w:vAlign w:val="bottom"/>
          </w:tcPr>
          <w:p>
            <w:pPr>
              <w:ind w:left="220"/>
              <w:spacing w:after="0"/>
              <w:rPr>
                <w:sz w:val="20"/>
                <w:szCs w:val="20"/>
                <w:color w:val="auto"/>
              </w:rPr>
            </w:pPr>
            <w:r>
              <w:rPr>
                <w:rFonts w:ascii="Arial" w:cs="Arial" w:eastAsia="Arial" w:hAnsi="Arial"/>
                <w:sz w:val="13"/>
                <w:szCs w:val="13"/>
                <w:color w:val="auto"/>
              </w:rPr>
              <w:t>Stock-based compensation, net</w:t>
            </w:r>
          </w:p>
        </w:tc>
        <w:tc>
          <w:tcPr>
            <w:tcW w:w="1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0.4</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78"/>
        </w:trPr>
        <w:tc>
          <w:tcPr>
            <w:tcW w:w="37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Repurchase of common stock</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(239)</w:t>
            </w:r>
          </w:p>
        </w:tc>
        <w:tc>
          <w:tcPr>
            <w:tcW w:w="0" w:type="dxa"/>
            <w:vAlign w:val="bottom"/>
          </w:tcPr>
          <w:p>
            <w:pPr>
              <w:spacing w:after="0"/>
              <w:rPr>
                <w:sz w:val="1"/>
                <w:szCs w:val="1"/>
                <w:color w:val="auto"/>
              </w:rPr>
            </w:pPr>
          </w:p>
        </w:tc>
      </w:tr>
      <w:tr>
        <w:trPr>
          <w:trHeight w:val="172"/>
        </w:trPr>
        <w:tc>
          <w:tcPr>
            <w:tcW w:w="3780" w:type="dxa"/>
            <w:vAlign w:val="bottom"/>
          </w:tcPr>
          <w:p>
            <w:pPr>
              <w:ind w:left="220"/>
              <w:spacing w:after="0"/>
              <w:rPr>
                <w:sz w:val="20"/>
                <w:szCs w:val="20"/>
                <w:color w:val="auto"/>
              </w:rPr>
            </w:pPr>
            <w:r>
              <w:rPr>
                <w:rFonts w:ascii="Arial" w:cs="Arial" w:eastAsia="Arial" w:hAnsi="Arial"/>
                <w:sz w:val="13"/>
                <w:szCs w:val="13"/>
                <w:color w:val="auto"/>
              </w:rPr>
              <w:t>Preferred dividends declared</w:t>
            </w:r>
          </w:p>
        </w:tc>
        <w:tc>
          <w:tcPr>
            <w:tcW w:w="12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tcPr>
          <w:p>
            <w:pPr>
              <w:spacing w:after="0"/>
              <w:rPr>
                <w:sz w:val="14"/>
                <w:szCs w:val="1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(50)</w:t>
            </w:r>
          </w:p>
        </w:tc>
        <w:tc>
          <w:tcPr>
            <w:tcW w:w="0" w:type="dxa"/>
            <w:vAlign w:val="bottom"/>
          </w:tcPr>
          <w:p>
            <w:pPr>
              <w:spacing w:after="0"/>
              <w:rPr>
                <w:sz w:val="1"/>
                <w:szCs w:val="1"/>
                <w:color w:val="auto"/>
              </w:rPr>
            </w:pPr>
          </w:p>
        </w:tc>
      </w:tr>
      <w:tr>
        <w:trPr>
          <w:trHeight w:val="175"/>
        </w:trPr>
        <w:tc>
          <w:tcPr>
            <w:tcW w:w="3780" w:type="dxa"/>
            <w:vAlign w:val="bottom"/>
            <w:shd w:val="clear" w:color="auto" w:fill="CCEEFF"/>
          </w:tcPr>
          <w:p>
            <w:pPr>
              <w:ind w:left="220"/>
              <w:spacing w:after="0"/>
              <w:rPr>
                <w:sz w:val="20"/>
                <w:szCs w:val="20"/>
                <w:color w:val="auto"/>
              </w:rPr>
            </w:pPr>
            <w:r>
              <w:rPr>
                <w:rFonts w:ascii="Arial" w:cs="Arial" w:eastAsia="Arial" w:hAnsi="Arial"/>
                <w:sz w:val="13"/>
                <w:szCs w:val="13"/>
                <w:color w:val="auto"/>
              </w:rPr>
              <w:t>Common dividends declared</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(380)</w:t>
            </w:r>
          </w:p>
        </w:tc>
        <w:tc>
          <w:tcPr>
            <w:tcW w:w="0" w:type="dxa"/>
            <w:vAlign w:val="bottom"/>
          </w:tcPr>
          <w:p>
            <w:pPr>
              <w:spacing w:after="0"/>
              <w:rPr>
                <w:sz w:val="1"/>
                <w:szCs w:val="1"/>
                <w:color w:val="auto"/>
              </w:rPr>
            </w:pPr>
          </w:p>
        </w:tc>
      </w:tr>
      <w:tr>
        <w:trPr>
          <w:trHeight w:val="171"/>
        </w:trPr>
        <w:tc>
          <w:tcPr>
            <w:tcW w:w="3780" w:type="dxa"/>
            <w:vAlign w:val="bottom"/>
          </w:tcPr>
          <w:p>
            <w:pPr>
              <w:ind w:left="20"/>
              <w:spacing w:after="0"/>
              <w:rPr>
                <w:sz w:val="20"/>
                <w:szCs w:val="20"/>
                <w:color w:val="auto"/>
              </w:rPr>
            </w:pPr>
            <w:r>
              <w:rPr>
                <w:rFonts w:ascii="Arial" w:cs="Arial" w:eastAsia="Arial" w:hAnsi="Arial"/>
                <w:sz w:val="13"/>
                <w:szCs w:val="13"/>
                <w:b w:val="1"/>
                <w:bCs w:val="1"/>
                <w:color w:val="auto"/>
              </w:rPr>
              <w:t>Balance, June 30, 2021</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1,489</w:t>
            </w:r>
          </w:p>
        </w:tc>
        <w:tc>
          <w:tcPr>
            <w:tcW w:w="100" w:type="dxa"/>
            <w:vAlign w:val="bottom"/>
          </w:tcPr>
          <w:p>
            <w:pPr>
              <w:spacing w:after="0"/>
              <w:rPr>
                <w:sz w:val="14"/>
                <w:szCs w:val="1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524.9</w:t>
            </w:r>
          </w:p>
        </w:tc>
        <w:tc>
          <w:tcPr>
            <w:tcW w:w="100" w:type="dxa"/>
            <w:vAlign w:val="bottom"/>
          </w:tcPr>
          <w:p>
            <w:pPr>
              <w:spacing w:after="0"/>
              <w:rPr>
                <w:sz w:val="14"/>
                <w:szCs w:val="14"/>
                <w:color w:val="auto"/>
              </w:rPr>
            </w:pPr>
          </w:p>
        </w:tc>
        <w:tc>
          <w:tcPr>
            <w:tcW w:w="68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3"/>
                <w:szCs w:val="13"/>
                <w:color w:val="auto"/>
                <w:w w:val="82"/>
              </w:rPr>
              <w: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13,741</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(4,972)</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405</w:t>
            </w:r>
          </w:p>
        </w:tc>
        <w:tc>
          <w:tcPr>
            <w:tcW w:w="14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10,668</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8"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0980"/>
          </w:cols>
          <w:pgMar w:left="320" w:top="835" w:right="59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7"/>
          <w:szCs w:val="17"/>
          <w:b w:val="1"/>
          <w:bCs w:val="1"/>
          <w:color w:val="auto"/>
        </w:rPr>
        <w:t>AGNC INVESTMENT CORP.</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4" w:lineRule="exact"/>
        <w:rPr>
          <w:sz w:val="20"/>
          <w:szCs w:val="20"/>
          <w:color w:val="auto"/>
        </w:rPr>
      </w:pPr>
    </w:p>
    <w:p>
      <w:pPr>
        <w:ind w:left="4560"/>
        <w:spacing w:after="0"/>
        <w:rPr>
          <w:sz w:val="20"/>
          <w:szCs w:val="20"/>
          <w:color w:val="auto"/>
        </w:rPr>
      </w:pPr>
      <w:r>
        <w:rPr>
          <w:rFonts w:ascii="Arial" w:cs="Arial" w:eastAsia="Arial" w:hAnsi="Arial"/>
          <w:sz w:val="17"/>
          <w:szCs w:val="17"/>
          <w:b w:val="1"/>
          <w:bCs w:val="1"/>
          <w:color w:val="auto"/>
        </w:rPr>
        <w:t>(Unaudited)</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17"/>
          <w:szCs w:val="17"/>
          <w:b w:val="1"/>
          <w:bCs w:val="1"/>
          <w:color w:val="auto"/>
        </w:rPr>
        <w:t>(in millions)</w:t>
      </w:r>
    </w:p>
    <w:p>
      <w:pPr>
        <w:spacing w:after="0" w:line="11" w:lineRule="exact"/>
        <w:rPr>
          <w:sz w:val="20"/>
          <w:szCs w:val="20"/>
          <w:color w:val="auto"/>
        </w:rPr>
      </w:pPr>
    </w:p>
    <w:p>
      <w:pPr>
        <w:jc w:val="center"/>
        <w:ind w:left="7520"/>
        <w:spacing w:after="0"/>
        <w:rPr>
          <w:sz w:val="20"/>
          <w:szCs w:val="20"/>
          <w:color w:val="auto"/>
        </w:rPr>
      </w:pPr>
      <w:r>
        <w:rPr>
          <w:rFonts w:ascii="Arial" w:cs="Arial" w:eastAsia="Arial" w:hAnsi="Arial"/>
          <w:sz w:val="13"/>
          <w:szCs w:val="13"/>
          <w:b w:val="1"/>
          <w:bCs w:val="1"/>
          <w:color w:val="auto"/>
        </w:rPr>
        <w:t>Six Months Ended</w:t>
      </w:r>
    </w:p>
    <w:p>
      <w:pPr>
        <w:jc w:val="center"/>
        <w:ind w:left="7520"/>
        <w:spacing w:after="0"/>
        <w:rPr>
          <w:sz w:val="20"/>
          <w:szCs w:val="20"/>
          <w:color w:val="auto"/>
        </w:rPr>
      </w:pPr>
      <w:r>
        <w:rPr>
          <w:rFonts w:ascii="Arial" w:cs="Arial" w:eastAsia="Arial" w:hAnsi="Arial"/>
          <w:sz w:val="13"/>
          <w:szCs w:val="13"/>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52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ind w:right="385"/>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385"/>
              <w:spacing w:after="0"/>
              <w:rPr>
                <w:sz w:val="20"/>
                <w:szCs w:val="20"/>
                <w:color w:val="auto"/>
              </w:rPr>
            </w:pPr>
            <w:r>
              <w:rPr>
                <w:rFonts w:ascii="Arial" w:cs="Arial" w:eastAsia="Arial" w:hAnsi="Arial"/>
                <w:sz w:val="13"/>
                <w:szCs w:val="13"/>
                <w:b w:val="1"/>
                <w:bCs w:val="1"/>
                <w:color w:val="auto"/>
              </w:rPr>
              <w:t>2020</w:t>
            </w:r>
          </w:p>
        </w:tc>
      </w:tr>
      <w:tr>
        <w:trPr>
          <w:trHeight w:val="181"/>
        </w:trPr>
        <w:tc>
          <w:tcPr>
            <w:tcW w:w="752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Operating activities:</w:t>
            </w: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97"/>
        </w:trPr>
        <w:tc>
          <w:tcPr>
            <w:tcW w:w="7520" w:type="dxa"/>
            <w:vAlign w:val="bottom"/>
          </w:tcPr>
          <w:p>
            <w:pPr>
              <w:ind w:left="20"/>
              <w:spacing w:after="0"/>
              <w:rPr>
                <w:sz w:val="20"/>
                <w:szCs w:val="20"/>
                <w:color w:val="auto"/>
              </w:rPr>
            </w:pPr>
            <w:r>
              <w:rPr>
                <w:rFonts w:ascii="Arial" w:cs="Arial" w:eastAsia="Arial" w:hAnsi="Arial"/>
                <w:sz w:val="15"/>
                <w:szCs w:val="15"/>
                <w:color w:val="auto"/>
              </w:rPr>
              <w:t>Net income (loss)</w:t>
            </w:r>
          </w:p>
        </w:tc>
        <w:tc>
          <w:tcPr>
            <w:tcW w:w="280" w:type="dxa"/>
            <w:vAlign w:val="bottom"/>
          </w:tcPr>
          <w:p>
            <w:pPr>
              <w:jc w:val="right"/>
              <w:ind w:right="105"/>
              <w:spacing w:after="0"/>
              <w:rPr>
                <w:sz w:val="20"/>
                <w:szCs w:val="20"/>
                <w:color w:val="auto"/>
              </w:rPr>
            </w:pPr>
            <w:r>
              <w:rPr>
                <w:rFonts w:ascii="Arial" w:cs="Arial" w:eastAsia="Arial" w:hAnsi="Arial"/>
                <w:sz w:val="15"/>
                <w:szCs w:val="15"/>
                <w:color w:val="auto"/>
                <w:w w:val="95"/>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564</w:t>
            </w:r>
          </w:p>
        </w:tc>
        <w:tc>
          <w:tcPr>
            <w:tcW w:w="100" w:type="dxa"/>
            <w:vAlign w:val="bottom"/>
          </w:tcPr>
          <w:p>
            <w:pPr>
              <w:spacing w:after="0"/>
              <w:rPr>
                <w:sz w:val="17"/>
                <w:szCs w:val="17"/>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(1,703)</w:t>
            </w:r>
          </w:p>
        </w:tc>
      </w:tr>
      <w:tr>
        <w:trPr>
          <w:trHeight w:val="203"/>
        </w:trPr>
        <w:tc>
          <w:tcPr>
            <w:tcW w:w="7520" w:type="dxa"/>
            <w:vAlign w:val="bottom"/>
            <w:shd w:val="clear" w:color="auto" w:fill="CCEEFF"/>
          </w:tcPr>
          <w:p>
            <w:pPr>
              <w:ind w:left="20"/>
              <w:spacing w:after="0"/>
              <w:rPr>
                <w:sz w:val="20"/>
                <w:szCs w:val="20"/>
                <w:color w:val="auto"/>
              </w:rPr>
            </w:pPr>
            <w:r>
              <w:rPr>
                <w:rFonts w:ascii="Arial" w:cs="Arial" w:eastAsia="Arial" w:hAnsi="Arial"/>
                <w:sz w:val="15"/>
                <w:szCs w:val="15"/>
                <w:color w:val="auto"/>
              </w:rPr>
              <w:t>Adjustments to reconcile net income (loss) to net cash provided by operating activities:</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197"/>
        </w:trPr>
        <w:tc>
          <w:tcPr>
            <w:tcW w:w="7520" w:type="dxa"/>
            <w:vAlign w:val="bottom"/>
          </w:tcPr>
          <w:p>
            <w:pPr>
              <w:ind w:left="320"/>
              <w:spacing w:after="0"/>
              <w:rPr>
                <w:sz w:val="20"/>
                <w:szCs w:val="20"/>
                <w:color w:val="auto"/>
              </w:rPr>
            </w:pPr>
            <w:r>
              <w:rPr>
                <w:rFonts w:ascii="Arial" w:cs="Arial" w:eastAsia="Arial" w:hAnsi="Arial"/>
                <w:sz w:val="15"/>
                <w:szCs w:val="15"/>
                <w:color w:val="auto"/>
              </w:rPr>
              <w:t>Amortization of premiums and discounts on mortgage-backed securities, net</w:t>
            </w: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128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5"/>
              <w:spacing w:after="0"/>
              <w:rPr>
                <w:sz w:val="20"/>
                <w:szCs w:val="20"/>
                <w:color w:val="auto"/>
              </w:rPr>
            </w:pPr>
            <w:r>
              <w:rPr>
                <w:rFonts w:ascii="Arial" w:cs="Arial" w:eastAsia="Arial" w:hAnsi="Arial"/>
                <w:sz w:val="15"/>
                <w:szCs w:val="15"/>
                <w:color w:val="auto"/>
              </w:rPr>
              <w:t>607</w:t>
            </w:r>
          </w:p>
        </w:tc>
      </w:tr>
      <w:tr>
        <w:trPr>
          <w:trHeight w:val="203"/>
        </w:trPr>
        <w:tc>
          <w:tcPr>
            <w:tcW w:w="75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Stock-based compensation, net</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7</w:t>
            </w:r>
          </w:p>
        </w:tc>
      </w:tr>
      <w:tr>
        <w:trPr>
          <w:trHeight w:val="197"/>
        </w:trPr>
        <w:tc>
          <w:tcPr>
            <w:tcW w:w="7520" w:type="dxa"/>
            <w:vAlign w:val="bottom"/>
          </w:tcPr>
          <w:p>
            <w:pPr>
              <w:ind w:left="320"/>
              <w:spacing w:after="0"/>
              <w:rPr>
                <w:sz w:val="20"/>
                <w:szCs w:val="20"/>
                <w:color w:val="auto"/>
              </w:rPr>
            </w:pPr>
            <w:r>
              <w:rPr>
                <w:rFonts w:ascii="Arial" w:cs="Arial" w:eastAsia="Arial" w:hAnsi="Arial"/>
                <w:sz w:val="15"/>
                <w:szCs w:val="15"/>
                <w:color w:val="auto"/>
              </w:rPr>
              <w:t>Gain on sale of investment securities, net</w:t>
            </w: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(647)</w:t>
            </w:r>
          </w:p>
        </w:tc>
      </w:tr>
      <w:tr>
        <w:trPr>
          <w:trHeight w:val="203"/>
        </w:trPr>
        <w:tc>
          <w:tcPr>
            <w:tcW w:w="75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Unrealized (gain) loss on investment securities measured at fair value through net income, net</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(876)</w:t>
            </w:r>
          </w:p>
        </w:tc>
      </w:tr>
      <w:tr>
        <w:trPr>
          <w:trHeight w:val="197"/>
        </w:trPr>
        <w:tc>
          <w:tcPr>
            <w:tcW w:w="7520" w:type="dxa"/>
            <w:vAlign w:val="bottom"/>
          </w:tcPr>
          <w:p>
            <w:pPr>
              <w:ind w:left="320"/>
              <w:spacing w:after="0"/>
              <w:rPr>
                <w:sz w:val="20"/>
                <w:szCs w:val="20"/>
                <w:color w:val="auto"/>
              </w:rPr>
            </w:pPr>
            <w:r>
              <w:rPr>
                <w:rFonts w:ascii="Arial" w:cs="Arial" w:eastAsia="Arial" w:hAnsi="Arial"/>
                <w:sz w:val="15"/>
                <w:szCs w:val="15"/>
                <w:color w:val="auto"/>
              </w:rPr>
              <w:t>(Gain) loss on derivative instruments and other securities, net</w:t>
            </w: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(821)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5"/>
              <w:spacing w:after="0"/>
              <w:rPr>
                <w:sz w:val="20"/>
                <w:szCs w:val="20"/>
                <w:color w:val="auto"/>
              </w:rPr>
            </w:pPr>
            <w:r>
              <w:rPr>
                <w:rFonts w:ascii="Arial" w:cs="Arial" w:eastAsia="Arial" w:hAnsi="Arial"/>
                <w:sz w:val="15"/>
                <w:szCs w:val="15"/>
                <w:color w:val="auto"/>
              </w:rPr>
              <w:t>3,539</w:t>
            </w:r>
          </w:p>
        </w:tc>
      </w:tr>
      <w:tr>
        <w:trPr>
          <w:trHeight w:val="203"/>
        </w:trPr>
        <w:tc>
          <w:tcPr>
            <w:tcW w:w="75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(Increase) decrease in other assets</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59</w:t>
            </w:r>
          </w:p>
        </w:tc>
      </w:tr>
      <w:tr>
        <w:trPr>
          <w:trHeight w:val="197"/>
        </w:trPr>
        <w:tc>
          <w:tcPr>
            <w:tcW w:w="7520" w:type="dxa"/>
            <w:vAlign w:val="bottom"/>
            <w:tcBorders>
              <w:bottom w:val="single" w:sz="8" w:color="CCEEFF"/>
            </w:tcBorders>
          </w:tcPr>
          <w:p>
            <w:pPr>
              <w:ind w:left="320"/>
              <w:spacing w:after="0"/>
              <w:rPr>
                <w:sz w:val="20"/>
                <w:szCs w:val="20"/>
                <w:color w:val="auto"/>
              </w:rPr>
            </w:pPr>
            <w:r>
              <w:rPr>
                <w:rFonts w:ascii="Arial" w:cs="Arial" w:eastAsia="Arial" w:hAnsi="Arial"/>
                <w:sz w:val="15"/>
                <w:szCs w:val="15"/>
                <w:color w:val="auto"/>
              </w:rPr>
              <w:t>Decrease in accounts payable and other accrued liabilities</w:t>
            </w: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(210)</w:t>
            </w:r>
          </w:p>
        </w:tc>
      </w:tr>
      <w:tr>
        <w:trPr>
          <w:trHeight w:val="195"/>
        </w:trPr>
        <w:tc>
          <w:tcPr>
            <w:tcW w:w="752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cash provided by operating activities</w:t>
            </w:r>
          </w:p>
        </w:tc>
        <w:tc>
          <w:tcPr>
            <w:tcW w:w="2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771</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776</w:t>
            </w:r>
          </w:p>
        </w:tc>
      </w:tr>
      <w:tr>
        <w:trPr>
          <w:trHeight w:val="177"/>
        </w:trPr>
        <w:tc>
          <w:tcPr>
            <w:tcW w:w="7520" w:type="dxa"/>
            <w:vAlign w:val="bottom"/>
          </w:tcPr>
          <w:p>
            <w:pPr>
              <w:ind w:left="20"/>
              <w:spacing w:after="0"/>
              <w:rPr>
                <w:sz w:val="20"/>
                <w:szCs w:val="20"/>
                <w:color w:val="auto"/>
              </w:rPr>
            </w:pPr>
            <w:r>
              <w:rPr>
                <w:rFonts w:ascii="Arial" w:cs="Arial" w:eastAsia="Arial" w:hAnsi="Arial"/>
                <w:sz w:val="15"/>
                <w:szCs w:val="15"/>
                <w:b w:val="1"/>
                <w:bCs w:val="1"/>
                <w:color w:val="auto"/>
              </w:rPr>
              <w:t>Investing activities:</w:t>
            </w: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03"/>
        </w:trPr>
        <w:tc>
          <w:tcPr>
            <w:tcW w:w="75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Purchases of Agency mortgage-backed securities</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(23,954)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(39,715)</w:t>
            </w:r>
          </w:p>
        </w:tc>
      </w:tr>
      <w:tr>
        <w:trPr>
          <w:trHeight w:val="197"/>
        </w:trPr>
        <w:tc>
          <w:tcPr>
            <w:tcW w:w="7520" w:type="dxa"/>
            <w:vAlign w:val="bottom"/>
          </w:tcPr>
          <w:p>
            <w:pPr>
              <w:ind w:left="320"/>
              <w:spacing w:after="0"/>
              <w:rPr>
                <w:sz w:val="20"/>
                <w:szCs w:val="20"/>
                <w:color w:val="auto"/>
              </w:rPr>
            </w:pPr>
            <w:r>
              <w:rPr>
                <w:rFonts w:ascii="Arial" w:cs="Arial" w:eastAsia="Arial" w:hAnsi="Arial"/>
                <w:sz w:val="15"/>
                <w:szCs w:val="15"/>
                <w:color w:val="auto"/>
              </w:rPr>
              <w:t>Purchases of credit risk transfer and non-Agency securities</w:t>
            </w: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(1,310)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(396)</w:t>
            </w:r>
          </w:p>
        </w:tc>
      </w:tr>
      <w:tr>
        <w:trPr>
          <w:trHeight w:val="203"/>
        </w:trPr>
        <w:tc>
          <w:tcPr>
            <w:tcW w:w="75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Proceeds from sale of Agency mortgage-backed securities</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18,311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54,967</w:t>
            </w:r>
          </w:p>
        </w:tc>
      </w:tr>
      <w:tr>
        <w:trPr>
          <w:trHeight w:val="197"/>
        </w:trPr>
        <w:tc>
          <w:tcPr>
            <w:tcW w:w="7520" w:type="dxa"/>
            <w:vAlign w:val="bottom"/>
          </w:tcPr>
          <w:p>
            <w:pPr>
              <w:ind w:left="320"/>
              <w:spacing w:after="0"/>
              <w:rPr>
                <w:sz w:val="20"/>
                <w:szCs w:val="20"/>
                <w:color w:val="auto"/>
              </w:rPr>
            </w:pPr>
            <w:r>
              <w:rPr>
                <w:rFonts w:ascii="Arial" w:cs="Arial" w:eastAsia="Arial" w:hAnsi="Arial"/>
                <w:sz w:val="15"/>
                <w:szCs w:val="15"/>
                <w:color w:val="auto"/>
              </w:rPr>
              <w:t>Proceeds from sale of credit risk transfer and non-Agency securities</w:t>
            </w: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931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5"/>
              <w:spacing w:after="0"/>
              <w:rPr>
                <w:sz w:val="20"/>
                <w:szCs w:val="20"/>
                <w:color w:val="auto"/>
              </w:rPr>
            </w:pPr>
            <w:r>
              <w:rPr>
                <w:rFonts w:ascii="Arial" w:cs="Arial" w:eastAsia="Arial" w:hAnsi="Arial"/>
                <w:sz w:val="15"/>
                <w:szCs w:val="15"/>
                <w:color w:val="auto"/>
              </w:rPr>
              <w:t>536</w:t>
            </w:r>
          </w:p>
        </w:tc>
      </w:tr>
      <w:tr>
        <w:trPr>
          <w:trHeight w:val="203"/>
        </w:trPr>
        <w:tc>
          <w:tcPr>
            <w:tcW w:w="75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Principal collections on Agency mortgage-backed securities</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8,791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7,867</w:t>
            </w:r>
          </w:p>
        </w:tc>
      </w:tr>
      <w:tr>
        <w:trPr>
          <w:trHeight w:val="197"/>
        </w:trPr>
        <w:tc>
          <w:tcPr>
            <w:tcW w:w="7520" w:type="dxa"/>
            <w:vAlign w:val="bottom"/>
          </w:tcPr>
          <w:p>
            <w:pPr>
              <w:ind w:left="320"/>
              <w:spacing w:after="0"/>
              <w:rPr>
                <w:sz w:val="20"/>
                <w:szCs w:val="20"/>
                <w:color w:val="auto"/>
              </w:rPr>
            </w:pPr>
            <w:r>
              <w:rPr>
                <w:rFonts w:ascii="Arial" w:cs="Arial" w:eastAsia="Arial" w:hAnsi="Arial"/>
                <w:sz w:val="15"/>
                <w:szCs w:val="15"/>
                <w:color w:val="auto"/>
              </w:rPr>
              <w:t>Principal collections on credit risk transfer and non-Agency securities</w:t>
            </w: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36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5"/>
              <w:spacing w:after="0"/>
              <w:rPr>
                <w:sz w:val="20"/>
                <w:szCs w:val="20"/>
                <w:color w:val="auto"/>
              </w:rPr>
            </w:pPr>
            <w:r>
              <w:rPr>
                <w:rFonts w:ascii="Arial" w:cs="Arial" w:eastAsia="Arial" w:hAnsi="Arial"/>
                <w:sz w:val="15"/>
                <w:szCs w:val="15"/>
                <w:color w:val="auto"/>
              </w:rPr>
              <w:t>49</w:t>
            </w:r>
          </w:p>
        </w:tc>
      </w:tr>
      <w:tr>
        <w:trPr>
          <w:trHeight w:val="203"/>
        </w:trPr>
        <w:tc>
          <w:tcPr>
            <w:tcW w:w="75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Payments on U.S. Treasury securities</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(10,536)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(19,793)</w:t>
            </w:r>
          </w:p>
        </w:tc>
      </w:tr>
      <w:tr>
        <w:trPr>
          <w:trHeight w:val="197"/>
        </w:trPr>
        <w:tc>
          <w:tcPr>
            <w:tcW w:w="7520" w:type="dxa"/>
            <w:vAlign w:val="bottom"/>
          </w:tcPr>
          <w:p>
            <w:pPr>
              <w:ind w:left="320"/>
              <w:spacing w:after="0"/>
              <w:rPr>
                <w:sz w:val="20"/>
                <w:szCs w:val="20"/>
                <w:color w:val="auto"/>
              </w:rPr>
            </w:pPr>
            <w:r>
              <w:rPr>
                <w:rFonts w:ascii="Arial" w:cs="Arial" w:eastAsia="Arial" w:hAnsi="Arial"/>
                <w:sz w:val="15"/>
                <w:szCs w:val="15"/>
                <w:color w:val="auto"/>
              </w:rPr>
              <w:t>Proceeds from U.S. Treasury securities</w:t>
            </w: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10,172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ind w:right="5"/>
              <w:spacing w:after="0"/>
              <w:rPr>
                <w:sz w:val="20"/>
                <w:szCs w:val="20"/>
                <w:color w:val="auto"/>
              </w:rPr>
            </w:pPr>
            <w:r>
              <w:rPr>
                <w:rFonts w:ascii="Arial" w:cs="Arial" w:eastAsia="Arial" w:hAnsi="Arial"/>
                <w:sz w:val="15"/>
                <w:szCs w:val="15"/>
                <w:color w:val="auto"/>
              </w:rPr>
              <w:t>16,206</w:t>
            </w:r>
          </w:p>
        </w:tc>
      </w:tr>
      <w:tr>
        <w:trPr>
          <w:trHeight w:val="203"/>
        </w:trPr>
        <w:tc>
          <w:tcPr>
            <w:tcW w:w="75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Net proceeds from (payments on) reverse repurchase agreements</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2,270</w:t>
            </w:r>
          </w:p>
        </w:tc>
      </w:tr>
      <w:tr>
        <w:trPr>
          <w:trHeight w:val="197"/>
        </w:trPr>
        <w:tc>
          <w:tcPr>
            <w:tcW w:w="7520" w:type="dxa"/>
            <w:vAlign w:val="bottom"/>
            <w:tcBorders>
              <w:bottom w:val="single" w:sz="8" w:color="CCEEFF"/>
            </w:tcBorders>
          </w:tcPr>
          <w:p>
            <w:pPr>
              <w:ind w:left="320"/>
              <w:spacing w:after="0"/>
              <w:rPr>
                <w:sz w:val="20"/>
                <w:szCs w:val="20"/>
                <w:color w:val="auto"/>
              </w:rPr>
            </w:pPr>
            <w:r>
              <w:rPr>
                <w:rFonts w:ascii="Arial" w:cs="Arial" w:eastAsia="Arial" w:hAnsi="Arial"/>
                <w:sz w:val="15"/>
                <w:szCs w:val="15"/>
                <w:color w:val="auto"/>
              </w:rPr>
              <w:t>Net proceeds from (payments on) derivative instruments</w:t>
            </w: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593</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(2,682)</w:t>
            </w:r>
          </w:p>
        </w:tc>
      </w:tr>
      <w:tr>
        <w:trPr>
          <w:trHeight w:val="195"/>
        </w:trPr>
        <w:tc>
          <w:tcPr>
            <w:tcW w:w="752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cash provided by investing activities</w:t>
            </w:r>
          </w:p>
        </w:tc>
        <w:tc>
          <w:tcPr>
            <w:tcW w:w="2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2,801</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19,309</w:t>
            </w:r>
          </w:p>
        </w:tc>
      </w:tr>
      <w:tr>
        <w:trPr>
          <w:trHeight w:val="177"/>
        </w:trPr>
        <w:tc>
          <w:tcPr>
            <w:tcW w:w="7520" w:type="dxa"/>
            <w:vAlign w:val="bottom"/>
          </w:tcPr>
          <w:p>
            <w:pPr>
              <w:ind w:left="20"/>
              <w:spacing w:after="0"/>
              <w:rPr>
                <w:sz w:val="20"/>
                <w:szCs w:val="20"/>
                <w:color w:val="auto"/>
              </w:rPr>
            </w:pPr>
            <w:r>
              <w:rPr>
                <w:rFonts w:ascii="Arial" w:cs="Arial" w:eastAsia="Arial" w:hAnsi="Arial"/>
                <w:sz w:val="15"/>
                <w:szCs w:val="15"/>
                <w:b w:val="1"/>
                <w:bCs w:val="1"/>
                <w:color w:val="auto"/>
              </w:rPr>
              <w:t>Financing activities:</w:t>
            </w: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03"/>
        </w:trPr>
        <w:tc>
          <w:tcPr>
            <w:tcW w:w="75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Proceeds from repurchase arrangements</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1,163,175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2,166,205</w:t>
            </w:r>
          </w:p>
        </w:tc>
      </w:tr>
      <w:tr>
        <w:trPr>
          <w:trHeight w:val="197"/>
        </w:trPr>
        <w:tc>
          <w:tcPr>
            <w:tcW w:w="7520" w:type="dxa"/>
            <w:vAlign w:val="bottom"/>
          </w:tcPr>
          <w:p>
            <w:pPr>
              <w:ind w:left="320"/>
              <w:spacing w:after="0"/>
              <w:rPr>
                <w:sz w:val="20"/>
                <w:szCs w:val="20"/>
                <w:color w:val="auto"/>
              </w:rPr>
            </w:pPr>
            <w:r>
              <w:rPr>
                <w:rFonts w:ascii="Arial" w:cs="Arial" w:eastAsia="Arial" w:hAnsi="Arial"/>
                <w:sz w:val="15"/>
                <w:szCs w:val="15"/>
                <w:color w:val="auto"/>
              </w:rPr>
              <w:t>Payments on repurchase agreements</w:t>
            </w: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(1,166,804)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(2,185,702)</w:t>
            </w:r>
          </w:p>
        </w:tc>
      </w:tr>
      <w:tr>
        <w:trPr>
          <w:trHeight w:val="203"/>
        </w:trPr>
        <w:tc>
          <w:tcPr>
            <w:tcW w:w="75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Payments on debt of consolidated variable interest entities</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w:t>
            </w:r>
          </w:p>
        </w:tc>
      </w:tr>
      <w:tr>
        <w:trPr>
          <w:trHeight w:val="197"/>
        </w:trPr>
        <w:tc>
          <w:tcPr>
            <w:tcW w:w="7520" w:type="dxa"/>
            <w:vAlign w:val="bottom"/>
          </w:tcPr>
          <w:p>
            <w:pPr>
              <w:ind w:left="320"/>
              <w:spacing w:after="0"/>
              <w:rPr>
                <w:sz w:val="20"/>
                <w:szCs w:val="20"/>
                <w:color w:val="auto"/>
              </w:rPr>
            </w:pPr>
            <w:r>
              <w:rPr>
                <w:rFonts w:ascii="Arial" w:cs="Arial" w:eastAsia="Arial" w:hAnsi="Arial"/>
                <w:sz w:val="15"/>
                <w:szCs w:val="15"/>
                <w:color w:val="auto"/>
              </w:rPr>
              <w:t>Net proceeds from preferred stock issuances</w:t>
            </w:r>
          </w:p>
        </w:tc>
        <w:tc>
          <w:tcPr>
            <w:tcW w:w="28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920" w:type="dxa"/>
            <w:vAlign w:val="bottom"/>
          </w:tcPr>
          <w:p>
            <w:pPr>
              <w:jc w:val="right"/>
              <w:ind w:right="5"/>
              <w:spacing w:after="0"/>
              <w:rPr>
                <w:sz w:val="20"/>
                <w:szCs w:val="20"/>
                <w:color w:val="auto"/>
              </w:rPr>
            </w:pPr>
            <w:r>
              <w:rPr>
                <w:rFonts w:ascii="Arial" w:cs="Arial" w:eastAsia="Arial" w:hAnsi="Arial"/>
                <w:sz w:val="15"/>
                <w:szCs w:val="15"/>
                <w:color w:val="auto"/>
              </w:rPr>
              <w:t>557</w:t>
            </w:r>
          </w:p>
        </w:tc>
      </w:tr>
      <w:tr>
        <w:trPr>
          <w:trHeight w:val="203"/>
        </w:trPr>
        <w:tc>
          <w:tcPr>
            <w:tcW w:w="75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Net proceeds from common stock issuances</w:t>
            </w:r>
          </w:p>
        </w:tc>
        <w:tc>
          <w:tcPr>
            <w:tcW w:w="2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439</w:t>
            </w:r>
          </w:p>
        </w:tc>
      </w:tr>
      <w:tr>
        <w:trPr>
          <w:trHeight w:val="197"/>
        </w:trPr>
        <w:tc>
          <w:tcPr>
            <w:tcW w:w="7520" w:type="dxa"/>
            <w:vAlign w:val="bottom"/>
          </w:tcPr>
          <w:p>
            <w:pPr>
              <w:ind w:left="320"/>
              <w:spacing w:after="0"/>
              <w:rPr>
                <w:sz w:val="20"/>
                <w:szCs w:val="20"/>
                <w:color w:val="auto"/>
              </w:rPr>
            </w:pPr>
            <w:r>
              <w:rPr>
                <w:rFonts w:ascii="Arial" w:cs="Arial" w:eastAsia="Arial" w:hAnsi="Arial"/>
                <w:sz w:val="15"/>
                <w:szCs w:val="15"/>
                <w:color w:val="auto"/>
              </w:rPr>
              <w:t>Payments for common stock repurchases</w:t>
            </w: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(239)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(147)</w:t>
            </w:r>
          </w:p>
        </w:tc>
      </w:tr>
      <w:tr>
        <w:trPr>
          <w:trHeight w:val="203"/>
        </w:trPr>
        <w:tc>
          <w:tcPr>
            <w:tcW w:w="7520" w:type="dxa"/>
            <w:vAlign w:val="bottom"/>
            <w:shd w:val="clear" w:color="auto" w:fill="CCEEFF"/>
          </w:tcPr>
          <w:p>
            <w:pPr>
              <w:ind w:left="320"/>
              <w:spacing w:after="0"/>
              <w:rPr>
                <w:sz w:val="20"/>
                <w:szCs w:val="20"/>
                <w:color w:val="auto"/>
              </w:rPr>
            </w:pPr>
            <w:r>
              <w:rPr>
                <w:rFonts w:ascii="Arial" w:cs="Arial" w:eastAsia="Arial" w:hAnsi="Arial"/>
                <w:sz w:val="15"/>
                <w:szCs w:val="15"/>
                <w:color w:val="auto"/>
              </w:rPr>
              <w:t>Cash dividends paid</w:t>
            </w:r>
          </w:p>
        </w:tc>
        <w:tc>
          <w:tcPr>
            <w:tcW w:w="2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(432)</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(525)</w:t>
            </w:r>
          </w:p>
        </w:tc>
      </w:tr>
      <w:tr>
        <w:trPr>
          <w:trHeight w:val="189"/>
        </w:trPr>
        <w:tc>
          <w:tcPr>
            <w:tcW w:w="75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Net cash provided used in financing activities</w:t>
            </w: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(4,326)</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(19,202)</w:t>
            </w:r>
          </w:p>
        </w:tc>
      </w:tr>
      <w:tr>
        <w:trPr>
          <w:trHeight w:val="195"/>
        </w:trPr>
        <w:tc>
          <w:tcPr>
            <w:tcW w:w="752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change in cash, cash equivalents and restricted cash</w:t>
            </w: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(754)</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883</w:t>
            </w:r>
          </w:p>
        </w:tc>
      </w:tr>
      <w:tr>
        <w:trPr>
          <w:trHeight w:val="197"/>
        </w:trPr>
        <w:tc>
          <w:tcPr>
            <w:tcW w:w="75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Cash, cash equivalents and restricted cash at beginning of period</w:t>
            </w: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2,324</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1,282</w:t>
            </w:r>
          </w:p>
        </w:tc>
      </w:tr>
      <w:tr>
        <w:trPr>
          <w:trHeight w:val="220"/>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Cash, cash equivalents and restricted cash at end of period</w:t>
            </w:r>
          </w:p>
        </w:tc>
        <w:tc>
          <w:tcPr>
            <w:tcW w:w="28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9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1,570</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2,165</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8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00" w:lineRule="exact"/>
        <w:rPr>
          <w:sz w:val="20"/>
          <w:szCs w:val="20"/>
          <w:color w:val="auto"/>
        </w:rPr>
      </w:pPr>
    </w:p>
    <w:p>
      <w:pPr>
        <w:spacing w:after="0" w:line="31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wp:posOffset>
            </wp:positionH>
            <wp:positionV relativeFrom="paragraph">
              <wp:posOffset>61595</wp:posOffset>
            </wp:positionV>
            <wp:extent cx="7167880" cy="412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9980"/>
          </w:cols>
          <w:pgMar w:left="960" w:top="835" w:right="959" w:bottom="1440" w:gutter="0" w:footer="0" w:header="0"/>
        </w:sectPr>
      </w:pPr>
    </w:p>
    <w:bookmarkStart w:id="6" w:name="page7"/>
    <w:bookmarkEnd w:id="6"/>
    <w:p>
      <w:pPr>
        <w:jc w:val="center"/>
        <w:spacing w:after="0"/>
        <w:rPr>
          <w:sz w:val="20"/>
          <w:szCs w:val="20"/>
          <w:color w:val="auto"/>
        </w:rPr>
      </w:pPr>
      <w:r>
        <w:rPr>
          <w:rFonts w:ascii="Arial" w:cs="Arial" w:eastAsia="Arial" w:hAnsi="Arial"/>
          <w:sz w:val="17"/>
          <w:szCs w:val="17"/>
          <w:b w:val="1"/>
          <w:bCs w:val="1"/>
          <w:color w:val="auto"/>
        </w:rPr>
        <w:t>AGNC INVESTMENT CORP.</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 Organization</w:t>
      </w:r>
    </w:p>
    <w:p>
      <w:pPr>
        <w:spacing w:after="0" w:line="158" w:lineRule="exact"/>
        <w:rPr>
          <w:sz w:val="20"/>
          <w:szCs w:val="20"/>
          <w:color w:val="auto"/>
        </w:rPr>
      </w:pPr>
    </w:p>
    <w:p>
      <w:pPr>
        <w:jc w:val="both"/>
        <w:ind w:firstLine="375"/>
        <w:spacing w:after="0" w:line="255" w:lineRule="auto"/>
        <w:rPr>
          <w:sz w:val="20"/>
          <w:szCs w:val="20"/>
          <w:color w:val="auto"/>
        </w:rPr>
      </w:pPr>
      <w:r>
        <w:rPr>
          <w:rFonts w:ascii="Arial" w:cs="Arial" w:eastAsia="Arial" w:hAnsi="Arial"/>
          <w:sz w:val="17"/>
          <w:szCs w:val="17"/>
          <w:color w:val="auto"/>
        </w:rPr>
        <w:t>AGNC Investment Corp. (referred throughout this report as the "Company," "we," "us" and "our") was organized in Delaware on January 7, 2008 and commenced operations on May 20, 2008 following the completion of our initial public offering. Our common stock is traded on The Nasdaq Global Select Market under the symbol "AGNC."</w:t>
      </w:r>
    </w:p>
    <w:p>
      <w:pPr>
        <w:spacing w:after="0" w:line="127" w:lineRule="exact"/>
        <w:rPr>
          <w:sz w:val="20"/>
          <w:szCs w:val="20"/>
          <w:color w:val="auto"/>
        </w:rPr>
      </w:pPr>
    </w:p>
    <w:p>
      <w:pPr>
        <w:jc w:val="both"/>
        <w:ind w:firstLine="375"/>
        <w:spacing w:after="0" w:line="270" w:lineRule="auto"/>
        <w:rPr>
          <w:sz w:val="20"/>
          <w:szCs w:val="20"/>
          <w:color w:val="auto"/>
        </w:rPr>
      </w:pPr>
      <w:r>
        <w:rPr>
          <w:rFonts w:ascii="Arial" w:cs="Arial" w:eastAsia="Arial" w:hAnsi="Arial"/>
          <w:sz w:val="16"/>
          <w:szCs w:val="16"/>
          <w:color w:val="auto"/>
        </w:rPr>
        <w:t>We invest primarily in Agency residential mortgage-backed securities ("Agency RMBS") for which the principal and interest payments are guaranteed by a U.S. Government-sponsored enterprise ("GSE") or a U.S. Government agency. We also invest in other types of mortgage and mortgage-related securities, such as credit risk transfer ("CRT") securities and non-Agency residential and commercial mortgage-backed securities ("non-Agency RMBS" and "CMBS," respectively), where repayment of principal and interest is not guaranteed by a GSE or U.S. Government agency, and other assets related to the housing, mortgage or real estate markets. We fund our investments primarily through collateralized borrowings structured as repurchase agreements.</w:t>
      </w:r>
    </w:p>
    <w:p>
      <w:pPr>
        <w:spacing w:after="0" w:line="115" w:lineRule="exact"/>
        <w:rPr>
          <w:sz w:val="20"/>
          <w:szCs w:val="20"/>
          <w:color w:val="auto"/>
        </w:rPr>
      </w:pPr>
    </w:p>
    <w:p>
      <w:pPr>
        <w:jc w:val="both"/>
        <w:ind w:firstLine="412"/>
        <w:spacing w:after="0" w:line="296" w:lineRule="auto"/>
        <w:rPr>
          <w:sz w:val="20"/>
          <w:szCs w:val="20"/>
          <w:color w:val="auto"/>
        </w:rPr>
      </w:pPr>
      <w:r>
        <w:rPr>
          <w:rFonts w:ascii="Arial" w:cs="Arial" w:eastAsia="Arial" w:hAnsi="Arial"/>
          <w:sz w:val="15"/>
          <w:szCs w:val="15"/>
          <w:color w:val="auto"/>
        </w:rPr>
        <w:t>We operate to qualify to be taxed as a real estate investment trust ("REIT") under the Internal Revenue Code of 1986, as amended (the "Internal Revenue Code"). As a REIT, we are required to distribute annually 90% of our taxable income, and we will generally not be subject to U.S. federal or state corporate income tax to the extent that we distribute our annual taxable income to our stockholders on a timely basis. It is our intention to distribute 100% of our taxable income, after application of available tax attributes, within the limits prescribed by the Internal Revenue Code, which may extend into the subsequent tax year.</w:t>
      </w:r>
    </w:p>
    <w:p>
      <w:pPr>
        <w:spacing w:after="0" w:line="99" w:lineRule="exact"/>
        <w:rPr>
          <w:sz w:val="20"/>
          <w:szCs w:val="20"/>
          <w:color w:val="auto"/>
        </w:rPr>
      </w:pPr>
    </w:p>
    <w:p>
      <w:pPr>
        <w:jc w:val="both"/>
        <w:ind w:firstLine="412"/>
        <w:spacing w:after="0" w:line="255" w:lineRule="auto"/>
        <w:rPr>
          <w:sz w:val="20"/>
          <w:szCs w:val="20"/>
          <w:color w:val="auto"/>
        </w:rPr>
      </w:pPr>
      <w:r>
        <w:rPr>
          <w:rFonts w:ascii="Arial" w:cs="Arial" w:eastAsia="Arial" w:hAnsi="Arial"/>
          <w:sz w:val="17"/>
          <w:szCs w:val="17"/>
          <w:color w:val="auto"/>
        </w:rPr>
        <w:t>We are internally managed with the principal objective of providing our stockholders with attractive risk-adjusted returns through a combination of monthly dividends and tangible net book value accretion. We generate income from the interest earned on our investments, net of associated borrowing and hedging costs, and net realized gains and losses on our investment and hedging activities.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 Summary of Significant Accounting Policies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of Presentation</w:t>
      </w:r>
    </w:p>
    <w:p>
      <w:pPr>
        <w:spacing w:after="0" w:line="79" w:lineRule="exact"/>
        <w:rPr>
          <w:sz w:val="20"/>
          <w:szCs w:val="20"/>
          <w:color w:val="auto"/>
        </w:rPr>
      </w:pPr>
    </w:p>
    <w:p>
      <w:pPr>
        <w:jc w:val="both"/>
        <w:ind w:firstLine="412"/>
        <w:spacing w:after="0" w:line="249" w:lineRule="auto"/>
        <w:rPr>
          <w:sz w:val="20"/>
          <w:szCs w:val="20"/>
          <w:color w:val="auto"/>
        </w:rPr>
      </w:pPr>
      <w:r>
        <w:rPr>
          <w:rFonts w:ascii="Arial" w:cs="Arial" w:eastAsia="Arial" w:hAnsi="Arial"/>
          <w:sz w:val="17"/>
          <w:szCs w:val="17"/>
          <w:color w:val="auto"/>
        </w:rPr>
        <w:t>Our accompanying consolidated financial statements and related notes have been prepared in accordance with U.S. generally accepted accounting principles ("GAAP") for interim financial information and pursuant to the requirements for reporting on Form 10-Q and Article 10 of Regulation S-X. The accompanying consolidated financial statements and related notes are unaudited and include the accounts of all our wholly-owned subsidiaries and variable interest entities for which we are the primary beneficiary. Significant intercompany accounts and transactions have been eliminated. The accompanying consolidated financial statements and related notes should be read in conjunction with the audited consolidated financial statements included in our most recent Annual Report on Form 10-K for the fiscal year ended December 31, 2020.</w:t>
      </w:r>
    </w:p>
    <w:p>
      <w:pPr>
        <w:spacing w:after="0" w:line="70" w:lineRule="exact"/>
        <w:rPr>
          <w:sz w:val="20"/>
          <w:szCs w:val="20"/>
          <w:color w:val="auto"/>
        </w:rPr>
      </w:pPr>
    </w:p>
    <w:p>
      <w:pPr>
        <w:jc w:val="both"/>
        <w:ind w:firstLine="412"/>
        <w:spacing w:after="0" w:line="250" w:lineRule="auto"/>
        <w:rPr>
          <w:sz w:val="20"/>
          <w:szCs w:val="20"/>
          <w:color w:val="auto"/>
        </w:rPr>
      </w:pPr>
      <w:r>
        <w:rPr>
          <w:rFonts w:ascii="Arial" w:cs="Arial" w:eastAsia="Arial" w:hAnsi="Arial"/>
          <w:sz w:val="17"/>
          <w:szCs w:val="17"/>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income and expenses during the reporting period. In the opinion of management, all adjustments, consisting solely of normal recurring accruals, necessary for the fair presentation of consolidated financial statements for the interim period have been included. The current period’s results of operations are not necessarily indicative of results that ultimately may be achieved for the year.</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Investment Securities</w:t>
      </w:r>
    </w:p>
    <w:p>
      <w:pPr>
        <w:spacing w:after="0" w:line="154" w:lineRule="exact"/>
        <w:rPr>
          <w:sz w:val="20"/>
          <w:szCs w:val="20"/>
          <w:color w:val="auto"/>
        </w:rPr>
      </w:pPr>
    </w:p>
    <w:p>
      <w:pPr>
        <w:jc w:val="both"/>
        <w:ind w:firstLine="375"/>
        <w:spacing w:after="0" w:line="255" w:lineRule="auto"/>
        <w:rPr>
          <w:sz w:val="20"/>
          <w:szCs w:val="20"/>
          <w:color w:val="auto"/>
        </w:rPr>
      </w:pPr>
      <w:r>
        <w:rPr>
          <w:rFonts w:ascii="Arial" w:cs="Arial" w:eastAsia="Arial" w:hAnsi="Arial"/>
          <w:sz w:val="17"/>
          <w:szCs w:val="17"/>
          <w:color w:val="auto"/>
        </w:rPr>
        <w:t>Agency RMBS consist of residential mortgage pass-through securities and collateralized mortgage obligations ("CMOs") guaranteed by the Federal National Mortgage Association ("Fannie Mae"), Federal Home Loan Mortgage Corporation ("Freddie Mac," and together with Fannie Mae, the "GSEs") or the Government National Mortgage Association ("Ginnie Mae").</w:t>
      </w:r>
    </w:p>
    <w:p>
      <w:pPr>
        <w:spacing w:after="0" w:line="127" w:lineRule="exact"/>
        <w:rPr>
          <w:sz w:val="20"/>
          <w:szCs w:val="20"/>
          <w:color w:val="auto"/>
        </w:rPr>
      </w:pPr>
    </w:p>
    <w:p>
      <w:pPr>
        <w:jc w:val="both"/>
        <w:ind w:firstLine="375"/>
        <w:spacing w:after="0" w:line="296" w:lineRule="auto"/>
        <w:rPr>
          <w:sz w:val="20"/>
          <w:szCs w:val="20"/>
          <w:color w:val="auto"/>
        </w:rPr>
      </w:pPr>
      <w:r>
        <w:rPr>
          <w:rFonts w:ascii="Arial" w:cs="Arial" w:eastAsia="Arial" w:hAnsi="Arial"/>
          <w:sz w:val="15"/>
          <w:szCs w:val="15"/>
          <w:color w:val="auto"/>
        </w:rPr>
        <w:t>CRT securities are risk sharing instruments issued by the GSEs, and similarly structured transactions issued by third-party market participants, that synthetically transfer a portion of the risk associated with credit losses within pools of conventional residential mortgage loans from the GSEs and/or third parties to private investors. Unlike Agency RMBS, full repayment of the original principal balance of CRT securities is not guaranteed by a GSE or U.S. Government agency; rather, "credit risk transfer" is achieved by writing down the outstanding principal balance of the CRT securities if credit losses on a related pool</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835" w:right="339" w:bottom="1440" w:gutter="0" w:footer="0" w:header="0"/>
        </w:sectPr>
      </w:pPr>
    </w:p>
    <w:bookmarkStart w:id="7" w:name="page8"/>
    <w:bookmarkEnd w:id="7"/>
    <w:p>
      <w:pPr>
        <w:jc w:val="both"/>
        <w:spacing w:after="0" w:line="266" w:lineRule="auto"/>
        <w:rPr>
          <w:sz w:val="20"/>
          <w:szCs w:val="20"/>
          <w:color w:val="auto"/>
        </w:rPr>
      </w:pPr>
      <w:r>
        <w:rPr>
          <w:rFonts w:ascii="Arial" w:cs="Arial" w:eastAsia="Arial" w:hAnsi="Arial"/>
          <w:sz w:val="17"/>
          <w:szCs w:val="17"/>
          <w:color w:val="auto"/>
        </w:rPr>
        <w:t>of loans exceed certain thresholds. By reducing the amount that they are obligated to repay to holders of CRT securities, the GSEs and/or other third parties offset credit losses on the related loans.</w:t>
      </w:r>
    </w:p>
    <w:p>
      <w:pPr>
        <w:spacing w:after="0" w:line="117" w:lineRule="exact"/>
        <w:rPr>
          <w:sz w:val="20"/>
          <w:szCs w:val="20"/>
          <w:color w:val="auto"/>
        </w:rPr>
      </w:pPr>
    </w:p>
    <w:p>
      <w:pPr>
        <w:jc w:val="both"/>
        <w:ind w:firstLine="375"/>
        <w:spacing w:after="0" w:line="279" w:lineRule="auto"/>
        <w:rPr>
          <w:sz w:val="20"/>
          <w:szCs w:val="20"/>
          <w:color w:val="auto"/>
        </w:rPr>
      </w:pPr>
      <w:r>
        <w:rPr>
          <w:rFonts w:ascii="Arial" w:cs="Arial" w:eastAsia="Arial" w:hAnsi="Arial"/>
          <w:sz w:val="16"/>
          <w:szCs w:val="16"/>
          <w:color w:val="auto"/>
        </w:rPr>
        <w:t>Non-Agency RMBS and CMBS (together, "Non-Agency MBS") are backed by residential and commercial mortgage loans, respectively, packaged and securitized by a private institution, such as a commercial bank. Non-Agency MBS typically benefit from credit enhancements derived from structural elements, such as subordination, overcollateralization or insurance, but nonetheless carry a higher level of credit exposure than Agency RMBS.</w:t>
      </w:r>
    </w:p>
    <w:p>
      <w:pPr>
        <w:spacing w:after="0" w:line="108" w:lineRule="exact"/>
        <w:rPr>
          <w:sz w:val="20"/>
          <w:szCs w:val="20"/>
          <w:color w:val="auto"/>
        </w:rPr>
      </w:pPr>
    </w:p>
    <w:p>
      <w:pPr>
        <w:jc w:val="both"/>
        <w:ind w:firstLine="412"/>
        <w:spacing w:after="0" w:line="284" w:lineRule="auto"/>
        <w:rPr>
          <w:sz w:val="20"/>
          <w:szCs w:val="20"/>
          <w:color w:val="auto"/>
        </w:rPr>
      </w:pPr>
      <w:r>
        <w:rPr>
          <w:rFonts w:ascii="Arial" w:cs="Arial" w:eastAsia="Arial" w:hAnsi="Arial"/>
          <w:sz w:val="15"/>
          <w:szCs w:val="15"/>
          <w:color w:val="auto"/>
        </w:rPr>
        <w:t xml:space="preserve">All of our securities are reported at fair value on our consolidated balance sheet. Accounting Standards Codification ("ASC") Topic 320, </w:t>
      </w:r>
      <w:r>
        <w:rPr>
          <w:rFonts w:ascii="Arial" w:cs="Arial" w:eastAsia="Arial" w:hAnsi="Arial"/>
          <w:sz w:val="15"/>
          <w:szCs w:val="15"/>
          <w:i w:val="1"/>
          <w:iCs w:val="1"/>
          <w:color w:val="auto"/>
        </w:rPr>
        <w:t>Investments—Debt and</w:t>
      </w:r>
      <w:r>
        <w:rPr>
          <w:rFonts w:ascii="Arial" w:cs="Arial" w:eastAsia="Arial" w:hAnsi="Arial"/>
          <w:sz w:val="15"/>
          <w:szCs w:val="15"/>
          <w:color w:val="auto"/>
        </w:rPr>
        <w:t xml:space="preserve"> </w:t>
      </w:r>
      <w:r>
        <w:rPr>
          <w:rFonts w:ascii="Arial" w:cs="Arial" w:eastAsia="Arial" w:hAnsi="Arial"/>
          <w:sz w:val="15"/>
          <w:szCs w:val="15"/>
          <w:i w:val="1"/>
          <w:iCs w:val="1"/>
          <w:color w:val="auto"/>
        </w:rPr>
        <w:t>Equity Securities</w:t>
      </w:r>
      <w:r>
        <w:rPr>
          <w:rFonts w:ascii="Arial" w:cs="Arial" w:eastAsia="Arial" w:hAnsi="Arial"/>
          <w:sz w:val="15"/>
          <w:szCs w:val="15"/>
          <w:color w:val="auto"/>
        </w:rPr>
        <w:t>, requires that at the time of purchase, we designate a security as held-to-maturity, available-for-sale or trading, depending on our ability and intent to</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hold such security to maturity. Alternatively, we may elect the fair value option of accounting for securities pursuant to ASC Topic 825, </w:t>
      </w:r>
      <w:r>
        <w:rPr>
          <w:rFonts w:ascii="Arial" w:cs="Arial" w:eastAsia="Arial" w:hAnsi="Arial"/>
          <w:sz w:val="15"/>
          <w:szCs w:val="15"/>
          <w:i w:val="1"/>
          <w:iCs w:val="1"/>
          <w:color w:val="auto"/>
        </w:rPr>
        <w:t>Financial Instruments</w:t>
      </w:r>
      <w:r>
        <w:rPr>
          <w:rFonts w:ascii="Arial" w:cs="Arial" w:eastAsia="Arial" w:hAnsi="Arial"/>
          <w:sz w:val="15"/>
          <w:szCs w:val="15"/>
          <w:color w:val="auto"/>
        </w:rPr>
        <w:t>. Prior to fiscal year 2017, we primarily designated our investment securities as available-for-sale. On January 1, 2017, we began electing the fair value option of accounting for all investment securities newly acquired after such date. Unrealized gains and losses on securities classified as available-for-sale are reported in accumulated other comprehensive income ("OCI"), whereas unrealized gains and losses on securities for which we elected the fair value option, or are classified as trading, are reported in net income through other gain (loss). Upon the sale of a security designated as available-for-sale, we determine the cost of the security and the amount of unrealized gain or loss to reclassify out of accumulated OCI into earnings based on the specific identification method. In our view, the election of the fair value option simplifies the accounting for investment securities and more appropriately reflects the results of our operations for a reporting period by presenting the fair value changes for these assets in a manner consistent with the presentation and timing of the fair value changes for our derivative instruments.</w:t>
      </w:r>
    </w:p>
    <w:p>
      <w:pPr>
        <w:spacing w:after="0" w:line="109" w:lineRule="exact"/>
        <w:rPr>
          <w:sz w:val="20"/>
          <w:szCs w:val="20"/>
          <w:color w:val="auto"/>
        </w:rPr>
      </w:pPr>
    </w:p>
    <w:p>
      <w:pPr>
        <w:jc w:val="both"/>
        <w:ind w:firstLine="412"/>
        <w:spacing w:after="0" w:line="270" w:lineRule="auto"/>
        <w:rPr>
          <w:sz w:val="20"/>
          <w:szCs w:val="20"/>
          <w:color w:val="auto"/>
        </w:rPr>
      </w:pPr>
      <w:r>
        <w:rPr>
          <w:rFonts w:ascii="Arial" w:cs="Arial" w:eastAsia="Arial" w:hAnsi="Arial"/>
          <w:sz w:val="16"/>
          <w:szCs w:val="16"/>
          <w:color w:val="auto"/>
        </w:rPr>
        <w:t>We generally recognize gains or losses through net income on available-for-sale securities only if the security is sold; however, if the fair value of a security declines below its amortized cost and we determine that it is more likely than not that we will incur a realized loss on the security when we sell the asset, we will recognize the difference between the amortized cost and the fair value in net income as a component of other gain (loss). Since all of our available-for-sale designated securities consist of Agency RMBS, we do not have an allowance for credit losses. We have not recognized impairment losses on our available-for-sale securities through net income for the periods presented in our consolidated financial statements.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Income</w:t>
      </w:r>
    </w:p>
    <w:p>
      <w:pPr>
        <w:spacing w:after="0" w:line="154" w:lineRule="exact"/>
        <w:rPr>
          <w:sz w:val="20"/>
          <w:szCs w:val="20"/>
          <w:color w:val="auto"/>
        </w:rPr>
      </w:pPr>
    </w:p>
    <w:p>
      <w:pPr>
        <w:jc w:val="both"/>
        <w:ind w:firstLine="412"/>
        <w:spacing w:after="0" w:line="252" w:lineRule="auto"/>
        <w:rPr>
          <w:sz w:val="20"/>
          <w:szCs w:val="20"/>
          <w:color w:val="auto"/>
        </w:rPr>
      </w:pPr>
      <w:r>
        <w:rPr>
          <w:rFonts w:ascii="Arial" w:cs="Arial" w:eastAsia="Arial" w:hAnsi="Arial"/>
          <w:sz w:val="17"/>
          <w:szCs w:val="17"/>
          <w:color w:val="auto"/>
        </w:rPr>
        <w:t xml:space="preserve">Interest income is accrued based on the outstanding principal amount of the investment securities and their contractual terms. Premiums or discounts associated with the purchase of Agency RMBS and non-Agency MBS of high credit quality are amortized or accreted into interest income, respectively, over the projected lives of the securities, including contractual payments and estimated prepayments, using the effective interest method in accordance with ASC Subtopic 310-20, </w:t>
      </w:r>
      <w:r>
        <w:rPr>
          <w:rFonts w:ascii="Arial" w:cs="Arial" w:eastAsia="Arial" w:hAnsi="Arial"/>
          <w:sz w:val="17"/>
          <w:szCs w:val="17"/>
          <w:i w:val="1"/>
          <w:iCs w:val="1"/>
          <w:color w:val="auto"/>
        </w:rPr>
        <w:t>Receivables—</w:t>
      </w:r>
      <w:r>
        <w:rPr>
          <w:rFonts w:ascii="Arial" w:cs="Arial" w:eastAsia="Arial" w:hAnsi="Arial"/>
          <w:sz w:val="17"/>
          <w:szCs w:val="17"/>
          <w:color w:val="auto"/>
        </w:rPr>
        <w:t xml:space="preserve"> </w:t>
      </w:r>
      <w:r>
        <w:rPr>
          <w:rFonts w:ascii="Arial" w:cs="Arial" w:eastAsia="Arial" w:hAnsi="Arial"/>
          <w:sz w:val="17"/>
          <w:szCs w:val="17"/>
          <w:i w:val="1"/>
          <w:iCs w:val="1"/>
          <w:color w:val="auto"/>
        </w:rPr>
        <w:t>Nonrefundable Fees and Other Costs</w:t>
      </w:r>
      <w:r>
        <w:rPr>
          <w:rFonts w:ascii="Arial" w:cs="Arial" w:eastAsia="Arial" w:hAnsi="Arial"/>
          <w:sz w:val="17"/>
          <w:szCs w:val="17"/>
          <w:color w:val="auto"/>
        </w:rPr>
        <w:t>.</w:t>
      </w:r>
    </w:p>
    <w:p>
      <w:pPr>
        <w:spacing w:after="0" w:line="129" w:lineRule="exact"/>
        <w:rPr>
          <w:sz w:val="20"/>
          <w:szCs w:val="20"/>
          <w:color w:val="auto"/>
        </w:rPr>
      </w:pPr>
    </w:p>
    <w:p>
      <w:pPr>
        <w:jc w:val="both"/>
        <w:ind w:firstLine="412"/>
        <w:spacing w:after="0" w:line="285" w:lineRule="auto"/>
        <w:rPr>
          <w:sz w:val="20"/>
          <w:szCs w:val="20"/>
          <w:color w:val="auto"/>
        </w:rPr>
      </w:pPr>
      <w:r>
        <w:rPr>
          <w:rFonts w:ascii="Arial" w:cs="Arial" w:eastAsia="Arial" w:hAnsi="Arial"/>
          <w:sz w:val="15"/>
          <w:szCs w:val="15"/>
          <w:color w:val="auto"/>
        </w:rPr>
        <w:t>We estimate long-term prepayment speeds of our mortgage securities using a third-party service and market data. The third-party service provider estimates prepayment speeds using models that incorporate the forward yield curve, primary to secondary mortgage rate spreads, current mortgage rates, mortgage rates of the outstanding loans, age and size of the outstanding loans, loan-to-value ratios, interest rate volatility and other factors. We review the prepayment speeds estimated by the third-party service for reasonableness with consideration given to both historical prepayment speeds and current market conditions. If based on our assessment, we believe that the third-party model does not fully reflect our expectations of the current prepayment landscape, such as during periods of elevated market uncertainty or unique market conditions, we may make adjustments to the models. We review our actual and anticipated prepayment experience on at least a quarterly basis and effective yields are recalculated when differences arise between (i) our previous estimate of future prepayments and (ii) actual prepayments to date and our current estimate of future prepayments. We are required to record an adjustment in the current period to premium amortization / discount accretion for the cumulative effect of the difference in the effective yields as if the recalculated yield had been in place as of the security's acquisition date through the reporting date.</w:t>
      </w:r>
    </w:p>
    <w:p>
      <w:pPr>
        <w:spacing w:after="0" w:line="106" w:lineRule="exact"/>
        <w:rPr>
          <w:sz w:val="20"/>
          <w:szCs w:val="20"/>
          <w:color w:val="auto"/>
        </w:rPr>
      </w:pPr>
    </w:p>
    <w:p>
      <w:pPr>
        <w:jc w:val="both"/>
        <w:ind w:firstLine="412"/>
        <w:spacing w:after="0" w:line="268" w:lineRule="auto"/>
        <w:rPr>
          <w:sz w:val="20"/>
          <w:szCs w:val="20"/>
          <w:color w:val="auto"/>
        </w:rPr>
      </w:pPr>
      <w:r>
        <w:rPr>
          <w:rFonts w:ascii="Arial" w:cs="Arial" w:eastAsia="Arial" w:hAnsi="Arial"/>
          <w:sz w:val="16"/>
          <w:szCs w:val="16"/>
          <w:color w:val="auto"/>
        </w:rPr>
        <w:t>At the time we purchase CRT securities and non-Agency MBS that are not of high credit quality, we determine an effective yield based on our estimate of the timing and amount of future cash flows and our cost basis. Our initial cash flow estimates for these investments are based on our observations of current information and events and include assumptions related to interest rates, prepayment rates and the impact of default and severity rates on the timing and amount of credit losses. On at least a quarterly basis, we review the estimated cash flows and make appropriate adjustments based on inputs and analysis received from external sources, internal models, and our judgment regarding such inputs and other factors. Any resulting changes in effective yield are recognized prospectively based on the current amortized cost of the investment adjusted for credit impairments, if any.</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8" w:name="page9"/>
    <w:bookmarkEnd w:id="8"/>
    <w:p>
      <w:pPr>
        <w:spacing w:after="0"/>
        <w:rPr>
          <w:sz w:val="20"/>
          <w:szCs w:val="20"/>
          <w:color w:val="auto"/>
        </w:rPr>
      </w:pPr>
      <w:r>
        <w:rPr>
          <w:rFonts w:ascii="Arial" w:cs="Arial" w:eastAsia="Arial" w:hAnsi="Arial"/>
          <w:sz w:val="17"/>
          <w:szCs w:val="17"/>
          <w:b w:val="1"/>
          <w:bCs w:val="1"/>
          <w:i w:val="1"/>
          <w:iCs w:val="1"/>
          <w:color w:val="auto"/>
        </w:rPr>
        <w:t>Repurchase Agreements</w:t>
      </w:r>
    </w:p>
    <w:p>
      <w:pPr>
        <w:spacing w:after="0" w:line="154" w:lineRule="exact"/>
        <w:rPr>
          <w:sz w:val="20"/>
          <w:szCs w:val="20"/>
          <w:color w:val="auto"/>
        </w:rPr>
      </w:pPr>
    </w:p>
    <w:p>
      <w:pPr>
        <w:jc w:val="both"/>
        <w:ind w:firstLine="412"/>
        <w:spacing w:after="0" w:line="270" w:lineRule="auto"/>
        <w:rPr>
          <w:sz w:val="20"/>
          <w:szCs w:val="20"/>
          <w:color w:val="auto"/>
        </w:rPr>
      </w:pPr>
      <w:r>
        <w:rPr>
          <w:rFonts w:ascii="Arial" w:cs="Arial" w:eastAsia="Arial" w:hAnsi="Arial"/>
          <w:sz w:val="16"/>
          <w:szCs w:val="16"/>
          <w:color w:val="auto"/>
        </w:rPr>
        <w:t xml:space="preserve">We finance the acquisition of securities for our investment portfolio primarily through repurchase agreements with financial institutions. Repurchase arrangements involve the sale and a simultaneous agreement to repurchase the transferred assets at a future date. We maintain a beneficial interest in the specific securities pledged during the term of each repurchase arrangement and we receive the related principal and interest payments. Pursuant to ASC Topic 860, </w:t>
      </w:r>
      <w:r>
        <w:rPr>
          <w:rFonts w:ascii="Arial" w:cs="Arial" w:eastAsia="Arial" w:hAnsi="Arial"/>
          <w:sz w:val="16"/>
          <w:szCs w:val="16"/>
          <w:i w:val="1"/>
          <w:iCs w:val="1"/>
          <w:color w:val="auto"/>
        </w:rPr>
        <w:t>Transfers</w:t>
      </w:r>
      <w:r>
        <w:rPr>
          <w:rFonts w:ascii="Arial" w:cs="Arial" w:eastAsia="Arial" w:hAnsi="Arial"/>
          <w:sz w:val="16"/>
          <w:szCs w:val="16"/>
          <w:color w:val="auto"/>
        </w:rPr>
        <w:t xml:space="preserve"> </w:t>
      </w:r>
      <w:r>
        <w:rPr>
          <w:rFonts w:ascii="Arial" w:cs="Arial" w:eastAsia="Arial" w:hAnsi="Arial"/>
          <w:sz w:val="16"/>
          <w:szCs w:val="16"/>
          <w:i w:val="1"/>
          <w:iCs w:val="1"/>
          <w:color w:val="auto"/>
        </w:rPr>
        <w:t>and Servicing</w:t>
      </w:r>
      <w:r>
        <w:rPr>
          <w:rFonts w:ascii="Arial" w:cs="Arial" w:eastAsia="Arial" w:hAnsi="Arial"/>
          <w:sz w:val="16"/>
          <w:szCs w:val="16"/>
          <w:color w:val="auto"/>
        </w:rPr>
        <w:t>, we account for repurchase agreements as collateralized financing transactions, which are carried at their contractual amounts (cost), plus accrued interest.</w:t>
      </w:r>
      <w:r>
        <w:rPr>
          <w:rFonts w:ascii="Arial" w:cs="Arial" w:eastAsia="Arial" w:hAnsi="Arial"/>
          <w:sz w:val="16"/>
          <w:szCs w:val="16"/>
          <w:i w:val="1"/>
          <w:iCs w:val="1"/>
          <w:color w:val="auto"/>
        </w:rPr>
        <w:t xml:space="preserve"> </w:t>
      </w:r>
      <w:r>
        <w:rPr>
          <w:rFonts w:ascii="Arial" w:cs="Arial" w:eastAsia="Arial" w:hAnsi="Arial"/>
          <w:sz w:val="16"/>
          <w:szCs w:val="16"/>
          <w:color w:val="auto"/>
        </w:rPr>
        <w:t>Our repurchase agreements typically have maturities of less than one year but may extend up to five years or more.</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Reverse Repurchase Agreements and Obligation to Return Securities Borrowed under Reverse Repurchase Agreements</w:t>
      </w:r>
    </w:p>
    <w:p>
      <w:pPr>
        <w:spacing w:after="0" w:line="154" w:lineRule="exact"/>
        <w:rPr>
          <w:sz w:val="20"/>
          <w:szCs w:val="20"/>
          <w:color w:val="auto"/>
        </w:rPr>
      </w:pPr>
    </w:p>
    <w:p>
      <w:pPr>
        <w:jc w:val="both"/>
        <w:ind w:firstLine="375"/>
        <w:spacing w:after="0" w:line="270" w:lineRule="auto"/>
        <w:rPr>
          <w:sz w:val="20"/>
          <w:szCs w:val="20"/>
          <w:color w:val="auto"/>
        </w:rPr>
      </w:pPr>
      <w:r>
        <w:rPr>
          <w:rFonts w:ascii="Arial" w:cs="Arial" w:eastAsia="Arial" w:hAnsi="Arial"/>
          <w:sz w:val="16"/>
          <w:szCs w:val="16"/>
          <w:color w:val="auto"/>
        </w:rPr>
        <w:t xml:space="preserve">We borrow securities to cover short sales of U.S. Treasury securities through reverse repurchase transactions under our master repurchase agreements (see </w:t>
      </w:r>
      <w:r>
        <w:rPr>
          <w:rFonts w:ascii="Arial" w:cs="Arial" w:eastAsia="Arial" w:hAnsi="Arial"/>
          <w:sz w:val="16"/>
          <w:szCs w:val="16"/>
          <w:i w:val="1"/>
          <w:iCs w:val="1"/>
          <w:color w:val="auto"/>
        </w:rPr>
        <w:t xml:space="preserve">Derivative Instruments </w:t>
      </w:r>
      <w:r>
        <w:rPr>
          <w:rFonts w:ascii="Arial" w:cs="Arial" w:eastAsia="Arial" w:hAnsi="Arial"/>
          <w:sz w:val="16"/>
          <w:szCs w:val="16"/>
          <w:color w:val="auto"/>
        </w:rPr>
        <w:t>below). We account for these as securities borrowing transactions and recognize an obligation to return the borrowed securities at fair value on</w:t>
      </w:r>
      <w:r>
        <w:rPr>
          <w:rFonts w:ascii="Arial" w:cs="Arial" w:eastAsia="Arial" w:hAnsi="Arial"/>
          <w:sz w:val="16"/>
          <w:szCs w:val="16"/>
          <w:i w:val="1"/>
          <w:iCs w:val="1"/>
          <w:color w:val="auto"/>
        </w:rPr>
        <w:t xml:space="preserve"> </w:t>
      </w:r>
      <w:r>
        <w:rPr>
          <w:rFonts w:ascii="Arial" w:cs="Arial" w:eastAsia="Arial" w:hAnsi="Arial"/>
          <w:sz w:val="16"/>
          <w:szCs w:val="16"/>
          <w:color w:val="auto"/>
        </w:rPr>
        <w:t>the balance sheet based on the value of the underlying borrowed securities as of the reporting date. We may also enter into reverse repurchase agreements to earn a yield on excess cash balances. The securities received as collateral in connection with our reverse repurchase agreements mitigate our credit risk exposure to counterparties. Our reverse repurchase agreements typically have maturities of 30 days or less.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Derivative Instruments</w:t>
      </w:r>
    </w:p>
    <w:p>
      <w:pPr>
        <w:spacing w:after="0" w:line="154" w:lineRule="exact"/>
        <w:rPr>
          <w:sz w:val="20"/>
          <w:szCs w:val="20"/>
          <w:color w:val="auto"/>
        </w:rPr>
      </w:pPr>
    </w:p>
    <w:p>
      <w:pPr>
        <w:jc w:val="both"/>
        <w:ind w:firstLine="375"/>
        <w:spacing w:after="0" w:line="292" w:lineRule="auto"/>
        <w:rPr>
          <w:sz w:val="20"/>
          <w:szCs w:val="20"/>
          <w:color w:val="auto"/>
        </w:rPr>
      </w:pPr>
      <w:r>
        <w:rPr>
          <w:rFonts w:ascii="Arial" w:cs="Arial" w:eastAsia="Arial" w:hAnsi="Arial"/>
          <w:sz w:val="15"/>
          <w:szCs w:val="15"/>
          <w:color w:val="auto"/>
        </w:rPr>
        <w:t>We use a variety of derivative instruments to hedge a portion of our exposure to market risks, including interest rate, prepayment, extension and liquidity risks. The objective of our risk management strategy is to reduce fluctuations in net book value over a range of interest rate scenarios. In particular, we attempt to mitigate the risk of the cost of our variable rate liabilities increasing during a period of rising interest rates. The primary instruments that we use are interest rate swaps, options to enter into interest rate swaps ("swaptions"), U.S. Treasury securities and U.S. Treasury futures contracts. We also use forward contracts in the Agency RMBS "to-be-announced" market, or TBA securities, to invest in and finance Agency securities and to periodically reduce our exposure to Agency RMBS.</w:t>
      </w:r>
    </w:p>
    <w:p>
      <w:pPr>
        <w:spacing w:after="0" w:line="101" w:lineRule="exact"/>
        <w:rPr>
          <w:sz w:val="20"/>
          <w:szCs w:val="20"/>
          <w:color w:val="auto"/>
        </w:rPr>
      </w:pPr>
    </w:p>
    <w:p>
      <w:pPr>
        <w:jc w:val="both"/>
        <w:ind w:firstLine="412"/>
        <w:spacing w:after="0" w:line="296" w:lineRule="auto"/>
        <w:rPr>
          <w:sz w:val="20"/>
          <w:szCs w:val="20"/>
          <w:color w:val="auto"/>
        </w:rPr>
      </w:pPr>
      <w:r>
        <w:rPr>
          <w:rFonts w:ascii="Arial" w:cs="Arial" w:eastAsia="Arial" w:hAnsi="Arial"/>
          <w:sz w:val="15"/>
          <w:szCs w:val="15"/>
          <w:color w:val="auto"/>
        </w:rPr>
        <w:t xml:space="preserve">We account for derivative instruments in accordance with ASC Topic 815, </w:t>
      </w:r>
      <w:r>
        <w:rPr>
          <w:rFonts w:ascii="Arial" w:cs="Arial" w:eastAsia="Arial" w:hAnsi="Arial"/>
          <w:sz w:val="15"/>
          <w:szCs w:val="15"/>
          <w:i w:val="1"/>
          <w:iCs w:val="1"/>
          <w:color w:val="auto"/>
        </w:rPr>
        <w:t>Derivatives and Hedging</w:t>
      </w:r>
      <w:r>
        <w:rPr>
          <w:rFonts w:ascii="Arial" w:cs="Arial" w:eastAsia="Arial" w:hAnsi="Arial"/>
          <w:sz w:val="15"/>
          <w:szCs w:val="15"/>
          <w:color w:val="auto"/>
        </w:rPr>
        <w:t xml:space="preserve"> ("ASC 815"). ASC 815 requires an entity to recognize all derivatives as either assets or liabilities in our accompanying consolidated balance sheets and to measure those instruments at fair value. None of our derivative instruments have been designated as hedging instruments for accounting purposes under the provisions of ASC 815, consequently changes in the fair value of our derivative instruments are reported in gain (loss) on derivative instruments and other securities, net in our consolidated statements of comprehensive income.</w:t>
      </w:r>
    </w:p>
    <w:p>
      <w:pPr>
        <w:spacing w:after="0" w:line="99" w:lineRule="exact"/>
        <w:rPr>
          <w:sz w:val="20"/>
          <w:szCs w:val="20"/>
          <w:color w:val="auto"/>
        </w:rPr>
      </w:pPr>
    </w:p>
    <w:p>
      <w:pPr>
        <w:jc w:val="both"/>
        <w:ind w:firstLine="375"/>
        <w:spacing w:after="0" w:line="268" w:lineRule="auto"/>
        <w:rPr>
          <w:sz w:val="20"/>
          <w:szCs w:val="20"/>
          <w:color w:val="auto"/>
        </w:rPr>
      </w:pPr>
      <w:r>
        <w:rPr>
          <w:rFonts w:ascii="Arial" w:cs="Arial" w:eastAsia="Arial" w:hAnsi="Arial"/>
          <w:sz w:val="16"/>
          <w:szCs w:val="16"/>
          <w:color w:val="auto"/>
        </w:rPr>
        <w:t>Our derivative agreements generally contain provisions that allow for netting or setting off derivative assets and liabilities with the counterparty; however, we report related assets and liabilities on a gross basis in our consolidated balance sheets. Derivative instruments in a gain position are reported as derivative assets at fair value and derivative instruments in a loss position are reported as derivative liabilities at fair value in our consolidated balance sheets. Changes in fair value of derivative instruments and periodic settlements related to our derivative instruments are recorded in gain (loss) on derivative instruments and other securities, net in our consolidated statements of comprehensive income. Cash receipts and payments related to derivative instruments are classified in our consolidated statements of cash flows according to the underlying nature or purpose of the derivative transaction, generally in the investing section.</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Interest rate swap agreements</w:t>
      </w:r>
    </w:p>
    <w:p>
      <w:pPr>
        <w:spacing w:after="0" w:line="154" w:lineRule="exact"/>
        <w:rPr>
          <w:sz w:val="20"/>
          <w:szCs w:val="20"/>
          <w:color w:val="auto"/>
        </w:rPr>
      </w:pPr>
    </w:p>
    <w:p>
      <w:pPr>
        <w:jc w:val="both"/>
        <w:ind w:firstLine="412"/>
        <w:spacing w:after="0" w:line="266" w:lineRule="auto"/>
        <w:rPr>
          <w:sz w:val="20"/>
          <w:szCs w:val="20"/>
          <w:color w:val="auto"/>
        </w:rPr>
      </w:pPr>
      <w:r>
        <w:rPr>
          <w:rFonts w:ascii="Arial" w:cs="Arial" w:eastAsia="Arial" w:hAnsi="Arial"/>
          <w:sz w:val="16"/>
          <w:szCs w:val="16"/>
          <w:color w:val="auto"/>
        </w:rPr>
        <w:t>We use interest rate swaps to economically hedge the variable cash flows associated with our borrowings made under repurchase agreements. Under our interest rate swap agreements, we typically pay a fixed rate and receive a floating rate ("payer swaps") based on a short-term benchmark rate, such as the Secured Overnight Financing Rate ("SOFR"), Overnight Index Swap Rate ("OIS") or three-month London Interbank Offered Rate ("LIBOR"). Our interest rate swaps typically have terms from one to 10 years but may extend up to 20 years or more. Our interest rate swaps are centrally cleared through a registered commodities exchange. The clearing exchange requires that we post an "initial margin" amount determined by the exchange, which is generally intended to be set at a level sufficient to protect the exchange from the interest rate swap's maximum estimated single-day price movement. We also exchange daily settlements of "variation margin" based upon changes in fair value, as measured by the exchange. Pursuant to rules governing central clearing activities, we recognize variation margin settlements as a direct reduction of the carrying value of the interest rate swap asset or liability.</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9" w:name="page10"/>
    <w:bookmarkEnd w:id="9"/>
    <w:p>
      <w:pPr>
        <w:ind w:left="380"/>
        <w:spacing w:after="0"/>
        <w:rPr>
          <w:sz w:val="20"/>
          <w:szCs w:val="20"/>
          <w:color w:val="auto"/>
        </w:rPr>
      </w:pPr>
      <w:r>
        <w:rPr>
          <w:rFonts w:ascii="Arial" w:cs="Arial" w:eastAsia="Arial" w:hAnsi="Arial"/>
          <w:sz w:val="17"/>
          <w:szCs w:val="17"/>
          <w:i w:val="1"/>
          <w:iCs w:val="1"/>
          <w:color w:val="auto"/>
        </w:rPr>
        <w:t>Interest rate swaptions</w:t>
      </w:r>
    </w:p>
    <w:p>
      <w:pPr>
        <w:spacing w:after="0" w:line="154" w:lineRule="exact"/>
        <w:rPr>
          <w:sz w:val="20"/>
          <w:szCs w:val="20"/>
          <w:color w:val="auto"/>
        </w:rPr>
      </w:pPr>
    </w:p>
    <w:p>
      <w:pPr>
        <w:jc w:val="both"/>
        <w:ind w:firstLine="412"/>
        <w:spacing w:after="0" w:line="267" w:lineRule="auto"/>
        <w:rPr>
          <w:sz w:val="20"/>
          <w:szCs w:val="20"/>
          <w:color w:val="auto"/>
        </w:rPr>
      </w:pPr>
      <w:r>
        <w:rPr>
          <w:rFonts w:ascii="Arial" w:cs="Arial" w:eastAsia="Arial" w:hAnsi="Arial"/>
          <w:sz w:val="16"/>
          <w:szCs w:val="16"/>
          <w:color w:val="auto"/>
        </w:rPr>
        <w:t>We purchase interest rate swaptions to help mitigate the potential impact of larger, more rapid changes in interest rates on the performance of our investment portfolio. Interest rate swaptions provide us the option to enter into an interest rate swap agreement for a predetermined notional amount, stated term and pay and receive interest rates in the future. Our interest rate swaption agreements are not subject to central clearing. The premium paid for interest rate swaptions is reported as an asset in our consolidated balance sheets. The difference between the premium paid and the fair value of the swaption is reported in gain (loss) on derivative instruments and other securities, net in our consolidated statements of comprehensive income. If a swaption expires unexercised, the realized loss on the swaption would be equal to the premium paid. If we sell or exercise a swaption, the realized gain or loss on the swaption would be equal to the difference between the cash or the fair value of the underlying interest rate swap and the premium paid.</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TBA securities</w:t>
      </w:r>
    </w:p>
    <w:p>
      <w:pPr>
        <w:spacing w:after="0" w:line="154" w:lineRule="exact"/>
        <w:rPr>
          <w:sz w:val="20"/>
          <w:szCs w:val="20"/>
          <w:color w:val="auto"/>
        </w:rPr>
      </w:pPr>
    </w:p>
    <w:p>
      <w:pPr>
        <w:jc w:val="both"/>
        <w:ind w:firstLine="412"/>
        <w:spacing w:after="0" w:line="287" w:lineRule="auto"/>
        <w:rPr>
          <w:sz w:val="20"/>
          <w:szCs w:val="20"/>
          <w:color w:val="auto"/>
        </w:rPr>
      </w:pPr>
      <w:r>
        <w:rPr>
          <w:rFonts w:ascii="Arial" w:cs="Arial" w:eastAsia="Arial" w:hAnsi="Arial"/>
          <w:sz w:val="15"/>
          <w:szCs w:val="15"/>
          <w:color w:val="auto"/>
        </w:rPr>
        <w:t>A TBA security is a forward contract for the purchase or sale of Agency RMBS at a predetermined price, face amount, issuer, coupon and stated maturity on an agreed-upon future date. The specific Agency RMBS to be delivered into the contract are not known until shortly before the settlement date. We may choose, prior to settlement, to move the settlement of these securities out to a later date by entering into an offsetting TBA position, net settling the offsetting positions for cash, and simultaneously purchasing or selling a similar TBA contract for a later settlement date (together referred to as a "dollar roll transaction"). The Agency securities purchased or sold for a forward settlement date are typically priced at a discount to equivalent securities settling in the current month. This difference, or "price drop," is the economic equivalent of interest income on the underlying Agency securities, less an implied funding cost, over the forward settlement period (referred to as "dollar roll income"). Consequently, forward purchases of Agency securities and dollar roll transactions represent a form of off-balance sheet financing.</w:t>
      </w:r>
    </w:p>
    <w:p>
      <w:pPr>
        <w:spacing w:after="0" w:line="106" w:lineRule="exact"/>
        <w:rPr>
          <w:sz w:val="20"/>
          <w:szCs w:val="20"/>
          <w:color w:val="auto"/>
        </w:rPr>
      </w:pPr>
    </w:p>
    <w:p>
      <w:pPr>
        <w:jc w:val="both"/>
        <w:ind w:firstLine="412"/>
        <w:spacing w:after="0" w:line="255" w:lineRule="auto"/>
        <w:rPr>
          <w:sz w:val="20"/>
          <w:szCs w:val="20"/>
          <w:color w:val="auto"/>
        </w:rPr>
      </w:pPr>
      <w:r>
        <w:rPr>
          <w:rFonts w:ascii="Arial" w:cs="Arial" w:eastAsia="Arial" w:hAnsi="Arial"/>
          <w:sz w:val="17"/>
          <w:szCs w:val="17"/>
          <w:color w:val="auto"/>
        </w:rPr>
        <w:t>We account for TBA contracts as derivative instruments since either the TBA contracts do not settle in the shortest period of time possible or we cannot assert that it is probable at inception and throughout the term of the TBA contract that we will physically settle the contract on the settlement date. We account for TBA dollar roll transactions as a series of derivative transactions.</w:t>
      </w:r>
    </w:p>
    <w:p>
      <w:pPr>
        <w:spacing w:after="0" w:line="127"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U.S. Treasury securities</w:t>
      </w:r>
    </w:p>
    <w:p>
      <w:pPr>
        <w:spacing w:after="0" w:line="154" w:lineRule="exact"/>
        <w:rPr>
          <w:sz w:val="20"/>
          <w:szCs w:val="20"/>
          <w:color w:val="auto"/>
        </w:rPr>
      </w:pPr>
    </w:p>
    <w:p>
      <w:pPr>
        <w:jc w:val="both"/>
        <w:ind w:firstLine="412"/>
        <w:spacing w:after="0" w:line="292" w:lineRule="auto"/>
        <w:rPr>
          <w:sz w:val="20"/>
          <w:szCs w:val="20"/>
          <w:color w:val="auto"/>
        </w:rPr>
      </w:pPr>
      <w:r>
        <w:rPr>
          <w:rFonts w:ascii="Arial" w:cs="Arial" w:eastAsia="Arial" w:hAnsi="Arial"/>
          <w:sz w:val="15"/>
          <w:szCs w:val="15"/>
          <w:color w:val="auto"/>
        </w:rPr>
        <w:t>We use U.S. Treasury securities and U.S. Treasury futures contracts to mitigate the potential impact of changes in interest rates on the performance of our portfolio. We borrow U.S. Treasury securities under reverse repurchase agreements to cover short sales of U.S. Treasury securities. We account for these as securities borrowing transactions and recognize an obligation to return the borrowed securities at fair value on our accompanying consolidated balance sheets based on the value of the underlying U.S. Treasury security as of the reporting date. Gains and losses associated with U.S. Treasury securities and U.S. Treasury futures contracts are recognized in gain (loss) on derivative instruments and other securities, net in our consolidated statements of comprehensive income.</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Measurements</w:t>
      </w:r>
    </w:p>
    <w:p>
      <w:pPr>
        <w:spacing w:after="0" w:line="154" w:lineRule="exact"/>
        <w:rPr>
          <w:sz w:val="20"/>
          <w:szCs w:val="20"/>
          <w:color w:val="auto"/>
        </w:rPr>
      </w:pPr>
    </w:p>
    <w:p>
      <w:pPr>
        <w:jc w:val="both"/>
        <w:ind w:firstLine="412"/>
        <w:spacing w:after="0" w:line="252" w:lineRule="auto"/>
        <w:rPr>
          <w:sz w:val="20"/>
          <w:szCs w:val="20"/>
          <w:color w:val="auto"/>
        </w:rPr>
      </w:pPr>
      <w:r>
        <w:rPr>
          <w:rFonts w:ascii="Arial" w:cs="Arial" w:eastAsia="Arial" w:hAnsi="Arial"/>
          <w:sz w:val="17"/>
          <w:szCs w:val="17"/>
          <w:color w:val="auto"/>
        </w:rPr>
        <w:t>We determine the fair value of financial instruments based on our estimate of the price that would be received to sell the asset or paid to transfer the liability in an orderly transaction between market participants at the measurement date. We utilize a three-level valuation hierarchy for disclosure of fair value measurements based upon the transparency of inputs to the valuation of the instrument as of the measurement date. We categorize a financial instrument within the hierarchy based upon the lowest level of input that is significant to the fair value measurement.</w:t>
      </w:r>
    </w:p>
    <w:p>
      <w:pPr>
        <w:spacing w:after="0" w:line="12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three levels of valuation hierarchy are defined as follows:</w:t>
      </w:r>
    </w:p>
    <w:p>
      <w:pPr>
        <w:spacing w:after="0" w:line="154" w:lineRule="exact"/>
        <w:rPr>
          <w:sz w:val="20"/>
          <w:szCs w:val="20"/>
          <w:color w:val="auto"/>
        </w:rPr>
      </w:pPr>
    </w:p>
    <w:p>
      <w:pPr>
        <w:ind w:left="600" w:hanging="300"/>
        <w:spacing w:after="0"/>
        <w:tabs>
          <w:tab w:leader="none" w:pos="600" w:val="left"/>
        </w:tabs>
        <w:numPr>
          <w:ilvl w:val="0"/>
          <w:numId w:val="1"/>
        </w:numPr>
        <w:rPr>
          <w:rFonts w:ascii="Arial" w:cs="Arial" w:eastAsia="Arial" w:hAnsi="Arial"/>
          <w:sz w:val="15"/>
          <w:szCs w:val="15"/>
          <w:color w:val="auto"/>
        </w:rPr>
      </w:pPr>
      <w:r>
        <w:rPr>
          <w:rFonts w:ascii="Arial" w:cs="Arial" w:eastAsia="Arial" w:hAnsi="Arial"/>
          <w:sz w:val="15"/>
          <w:szCs w:val="15"/>
          <w:color w:val="auto"/>
        </w:rPr>
        <w:t>Level 1 Inputs —Quoted prices (unadjusted) for identical unrestricted assets and liabilities in active markets that are accessible at the measurement date.</w:t>
      </w:r>
    </w:p>
    <w:p>
      <w:pPr>
        <w:spacing w:after="0" w:line="177" w:lineRule="exact"/>
        <w:rPr>
          <w:rFonts w:ascii="Arial" w:cs="Arial" w:eastAsia="Arial" w:hAnsi="Arial"/>
          <w:sz w:val="15"/>
          <w:szCs w:val="15"/>
          <w:color w:val="auto"/>
        </w:rPr>
      </w:pPr>
    </w:p>
    <w:p>
      <w:pPr>
        <w:ind w:left="600" w:hanging="300"/>
        <w:spacing w:after="0" w:line="266" w:lineRule="auto"/>
        <w:tabs>
          <w:tab w:leader="none" w:pos="596" w:val="left"/>
        </w:tabs>
        <w:numPr>
          <w:ilvl w:val="0"/>
          <w:numId w:val="1"/>
        </w:numPr>
        <w:rPr>
          <w:rFonts w:ascii="Arial" w:cs="Arial" w:eastAsia="Arial" w:hAnsi="Arial"/>
          <w:sz w:val="17"/>
          <w:szCs w:val="17"/>
          <w:color w:val="auto"/>
        </w:rPr>
      </w:pPr>
      <w:r>
        <w:rPr>
          <w:rFonts w:ascii="Arial" w:cs="Arial" w:eastAsia="Arial" w:hAnsi="Arial"/>
          <w:sz w:val="17"/>
          <w:szCs w:val="17"/>
          <w:color w:val="auto"/>
        </w:rPr>
        <w:t>Level 2 Inputs —Quoted prices for similar assets and liabilities in active markets; quoted prices for identical or similar instruments in markets that are not active; and model-derived valuations whose inputs are observable or whose significant value drivers are observable.</w:t>
      </w:r>
    </w:p>
    <w:p>
      <w:pPr>
        <w:spacing w:after="0" w:line="116" w:lineRule="exact"/>
        <w:rPr>
          <w:rFonts w:ascii="Arial" w:cs="Arial" w:eastAsia="Arial" w:hAnsi="Arial"/>
          <w:sz w:val="17"/>
          <w:szCs w:val="17"/>
          <w:color w:val="auto"/>
        </w:rPr>
      </w:pPr>
    </w:p>
    <w:p>
      <w:pPr>
        <w:ind w:left="600" w:hanging="300"/>
        <w:spacing w:after="0"/>
        <w:tabs>
          <w:tab w:leader="none" w:pos="600" w:val="left"/>
        </w:tabs>
        <w:numPr>
          <w:ilvl w:val="0"/>
          <w:numId w:val="1"/>
        </w:numPr>
        <w:rPr>
          <w:rFonts w:ascii="Arial" w:cs="Arial" w:eastAsia="Arial" w:hAnsi="Arial"/>
          <w:sz w:val="17"/>
          <w:szCs w:val="17"/>
          <w:color w:val="auto"/>
        </w:rPr>
      </w:pPr>
      <w:r>
        <w:rPr>
          <w:rFonts w:ascii="Arial" w:cs="Arial" w:eastAsia="Arial" w:hAnsi="Arial"/>
          <w:sz w:val="17"/>
          <w:szCs w:val="17"/>
          <w:color w:val="auto"/>
        </w:rPr>
        <w:t>Level 3 Inputs —Instruments with primarily unobservable market data that cannot be corroborated.</w:t>
      </w:r>
    </w:p>
    <w:p>
      <w:pPr>
        <w:spacing w:after="0" w:line="154" w:lineRule="exact"/>
        <w:rPr>
          <w:sz w:val="20"/>
          <w:szCs w:val="20"/>
          <w:color w:val="auto"/>
        </w:rPr>
      </w:pPr>
    </w:p>
    <w:p>
      <w:pPr>
        <w:jc w:val="both"/>
        <w:ind w:firstLine="412"/>
        <w:spacing w:after="0" w:line="255" w:lineRule="auto"/>
        <w:rPr>
          <w:sz w:val="20"/>
          <w:szCs w:val="20"/>
          <w:color w:val="auto"/>
        </w:rPr>
      </w:pPr>
      <w:r>
        <w:rPr>
          <w:rFonts w:ascii="Arial" w:cs="Arial" w:eastAsia="Arial" w:hAnsi="Arial"/>
          <w:sz w:val="17"/>
          <w:szCs w:val="17"/>
          <w:color w:val="auto"/>
        </w:rPr>
        <w:t>The majority of our financial instruments are classified as Level 2 inputs. The availability of observable inputs can be affected by a wide variety of factors, including the type of instrument, whether the instrument is new and not yet established in the marketplace and other characteristics particular to the instrument. We typically obtain price estimates from multiple third-</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0" w:name="page11"/>
    <w:bookmarkEnd w:id="10"/>
    <w:p>
      <w:pPr>
        <w:jc w:val="both"/>
        <w:spacing w:after="0" w:line="287" w:lineRule="auto"/>
        <w:rPr>
          <w:sz w:val="20"/>
          <w:szCs w:val="20"/>
          <w:color w:val="auto"/>
        </w:rPr>
      </w:pPr>
      <w:r>
        <w:rPr>
          <w:rFonts w:ascii="Arial" w:cs="Arial" w:eastAsia="Arial" w:hAnsi="Arial"/>
          <w:sz w:val="15"/>
          <w:szCs w:val="15"/>
          <w:color w:val="auto"/>
        </w:rPr>
        <w:t>party pricing sources, such as pricing services and dealers, or, if applicable, the registered clearing exchange. We make inquiries of third-party pricing sources to understand the significant inputs and assumptions they used to determine their prices and that they are derived from orderly transactions, particularly during periods of elevated market turbulence and reduced market liquidity. We also review third-party price estimates and perform procedures to validate their reasonableness, including an analysis of the range of estimates for each position, comparison to recent trade activity for similar securities and for consistency with market conditions observed as of the measurement date. While we do not adjust prices we obtain from pricing sources, we will exclude prices for securities from our estimation of fair value if we determine based on our validation procedures and our market knowledge and expertise that the price is significantly different from what observable market data would indicate and we cannot obtain an understanding from the third-party source as to the significant inputs used to determine the price.</w:t>
      </w:r>
    </w:p>
    <w:p>
      <w:pPr>
        <w:spacing w:after="0" w:line="106" w:lineRule="exact"/>
        <w:rPr>
          <w:sz w:val="20"/>
          <w:szCs w:val="20"/>
          <w:color w:val="auto"/>
        </w:rPr>
      </w:pPr>
    </w:p>
    <w:p>
      <w:pPr>
        <w:jc w:val="both"/>
        <w:ind w:firstLine="412"/>
        <w:spacing w:after="0" w:line="252" w:lineRule="auto"/>
        <w:rPr>
          <w:sz w:val="20"/>
          <w:szCs w:val="20"/>
          <w:color w:val="auto"/>
        </w:rPr>
      </w:pPr>
      <w:r>
        <w:rPr>
          <w:rFonts w:ascii="Arial" w:cs="Arial" w:eastAsia="Arial" w:hAnsi="Arial"/>
          <w:sz w:val="17"/>
          <w:szCs w:val="17"/>
          <w:color w:val="auto"/>
        </w:rPr>
        <w:t>The following is a description of the valuation methodologies used for instruments measured at fair value on a recurring basis classified as Level 2 inputs. These instruments trade in active markets such that participants transact with sufficient frequency and volume to provide transparent pricing information on an ongoing basis. The liquidity of these markets and the similarity of our securities and derivative instruments to those actively traded enable our pricing sources and us to observe quoted prices in the market and utilize those prices as a basis for formulating fair value measurements.</w:t>
      </w:r>
    </w:p>
    <w:p>
      <w:pPr>
        <w:spacing w:after="0" w:line="129" w:lineRule="exact"/>
        <w:rPr>
          <w:sz w:val="20"/>
          <w:szCs w:val="20"/>
          <w:color w:val="auto"/>
        </w:rPr>
      </w:pPr>
    </w:p>
    <w:p>
      <w:pPr>
        <w:jc w:val="both"/>
        <w:ind w:firstLine="412"/>
        <w:spacing w:after="0" w:line="286" w:lineRule="auto"/>
        <w:rPr>
          <w:sz w:val="20"/>
          <w:szCs w:val="20"/>
          <w:color w:val="auto"/>
        </w:rPr>
      </w:pPr>
      <w:r>
        <w:rPr>
          <w:rFonts w:ascii="Arial" w:cs="Arial" w:eastAsia="Arial" w:hAnsi="Arial"/>
          <w:sz w:val="15"/>
          <w:szCs w:val="15"/>
          <w:i w:val="1"/>
          <w:iCs w:val="1"/>
          <w:color w:val="auto"/>
        </w:rPr>
        <w:t xml:space="preserve">Investment securities </w:t>
      </w:r>
      <w:r>
        <w:rPr>
          <w:rFonts w:ascii="Arial" w:cs="Arial" w:eastAsia="Arial" w:hAnsi="Arial"/>
          <w:sz w:val="15"/>
          <w:szCs w:val="15"/>
          <w:color w:val="auto"/>
        </w:rPr>
        <w:t>- are valued based on prices obtained from multiple third-party pricing sources. The pricing sources utilize various valuation approaches,</w:t>
      </w:r>
      <w:r>
        <w:rPr>
          <w:rFonts w:ascii="Arial" w:cs="Arial" w:eastAsia="Arial" w:hAnsi="Arial"/>
          <w:sz w:val="15"/>
          <w:szCs w:val="15"/>
          <w:i w:val="1"/>
          <w:iCs w:val="1"/>
          <w:color w:val="auto"/>
        </w:rPr>
        <w:t xml:space="preserve"> </w:t>
      </w:r>
      <w:r>
        <w:rPr>
          <w:rFonts w:ascii="Arial" w:cs="Arial" w:eastAsia="Arial" w:hAnsi="Arial"/>
          <w:sz w:val="15"/>
          <w:szCs w:val="15"/>
          <w:color w:val="auto"/>
        </w:rPr>
        <w:t>including market and income approaches. For Agency RMBS, the pricing sources primarily utilize a matrix pricing technique that interpolates the estimated fair value based on observed quoted prices for forward contracts in the Agency RMBS "to-be-announced" market ("TBA securities") of the same coupon, maturity and issuer, adjusted to reflect the specific characteristics of the pool of mortgages underlying the Agency security, such as maximum loan balance, loan vintage, loan-to-value ratio, geography and other characteristics as may be appropriate. For other investment securities, the pricing sources primarily utilize discounted cash flow model-derived pricing techniques to estimate the fair value. Such models incorporate market-based discount rate assumptions based on observable inputs such as recent trading activity, credit data, volatility statistics, benchmark interest rate curves, spread measurements to benchmark curves and other market data that are current as of the measurement date and may include certain unobservable inputs, such as assumptions of future levels of prepayment, defaults and loss severities.</w:t>
      </w:r>
    </w:p>
    <w:p>
      <w:pPr>
        <w:spacing w:after="0" w:line="105" w:lineRule="exact"/>
        <w:rPr>
          <w:sz w:val="20"/>
          <w:szCs w:val="20"/>
          <w:color w:val="auto"/>
        </w:rPr>
      </w:pPr>
    </w:p>
    <w:p>
      <w:pPr>
        <w:ind w:left="420"/>
        <w:spacing w:after="0"/>
        <w:rPr>
          <w:sz w:val="20"/>
          <w:szCs w:val="20"/>
          <w:color w:val="auto"/>
        </w:rPr>
      </w:pPr>
      <w:r>
        <w:rPr>
          <w:rFonts w:ascii="Arial" w:cs="Arial" w:eastAsia="Arial" w:hAnsi="Arial"/>
          <w:sz w:val="17"/>
          <w:szCs w:val="17"/>
          <w:i w:val="1"/>
          <w:iCs w:val="1"/>
          <w:color w:val="auto"/>
        </w:rPr>
        <w:t xml:space="preserve">TBA securities </w:t>
      </w:r>
      <w:r>
        <w:rPr>
          <w:rFonts w:ascii="Arial" w:cs="Arial" w:eastAsia="Arial" w:hAnsi="Arial"/>
          <w:sz w:val="17"/>
          <w:szCs w:val="17"/>
          <w:color w:val="auto"/>
        </w:rPr>
        <w:t>- are valued using prices obtained from third-party pricing sources based on pricing models that reference recent trading activity.</w:t>
      </w:r>
    </w:p>
    <w:p>
      <w:pPr>
        <w:spacing w:after="0" w:line="154" w:lineRule="exact"/>
        <w:rPr>
          <w:sz w:val="20"/>
          <w:szCs w:val="20"/>
          <w:color w:val="auto"/>
        </w:rPr>
      </w:pPr>
    </w:p>
    <w:p>
      <w:pPr>
        <w:jc w:val="both"/>
        <w:ind w:firstLine="412"/>
        <w:spacing w:after="0" w:line="266" w:lineRule="auto"/>
        <w:rPr>
          <w:sz w:val="20"/>
          <w:szCs w:val="20"/>
          <w:color w:val="auto"/>
        </w:rPr>
      </w:pPr>
      <w:r>
        <w:rPr>
          <w:rFonts w:ascii="Arial" w:cs="Arial" w:eastAsia="Arial" w:hAnsi="Arial"/>
          <w:sz w:val="17"/>
          <w:szCs w:val="17"/>
          <w:i w:val="1"/>
          <w:iCs w:val="1"/>
          <w:color w:val="auto"/>
        </w:rPr>
        <w:t xml:space="preserve">Interest rate swaps </w:t>
      </w:r>
      <w:r>
        <w:rPr>
          <w:rFonts w:ascii="Arial" w:cs="Arial" w:eastAsia="Arial" w:hAnsi="Arial"/>
          <w:sz w:val="17"/>
          <w:szCs w:val="17"/>
          <w:color w:val="auto"/>
        </w:rPr>
        <w:t>- are valued using the daily settlement price, or fair value, determined by the clearing exchange based on a pricing model that references</w:t>
      </w:r>
      <w:r>
        <w:rPr>
          <w:rFonts w:ascii="Arial" w:cs="Arial" w:eastAsia="Arial" w:hAnsi="Arial"/>
          <w:sz w:val="17"/>
          <w:szCs w:val="17"/>
          <w:i w:val="1"/>
          <w:iCs w:val="1"/>
          <w:color w:val="auto"/>
        </w:rPr>
        <w:t xml:space="preserve"> </w:t>
      </w:r>
      <w:r>
        <w:rPr>
          <w:rFonts w:ascii="Arial" w:cs="Arial" w:eastAsia="Arial" w:hAnsi="Arial"/>
          <w:sz w:val="17"/>
          <w:szCs w:val="17"/>
          <w:color w:val="auto"/>
        </w:rPr>
        <w:t>observable market inputs, including current benchmark rates and the forward yield curve.</w:t>
      </w:r>
    </w:p>
    <w:p>
      <w:pPr>
        <w:spacing w:after="0" w:line="117" w:lineRule="exact"/>
        <w:rPr>
          <w:sz w:val="20"/>
          <w:szCs w:val="20"/>
          <w:color w:val="auto"/>
        </w:rPr>
      </w:pPr>
    </w:p>
    <w:p>
      <w:pPr>
        <w:jc w:val="both"/>
        <w:ind w:firstLine="412"/>
        <w:spacing w:after="0" w:line="255" w:lineRule="auto"/>
        <w:rPr>
          <w:sz w:val="20"/>
          <w:szCs w:val="20"/>
          <w:color w:val="auto"/>
        </w:rPr>
      </w:pPr>
      <w:r>
        <w:rPr>
          <w:rFonts w:ascii="Arial" w:cs="Arial" w:eastAsia="Arial" w:hAnsi="Arial"/>
          <w:sz w:val="17"/>
          <w:szCs w:val="17"/>
          <w:i w:val="1"/>
          <w:iCs w:val="1"/>
          <w:color w:val="auto"/>
        </w:rPr>
        <w:t xml:space="preserve">Interest rate swaptions </w:t>
      </w:r>
      <w:r>
        <w:rPr>
          <w:rFonts w:ascii="Arial" w:cs="Arial" w:eastAsia="Arial" w:hAnsi="Arial"/>
          <w:sz w:val="17"/>
          <w:szCs w:val="17"/>
          <w:color w:val="auto"/>
        </w:rPr>
        <w:t>- are valued using prices obtained from the counterparty and other third-party pricing models. The pricing models are based on the value</w:t>
      </w:r>
      <w:r>
        <w:rPr>
          <w:rFonts w:ascii="Arial" w:cs="Arial" w:eastAsia="Arial" w:hAnsi="Arial"/>
          <w:sz w:val="17"/>
          <w:szCs w:val="17"/>
          <w:i w:val="1"/>
          <w:iCs w:val="1"/>
          <w:color w:val="auto"/>
        </w:rPr>
        <w:t xml:space="preserve"> </w:t>
      </w:r>
      <w:r>
        <w:rPr>
          <w:rFonts w:ascii="Arial" w:cs="Arial" w:eastAsia="Arial" w:hAnsi="Arial"/>
          <w:sz w:val="17"/>
          <w:szCs w:val="17"/>
          <w:color w:val="auto"/>
        </w:rPr>
        <w:t>of the future interest rate swap that we have the option to enter into as well as the remaining length of time that we have to exercise the option based on observable market inputs, adjusted for non-performance risk, if any.</w:t>
      </w:r>
    </w:p>
    <w:p>
      <w:pPr>
        <w:spacing w:after="0" w:line="127" w:lineRule="exact"/>
        <w:rPr>
          <w:sz w:val="20"/>
          <w:szCs w:val="20"/>
          <w:color w:val="auto"/>
        </w:rPr>
      </w:pPr>
    </w:p>
    <w:p>
      <w:pPr>
        <w:jc w:val="both"/>
        <w:ind w:firstLine="412"/>
        <w:spacing w:after="0" w:line="266" w:lineRule="auto"/>
        <w:rPr>
          <w:sz w:val="20"/>
          <w:szCs w:val="20"/>
          <w:color w:val="auto"/>
        </w:rPr>
      </w:pPr>
      <w:r>
        <w:rPr>
          <w:rFonts w:ascii="Arial" w:cs="Arial" w:eastAsia="Arial" w:hAnsi="Arial"/>
          <w:sz w:val="17"/>
          <w:szCs w:val="17"/>
          <w:color w:val="auto"/>
        </w:rPr>
        <w:t>U.S. Treasury securities and futures are valued based on quoted prices for identical instruments in active markets and are classified as Level 1 assets. None of our financial instruments are classified as Level 3 inputs.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 Accounting Pronouncements</w:t>
      </w:r>
    </w:p>
    <w:p>
      <w:pPr>
        <w:spacing w:after="0" w:line="154" w:lineRule="exact"/>
        <w:rPr>
          <w:sz w:val="20"/>
          <w:szCs w:val="20"/>
          <w:color w:val="auto"/>
        </w:rPr>
      </w:pPr>
    </w:p>
    <w:p>
      <w:pPr>
        <w:jc w:val="both"/>
        <w:ind w:firstLine="412"/>
        <w:spacing w:after="0" w:line="333" w:lineRule="auto"/>
        <w:rPr>
          <w:sz w:val="20"/>
          <w:szCs w:val="20"/>
          <w:color w:val="auto"/>
        </w:rPr>
      </w:pPr>
      <w:r>
        <w:rPr>
          <w:rFonts w:ascii="Arial" w:cs="Arial" w:eastAsia="Arial" w:hAnsi="Arial"/>
          <w:sz w:val="15"/>
          <w:szCs w:val="15"/>
          <w:color w:val="auto"/>
        </w:rPr>
        <w:t>We consider the applicability and impact of all ASUs issued by the FASB. There are no unadopted ASUs that are expected to have a significant impact on our consolidated financial statements when adopted or other recently adopted ASUs that had a significant impact on our consolidated financial statements upon adoption.</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 Investment Securities</w:t>
      </w:r>
    </w:p>
    <w:p>
      <w:pPr>
        <w:spacing w:after="0" w:line="158" w:lineRule="exact"/>
        <w:rPr>
          <w:sz w:val="20"/>
          <w:szCs w:val="20"/>
          <w:color w:val="auto"/>
        </w:rPr>
      </w:pPr>
    </w:p>
    <w:p>
      <w:pPr>
        <w:jc w:val="both"/>
        <w:ind w:firstLine="412"/>
        <w:spacing w:after="0" w:line="249" w:lineRule="auto"/>
        <w:rPr>
          <w:sz w:val="20"/>
          <w:szCs w:val="20"/>
          <w:color w:val="auto"/>
        </w:rPr>
      </w:pPr>
      <w:r>
        <w:rPr>
          <w:rFonts w:ascii="Arial" w:cs="Arial" w:eastAsia="Arial" w:hAnsi="Arial"/>
          <w:sz w:val="17"/>
          <w:szCs w:val="17"/>
          <w:color w:val="auto"/>
        </w:rPr>
        <w:t>As of June 30, 2021 and December 31, 2020, our investment portfolio consisted of: $59.8 billion and $66.4 billion investment securities, at fair value, respectively; $27.4 billion and $31.5 billion net TBA securities, at fair value, respectively; and $0.3 billion and zero forward settling non-Agency securities, at fair value, respectively. Our net TBA position and forward settling non-Agency securities are reported at their net carrying value totaling $79 million and $275 million as of June 30, 2021 and December 31, 2020, respectively, in derivative assets / (liabilities) on our accompanying consolidated balance sheets. The net carrying value of our TBA position and forward settling non-Agency securities represents the difference between the fair value of the underlying security and the cost basis or the forward price to be paid or received for the underlying security.</w:t>
      </w:r>
    </w:p>
    <w:p>
      <w:pPr>
        <w:spacing w:after="0" w:line="133" w:lineRule="exact"/>
        <w:rPr>
          <w:sz w:val="20"/>
          <w:szCs w:val="20"/>
          <w:color w:val="auto"/>
        </w:rPr>
      </w:pPr>
    </w:p>
    <w:p>
      <w:pPr>
        <w:ind w:left="380"/>
        <w:spacing w:after="0"/>
        <w:rPr>
          <w:sz w:val="20"/>
          <w:szCs w:val="20"/>
          <w:color w:val="auto"/>
        </w:rPr>
      </w:pPr>
      <w:r>
        <w:rPr>
          <w:rFonts w:ascii="Arial" w:cs="Arial" w:eastAsia="Arial" w:hAnsi="Arial"/>
          <w:sz w:val="15"/>
          <w:szCs w:val="15"/>
          <w:color w:val="auto"/>
        </w:rPr>
        <w:t>As of June 30, 2021 and December 31, 2020, our investment securities had a net unamortized premium balance of $2.1 billion and $2.4 billion, respectively.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1" w:name="page12"/>
    <w:bookmarkEnd w:id="11"/>
    <w:p>
      <w:pPr>
        <w:ind w:firstLine="375"/>
        <w:spacing w:after="0" w:line="266" w:lineRule="auto"/>
        <w:rPr>
          <w:sz w:val="20"/>
          <w:szCs w:val="20"/>
          <w:color w:val="auto"/>
        </w:rPr>
      </w:pPr>
      <w:r>
        <w:rPr>
          <w:rFonts w:ascii="Arial" w:cs="Arial" w:eastAsia="Arial" w:hAnsi="Arial"/>
          <w:sz w:val="17"/>
          <w:szCs w:val="17"/>
          <w:color w:val="auto"/>
        </w:rPr>
        <w:t>The following tables summarize our investment securities as of June 30, 2021 and December 31, 2020, excluding TBA and forward settling securities, (dollars in millions). Details of our TBA and forward settling securities as of each of the respective dates are included in Note 5.</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4"/>
          </w:tcPr>
          <w:p>
            <w:pPr>
              <w:jc w:val="center"/>
              <w:ind w:left="38"/>
              <w:spacing w:after="0"/>
              <w:rPr>
                <w:sz w:val="20"/>
                <w:szCs w:val="20"/>
                <w:color w:val="auto"/>
              </w:rPr>
            </w:pPr>
            <w:r>
              <w:rPr>
                <w:rFonts w:ascii="Arial" w:cs="Arial" w:eastAsia="Arial" w:hAnsi="Arial"/>
                <w:sz w:val="13"/>
                <w:szCs w:val="13"/>
                <w:b w:val="1"/>
                <w:bCs w:val="1"/>
                <w:color w:val="auto"/>
                <w:w w:val="89"/>
              </w:rPr>
              <w:t>June 30, 2021</w:t>
            </w: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6"/>
          </w:tcPr>
          <w:p>
            <w:pPr>
              <w:ind w:left="20"/>
              <w:spacing w:after="0"/>
              <w:rPr>
                <w:sz w:val="20"/>
                <w:szCs w:val="20"/>
                <w:color w:val="auto"/>
              </w:rPr>
            </w:pPr>
            <w:r>
              <w:rPr>
                <w:rFonts w:ascii="Arial" w:cs="Arial" w:eastAsia="Arial" w:hAnsi="Arial"/>
                <w:sz w:val="13"/>
                <w:szCs w:val="13"/>
                <w:b w:val="1"/>
                <w:bCs w:val="1"/>
                <w:color w:val="auto"/>
                <w:w w:val="97"/>
              </w:rPr>
              <w:t>December 31, 2020</w:t>
            </w: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7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Investment Securities</w:t>
            </w: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tcPr>
          <w:p>
            <w:pPr>
              <w:jc w:val="right"/>
              <w:ind w:right="340"/>
              <w:spacing w:after="0" w:line="123" w:lineRule="exact"/>
              <w:rPr>
                <w:sz w:val="20"/>
                <w:szCs w:val="20"/>
                <w:color w:val="auto"/>
              </w:rPr>
            </w:pPr>
            <w:r>
              <w:rPr>
                <w:rFonts w:ascii="Arial" w:cs="Arial" w:eastAsia="Arial" w:hAnsi="Arial"/>
                <w:sz w:val="13"/>
                <w:szCs w:val="13"/>
                <w:b w:val="1"/>
                <w:bCs w:val="1"/>
                <w:color w:val="auto"/>
                <w:w w:val="97"/>
              </w:rPr>
              <w:t>Amortized</w:t>
            </w:r>
          </w:p>
        </w:tc>
        <w:tc>
          <w:tcPr>
            <w:tcW w:w="100" w:type="dxa"/>
            <w:vAlign w:val="bottom"/>
          </w:tcPr>
          <w:p>
            <w:pPr>
              <w:spacing w:after="0"/>
              <w:rPr>
                <w:sz w:val="10"/>
                <w:szCs w:val="10"/>
                <w:color w:val="auto"/>
              </w:rPr>
            </w:pPr>
          </w:p>
        </w:tc>
        <w:tc>
          <w:tcPr>
            <w:tcW w:w="1240" w:type="dxa"/>
            <w:vAlign w:val="bottom"/>
            <w:gridSpan w:val="3"/>
            <w:vMerge w:val="restart"/>
          </w:tcPr>
          <w:p>
            <w:pPr>
              <w:jc w:val="right"/>
              <w:ind w:right="238"/>
              <w:spacing w:after="0"/>
              <w:rPr>
                <w:sz w:val="20"/>
                <w:szCs w:val="20"/>
                <w:color w:val="auto"/>
              </w:rPr>
            </w:pPr>
            <w:r>
              <w:rPr>
                <w:rFonts w:ascii="Arial" w:cs="Arial" w:eastAsia="Arial" w:hAnsi="Arial"/>
                <w:sz w:val="13"/>
                <w:szCs w:val="13"/>
                <w:b w:val="1"/>
                <w:bCs w:val="1"/>
                <w:color w:val="auto"/>
              </w:rPr>
              <w:t>Fair Value</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5"/>
          </w:tcPr>
          <w:p>
            <w:pPr>
              <w:jc w:val="right"/>
              <w:ind w:right="215"/>
              <w:spacing w:after="0" w:line="123" w:lineRule="exact"/>
              <w:rPr>
                <w:sz w:val="20"/>
                <w:szCs w:val="20"/>
                <w:color w:val="auto"/>
              </w:rPr>
            </w:pPr>
            <w:r>
              <w:rPr>
                <w:rFonts w:ascii="Arial" w:cs="Arial" w:eastAsia="Arial" w:hAnsi="Arial"/>
                <w:sz w:val="13"/>
                <w:szCs w:val="13"/>
                <w:b w:val="1"/>
                <w:bCs w:val="1"/>
                <w:color w:val="auto"/>
              </w:rPr>
              <w:t>Amortized</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780" w:type="dxa"/>
            <w:vAlign w:val="bottom"/>
            <w:tcBorders>
              <w:bottom w:val="single" w:sz="8" w:color="auto"/>
            </w:tcBorders>
            <w:gridSpan w:val="2"/>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ind w:left="200"/>
              <w:spacing w:after="0"/>
              <w:rPr>
                <w:sz w:val="20"/>
                <w:szCs w:val="20"/>
                <w:color w:val="auto"/>
              </w:rPr>
            </w:pPr>
            <w:r>
              <w:rPr>
                <w:rFonts w:ascii="Arial" w:cs="Arial" w:eastAsia="Arial" w:hAnsi="Arial"/>
                <w:sz w:val="13"/>
                <w:szCs w:val="13"/>
                <w:b w:val="1"/>
                <w:bCs w:val="1"/>
                <w:color w:val="auto"/>
              </w:rPr>
              <w:t>Cost</w:t>
            </w:r>
          </w:p>
        </w:tc>
        <w:tc>
          <w:tcPr>
            <w:tcW w:w="10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gridSpan w:val="3"/>
            <w:vMerge w:val="continue"/>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w w:val="82"/>
              </w:rPr>
              <w:t>Cost</w:t>
            </w:r>
          </w:p>
        </w:tc>
        <w:tc>
          <w:tcPr>
            <w:tcW w:w="4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Agency RMBS:</w:t>
            </w: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780" w:type="dxa"/>
            <w:vAlign w:val="bottom"/>
            <w:gridSpan w:val="2"/>
          </w:tcPr>
          <w:p>
            <w:pPr>
              <w:ind w:left="120"/>
              <w:spacing w:after="0"/>
              <w:rPr>
                <w:sz w:val="20"/>
                <w:szCs w:val="20"/>
                <w:color w:val="auto"/>
              </w:rPr>
            </w:pPr>
            <w:r>
              <w:rPr>
                <w:rFonts w:ascii="Arial" w:cs="Arial" w:eastAsia="Arial" w:hAnsi="Arial"/>
                <w:sz w:val="13"/>
                <w:szCs w:val="13"/>
                <w:color w:val="auto"/>
              </w:rPr>
              <w:t>Fixed rate</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3"/>
                <w:szCs w:val="13"/>
                <w:color w:val="auto"/>
              </w:rPr>
              <w:t>56,418</w:t>
            </w:r>
          </w:p>
        </w:tc>
        <w:tc>
          <w:tcPr>
            <w:tcW w:w="100" w:type="dxa"/>
            <w:vAlign w:val="bottom"/>
          </w:tcPr>
          <w:p>
            <w:pPr>
              <w:spacing w:after="0"/>
              <w:rPr>
                <w:sz w:val="14"/>
                <w:szCs w:val="14"/>
                <w:color w:val="auto"/>
              </w:rPr>
            </w:pPr>
          </w:p>
        </w:tc>
        <w:tc>
          <w:tcPr>
            <w:tcW w:w="860" w:type="dxa"/>
            <w:vAlign w:val="bottom"/>
          </w:tcPr>
          <w:p>
            <w:pPr>
              <w:jc w:val="right"/>
              <w:ind w:right="720"/>
              <w:spacing w:after="0"/>
              <w:rPr>
                <w:sz w:val="20"/>
                <w:szCs w:val="20"/>
                <w:color w:val="auto"/>
              </w:rPr>
            </w:pPr>
            <w:r>
              <w:rPr>
                <w:rFonts w:ascii="Arial" w:cs="Arial" w:eastAsia="Arial" w:hAnsi="Arial"/>
                <w:sz w:val="13"/>
                <w:szCs w:val="13"/>
                <w:color w:val="auto"/>
                <w:w w:val="82"/>
              </w:rPr>
              <w:t>$</w:t>
            </w:r>
          </w:p>
        </w:tc>
        <w:tc>
          <w:tcPr>
            <w:tcW w:w="380" w:type="dxa"/>
            <w:vAlign w:val="bottom"/>
            <w:gridSpan w:val="2"/>
          </w:tcPr>
          <w:p>
            <w:pPr>
              <w:jc w:val="right"/>
              <w:spacing w:after="0"/>
              <w:rPr>
                <w:sz w:val="20"/>
                <w:szCs w:val="20"/>
                <w:color w:val="auto"/>
              </w:rPr>
            </w:pPr>
            <w:r>
              <w:rPr>
                <w:rFonts w:ascii="Arial" w:cs="Arial" w:eastAsia="Arial" w:hAnsi="Arial"/>
                <w:sz w:val="13"/>
                <w:szCs w:val="13"/>
                <w:color w:val="auto"/>
                <w:w w:val="85"/>
              </w:rPr>
              <w:t>57,757</w:t>
            </w:r>
          </w:p>
        </w:tc>
        <w:tc>
          <w:tcPr>
            <w:tcW w:w="700" w:type="dxa"/>
            <w:vAlign w:val="bottom"/>
            <w:gridSpan w:val="3"/>
          </w:tcPr>
          <w:p>
            <w:pPr>
              <w:jc w:val="right"/>
              <w:ind w:right="3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61,977</w:t>
            </w:r>
          </w:p>
        </w:tc>
        <w:tc>
          <w:tcPr>
            <w:tcW w:w="360" w:type="dxa"/>
            <w:vAlign w:val="bottom"/>
            <w:gridSpan w:val="3"/>
          </w:tcPr>
          <w:p>
            <w:pPr>
              <w:jc w:val="right"/>
              <w:ind w:right="53"/>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64,615</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78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Adjustable rate</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54</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56</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780" w:type="dxa"/>
            <w:vAlign w:val="bottom"/>
            <w:gridSpan w:val="2"/>
          </w:tcPr>
          <w:p>
            <w:pPr>
              <w:ind w:left="120"/>
              <w:spacing w:after="0"/>
              <w:rPr>
                <w:sz w:val="20"/>
                <w:szCs w:val="20"/>
                <w:color w:val="auto"/>
              </w:rPr>
            </w:pPr>
            <w:r>
              <w:rPr>
                <w:rFonts w:ascii="Arial" w:cs="Arial" w:eastAsia="Arial" w:hAnsi="Arial"/>
                <w:sz w:val="13"/>
                <w:szCs w:val="13"/>
                <w:color w:val="auto"/>
              </w:rPr>
              <w:t>CMO</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3"/>
                <w:szCs w:val="13"/>
                <w:color w:val="auto"/>
              </w:rPr>
              <w:t>219</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gridSpan w:val="2"/>
          </w:tcPr>
          <w:p>
            <w:pPr>
              <w:jc w:val="right"/>
              <w:spacing w:after="0"/>
              <w:rPr>
                <w:sz w:val="20"/>
                <w:szCs w:val="20"/>
                <w:color w:val="auto"/>
              </w:rPr>
            </w:pPr>
            <w:r>
              <w:rPr>
                <w:rFonts w:ascii="Arial" w:cs="Arial" w:eastAsia="Arial" w:hAnsi="Arial"/>
                <w:sz w:val="13"/>
                <w:szCs w:val="13"/>
                <w:color w:val="auto"/>
              </w:rPr>
              <w:t>228</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289</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301</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78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Interest-only and principal-only strips</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84</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780" w:type="dxa"/>
            <w:vAlign w:val="bottom"/>
            <w:tcBorders>
              <w:bottom w:val="single" w:sz="8" w:color="CCEEFF"/>
            </w:tcBorders>
            <w:gridSpan w:val="2"/>
          </w:tcPr>
          <w:p>
            <w:pPr>
              <w:ind w:left="120"/>
              <w:spacing w:after="0"/>
              <w:rPr>
                <w:sz w:val="20"/>
                <w:szCs w:val="20"/>
                <w:color w:val="auto"/>
              </w:rPr>
            </w:pPr>
            <w:r>
              <w:rPr>
                <w:rFonts w:ascii="Arial" w:cs="Arial" w:eastAsia="Arial" w:hAnsi="Arial"/>
                <w:sz w:val="13"/>
                <w:szCs w:val="13"/>
                <w:color w:val="auto"/>
              </w:rPr>
              <w:t>Multifamily</w:t>
            </w:r>
          </w:p>
        </w:tc>
        <w:tc>
          <w:tcPr>
            <w:tcW w:w="12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Agency RMBS</w:t>
            </w: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56,775</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85"/>
              </w:rPr>
              <w:t>58,141</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62,457</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65,131</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780" w:type="dxa"/>
            <w:vAlign w:val="bottom"/>
            <w:gridSpan w:val="2"/>
          </w:tcPr>
          <w:p>
            <w:pPr>
              <w:spacing w:after="0"/>
              <w:rPr>
                <w:sz w:val="20"/>
                <w:szCs w:val="20"/>
                <w:color w:val="auto"/>
              </w:rPr>
            </w:pPr>
            <w:r>
              <w:rPr>
                <w:rFonts w:ascii="Arial" w:cs="Arial" w:eastAsia="Arial" w:hAnsi="Arial"/>
                <w:sz w:val="13"/>
                <w:szCs w:val="13"/>
                <w:color w:val="auto"/>
              </w:rPr>
              <w:t>Non-Agency RMBS</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3"/>
                <w:szCs w:val="13"/>
                <w:color w:val="auto"/>
              </w:rPr>
              <w:t>187</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gridSpan w:val="2"/>
          </w:tcPr>
          <w:p>
            <w:pPr>
              <w:jc w:val="right"/>
              <w:spacing w:after="0"/>
              <w:rPr>
                <w:sz w:val="20"/>
                <w:szCs w:val="20"/>
                <w:color w:val="auto"/>
              </w:rPr>
            </w:pPr>
            <w:r>
              <w:rPr>
                <w:rFonts w:ascii="Arial" w:cs="Arial" w:eastAsia="Arial" w:hAnsi="Arial"/>
                <w:sz w:val="13"/>
                <w:szCs w:val="13"/>
                <w:color w:val="auto"/>
              </w:rPr>
              <w:t>200</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178</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188</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CMBS</w:t>
            </w: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336</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353</w:t>
            </w: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333</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78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color w:val="auto"/>
              </w:rPr>
              <w:t>CRT securities</w:t>
            </w:r>
          </w:p>
        </w:tc>
        <w:tc>
          <w:tcPr>
            <w:tcW w:w="12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3"/>
                <w:szCs w:val="13"/>
                <w:color w:val="auto"/>
              </w:rPr>
              <w:t>1,081</w:t>
            </w:r>
          </w:p>
        </w:tc>
        <w:tc>
          <w:tcPr>
            <w:tcW w:w="10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1,105</w:t>
            </w: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733</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737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6"/>
                <w:szCs w:val="16"/>
                <w:color w:val="auto"/>
              </w:rPr>
            </w:pPr>
          </w:p>
        </w:tc>
        <w:tc>
          <w:tcPr>
            <w:tcW w:w="37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Total investment securities</w:t>
            </w:r>
          </w:p>
        </w:tc>
        <w:tc>
          <w:tcPr>
            <w:tcW w:w="1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58,379</w:t>
            </w:r>
          </w:p>
        </w:tc>
        <w:tc>
          <w:tcPr>
            <w:tcW w:w="1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720"/>
              <w:spacing w:after="0"/>
              <w:rPr>
                <w:sz w:val="20"/>
                <w:szCs w:val="20"/>
                <w:color w:val="auto"/>
              </w:rPr>
            </w:pPr>
            <w:r>
              <w:rPr>
                <w:rFonts w:ascii="Arial" w:cs="Arial" w:eastAsia="Arial" w:hAnsi="Arial"/>
                <w:sz w:val="13"/>
                <w:szCs w:val="13"/>
                <w:color w:val="auto"/>
                <w:w w:val="82"/>
              </w:rPr>
              <w:t>$</w:t>
            </w:r>
          </w:p>
        </w:tc>
        <w:tc>
          <w:tcPr>
            <w:tcW w:w="3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w w:val="85"/>
              </w:rPr>
              <w:t>59,799</w:t>
            </w:r>
          </w:p>
        </w:tc>
        <w:tc>
          <w:tcPr>
            <w:tcW w:w="4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360"/>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63,701</w:t>
            </w:r>
          </w:p>
        </w:tc>
        <w:tc>
          <w:tcPr>
            <w:tcW w:w="6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w w:val="82"/>
              </w:rPr>
              <w:t>$</w:t>
            </w:r>
          </w:p>
        </w:tc>
        <w:tc>
          <w:tcPr>
            <w:tcW w:w="14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66,414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20" w:type="dxa"/>
            <w:vAlign w:val="bottom"/>
          </w:tcPr>
          <w:p>
            <w:pPr>
              <w:spacing w:after="0"/>
              <w:rPr>
                <w:sz w:val="23"/>
                <w:szCs w:val="23"/>
                <w:color w:val="auto"/>
              </w:rPr>
            </w:pPr>
          </w:p>
        </w:tc>
        <w:tc>
          <w:tcPr>
            <w:tcW w:w="3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2"/>
              </w:rPr>
              <w:t>June 30, 2021</w:t>
            </w:r>
          </w:p>
        </w:tc>
        <w:tc>
          <w:tcPr>
            <w:tcW w:w="10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5"/>
          </w:tcPr>
          <w:p>
            <w:pPr>
              <w:jc w:val="center"/>
              <w:ind w:right="100"/>
              <w:spacing w:after="0"/>
              <w:rPr>
                <w:sz w:val="20"/>
                <w:szCs w:val="20"/>
                <w:color w:val="auto"/>
              </w:rPr>
            </w:pPr>
            <w:r>
              <w:rPr>
                <w:rFonts w:ascii="Arial" w:cs="Arial" w:eastAsia="Arial" w:hAnsi="Arial"/>
                <w:sz w:val="13"/>
                <w:szCs w:val="13"/>
                <w:b w:val="1"/>
                <w:bCs w:val="1"/>
                <w:color w:val="auto"/>
                <w:w w:val="94"/>
              </w:rPr>
              <w:t>Agency RMBS</w:t>
            </w: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6"/>
          </w:tcPr>
          <w:p>
            <w:pPr>
              <w:jc w:val="right"/>
              <w:ind w:right="600"/>
              <w:spacing w:after="0"/>
              <w:rPr>
                <w:sz w:val="20"/>
                <w:szCs w:val="20"/>
                <w:color w:val="auto"/>
              </w:rPr>
            </w:pPr>
            <w:r>
              <w:rPr>
                <w:rFonts w:ascii="Arial" w:cs="Arial" w:eastAsia="Arial" w:hAnsi="Arial"/>
                <w:sz w:val="13"/>
                <w:szCs w:val="13"/>
                <w:b w:val="1"/>
                <w:bCs w:val="1"/>
                <w:color w:val="auto"/>
              </w:rPr>
              <w:t>Non-Agency</w:t>
            </w: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7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Investment Securities</w:t>
            </w:r>
          </w:p>
        </w:tc>
        <w:tc>
          <w:tcPr>
            <w:tcW w:w="120" w:type="dxa"/>
            <w:vAlign w:val="bottom"/>
          </w:tcPr>
          <w:p>
            <w:pPr>
              <w:spacing w:after="0"/>
              <w:rPr>
                <w:sz w:val="10"/>
                <w:szCs w:val="10"/>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Fannie Mae</w:t>
            </w:r>
          </w:p>
        </w:tc>
        <w:tc>
          <w:tcPr>
            <w:tcW w:w="100" w:type="dxa"/>
            <w:vAlign w:val="bottom"/>
          </w:tcPr>
          <w:p>
            <w:pPr>
              <w:spacing w:after="0"/>
              <w:rPr>
                <w:sz w:val="10"/>
                <w:szCs w:val="10"/>
                <w:color w:val="auto"/>
              </w:rPr>
            </w:pPr>
          </w:p>
        </w:tc>
        <w:tc>
          <w:tcPr>
            <w:tcW w:w="960" w:type="dxa"/>
            <w:vAlign w:val="bottom"/>
            <w:gridSpan w:val="4"/>
            <w:vMerge w:val="restart"/>
          </w:tcPr>
          <w:p>
            <w:pPr>
              <w:jc w:val="center"/>
              <w:ind w:right="180"/>
              <w:spacing w:after="0"/>
              <w:rPr>
                <w:sz w:val="20"/>
                <w:szCs w:val="20"/>
                <w:color w:val="auto"/>
              </w:rPr>
            </w:pPr>
            <w:r>
              <w:rPr>
                <w:rFonts w:ascii="Arial" w:cs="Arial" w:eastAsia="Arial" w:hAnsi="Arial"/>
                <w:sz w:val="13"/>
                <w:szCs w:val="13"/>
                <w:b w:val="1"/>
                <w:bCs w:val="1"/>
                <w:color w:val="auto"/>
                <w:w w:val="97"/>
              </w:rPr>
              <w:t>Freddie Mac</w:t>
            </w:r>
          </w:p>
        </w:tc>
        <w:tc>
          <w:tcPr>
            <w:tcW w:w="100" w:type="dxa"/>
            <w:vAlign w:val="bottom"/>
          </w:tcPr>
          <w:p>
            <w:pPr>
              <w:spacing w:after="0"/>
              <w:rPr>
                <w:sz w:val="10"/>
                <w:szCs w:val="10"/>
                <w:color w:val="auto"/>
              </w:rPr>
            </w:pPr>
          </w:p>
        </w:tc>
        <w:tc>
          <w:tcPr>
            <w:tcW w:w="880" w:type="dxa"/>
            <w:vAlign w:val="bottom"/>
          </w:tcPr>
          <w:p>
            <w:pPr>
              <w:ind w:left="200"/>
              <w:spacing w:after="0" w:line="119" w:lineRule="exact"/>
              <w:rPr>
                <w:sz w:val="20"/>
                <w:szCs w:val="20"/>
                <w:color w:val="auto"/>
              </w:rPr>
            </w:pPr>
            <w:r>
              <w:rPr>
                <w:rFonts w:ascii="Arial" w:cs="Arial" w:eastAsia="Arial" w:hAnsi="Arial"/>
                <w:sz w:val="13"/>
                <w:szCs w:val="13"/>
                <w:b w:val="1"/>
                <w:bCs w:val="1"/>
                <w:color w:val="auto"/>
              </w:rPr>
              <w:t>Ginnie</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vMerge w:val="restart"/>
          </w:tcPr>
          <w:p>
            <w:pPr>
              <w:jc w:val="right"/>
              <w:ind w:right="220"/>
              <w:spacing w:after="0"/>
              <w:rPr>
                <w:sz w:val="20"/>
                <w:szCs w:val="20"/>
                <w:color w:val="auto"/>
              </w:rPr>
            </w:pPr>
            <w:r>
              <w:rPr>
                <w:rFonts w:ascii="Arial" w:cs="Arial" w:eastAsia="Arial" w:hAnsi="Arial"/>
                <w:sz w:val="13"/>
                <w:szCs w:val="13"/>
                <w:b w:val="1"/>
                <w:bCs w:val="1"/>
                <w:color w:val="auto"/>
              </w:rPr>
              <w:t>RMBS</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gridSpan w:val="3"/>
            <w:vMerge w:val="restart"/>
          </w:tcPr>
          <w:p>
            <w:pPr>
              <w:jc w:val="right"/>
              <w:ind w:right="220"/>
              <w:spacing w:after="0"/>
              <w:rPr>
                <w:sz w:val="20"/>
                <w:szCs w:val="20"/>
                <w:color w:val="auto"/>
              </w:rPr>
            </w:pPr>
            <w:r>
              <w:rPr>
                <w:rFonts w:ascii="Arial" w:cs="Arial" w:eastAsia="Arial" w:hAnsi="Arial"/>
                <w:sz w:val="13"/>
                <w:szCs w:val="13"/>
                <w:b w:val="1"/>
                <w:bCs w:val="1"/>
                <w:color w:val="auto"/>
              </w:rPr>
              <w:t>CMBS</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gridSpan w:val="5"/>
            <w:vMerge w:val="restart"/>
          </w:tcPr>
          <w:p>
            <w:pPr>
              <w:ind w:left="180"/>
              <w:spacing w:after="0"/>
              <w:rPr>
                <w:sz w:val="20"/>
                <w:szCs w:val="20"/>
                <w:color w:val="auto"/>
              </w:rPr>
            </w:pPr>
            <w:r>
              <w:rPr>
                <w:rFonts w:ascii="Arial" w:cs="Arial" w:eastAsia="Arial" w:hAnsi="Arial"/>
                <w:sz w:val="13"/>
                <w:szCs w:val="13"/>
                <w:b w:val="1"/>
                <w:bCs w:val="1"/>
                <w:color w:val="auto"/>
              </w:rPr>
              <w:t>CRT</w:t>
            </w:r>
          </w:p>
        </w:tc>
        <w:tc>
          <w:tcPr>
            <w:tcW w:w="240" w:type="dxa"/>
            <w:vAlign w:val="bottom"/>
          </w:tcPr>
          <w:p>
            <w:pPr>
              <w:spacing w:after="0"/>
              <w:rPr>
                <w:sz w:val="10"/>
                <w:szCs w:val="10"/>
                <w:color w:val="auto"/>
              </w:rPr>
            </w:pPr>
          </w:p>
        </w:tc>
        <w:tc>
          <w:tcPr>
            <w:tcW w:w="720" w:type="dxa"/>
            <w:vAlign w:val="bottom"/>
            <w:vMerge w:val="restart"/>
          </w:tcPr>
          <w:p>
            <w:pPr>
              <w:jc w:val="right"/>
              <w:ind w:right="278"/>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7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rPr>
              <w:t>Mae</w:t>
            </w:r>
          </w:p>
        </w:tc>
        <w:tc>
          <w:tcPr>
            <w:tcW w:w="10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5"/>
            <w:vMerge w:val="continue"/>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Borders>
              <w:top w:val="single" w:sz="8" w:color="auto"/>
            </w:tcBorders>
          </w:tcPr>
          <w:p>
            <w:pPr>
              <w:spacing w:after="0"/>
              <w:rPr>
                <w:sz w:val="12"/>
                <w:szCs w:val="12"/>
                <w:color w:val="auto"/>
              </w:rPr>
            </w:pPr>
          </w:p>
        </w:tc>
        <w:tc>
          <w:tcPr>
            <w:tcW w:w="368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Available-for-sale securities:</w:t>
            </w: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378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Par value</w:t>
            </w: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7,615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2,538</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shd w:val="clear" w:color="auto" w:fill="CCEEFF"/>
          </w:tcPr>
          <w:p>
            <w:pPr>
              <w:jc w:val="right"/>
              <w:ind w:right="98"/>
              <w:spacing w:after="0"/>
              <w:rPr>
                <w:sz w:val="20"/>
                <w:szCs w:val="20"/>
                <w:color w:val="auto"/>
              </w:rPr>
            </w:pPr>
            <w:r>
              <w:rPr>
                <w:rFonts w:ascii="Arial" w:cs="Arial" w:eastAsia="Arial" w:hAnsi="Arial"/>
                <w:sz w:val="12"/>
                <w:szCs w:val="12"/>
                <w:color w:val="auto"/>
              </w:rPr>
              <w:t>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89"/>
              </w:rPr>
              <w:t>$</w:t>
            </w:r>
          </w:p>
        </w:tc>
        <w:tc>
          <w:tcPr>
            <w:tcW w:w="8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380" w:type="dxa"/>
            <w:vAlign w:val="bottom"/>
            <w:gridSpan w:val="2"/>
            <w:shd w:val="clear" w:color="auto" w:fill="CCEEFF"/>
          </w:tcPr>
          <w:p>
            <w:pPr>
              <w:jc w:val="right"/>
              <w:ind w:right="138"/>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280" w:type="dxa"/>
            <w:vAlign w:val="bottom"/>
            <w:gridSpan w:val="3"/>
            <w:shd w:val="clear" w:color="auto" w:fill="CCEEFF"/>
          </w:tcPr>
          <w:p>
            <w:pPr>
              <w:jc w:val="right"/>
              <w:ind w:right="48"/>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gridSpan w:val="3"/>
            <w:shd w:val="clear" w:color="auto" w:fill="CCEEFF"/>
          </w:tcPr>
          <w:p>
            <w:pPr>
              <w:jc w:val="right"/>
              <w:ind w:right="300"/>
              <w:spacing w:after="0"/>
              <w:rPr>
                <w:sz w:val="20"/>
                <w:szCs w:val="20"/>
                <w:color w:val="auto"/>
              </w:rPr>
            </w:pPr>
            <w:r>
              <w:rPr>
                <w:rFonts w:ascii="Arial" w:cs="Arial" w:eastAsia="Arial" w:hAnsi="Arial"/>
                <w:sz w:val="12"/>
                <w:szCs w:val="12"/>
                <w:color w:val="auto"/>
                <w:w w:val="99"/>
              </w:rPr>
              <w:t>—</w:t>
            </w:r>
          </w:p>
        </w:tc>
        <w:tc>
          <w:tcPr>
            <w:tcW w:w="24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ind w:right="78"/>
              <w:spacing w:after="0"/>
              <w:rPr>
                <w:sz w:val="20"/>
                <w:szCs w:val="20"/>
                <w:color w:val="auto"/>
              </w:rPr>
            </w:pPr>
            <w:r>
              <w:rPr>
                <w:rFonts w:ascii="Arial" w:cs="Arial" w:eastAsia="Arial" w:hAnsi="Arial"/>
                <w:sz w:val="12"/>
                <w:szCs w:val="12"/>
                <w:color w:val="auto"/>
              </w:rPr>
              <w:t>10,155</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780" w:type="dxa"/>
            <w:vAlign w:val="bottom"/>
            <w:gridSpan w:val="2"/>
          </w:tcPr>
          <w:p>
            <w:pPr>
              <w:ind w:left="140"/>
              <w:spacing w:after="0"/>
              <w:rPr>
                <w:sz w:val="20"/>
                <w:szCs w:val="20"/>
                <w:color w:val="auto"/>
              </w:rPr>
            </w:pPr>
            <w:r>
              <w:rPr>
                <w:rFonts w:ascii="Arial" w:cs="Arial" w:eastAsia="Arial" w:hAnsi="Arial"/>
                <w:sz w:val="12"/>
                <w:szCs w:val="12"/>
                <w:color w:val="auto"/>
              </w:rPr>
              <w:t>Unamortized discount</w:t>
            </w:r>
          </w:p>
        </w:tc>
        <w:tc>
          <w:tcPr>
            <w:tcW w:w="120" w:type="dxa"/>
            <w:vAlign w:val="bottom"/>
          </w:tcPr>
          <w:p>
            <w:pPr>
              <w:spacing w:after="0"/>
              <w:rPr>
                <w:sz w:val="13"/>
                <w:szCs w:val="13"/>
                <w:color w:val="auto"/>
              </w:rPr>
            </w:pPr>
          </w:p>
        </w:tc>
        <w:tc>
          <w:tcPr>
            <w:tcW w:w="860" w:type="dxa"/>
            <w:vAlign w:val="bottom"/>
          </w:tcPr>
          <w:p>
            <w:pPr>
              <w:jc w:val="right"/>
              <w:ind w:right="61"/>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3"/>
          </w:tcPr>
          <w:p>
            <w:pPr>
              <w:jc w:val="right"/>
              <w:ind w:right="53"/>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6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gridSpan w:val="3"/>
          </w:tcPr>
          <w:p>
            <w:pPr>
              <w:jc w:val="right"/>
              <w:ind w:right="300"/>
              <w:spacing w:after="0"/>
              <w:rPr>
                <w:sz w:val="20"/>
                <w:szCs w:val="20"/>
                <w:color w:val="auto"/>
              </w:rPr>
            </w:pPr>
            <w:r>
              <w:rPr>
                <w:rFonts w:ascii="Arial" w:cs="Arial" w:eastAsia="Arial" w:hAnsi="Arial"/>
                <w:sz w:val="12"/>
                <w:szCs w:val="12"/>
                <w:color w:val="auto"/>
                <w:w w:val="99"/>
              </w:rPr>
              <w:t>—</w:t>
            </w:r>
          </w:p>
        </w:tc>
        <w:tc>
          <w:tcPr>
            <w:tcW w:w="240" w:type="dxa"/>
            <w:vAlign w:val="bottom"/>
          </w:tcPr>
          <w:p>
            <w:pPr>
              <w:spacing w:after="0"/>
              <w:rPr>
                <w:sz w:val="13"/>
                <w:szCs w:val="13"/>
                <w:color w:val="auto"/>
              </w:rPr>
            </w:pPr>
          </w:p>
        </w:tc>
        <w:tc>
          <w:tcPr>
            <w:tcW w:w="720" w:type="dxa"/>
            <w:vAlign w:val="bottom"/>
          </w:tcPr>
          <w:p>
            <w:pPr>
              <w:jc w:val="right"/>
              <w:ind w:right="58"/>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378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Unamortized premium</w:t>
            </w: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367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127</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gridSpan w:val="3"/>
            <w:shd w:val="clear" w:color="auto" w:fill="CCEEFF"/>
          </w:tcPr>
          <w:p>
            <w:pPr>
              <w:jc w:val="right"/>
              <w:ind w:right="300"/>
              <w:spacing w:after="0"/>
              <w:rPr>
                <w:sz w:val="20"/>
                <w:szCs w:val="20"/>
                <w:color w:val="auto"/>
              </w:rPr>
            </w:pPr>
            <w:r>
              <w:rPr>
                <w:rFonts w:ascii="Arial" w:cs="Arial" w:eastAsia="Arial" w:hAnsi="Arial"/>
                <w:sz w:val="12"/>
                <w:szCs w:val="12"/>
                <w:color w:val="auto"/>
                <w:w w:val="99"/>
              </w:rPr>
              <w:t>—</w:t>
            </w: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78"/>
              <w:spacing w:after="0"/>
              <w:rPr>
                <w:sz w:val="20"/>
                <w:szCs w:val="20"/>
                <w:color w:val="auto"/>
              </w:rPr>
            </w:pPr>
            <w:r>
              <w:rPr>
                <w:rFonts w:ascii="Arial" w:cs="Arial" w:eastAsia="Arial" w:hAnsi="Arial"/>
                <w:sz w:val="12"/>
                <w:szCs w:val="12"/>
                <w:color w:val="auto"/>
              </w:rPr>
              <w:t>494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80" w:type="dxa"/>
            <w:vAlign w:val="bottom"/>
            <w:gridSpan w:val="2"/>
          </w:tcPr>
          <w:p>
            <w:pPr>
              <w:ind w:left="140"/>
              <w:spacing w:after="0"/>
              <w:rPr>
                <w:sz w:val="20"/>
                <w:szCs w:val="20"/>
                <w:color w:val="auto"/>
              </w:rPr>
            </w:pPr>
            <w:r>
              <w:rPr>
                <w:rFonts w:ascii="Arial" w:cs="Arial" w:eastAsia="Arial" w:hAnsi="Arial"/>
                <w:sz w:val="12"/>
                <w:szCs w:val="12"/>
                <w:color w:val="auto"/>
              </w:rPr>
              <w:t>Amortized cost</w:t>
            </w:r>
          </w:p>
        </w:tc>
        <w:tc>
          <w:tcPr>
            <w:tcW w:w="1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81"/>
              <w:spacing w:after="0"/>
              <w:rPr>
                <w:sz w:val="20"/>
                <w:szCs w:val="20"/>
                <w:color w:val="auto"/>
              </w:rPr>
            </w:pPr>
            <w:r>
              <w:rPr>
                <w:rFonts w:ascii="Arial" w:cs="Arial" w:eastAsia="Arial" w:hAnsi="Arial"/>
                <w:sz w:val="12"/>
                <w:szCs w:val="12"/>
                <w:color w:val="auto"/>
              </w:rPr>
              <w:t>7,979</w:t>
            </w: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spacing w:after="0"/>
              <w:rPr>
                <w:sz w:val="20"/>
                <w:szCs w:val="20"/>
                <w:color w:val="auto"/>
              </w:rPr>
            </w:pPr>
            <w:r>
              <w:rPr>
                <w:rFonts w:ascii="Arial" w:cs="Arial" w:eastAsia="Arial" w:hAnsi="Arial"/>
                <w:sz w:val="12"/>
                <w:szCs w:val="12"/>
                <w:color w:val="auto"/>
              </w:rPr>
              <w:t>2,664</w:t>
            </w:r>
          </w:p>
        </w:tc>
        <w:tc>
          <w:tcPr>
            <w:tcW w:w="1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98"/>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80"/>
              <w:spacing w:after="0"/>
              <w:rPr>
                <w:sz w:val="20"/>
                <w:szCs w:val="20"/>
                <w:color w:val="auto"/>
              </w:rPr>
            </w:pPr>
            <w:r>
              <w:rPr>
                <w:rFonts w:ascii="Arial" w:cs="Arial" w:eastAsia="Arial" w:hAnsi="Arial"/>
                <w:sz w:val="12"/>
                <w:szCs w:val="12"/>
                <w:color w:val="auto"/>
              </w:rPr>
              <w:t>—</w:t>
            </w:r>
          </w:p>
        </w:tc>
        <w:tc>
          <w:tcPr>
            <w:tcW w:w="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gridSpan w:val="2"/>
          </w:tcPr>
          <w:p>
            <w:pPr>
              <w:jc w:val="right"/>
              <w:ind w:right="93"/>
              <w:spacing w:after="0"/>
              <w:rPr>
                <w:sz w:val="20"/>
                <w:szCs w:val="20"/>
                <w:color w:val="auto"/>
              </w:rPr>
            </w:pPr>
            <w:r>
              <w:rPr>
                <w:rFonts w:ascii="Arial" w:cs="Arial" w:eastAsia="Arial" w:hAnsi="Arial"/>
                <w:sz w:val="12"/>
                <w:szCs w:val="12"/>
                <w:color w:val="auto"/>
                <w:w w:val="99"/>
              </w:rPr>
              <w:t>—</w:t>
            </w:r>
          </w:p>
        </w:tc>
        <w:tc>
          <w:tcPr>
            <w:tcW w:w="1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78"/>
              <w:spacing w:after="0"/>
              <w:rPr>
                <w:sz w:val="20"/>
                <w:szCs w:val="20"/>
                <w:color w:val="auto"/>
              </w:rPr>
            </w:pPr>
            <w:r>
              <w:rPr>
                <w:rFonts w:ascii="Arial" w:cs="Arial" w:eastAsia="Arial" w:hAnsi="Arial"/>
                <w:sz w:val="12"/>
                <w:szCs w:val="12"/>
                <w:color w:val="auto"/>
              </w:rPr>
              <w:t>10,645</w:t>
            </w: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378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Gross unrealized gains</w:t>
            </w: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310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95</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gridSpan w:val="3"/>
            <w:shd w:val="clear" w:color="auto" w:fill="CCEEFF"/>
          </w:tcPr>
          <w:p>
            <w:pPr>
              <w:jc w:val="right"/>
              <w:ind w:right="300"/>
              <w:spacing w:after="0"/>
              <w:rPr>
                <w:sz w:val="20"/>
                <w:szCs w:val="20"/>
                <w:color w:val="auto"/>
              </w:rPr>
            </w:pPr>
            <w:r>
              <w:rPr>
                <w:rFonts w:ascii="Arial" w:cs="Arial" w:eastAsia="Arial" w:hAnsi="Arial"/>
                <w:sz w:val="12"/>
                <w:szCs w:val="12"/>
                <w:color w:val="auto"/>
                <w:w w:val="99"/>
              </w:rPr>
              <w:t>—</w:t>
            </w: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78"/>
              <w:spacing w:after="0"/>
              <w:rPr>
                <w:sz w:val="20"/>
                <w:szCs w:val="20"/>
                <w:color w:val="auto"/>
              </w:rPr>
            </w:pPr>
            <w:r>
              <w:rPr>
                <w:rFonts w:ascii="Arial" w:cs="Arial" w:eastAsia="Arial" w:hAnsi="Arial"/>
                <w:sz w:val="12"/>
                <w:szCs w:val="12"/>
                <w:color w:val="auto"/>
              </w:rPr>
              <w:t>405</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780" w:type="dxa"/>
            <w:vAlign w:val="bottom"/>
            <w:gridSpan w:val="2"/>
          </w:tcPr>
          <w:p>
            <w:pPr>
              <w:ind w:left="140"/>
              <w:spacing w:after="0"/>
              <w:rPr>
                <w:sz w:val="20"/>
                <w:szCs w:val="20"/>
                <w:color w:val="auto"/>
              </w:rPr>
            </w:pPr>
            <w:r>
              <w:rPr>
                <w:rFonts w:ascii="Arial" w:cs="Arial" w:eastAsia="Arial" w:hAnsi="Arial"/>
                <w:sz w:val="12"/>
                <w:szCs w:val="12"/>
                <w:color w:val="auto"/>
              </w:rPr>
              <w:t>Gross unrealized losses</w:t>
            </w:r>
          </w:p>
        </w:tc>
        <w:tc>
          <w:tcPr>
            <w:tcW w:w="120" w:type="dxa"/>
            <w:vAlign w:val="bottom"/>
          </w:tcPr>
          <w:p>
            <w:pPr>
              <w:spacing w:after="0"/>
              <w:rPr>
                <w:sz w:val="13"/>
                <w:szCs w:val="13"/>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60" w:type="dxa"/>
            <w:vAlign w:val="bottom"/>
            <w:gridSpan w:val="3"/>
          </w:tcPr>
          <w:p>
            <w:pPr>
              <w:jc w:val="right"/>
              <w:ind w:right="240"/>
              <w:spacing w:after="0"/>
              <w:rPr>
                <w:sz w:val="20"/>
                <w:szCs w:val="20"/>
                <w:color w:val="auto"/>
              </w:rPr>
            </w:pPr>
            <w:r>
              <w:rPr>
                <w:rFonts w:ascii="Arial" w:cs="Arial" w:eastAsia="Arial" w:hAnsi="Arial"/>
                <w:sz w:val="12"/>
                <w:szCs w:val="12"/>
                <w:color w:val="auto"/>
                <w:w w:val="82"/>
              </w:rPr>
              <w:t>—</w:t>
            </w:r>
          </w:p>
        </w:tc>
        <w:tc>
          <w:tcPr>
            <w:tcW w:w="100" w:type="dxa"/>
            <w:vAlign w:val="bottom"/>
          </w:tcPr>
          <w:p>
            <w:pPr>
              <w:spacing w:after="0"/>
              <w:rPr>
                <w:sz w:val="13"/>
                <w:szCs w:val="13"/>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6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gridSpan w:val="3"/>
          </w:tcPr>
          <w:p>
            <w:pPr>
              <w:jc w:val="right"/>
              <w:ind w:right="300"/>
              <w:spacing w:after="0"/>
              <w:rPr>
                <w:sz w:val="20"/>
                <w:szCs w:val="20"/>
                <w:color w:val="auto"/>
              </w:rPr>
            </w:pPr>
            <w:r>
              <w:rPr>
                <w:rFonts w:ascii="Arial" w:cs="Arial" w:eastAsia="Arial" w:hAnsi="Arial"/>
                <w:sz w:val="12"/>
                <w:szCs w:val="12"/>
                <w:color w:val="auto"/>
                <w:w w:val="99"/>
              </w:rPr>
              <w:t>—</w:t>
            </w:r>
          </w:p>
        </w:tc>
        <w:tc>
          <w:tcPr>
            <w:tcW w:w="240" w:type="dxa"/>
            <w:vAlign w:val="bottom"/>
          </w:tcPr>
          <w:p>
            <w:pPr>
              <w:spacing w:after="0"/>
              <w:rPr>
                <w:sz w:val="13"/>
                <w:szCs w:val="13"/>
                <w:color w:val="auto"/>
              </w:rPr>
            </w:pPr>
          </w:p>
        </w:tc>
        <w:tc>
          <w:tcPr>
            <w:tcW w:w="72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2"/>
        </w:trPr>
        <w:tc>
          <w:tcPr>
            <w:tcW w:w="20" w:type="dxa"/>
            <w:vAlign w:val="bottom"/>
            <w:tcBorders>
              <w:top w:val="single" w:sz="8" w:color="CCEEFF"/>
            </w:tcBorders>
            <w:shd w:val="clear" w:color="auto" w:fill="CCEEFF"/>
          </w:tcPr>
          <w:p>
            <w:pPr>
              <w:spacing w:after="0"/>
              <w:rPr>
                <w:sz w:val="14"/>
                <w:szCs w:val="14"/>
                <w:color w:val="auto"/>
              </w:rPr>
            </w:pPr>
          </w:p>
        </w:tc>
        <w:tc>
          <w:tcPr>
            <w:tcW w:w="37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Total available-for-sale securities, at fair value</w:t>
            </w: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86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Arial" w:cs="Arial" w:eastAsia="Arial" w:hAnsi="Arial"/>
                <w:sz w:val="12"/>
                <w:szCs w:val="12"/>
                <w:color w:val="auto"/>
              </w:rPr>
              <w:t>8,289</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rPr>
              <w:t>2,759</w:t>
            </w: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jc w:val="right"/>
              <w:ind w:right="98"/>
              <w:spacing w:after="0"/>
              <w:rPr>
                <w:sz w:val="20"/>
                <w:szCs w:val="20"/>
                <w:color w:val="auto"/>
              </w:rPr>
            </w:pPr>
            <w:r>
              <w:rPr>
                <w:rFonts w:ascii="Arial" w:cs="Arial" w:eastAsia="Arial" w:hAnsi="Arial"/>
                <w:sz w:val="12"/>
                <w:szCs w:val="12"/>
                <w:color w:val="auto"/>
              </w:rPr>
              <w:t>2</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86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spacing w:after="0"/>
              <w:rPr>
                <w:sz w:val="14"/>
                <w:szCs w:val="14"/>
                <w:color w:val="auto"/>
              </w:rPr>
            </w:pPr>
          </w:p>
        </w:tc>
        <w:tc>
          <w:tcPr>
            <w:tcW w:w="40" w:type="dxa"/>
            <w:vAlign w:val="bottom"/>
            <w:tcBorders>
              <w:top w:val="single" w:sz="8" w:color="auto"/>
              <w:bottom w:val="single" w:sz="8" w:color="auto"/>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spacing w:after="0"/>
              <w:rPr>
                <w:sz w:val="14"/>
                <w:szCs w:val="14"/>
                <w:color w:val="auto"/>
              </w:rPr>
            </w:pPr>
          </w:p>
        </w:tc>
        <w:tc>
          <w:tcPr>
            <w:tcW w:w="52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20" w:type="dxa"/>
            <w:vAlign w:val="bottom"/>
            <w:tcBorders>
              <w:top w:val="single" w:sz="8" w:color="auto"/>
              <w:bottom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440" w:type="dxa"/>
            <w:vAlign w:val="bottom"/>
            <w:tcBorders>
              <w:top w:val="single" w:sz="8" w:color="auto"/>
              <w:bottom w:val="single" w:sz="8" w:color="auto"/>
            </w:tcBorders>
            <w:shd w:val="clear" w:color="auto" w:fill="CCEEFF"/>
          </w:tcPr>
          <w:p>
            <w:pPr>
              <w:spacing w:after="0"/>
              <w:rPr>
                <w:sz w:val="14"/>
                <w:szCs w:val="14"/>
                <w:color w:val="auto"/>
              </w:rPr>
            </w:pPr>
          </w:p>
        </w:tc>
        <w:tc>
          <w:tcPr>
            <w:tcW w:w="60" w:type="dxa"/>
            <w:vAlign w:val="bottom"/>
            <w:tcBorders>
              <w:top w:val="single" w:sz="8" w:color="auto"/>
              <w:bottom w:val="single" w:sz="8" w:color="auto"/>
            </w:tcBorders>
            <w:shd w:val="clear" w:color="auto" w:fill="CCEEFF"/>
          </w:tcPr>
          <w:p>
            <w:pPr>
              <w:spacing w:after="0"/>
              <w:rPr>
                <w:sz w:val="14"/>
                <w:szCs w:val="14"/>
                <w:color w:val="auto"/>
              </w:rPr>
            </w:pPr>
          </w:p>
        </w:tc>
        <w:tc>
          <w:tcPr>
            <w:tcW w:w="300" w:type="dxa"/>
            <w:vAlign w:val="bottom"/>
            <w:tcBorders>
              <w:top w:val="single" w:sz="8" w:color="auto"/>
              <w:bottom w:val="single" w:sz="8" w:color="auto"/>
            </w:tcBorders>
            <w:gridSpan w:val="2"/>
            <w:shd w:val="clear" w:color="auto" w:fill="CCEEFF"/>
          </w:tcPr>
          <w:p>
            <w:pPr>
              <w:jc w:val="right"/>
              <w:ind w:right="93"/>
              <w:spacing w:after="0"/>
              <w:rPr>
                <w:sz w:val="20"/>
                <w:szCs w:val="20"/>
                <w:color w:val="auto"/>
              </w:rPr>
            </w:pPr>
            <w:r>
              <w:rPr>
                <w:rFonts w:ascii="Arial" w:cs="Arial" w:eastAsia="Arial" w:hAnsi="Arial"/>
                <w:sz w:val="12"/>
                <w:szCs w:val="12"/>
                <w:color w:val="auto"/>
                <w:w w:val="99"/>
              </w:rPr>
              <w:t>—</w:t>
            </w:r>
          </w:p>
        </w:tc>
        <w:tc>
          <w:tcPr>
            <w:tcW w:w="14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spacing w:after="0"/>
              <w:rPr>
                <w:sz w:val="14"/>
                <w:szCs w:val="14"/>
                <w:color w:val="auto"/>
              </w:rPr>
            </w:pPr>
          </w:p>
        </w:tc>
        <w:tc>
          <w:tcPr>
            <w:tcW w:w="720" w:type="dxa"/>
            <w:vAlign w:val="bottom"/>
            <w:tcBorders>
              <w:top w:val="single" w:sz="8" w:color="auto"/>
              <w:bottom w:val="single" w:sz="8" w:color="auto"/>
            </w:tcBorders>
            <w:shd w:val="clear" w:color="auto" w:fill="CCEEFF"/>
          </w:tcPr>
          <w:p>
            <w:pPr>
              <w:jc w:val="right"/>
              <w:ind w:right="78"/>
              <w:spacing w:after="0"/>
              <w:rPr>
                <w:sz w:val="20"/>
                <w:szCs w:val="20"/>
                <w:color w:val="auto"/>
              </w:rPr>
            </w:pPr>
            <w:r>
              <w:rPr>
                <w:rFonts w:ascii="Arial" w:cs="Arial" w:eastAsia="Arial" w:hAnsi="Arial"/>
                <w:sz w:val="12"/>
                <w:szCs w:val="12"/>
                <w:color w:val="auto"/>
              </w:rPr>
              <w:t>11,050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780" w:type="dxa"/>
            <w:vAlign w:val="bottom"/>
            <w:gridSpan w:val="2"/>
          </w:tcPr>
          <w:p>
            <w:pPr>
              <w:spacing w:after="0" w:line="128" w:lineRule="exact"/>
              <w:rPr>
                <w:sz w:val="20"/>
                <w:szCs w:val="20"/>
                <w:color w:val="auto"/>
              </w:rPr>
            </w:pPr>
            <w:r>
              <w:rPr>
                <w:rFonts w:ascii="Arial" w:cs="Arial" w:eastAsia="Arial" w:hAnsi="Arial"/>
                <w:sz w:val="12"/>
                <w:szCs w:val="12"/>
                <w:color w:val="auto"/>
              </w:rPr>
              <w:t>Securities remeasured at fair value through earnings:</w:t>
            </w: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378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Par value</w:t>
            </w: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30,548</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13,992</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98"/>
              <w:spacing w:after="0"/>
              <w:rPr>
                <w:sz w:val="20"/>
                <w:szCs w:val="20"/>
                <w:color w:val="auto"/>
              </w:rPr>
            </w:pPr>
            <w:r>
              <w:rPr>
                <w:rFonts w:ascii="Arial" w:cs="Arial" w:eastAsia="Arial" w:hAnsi="Arial"/>
                <w:sz w:val="12"/>
                <w:szCs w:val="12"/>
                <w:color w:val="auto"/>
              </w:rPr>
              <w:t>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196</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338</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gridSpan w:val="4"/>
            <w:shd w:val="clear" w:color="auto" w:fill="CCEEFF"/>
          </w:tcPr>
          <w:p>
            <w:pPr>
              <w:jc w:val="right"/>
              <w:ind w:right="93"/>
              <w:spacing w:after="0"/>
              <w:rPr>
                <w:sz w:val="20"/>
                <w:szCs w:val="20"/>
                <w:color w:val="auto"/>
              </w:rPr>
            </w:pPr>
            <w:r>
              <w:rPr>
                <w:rFonts w:ascii="Arial" w:cs="Arial" w:eastAsia="Arial" w:hAnsi="Arial"/>
                <w:sz w:val="12"/>
                <w:szCs w:val="12"/>
                <w:color w:val="auto"/>
              </w:rPr>
              <w:t>1,077</w:t>
            </w: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78"/>
              <w:spacing w:after="0"/>
              <w:rPr>
                <w:sz w:val="20"/>
                <w:szCs w:val="20"/>
                <w:color w:val="auto"/>
              </w:rPr>
            </w:pPr>
            <w:r>
              <w:rPr>
                <w:rFonts w:ascii="Arial" w:cs="Arial" w:eastAsia="Arial" w:hAnsi="Arial"/>
                <w:sz w:val="12"/>
                <w:szCs w:val="12"/>
                <w:color w:val="auto"/>
              </w:rPr>
              <w:t>46,154</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780" w:type="dxa"/>
            <w:vAlign w:val="bottom"/>
            <w:gridSpan w:val="2"/>
          </w:tcPr>
          <w:p>
            <w:pPr>
              <w:ind w:left="140"/>
              <w:spacing w:after="0"/>
              <w:rPr>
                <w:sz w:val="20"/>
                <w:szCs w:val="20"/>
                <w:color w:val="auto"/>
              </w:rPr>
            </w:pPr>
            <w:r>
              <w:rPr>
                <w:rFonts w:ascii="Arial" w:cs="Arial" w:eastAsia="Arial" w:hAnsi="Arial"/>
                <w:sz w:val="12"/>
                <w:szCs w:val="12"/>
                <w:color w:val="auto"/>
              </w:rPr>
              <w:t>Unamortized discount</w:t>
            </w:r>
          </w:p>
        </w:tc>
        <w:tc>
          <w:tcPr>
            <w:tcW w:w="120" w:type="dxa"/>
            <w:vAlign w:val="bottom"/>
          </w:tcPr>
          <w:p>
            <w:pPr>
              <w:spacing w:after="0"/>
              <w:rPr>
                <w:sz w:val="13"/>
                <w:szCs w:val="13"/>
                <w:color w:val="auto"/>
              </w:rPr>
            </w:pPr>
          </w:p>
        </w:tc>
        <w:tc>
          <w:tcPr>
            <w:tcW w:w="860" w:type="dxa"/>
            <w:vAlign w:val="bottom"/>
          </w:tcPr>
          <w:p>
            <w:pPr>
              <w:jc w:val="right"/>
              <w:ind w:right="61"/>
              <w:spacing w:after="0"/>
              <w:rPr>
                <w:sz w:val="20"/>
                <w:szCs w:val="20"/>
                <w:color w:val="auto"/>
              </w:rPr>
            </w:pPr>
            <w:r>
              <w:rPr>
                <w:rFonts w:ascii="Arial" w:cs="Arial" w:eastAsia="Arial" w:hAnsi="Arial"/>
                <w:sz w:val="12"/>
                <w:szCs w:val="12"/>
                <w:color w:val="auto"/>
              </w:rPr>
              <w:t>(15)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3"/>
          </w:tcPr>
          <w:p>
            <w:pPr>
              <w:jc w:val="right"/>
              <w:ind w:right="53"/>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60" w:type="dxa"/>
            <w:vAlign w:val="bottom"/>
          </w:tcPr>
          <w:p>
            <w:pPr>
              <w:jc w:val="right"/>
              <w:ind w:right="60"/>
              <w:spacing w:after="0"/>
              <w:rPr>
                <w:sz w:val="20"/>
                <w:szCs w:val="20"/>
                <w:color w:val="auto"/>
              </w:rPr>
            </w:pPr>
            <w:r>
              <w:rPr>
                <w:rFonts w:ascii="Arial" w:cs="Arial" w:eastAsia="Arial" w:hAnsi="Arial"/>
                <w:sz w:val="12"/>
                <w:szCs w:val="12"/>
                <w:color w:val="auto"/>
              </w:rPr>
              <w:t>(12)</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2"/>
                <w:szCs w:val="12"/>
                <w:color w:val="auto"/>
              </w:rPr>
              <w:t>(6)</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gridSpan w:val="3"/>
          </w:tcPr>
          <w:p>
            <w:pPr>
              <w:jc w:val="right"/>
              <w:ind w:right="53"/>
              <w:spacing w:after="0"/>
              <w:rPr>
                <w:sz w:val="20"/>
                <w:szCs w:val="20"/>
                <w:color w:val="auto"/>
              </w:rPr>
            </w:pPr>
            <w:r>
              <w:rPr>
                <w:rFonts w:ascii="Arial" w:cs="Arial" w:eastAsia="Arial" w:hAnsi="Arial"/>
                <w:sz w:val="12"/>
                <w:szCs w:val="12"/>
                <w:color w:val="auto"/>
              </w:rPr>
              <w:t>(9)</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jc w:val="right"/>
              <w:ind w:right="58"/>
              <w:spacing w:after="0"/>
              <w:rPr>
                <w:sz w:val="20"/>
                <w:szCs w:val="20"/>
                <w:color w:val="auto"/>
              </w:rPr>
            </w:pPr>
            <w:r>
              <w:rPr>
                <w:rFonts w:ascii="Arial" w:cs="Arial" w:eastAsia="Arial" w:hAnsi="Arial"/>
                <w:sz w:val="12"/>
                <w:szCs w:val="12"/>
                <w:color w:val="auto"/>
              </w:rPr>
              <w:t>(45)</w:t>
            </w: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378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Unamortized premium</w:t>
            </w: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1,070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535</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3</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4</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60" w:type="dxa"/>
            <w:vAlign w:val="bottom"/>
            <w:gridSpan w:val="3"/>
            <w:shd w:val="clear" w:color="auto" w:fill="CCEEFF"/>
          </w:tcPr>
          <w:p>
            <w:pPr>
              <w:jc w:val="right"/>
              <w:ind w:right="93"/>
              <w:spacing w:after="0"/>
              <w:rPr>
                <w:sz w:val="20"/>
                <w:szCs w:val="20"/>
                <w:color w:val="auto"/>
              </w:rPr>
            </w:pPr>
            <w:r>
              <w:rPr>
                <w:rFonts w:ascii="Arial" w:cs="Arial" w:eastAsia="Arial" w:hAnsi="Arial"/>
                <w:sz w:val="12"/>
                <w:szCs w:val="12"/>
                <w:color w:val="auto"/>
              </w:rPr>
              <w:t>13</w:t>
            </w: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78"/>
              <w:spacing w:after="0"/>
              <w:rPr>
                <w:sz w:val="20"/>
                <w:szCs w:val="20"/>
                <w:color w:val="auto"/>
              </w:rPr>
            </w:pPr>
            <w:r>
              <w:rPr>
                <w:rFonts w:ascii="Arial" w:cs="Arial" w:eastAsia="Arial" w:hAnsi="Arial"/>
                <w:sz w:val="12"/>
                <w:szCs w:val="12"/>
                <w:color w:val="auto"/>
              </w:rPr>
              <w:t>1,625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80" w:type="dxa"/>
            <w:vAlign w:val="bottom"/>
            <w:gridSpan w:val="2"/>
          </w:tcPr>
          <w:p>
            <w:pPr>
              <w:ind w:left="140"/>
              <w:spacing w:after="0"/>
              <w:rPr>
                <w:sz w:val="20"/>
                <w:szCs w:val="20"/>
                <w:color w:val="auto"/>
              </w:rPr>
            </w:pPr>
            <w:r>
              <w:rPr>
                <w:rFonts w:ascii="Arial" w:cs="Arial" w:eastAsia="Arial" w:hAnsi="Arial"/>
                <w:sz w:val="12"/>
                <w:szCs w:val="12"/>
                <w:color w:val="auto"/>
              </w:rPr>
              <w:t>Amortized cost</w:t>
            </w:r>
          </w:p>
        </w:tc>
        <w:tc>
          <w:tcPr>
            <w:tcW w:w="1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81"/>
              <w:spacing w:after="0"/>
              <w:rPr>
                <w:sz w:val="20"/>
                <w:szCs w:val="20"/>
                <w:color w:val="auto"/>
              </w:rPr>
            </w:pPr>
            <w:r>
              <w:rPr>
                <w:rFonts w:ascii="Arial" w:cs="Arial" w:eastAsia="Arial" w:hAnsi="Arial"/>
                <w:sz w:val="12"/>
                <w:szCs w:val="12"/>
                <w:color w:val="auto"/>
              </w:rPr>
              <w:t>31,603</w:t>
            </w: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spacing w:after="0"/>
              <w:rPr>
                <w:sz w:val="20"/>
                <w:szCs w:val="20"/>
                <w:color w:val="auto"/>
              </w:rPr>
            </w:pPr>
            <w:r>
              <w:rPr>
                <w:rFonts w:ascii="Arial" w:cs="Arial" w:eastAsia="Arial" w:hAnsi="Arial"/>
                <w:sz w:val="12"/>
                <w:szCs w:val="12"/>
                <w:color w:val="auto"/>
              </w:rPr>
              <w:t>14,524</w:t>
            </w:r>
          </w:p>
        </w:tc>
        <w:tc>
          <w:tcPr>
            <w:tcW w:w="1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ind w:right="98"/>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80"/>
              <w:spacing w:after="0"/>
              <w:rPr>
                <w:sz w:val="20"/>
                <w:szCs w:val="20"/>
                <w:color w:val="auto"/>
              </w:rPr>
            </w:pPr>
            <w:r>
              <w:rPr>
                <w:rFonts w:ascii="Arial" w:cs="Arial" w:eastAsia="Arial" w:hAnsi="Arial"/>
                <w:sz w:val="12"/>
                <w:szCs w:val="12"/>
                <w:color w:val="auto"/>
              </w:rPr>
              <w:t>187</w:t>
            </w:r>
          </w:p>
        </w:tc>
        <w:tc>
          <w:tcPr>
            <w:tcW w:w="1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3"/>
          </w:tcPr>
          <w:p>
            <w:pPr>
              <w:jc w:val="right"/>
              <w:ind w:right="80"/>
              <w:spacing w:after="0"/>
              <w:rPr>
                <w:sz w:val="20"/>
                <w:szCs w:val="20"/>
                <w:color w:val="auto"/>
              </w:rPr>
            </w:pPr>
            <w:r>
              <w:rPr>
                <w:rFonts w:ascii="Arial" w:cs="Arial" w:eastAsia="Arial" w:hAnsi="Arial"/>
                <w:sz w:val="12"/>
                <w:szCs w:val="12"/>
                <w:color w:val="auto"/>
              </w:rPr>
              <w:t>336</w:t>
            </w:r>
          </w:p>
        </w:tc>
        <w:tc>
          <w:tcPr>
            <w:tcW w:w="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4"/>
          </w:tcPr>
          <w:p>
            <w:pPr>
              <w:jc w:val="right"/>
              <w:ind w:right="93"/>
              <w:spacing w:after="0"/>
              <w:rPr>
                <w:sz w:val="20"/>
                <w:szCs w:val="20"/>
                <w:color w:val="auto"/>
              </w:rPr>
            </w:pPr>
            <w:r>
              <w:rPr>
                <w:rFonts w:ascii="Arial" w:cs="Arial" w:eastAsia="Arial" w:hAnsi="Arial"/>
                <w:sz w:val="12"/>
                <w:szCs w:val="12"/>
                <w:color w:val="auto"/>
              </w:rPr>
              <w:t>1,081</w:t>
            </w:r>
          </w:p>
        </w:tc>
        <w:tc>
          <w:tcPr>
            <w:tcW w:w="1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78"/>
              <w:spacing w:after="0"/>
              <w:rPr>
                <w:sz w:val="20"/>
                <w:szCs w:val="20"/>
                <w:color w:val="auto"/>
              </w:rPr>
            </w:pPr>
            <w:r>
              <w:rPr>
                <w:rFonts w:ascii="Arial" w:cs="Arial" w:eastAsia="Arial" w:hAnsi="Arial"/>
                <w:sz w:val="12"/>
                <w:szCs w:val="12"/>
                <w:color w:val="auto"/>
              </w:rPr>
              <w:t>47,734</w:t>
            </w:r>
          </w:p>
        </w:tc>
        <w:tc>
          <w:tcPr>
            <w:tcW w:w="0" w:type="dxa"/>
            <w:vAlign w:val="bottom"/>
          </w:tcPr>
          <w:p>
            <w:pPr>
              <w:spacing w:after="0"/>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378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Gross unrealized gains</w:t>
            </w: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759</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362</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13</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0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18</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60" w:type="dxa"/>
            <w:vAlign w:val="bottom"/>
            <w:gridSpan w:val="3"/>
            <w:shd w:val="clear" w:color="auto" w:fill="CCEEFF"/>
          </w:tcPr>
          <w:p>
            <w:pPr>
              <w:jc w:val="right"/>
              <w:ind w:right="93"/>
              <w:spacing w:after="0"/>
              <w:rPr>
                <w:sz w:val="20"/>
                <w:szCs w:val="20"/>
                <w:color w:val="auto"/>
              </w:rPr>
            </w:pPr>
            <w:r>
              <w:rPr>
                <w:rFonts w:ascii="Arial" w:cs="Arial" w:eastAsia="Arial" w:hAnsi="Arial"/>
                <w:sz w:val="12"/>
                <w:szCs w:val="12"/>
                <w:color w:val="auto"/>
              </w:rPr>
              <w:t>26</w:t>
            </w: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78"/>
              <w:spacing w:after="0"/>
              <w:rPr>
                <w:sz w:val="20"/>
                <w:szCs w:val="20"/>
                <w:color w:val="auto"/>
              </w:rPr>
            </w:pPr>
            <w:r>
              <w:rPr>
                <w:rFonts w:ascii="Arial" w:cs="Arial" w:eastAsia="Arial" w:hAnsi="Arial"/>
                <w:sz w:val="12"/>
                <w:szCs w:val="12"/>
                <w:color w:val="auto"/>
              </w:rPr>
              <w:t>1,178</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780" w:type="dxa"/>
            <w:vAlign w:val="bottom"/>
            <w:gridSpan w:val="2"/>
          </w:tcPr>
          <w:p>
            <w:pPr>
              <w:ind w:left="140"/>
              <w:spacing w:after="0"/>
              <w:rPr>
                <w:sz w:val="20"/>
                <w:szCs w:val="20"/>
                <w:color w:val="auto"/>
              </w:rPr>
            </w:pPr>
            <w:r>
              <w:rPr>
                <w:rFonts w:ascii="Arial" w:cs="Arial" w:eastAsia="Arial" w:hAnsi="Arial"/>
                <w:sz w:val="12"/>
                <w:szCs w:val="12"/>
                <w:color w:val="auto"/>
              </w:rPr>
              <w:t>Gross unrealized losses</w:t>
            </w:r>
          </w:p>
        </w:tc>
        <w:tc>
          <w:tcPr>
            <w:tcW w:w="120" w:type="dxa"/>
            <w:vAlign w:val="bottom"/>
          </w:tcPr>
          <w:p>
            <w:pPr>
              <w:spacing w:after="0"/>
              <w:rPr>
                <w:sz w:val="13"/>
                <w:szCs w:val="13"/>
                <w:color w:val="auto"/>
              </w:rPr>
            </w:pPr>
          </w:p>
        </w:tc>
        <w:tc>
          <w:tcPr>
            <w:tcW w:w="860" w:type="dxa"/>
            <w:vAlign w:val="bottom"/>
          </w:tcPr>
          <w:p>
            <w:pPr>
              <w:jc w:val="right"/>
              <w:ind w:right="61"/>
              <w:spacing w:after="0"/>
              <w:rPr>
                <w:sz w:val="20"/>
                <w:szCs w:val="20"/>
                <w:color w:val="auto"/>
              </w:rPr>
            </w:pPr>
            <w:r>
              <w:rPr>
                <w:rFonts w:ascii="Arial" w:cs="Arial" w:eastAsia="Arial" w:hAnsi="Arial"/>
                <w:sz w:val="12"/>
                <w:szCs w:val="12"/>
                <w:color w:val="auto"/>
              </w:rPr>
              <w:t>(109)</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3"/>
          </w:tcPr>
          <w:p>
            <w:pPr>
              <w:jc w:val="right"/>
              <w:ind w:right="53"/>
              <w:spacing w:after="0"/>
              <w:rPr>
                <w:sz w:val="20"/>
                <w:szCs w:val="20"/>
                <w:color w:val="auto"/>
              </w:rPr>
            </w:pPr>
            <w:r>
              <w:rPr>
                <w:rFonts w:ascii="Arial" w:cs="Arial" w:eastAsia="Arial" w:hAnsi="Arial"/>
                <w:sz w:val="12"/>
                <w:szCs w:val="12"/>
                <w:color w:val="auto"/>
              </w:rPr>
              <w:t>(51)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86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2"/>
                <w:szCs w:val="12"/>
                <w:color w:val="auto"/>
              </w:rPr>
              <w:t>(1)</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gridSpan w:val="3"/>
          </w:tcPr>
          <w:p>
            <w:pPr>
              <w:jc w:val="right"/>
              <w:ind w:right="53"/>
              <w:spacing w:after="0"/>
              <w:rPr>
                <w:sz w:val="20"/>
                <w:szCs w:val="20"/>
                <w:color w:val="auto"/>
              </w:rPr>
            </w:pPr>
            <w:r>
              <w:rPr>
                <w:rFonts w:ascii="Arial" w:cs="Arial" w:eastAsia="Arial" w:hAnsi="Arial"/>
                <w:sz w:val="12"/>
                <w:szCs w:val="12"/>
                <w:color w:val="auto"/>
              </w:rPr>
              <w:t>(2)</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jc w:val="right"/>
              <w:ind w:right="58"/>
              <w:spacing w:after="0"/>
              <w:rPr>
                <w:sz w:val="20"/>
                <w:szCs w:val="20"/>
                <w:color w:val="auto"/>
              </w:rPr>
            </w:pPr>
            <w:r>
              <w:rPr>
                <w:rFonts w:ascii="Arial" w:cs="Arial" w:eastAsia="Arial" w:hAnsi="Arial"/>
                <w:sz w:val="12"/>
                <w:szCs w:val="12"/>
                <w:color w:val="auto"/>
              </w:rPr>
              <w:t>(163)</w:t>
            </w:r>
          </w:p>
        </w:tc>
        <w:tc>
          <w:tcPr>
            <w:tcW w:w="0" w:type="dxa"/>
            <w:vAlign w:val="bottom"/>
          </w:tcPr>
          <w:p>
            <w:pPr>
              <w:spacing w:after="0"/>
              <w:rPr>
                <w:sz w:val="1"/>
                <w:szCs w:val="1"/>
                <w:color w:val="auto"/>
              </w:rPr>
            </w:pPr>
          </w:p>
        </w:tc>
      </w:tr>
      <w:tr>
        <w:trPr>
          <w:trHeight w:val="162"/>
        </w:trPr>
        <w:tc>
          <w:tcPr>
            <w:tcW w:w="20" w:type="dxa"/>
            <w:vAlign w:val="bottom"/>
            <w:tcBorders>
              <w:top w:val="single" w:sz="8" w:color="CCEEFF"/>
            </w:tcBorders>
            <w:shd w:val="clear" w:color="auto" w:fill="CCEEFF"/>
          </w:tcPr>
          <w:p>
            <w:pPr>
              <w:spacing w:after="0"/>
              <w:rPr>
                <w:sz w:val="14"/>
                <w:szCs w:val="14"/>
                <w:color w:val="auto"/>
              </w:rPr>
            </w:pPr>
          </w:p>
        </w:tc>
        <w:tc>
          <w:tcPr>
            <w:tcW w:w="37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2"/>
                <w:szCs w:val="12"/>
                <w:color w:val="auto"/>
              </w:rPr>
              <w:t>Total securities remeasured at fair value through earnings</w:t>
            </w: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86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Arial" w:cs="Arial" w:eastAsia="Arial" w:hAnsi="Arial"/>
                <w:sz w:val="12"/>
                <w:szCs w:val="12"/>
                <w:color w:val="auto"/>
              </w:rPr>
              <w:t>32,253</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rPr>
              <w:t>14,835</w:t>
            </w: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880" w:type="dxa"/>
            <w:vAlign w:val="bottom"/>
            <w:tcBorders>
              <w:top w:val="single" w:sz="8" w:color="auto"/>
              <w:bottom w:val="single" w:sz="8" w:color="auto"/>
            </w:tcBorders>
            <w:shd w:val="clear" w:color="auto" w:fill="CCEEFF"/>
          </w:tcPr>
          <w:p>
            <w:pPr>
              <w:jc w:val="right"/>
              <w:ind w:right="98"/>
              <w:spacing w:after="0"/>
              <w:rPr>
                <w:sz w:val="20"/>
                <w:szCs w:val="20"/>
                <w:color w:val="auto"/>
              </w:rPr>
            </w:pPr>
            <w:r>
              <w:rPr>
                <w:rFonts w:ascii="Arial" w:cs="Arial" w:eastAsia="Arial" w:hAnsi="Arial"/>
                <w:sz w:val="12"/>
                <w:szCs w:val="12"/>
                <w:color w:val="auto"/>
              </w:rPr>
              <w:t>3</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86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200</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spacing w:after="0"/>
              <w:rPr>
                <w:sz w:val="14"/>
                <w:szCs w:val="14"/>
                <w:color w:val="auto"/>
              </w:rPr>
            </w:pPr>
          </w:p>
        </w:tc>
        <w:tc>
          <w:tcPr>
            <w:tcW w:w="700" w:type="dxa"/>
            <w:vAlign w:val="bottom"/>
            <w:tcBorders>
              <w:top w:val="single" w:sz="8" w:color="auto"/>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353</w:t>
            </w:r>
          </w:p>
        </w:tc>
        <w:tc>
          <w:tcPr>
            <w:tcW w:w="20" w:type="dxa"/>
            <w:vAlign w:val="bottom"/>
            <w:tcBorders>
              <w:top w:val="single" w:sz="8" w:color="auto"/>
              <w:bottom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800" w:type="dxa"/>
            <w:vAlign w:val="bottom"/>
            <w:tcBorders>
              <w:top w:val="single" w:sz="8" w:color="auto"/>
              <w:bottom w:val="single" w:sz="8" w:color="auto"/>
            </w:tcBorders>
            <w:gridSpan w:val="4"/>
            <w:shd w:val="clear" w:color="auto" w:fill="CCEEFF"/>
          </w:tcPr>
          <w:p>
            <w:pPr>
              <w:jc w:val="right"/>
              <w:ind w:right="93"/>
              <w:spacing w:after="0"/>
              <w:rPr>
                <w:sz w:val="20"/>
                <w:szCs w:val="20"/>
                <w:color w:val="auto"/>
              </w:rPr>
            </w:pPr>
            <w:r>
              <w:rPr>
                <w:rFonts w:ascii="Arial" w:cs="Arial" w:eastAsia="Arial" w:hAnsi="Arial"/>
                <w:sz w:val="12"/>
                <w:szCs w:val="12"/>
                <w:color w:val="auto"/>
              </w:rPr>
              <w:t>1,105</w:t>
            </w:r>
          </w:p>
        </w:tc>
        <w:tc>
          <w:tcPr>
            <w:tcW w:w="14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auto"/>
            </w:tcBorders>
            <w:shd w:val="clear" w:color="auto" w:fill="CCEEFF"/>
          </w:tcPr>
          <w:p>
            <w:pPr>
              <w:spacing w:after="0"/>
              <w:rPr>
                <w:sz w:val="14"/>
                <w:szCs w:val="14"/>
                <w:color w:val="auto"/>
              </w:rPr>
            </w:pPr>
          </w:p>
        </w:tc>
        <w:tc>
          <w:tcPr>
            <w:tcW w:w="720" w:type="dxa"/>
            <w:vAlign w:val="bottom"/>
            <w:tcBorders>
              <w:top w:val="single" w:sz="8" w:color="auto"/>
              <w:bottom w:val="single" w:sz="8" w:color="auto"/>
            </w:tcBorders>
            <w:shd w:val="clear" w:color="auto" w:fill="CCEEFF"/>
          </w:tcPr>
          <w:p>
            <w:pPr>
              <w:jc w:val="right"/>
              <w:ind w:right="78"/>
              <w:spacing w:after="0"/>
              <w:rPr>
                <w:sz w:val="20"/>
                <w:szCs w:val="20"/>
                <w:color w:val="auto"/>
              </w:rPr>
            </w:pPr>
            <w:r>
              <w:rPr>
                <w:rFonts w:ascii="Arial" w:cs="Arial" w:eastAsia="Arial" w:hAnsi="Arial"/>
                <w:sz w:val="12"/>
                <w:szCs w:val="12"/>
                <w:color w:val="auto"/>
              </w:rPr>
              <w:t>48,749</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780" w:type="dxa"/>
            <w:vAlign w:val="bottom"/>
            <w:gridSpan w:val="2"/>
          </w:tcPr>
          <w:p>
            <w:pPr>
              <w:spacing w:after="0"/>
              <w:rPr>
                <w:sz w:val="20"/>
                <w:szCs w:val="20"/>
                <w:color w:val="auto"/>
              </w:rPr>
            </w:pPr>
            <w:r>
              <w:rPr>
                <w:rFonts w:ascii="Arial" w:cs="Arial" w:eastAsia="Arial" w:hAnsi="Arial"/>
                <w:sz w:val="12"/>
                <w:szCs w:val="12"/>
                <w:color w:val="auto"/>
              </w:rPr>
              <w:t>Total securities, at fair value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60" w:type="dxa"/>
            <w:vAlign w:val="bottom"/>
            <w:tcBorders>
              <w:bottom w:val="single" w:sz="8" w:color="auto"/>
            </w:tcBorders>
          </w:tcPr>
          <w:p>
            <w:pPr>
              <w:jc w:val="right"/>
              <w:ind w:right="81"/>
              <w:spacing w:after="0"/>
              <w:rPr>
                <w:sz w:val="20"/>
                <w:szCs w:val="20"/>
                <w:color w:val="auto"/>
              </w:rPr>
            </w:pPr>
            <w:r>
              <w:rPr>
                <w:rFonts w:ascii="Arial" w:cs="Arial" w:eastAsia="Arial" w:hAnsi="Arial"/>
                <w:sz w:val="12"/>
                <w:szCs w:val="12"/>
                <w:color w:val="auto"/>
              </w:rPr>
              <w:t>40,542</w:t>
            </w:r>
          </w:p>
        </w:tc>
        <w:tc>
          <w:tcPr>
            <w:tcW w:w="10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17,594</w:t>
            </w:r>
          </w:p>
        </w:tc>
        <w:tc>
          <w:tcPr>
            <w:tcW w:w="1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tcBorders>
              <w:bottom w:val="single" w:sz="8" w:color="auto"/>
            </w:tcBorders>
          </w:tcPr>
          <w:p>
            <w:pPr>
              <w:jc w:val="right"/>
              <w:ind w:right="98"/>
              <w:spacing w:after="0"/>
              <w:rPr>
                <w:sz w:val="20"/>
                <w:szCs w:val="20"/>
                <w:color w:val="auto"/>
              </w:rPr>
            </w:pPr>
            <w:r>
              <w:rPr>
                <w:rFonts w:ascii="Arial" w:cs="Arial" w:eastAsia="Arial" w:hAnsi="Arial"/>
                <w:sz w:val="12"/>
                <w:szCs w:val="12"/>
                <w:color w:val="auto"/>
              </w:rPr>
              <w:t>5</w:t>
            </w:r>
          </w:p>
        </w:tc>
        <w:tc>
          <w:tcPr>
            <w:tcW w:w="100" w:type="dxa"/>
            <w:vAlign w:val="bottom"/>
          </w:tcPr>
          <w:p>
            <w:pPr>
              <w:spacing w:after="0"/>
              <w:rPr>
                <w:sz w:val="13"/>
                <w:szCs w:val="13"/>
                <w:color w:val="auto"/>
              </w:rPr>
            </w:pPr>
          </w:p>
        </w:tc>
        <w:tc>
          <w:tcPr>
            <w:tcW w:w="10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89"/>
              </w:rPr>
              <w:t>$</w:t>
            </w:r>
          </w:p>
        </w:tc>
        <w:tc>
          <w:tcPr>
            <w:tcW w:w="86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200</w:t>
            </w:r>
          </w:p>
        </w:tc>
        <w:tc>
          <w:tcPr>
            <w:tcW w:w="100" w:type="dxa"/>
            <w:vAlign w:val="bottom"/>
          </w:tcPr>
          <w:p>
            <w:pPr>
              <w:spacing w:after="0"/>
              <w:rPr>
                <w:sz w:val="13"/>
                <w:szCs w:val="13"/>
                <w:color w:val="auto"/>
              </w:rPr>
            </w:pPr>
          </w:p>
        </w:tc>
        <w:tc>
          <w:tcPr>
            <w:tcW w:w="280" w:type="dxa"/>
            <w:vAlign w:val="bottom"/>
            <w:tcBorders>
              <w:bottom w:val="single" w:sz="8" w:color="auto"/>
            </w:tcBorders>
          </w:tcPr>
          <w:p>
            <w:pPr>
              <w:jc w:val="right"/>
              <w:ind w:right="138"/>
              <w:spacing w:after="0"/>
              <w:rPr>
                <w:sz w:val="20"/>
                <w:szCs w:val="20"/>
                <w:color w:val="auto"/>
              </w:rPr>
            </w:pPr>
            <w:r>
              <w:rPr>
                <w:rFonts w:ascii="Arial" w:cs="Arial" w:eastAsia="Arial" w:hAnsi="Arial"/>
                <w:sz w:val="12"/>
                <w:szCs w:val="12"/>
                <w:color w:val="auto"/>
                <w:w w:val="89"/>
              </w:rPr>
              <w:t>$</w:t>
            </w:r>
          </w:p>
        </w:tc>
        <w:tc>
          <w:tcPr>
            <w:tcW w:w="7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2"/>
                <w:szCs w:val="12"/>
                <w:color w:val="auto"/>
              </w:rPr>
              <w:t>353</w:t>
            </w:r>
          </w:p>
        </w:tc>
        <w:tc>
          <w:tcPr>
            <w:tcW w:w="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jc w:val="right"/>
              <w:ind w:right="48"/>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gridSpan w:val="4"/>
          </w:tcPr>
          <w:p>
            <w:pPr>
              <w:jc w:val="right"/>
              <w:ind w:right="93"/>
              <w:spacing w:after="0"/>
              <w:rPr>
                <w:sz w:val="20"/>
                <w:szCs w:val="20"/>
                <w:color w:val="auto"/>
              </w:rPr>
            </w:pPr>
            <w:r>
              <w:rPr>
                <w:rFonts w:ascii="Arial" w:cs="Arial" w:eastAsia="Arial" w:hAnsi="Arial"/>
                <w:sz w:val="12"/>
                <w:szCs w:val="12"/>
                <w:color w:val="auto"/>
              </w:rPr>
              <w:t>1,105</w:t>
            </w:r>
          </w:p>
        </w:tc>
        <w:tc>
          <w:tcPr>
            <w:tcW w:w="140" w:type="dxa"/>
            <w:vAlign w:val="bottom"/>
          </w:tcPr>
          <w:p>
            <w:pPr>
              <w:spacing w:after="0"/>
              <w:rPr>
                <w:sz w:val="13"/>
                <w:szCs w:val="13"/>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w:t>
            </w:r>
          </w:p>
        </w:tc>
        <w:tc>
          <w:tcPr>
            <w:tcW w:w="720" w:type="dxa"/>
            <w:vAlign w:val="bottom"/>
            <w:tcBorders>
              <w:bottom w:val="single" w:sz="8" w:color="auto"/>
            </w:tcBorders>
          </w:tcPr>
          <w:p>
            <w:pPr>
              <w:jc w:val="right"/>
              <w:ind w:right="78"/>
              <w:spacing w:after="0"/>
              <w:rPr>
                <w:sz w:val="20"/>
                <w:szCs w:val="20"/>
                <w:color w:val="auto"/>
              </w:rPr>
            </w:pPr>
            <w:r>
              <w:rPr>
                <w:rFonts w:ascii="Arial" w:cs="Arial" w:eastAsia="Arial" w:hAnsi="Arial"/>
                <w:sz w:val="12"/>
                <w:szCs w:val="12"/>
                <w:color w:val="auto"/>
              </w:rPr>
              <w:t>59,799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0" w:type="dxa"/>
            <w:vAlign w:val="bottom"/>
            <w:shd w:val="clear" w:color="auto" w:fill="CCEEFF"/>
          </w:tcPr>
          <w:p>
            <w:pPr>
              <w:spacing w:after="0"/>
              <w:rPr>
                <w:sz w:val="13"/>
                <w:szCs w:val="13"/>
                <w:color w:val="auto"/>
              </w:rPr>
            </w:pPr>
          </w:p>
        </w:tc>
        <w:tc>
          <w:tcPr>
            <w:tcW w:w="3780" w:type="dxa"/>
            <w:vAlign w:val="bottom"/>
            <w:gridSpan w:val="2"/>
            <w:shd w:val="clear" w:color="auto" w:fill="CCEEFF"/>
          </w:tcPr>
          <w:p>
            <w:pPr>
              <w:spacing w:after="0" w:line="137" w:lineRule="exact"/>
              <w:rPr>
                <w:sz w:val="20"/>
                <w:szCs w:val="20"/>
                <w:color w:val="auto"/>
              </w:rPr>
            </w:pPr>
            <w:r>
              <w:rPr>
                <w:rFonts w:ascii="Arial" w:cs="Arial" w:eastAsia="Arial" w:hAnsi="Arial"/>
                <w:sz w:val="12"/>
                <w:szCs w:val="12"/>
                <w:color w:val="auto"/>
              </w:rPr>
              <w:t>Weighted average coupon as of June 30, 2021</w:t>
            </w: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3.15 %</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3.23 %</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4.73 %</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4.23 %</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3.69 %</w:t>
            </w: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w w:val="85"/>
              </w:rPr>
              <w:t>3.58 %</w:t>
            </w:r>
          </w:p>
        </w:tc>
        <w:tc>
          <w:tcPr>
            <w:tcW w:w="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3.19 %</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780" w:type="dxa"/>
            <w:vAlign w:val="bottom"/>
            <w:gridSpan w:val="2"/>
          </w:tcPr>
          <w:p>
            <w:pPr>
              <w:spacing w:after="0"/>
              <w:rPr>
                <w:sz w:val="20"/>
                <w:szCs w:val="20"/>
                <w:color w:val="auto"/>
              </w:rPr>
            </w:pPr>
            <w:r>
              <w:rPr>
                <w:rFonts w:ascii="Arial" w:cs="Arial" w:eastAsia="Arial" w:hAnsi="Arial"/>
                <w:sz w:val="12"/>
                <w:szCs w:val="12"/>
                <w:color w:val="auto"/>
              </w:rPr>
              <w:t xml:space="preserve">Weighted average yield as of June 30, 2021 </w:t>
            </w:r>
            <w:r>
              <w:rPr>
                <w:rFonts w:ascii="Arial" w:cs="Arial" w:eastAsia="Arial" w:hAnsi="Arial"/>
                <w:sz w:val="15"/>
                <w:szCs w:val="15"/>
                <w:color w:val="auto"/>
                <w:vertAlign w:val="superscript"/>
              </w:rPr>
              <w:t>1</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2.37 %</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3"/>
          </w:tcPr>
          <w:p>
            <w:pPr>
              <w:jc w:val="right"/>
              <w:spacing w:after="0"/>
              <w:rPr>
                <w:sz w:val="20"/>
                <w:szCs w:val="20"/>
                <w:color w:val="auto"/>
              </w:rPr>
            </w:pPr>
            <w:r>
              <w:rPr>
                <w:rFonts w:ascii="Arial" w:cs="Arial" w:eastAsia="Arial" w:hAnsi="Arial"/>
                <w:sz w:val="12"/>
                <w:szCs w:val="12"/>
                <w:color w:val="auto"/>
              </w:rPr>
              <w:t>2.38 %</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2.56 %</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4.38 %</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gridSpan w:val="3"/>
          </w:tcPr>
          <w:p>
            <w:pPr>
              <w:jc w:val="right"/>
              <w:spacing w:after="0"/>
              <w:rPr>
                <w:sz w:val="20"/>
                <w:szCs w:val="20"/>
                <w:color w:val="auto"/>
              </w:rPr>
            </w:pPr>
            <w:r>
              <w:rPr>
                <w:rFonts w:ascii="Arial" w:cs="Arial" w:eastAsia="Arial" w:hAnsi="Arial"/>
                <w:sz w:val="12"/>
                <w:szCs w:val="12"/>
                <w:color w:val="auto"/>
              </w:rPr>
              <w:t>4.01 %</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60" w:type="dxa"/>
            <w:vAlign w:val="bottom"/>
            <w:gridSpan w:val="3"/>
          </w:tcPr>
          <w:p>
            <w:pPr>
              <w:jc w:val="right"/>
              <w:spacing w:after="0"/>
              <w:rPr>
                <w:sz w:val="20"/>
                <w:szCs w:val="20"/>
                <w:color w:val="auto"/>
              </w:rPr>
            </w:pPr>
            <w:r>
              <w:rPr>
                <w:rFonts w:ascii="Arial" w:cs="Arial" w:eastAsia="Arial" w:hAnsi="Arial"/>
                <w:sz w:val="12"/>
                <w:szCs w:val="12"/>
                <w:color w:val="auto"/>
                <w:w w:val="85"/>
              </w:rPr>
              <w:t>4.09 %</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2.42 %</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20"/>
        <w:spacing w:after="0"/>
        <w:rPr>
          <w:sz w:val="20"/>
          <w:szCs w:val="20"/>
          <w:color w:val="auto"/>
        </w:rPr>
      </w:pPr>
      <w:r>
        <w:rPr>
          <w:rFonts w:ascii="Arial" w:cs="Arial" w:eastAsia="Arial" w:hAnsi="Arial"/>
          <w:sz w:val="10"/>
          <w:szCs w:val="10"/>
          <w:color w:val="auto"/>
        </w:rPr>
        <w:t>________________________________</w:t>
      </w:r>
    </w:p>
    <w:p>
      <w:pPr>
        <w:spacing w:after="0" w:line="1" w:lineRule="exact"/>
        <w:rPr>
          <w:sz w:val="20"/>
          <w:szCs w:val="20"/>
          <w:color w:val="auto"/>
        </w:rPr>
      </w:pPr>
    </w:p>
    <w:p>
      <w:pPr>
        <w:ind w:left="600" w:hanging="300"/>
        <w:spacing w:after="0"/>
        <w:tabs>
          <w:tab w:leader="none" w:pos="600" w:val="left"/>
        </w:tabs>
        <w:numPr>
          <w:ilvl w:val="0"/>
          <w:numId w:val="2"/>
        </w:numPr>
        <w:rPr>
          <w:rFonts w:ascii="Arial" w:cs="Arial" w:eastAsia="Arial" w:hAnsi="Arial"/>
          <w:sz w:val="13"/>
          <w:szCs w:val="13"/>
          <w:color w:val="auto"/>
        </w:rPr>
      </w:pPr>
      <w:r>
        <w:rPr>
          <w:rFonts w:ascii="Arial" w:cs="Arial" w:eastAsia="Arial" w:hAnsi="Arial"/>
          <w:sz w:val="13"/>
          <w:szCs w:val="13"/>
          <w:color w:val="auto"/>
        </w:rPr>
        <w:t>Incorporates a weighted average future constant prepayment rate assumption of 11.6% based on forward rates as of June 30, 2021.</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2" w:name="page13"/>
    <w:bookmarkEnd w:id="12"/>
    <w:tbl>
      <w:tblPr>
        <w:tblLayout w:type="fixed"/>
        <w:tblInd w:w="300" w:type="dxa"/>
        <w:tblCellMar>
          <w:top w:w="0" w:type="dxa"/>
          <w:left w:w="0" w:type="dxa"/>
          <w:bottom w:w="0" w:type="dxa"/>
          <w:right w:w="0" w:type="dxa"/>
        </w:tblCellMar>
      </w:tblPr>
      <w:tr>
        <w:trPr>
          <w:trHeight w:val="178"/>
        </w:trPr>
        <w:tc>
          <w:tcPr>
            <w:tcW w:w="3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92"/>
              </w:rPr>
              <w:t>December 31, 2020</w:t>
            </w: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3"/>
                <w:szCs w:val="13"/>
                <w:b w:val="1"/>
                <w:bCs w:val="1"/>
                <w:color w:val="auto"/>
                <w:w w:val="94"/>
              </w:rPr>
              <w:t>Agency RMBS</w:t>
            </w: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right"/>
              <w:ind w:right="561"/>
              <w:spacing w:after="0"/>
              <w:rPr>
                <w:sz w:val="20"/>
                <w:szCs w:val="20"/>
                <w:color w:val="auto"/>
              </w:rPr>
            </w:pPr>
            <w:r>
              <w:rPr>
                <w:rFonts w:ascii="Arial" w:cs="Arial" w:eastAsia="Arial" w:hAnsi="Arial"/>
                <w:sz w:val="13"/>
                <w:szCs w:val="13"/>
                <w:b w:val="1"/>
                <w:bCs w:val="1"/>
                <w:color w:val="auto"/>
              </w:rPr>
              <w:t>Non-Agency</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6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Investment Securities</w:t>
            </w:r>
          </w:p>
        </w:tc>
        <w:tc>
          <w:tcPr>
            <w:tcW w:w="160" w:type="dxa"/>
            <w:vAlign w:val="bottom"/>
          </w:tcPr>
          <w:p>
            <w:pPr>
              <w:spacing w:after="0"/>
              <w:rPr>
                <w:sz w:val="10"/>
                <w:szCs w:val="10"/>
                <w:color w:val="auto"/>
              </w:rPr>
            </w:pPr>
          </w:p>
        </w:tc>
        <w:tc>
          <w:tcPr>
            <w:tcW w:w="86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w w:val="95"/>
              </w:rPr>
              <w:t>Fannie</w:t>
            </w:r>
          </w:p>
        </w:tc>
        <w:tc>
          <w:tcPr>
            <w:tcW w:w="80" w:type="dxa"/>
            <w:vAlign w:val="bottom"/>
          </w:tcPr>
          <w:p>
            <w:pPr>
              <w:spacing w:after="0"/>
              <w:rPr>
                <w:sz w:val="10"/>
                <w:szCs w:val="10"/>
                <w:color w:val="auto"/>
              </w:rPr>
            </w:pPr>
          </w:p>
        </w:tc>
        <w:tc>
          <w:tcPr>
            <w:tcW w:w="94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94"/>
              </w:rPr>
              <w:t>Freddie Mac</w:t>
            </w:r>
          </w:p>
        </w:tc>
        <w:tc>
          <w:tcPr>
            <w:tcW w:w="160" w:type="dxa"/>
            <w:vAlign w:val="bottom"/>
          </w:tcPr>
          <w:p>
            <w:pPr>
              <w:spacing w:after="0"/>
              <w:rPr>
                <w:sz w:val="10"/>
                <w:szCs w:val="10"/>
                <w:color w:val="auto"/>
              </w:rPr>
            </w:pPr>
          </w:p>
        </w:tc>
        <w:tc>
          <w:tcPr>
            <w:tcW w:w="760" w:type="dxa"/>
            <w:vAlign w:val="bottom"/>
          </w:tcPr>
          <w:p>
            <w:pPr>
              <w:jc w:val="right"/>
              <w:ind w:right="221"/>
              <w:spacing w:after="0" w:line="119" w:lineRule="exact"/>
              <w:rPr>
                <w:sz w:val="20"/>
                <w:szCs w:val="20"/>
                <w:color w:val="auto"/>
              </w:rPr>
            </w:pPr>
            <w:r>
              <w:rPr>
                <w:rFonts w:ascii="Arial" w:cs="Arial" w:eastAsia="Arial" w:hAnsi="Arial"/>
                <w:sz w:val="13"/>
                <w:szCs w:val="13"/>
                <w:b w:val="1"/>
                <w:bCs w:val="1"/>
                <w:color w:val="auto"/>
              </w:rPr>
              <w:t>Ginnie</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99"/>
              </w:rPr>
              <w:t>RMBS</w:t>
            </w:r>
          </w:p>
        </w:tc>
        <w:tc>
          <w:tcPr>
            <w:tcW w:w="180" w:type="dxa"/>
            <w:vAlign w:val="bottom"/>
          </w:tcPr>
          <w:p>
            <w:pPr>
              <w:spacing w:after="0"/>
              <w:rPr>
                <w:sz w:val="10"/>
                <w:szCs w:val="10"/>
                <w:color w:val="auto"/>
              </w:rPr>
            </w:pPr>
          </w:p>
        </w:tc>
        <w:tc>
          <w:tcPr>
            <w:tcW w:w="86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CMBS</w:t>
            </w:r>
          </w:p>
        </w:tc>
        <w:tc>
          <w:tcPr>
            <w:tcW w:w="200" w:type="dxa"/>
            <w:vAlign w:val="bottom"/>
          </w:tcPr>
          <w:p>
            <w:pPr>
              <w:spacing w:after="0"/>
              <w:rPr>
                <w:sz w:val="10"/>
                <w:szCs w:val="10"/>
                <w:color w:val="auto"/>
              </w:rPr>
            </w:pPr>
          </w:p>
        </w:tc>
        <w:tc>
          <w:tcPr>
            <w:tcW w:w="800" w:type="dxa"/>
            <w:vAlign w:val="bottom"/>
            <w:gridSpan w:val="2"/>
            <w:vMerge w:val="restart"/>
          </w:tcPr>
          <w:p>
            <w:pPr>
              <w:ind w:left="120"/>
              <w:spacing w:after="0"/>
              <w:rPr>
                <w:sz w:val="20"/>
                <w:szCs w:val="20"/>
                <w:color w:val="auto"/>
              </w:rPr>
            </w:pPr>
            <w:r>
              <w:rPr>
                <w:rFonts w:ascii="Arial" w:cs="Arial" w:eastAsia="Arial" w:hAnsi="Arial"/>
                <w:sz w:val="13"/>
                <w:szCs w:val="13"/>
                <w:b w:val="1"/>
                <w:bCs w:val="1"/>
                <w:color w:val="auto"/>
              </w:rPr>
              <w:t>CRT</w:t>
            </w:r>
          </w:p>
        </w:tc>
        <w:tc>
          <w:tcPr>
            <w:tcW w:w="200" w:type="dxa"/>
            <w:vAlign w:val="bottom"/>
          </w:tcPr>
          <w:p>
            <w:pPr>
              <w:spacing w:after="0"/>
              <w:rPr>
                <w:sz w:val="10"/>
                <w:szCs w:val="10"/>
                <w:color w:val="auto"/>
              </w:rPr>
            </w:pPr>
          </w:p>
        </w:tc>
        <w:tc>
          <w:tcPr>
            <w:tcW w:w="720" w:type="dxa"/>
            <w:vAlign w:val="bottom"/>
            <w:vMerge w:val="restart"/>
          </w:tcPr>
          <w:p>
            <w:pPr>
              <w:jc w:val="right"/>
              <w:ind w:right="241"/>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4"/>
        </w:trPr>
        <w:tc>
          <w:tcPr>
            <w:tcW w:w="36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4"/>
              </w:rPr>
              <w:t>Mae</w:t>
            </w:r>
          </w:p>
        </w:tc>
        <w:tc>
          <w:tcPr>
            <w:tcW w:w="8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right"/>
              <w:ind w:right="281"/>
              <w:spacing w:after="0"/>
              <w:rPr>
                <w:sz w:val="20"/>
                <w:szCs w:val="20"/>
                <w:color w:val="auto"/>
              </w:rPr>
            </w:pPr>
            <w:r>
              <w:rPr>
                <w:rFonts w:ascii="Arial" w:cs="Arial" w:eastAsia="Arial" w:hAnsi="Arial"/>
                <w:sz w:val="13"/>
                <w:szCs w:val="13"/>
                <w:b w:val="1"/>
                <w:bCs w:val="1"/>
                <w:color w:val="auto"/>
              </w:rPr>
              <w:t>Mae</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500" w:type="dxa"/>
            <w:vAlign w:val="bottom"/>
            <w:tcBorders>
              <w:top w:val="single" w:sz="8" w:color="auto"/>
            </w:tcBorders>
          </w:tcPr>
          <w:p>
            <w:pPr>
              <w:ind w:left="20"/>
              <w:spacing w:after="0"/>
              <w:rPr>
                <w:sz w:val="20"/>
                <w:szCs w:val="20"/>
                <w:color w:val="auto"/>
              </w:rPr>
            </w:pPr>
            <w:r>
              <w:rPr>
                <w:rFonts w:ascii="Arial" w:cs="Arial" w:eastAsia="Arial" w:hAnsi="Arial"/>
                <w:sz w:val="12"/>
                <w:szCs w:val="12"/>
                <w:color w:val="auto"/>
              </w:rPr>
              <w:t>Available-for-sale securities:</w:t>
            </w: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3600" w:type="dxa"/>
            <w:vAlign w:val="bottom"/>
            <w:gridSpan w:val="2"/>
            <w:shd w:val="clear" w:color="auto" w:fill="CCEEFF"/>
          </w:tcPr>
          <w:p>
            <w:pPr>
              <w:ind w:left="160"/>
              <w:spacing w:after="0"/>
              <w:rPr>
                <w:sz w:val="20"/>
                <w:szCs w:val="20"/>
                <w:color w:val="auto"/>
              </w:rPr>
            </w:pPr>
            <w:r>
              <w:rPr>
                <w:rFonts w:ascii="Arial" w:cs="Arial" w:eastAsia="Arial" w:hAnsi="Arial"/>
                <w:sz w:val="12"/>
                <w:szCs w:val="12"/>
                <w:color w:val="auto"/>
              </w:rPr>
              <w:t>Par value</w:t>
            </w:r>
          </w:p>
        </w:tc>
        <w:tc>
          <w:tcPr>
            <w:tcW w:w="16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w w:val="89"/>
              </w:rPr>
              <w:t>$</w:t>
            </w:r>
          </w:p>
        </w:tc>
        <w:tc>
          <w:tcPr>
            <w:tcW w:w="76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9,325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3,416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w w:val="89"/>
              </w:rPr>
              <w:t>$</w:t>
            </w:r>
          </w:p>
        </w:tc>
        <w:tc>
          <w:tcPr>
            <w:tcW w:w="76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2</w:t>
            </w:r>
          </w:p>
        </w:tc>
        <w:tc>
          <w:tcPr>
            <w:tcW w:w="280" w:type="dxa"/>
            <w:vAlign w:val="bottom"/>
            <w:gridSpan w:val="2"/>
            <w:shd w:val="clear" w:color="auto" w:fill="CCEEFF"/>
          </w:tcPr>
          <w:p>
            <w:pPr>
              <w:jc w:val="right"/>
              <w:ind w:right="42"/>
              <w:spacing w:after="0"/>
              <w:rPr>
                <w:sz w:val="20"/>
                <w:szCs w:val="20"/>
                <w:color w:val="auto"/>
              </w:rPr>
            </w:pPr>
            <w:r>
              <w:rPr>
                <w:rFonts w:ascii="Arial" w:cs="Arial" w:eastAsia="Arial" w:hAnsi="Arial"/>
                <w:sz w:val="12"/>
                <w:szCs w:val="12"/>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w w:val="89"/>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w w:val="89"/>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w w:val="89"/>
              </w:rPr>
              <w:t>$</w:t>
            </w:r>
          </w:p>
        </w:tc>
        <w:tc>
          <w:tcPr>
            <w:tcW w:w="72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12,743</w:t>
            </w:r>
          </w:p>
        </w:tc>
        <w:tc>
          <w:tcPr>
            <w:tcW w:w="0" w:type="dxa"/>
            <w:vAlign w:val="bottom"/>
          </w:tcPr>
          <w:p>
            <w:pPr>
              <w:spacing w:after="0"/>
              <w:rPr>
                <w:sz w:val="1"/>
                <w:szCs w:val="1"/>
                <w:color w:val="auto"/>
              </w:rPr>
            </w:pPr>
          </w:p>
        </w:tc>
      </w:tr>
      <w:tr>
        <w:trPr>
          <w:trHeight w:val="155"/>
        </w:trPr>
        <w:tc>
          <w:tcPr>
            <w:tcW w:w="3600" w:type="dxa"/>
            <w:vAlign w:val="bottom"/>
            <w:gridSpan w:val="2"/>
          </w:tcPr>
          <w:p>
            <w:pPr>
              <w:ind w:left="160"/>
              <w:spacing w:after="0"/>
              <w:rPr>
                <w:sz w:val="20"/>
                <w:szCs w:val="20"/>
                <w:color w:val="auto"/>
              </w:rPr>
            </w:pPr>
            <w:r>
              <w:rPr>
                <w:rFonts w:ascii="Arial" w:cs="Arial" w:eastAsia="Arial" w:hAnsi="Arial"/>
                <w:sz w:val="12"/>
                <w:szCs w:val="12"/>
                <w:color w:val="auto"/>
              </w:rPr>
              <w:t>Unamortized discount</w:t>
            </w:r>
          </w:p>
        </w:tc>
        <w:tc>
          <w:tcPr>
            <w:tcW w:w="160" w:type="dxa"/>
            <w:vAlign w:val="bottom"/>
          </w:tcPr>
          <w:p>
            <w:pPr>
              <w:spacing w:after="0"/>
              <w:rPr>
                <w:sz w:val="13"/>
                <w:szCs w:val="13"/>
                <w:color w:val="auto"/>
              </w:rPr>
            </w:pPr>
          </w:p>
        </w:tc>
        <w:tc>
          <w:tcPr>
            <w:tcW w:w="760" w:type="dxa"/>
            <w:vAlign w:val="bottom"/>
          </w:tcPr>
          <w:p>
            <w:pPr>
              <w:jc w:val="right"/>
              <w:ind w:right="61"/>
              <w:spacing w:after="0"/>
              <w:rPr>
                <w:sz w:val="20"/>
                <w:szCs w:val="20"/>
                <w:color w:val="auto"/>
              </w:rPr>
            </w:pPr>
            <w:r>
              <w:rPr>
                <w:rFonts w:ascii="Arial" w:cs="Arial" w:eastAsia="Arial" w:hAnsi="Arial"/>
                <w:sz w:val="12"/>
                <w:szCs w:val="12"/>
                <w:color w:val="auto"/>
              </w:rPr>
              <w:t>(4)</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right"/>
              <w:ind w:right="61"/>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right"/>
              <w:ind w:right="101"/>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720" w:type="dxa"/>
            <w:vAlign w:val="bottom"/>
          </w:tcPr>
          <w:p>
            <w:pPr>
              <w:jc w:val="right"/>
              <w:ind w:right="61"/>
              <w:spacing w:after="0"/>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170"/>
        </w:trPr>
        <w:tc>
          <w:tcPr>
            <w:tcW w:w="3600" w:type="dxa"/>
            <w:vAlign w:val="bottom"/>
            <w:gridSpan w:val="2"/>
            <w:shd w:val="clear" w:color="auto" w:fill="CCEEFF"/>
          </w:tcPr>
          <w:p>
            <w:pPr>
              <w:ind w:left="160"/>
              <w:spacing w:after="0"/>
              <w:rPr>
                <w:sz w:val="20"/>
                <w:szCs w:val="20"/>
                <w:color w:val="auto"/>
              </w:rPr>
            </w:pPr>
            <w:r>
              <w:rPr>
                <w:rFonts w:ascii="Arial" w:cs="Arial" w:eastAsia="Arial" w:hAnsi="Arial"/>
                <w:sz w:val="12"/>
                <w:szCs w:val="12"/>
                <w:color w:val="auto"/>
              </w:rPr>
              <w:t>Unamortized premium</w:t>
            </w: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389</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152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541</w:t>
            </w:r>
          </w:p>
        </w:tc>
        <w:tc>
          <w:tcPr>
            <w:tcW w:w="0" w:type="dxa"/>
            <w:vAlign w:val="bottom"/>
          </w:tcPr>
          <w:p>
            <w:pPr>
              <w:spacing w:after="0"/>
              <w:rPr>
                <w:sz w:val="1"/>
                <w:szCs w:val="1"/>
                <w:color w:val="auto"/>
              </w:rPr>
            </w:pPr>
          </w:p>
        </w:tc>
      </w:tr>
      <w:tr>
        <w:trPr>
          <w:trHeight w:val="148"/>
        </w:trPr>
        <w:tc>
          <w:tcPr>
            <w:tcW w:w="3600" w:type="dxa"/>
            <w:vAlign w:val="bottom"/>
            <w:gridSpan w:val="2"/>
          </w:tcPr>
          <w:p>
            <w:pPr>
              <w:ind w:left="200"/>
              <w:spacing w:after="0"/>
              <w:rPr>
                <w:sz w:val="20"/>
                <w:szCs w:val="20"/>
                <w:color w:val="auto"/>
              </w:rPr>
            </w:pPr>
            <w:r>
              <w:rPr>
                <w:rFonts w:ascii="Arial" w:cs="Arial" w:eastAsia="Arial" w:hAnsi="Arial"/>
                <w:sz w:val="12"/>
                <w:szCs w:val="12"/>
                <w:color w:val="auto"/>
              </w:rPr>
              <w:t>Amortized cost</w:t>
            </w: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81"/>
              <w:spacing w:after="0"/>
              <w:rPr>
                <w:sz w:val="20"/>
                <w:szCs w:val="20"/>
                <w:color w:val="auto"/>
              </w:rPr>
            </w:pPr>
            <w:r>
              <w:rPr>
                <w:rFonts w:ascii="Arial" w:cs="Arial" w:eastAsia="Arial" w:hAnsi="Arial"/>
                <w:sz w:val="12"/>
                <w:szCs w:val="12"/>
                <w:color w:val="auto"/>
              </w:rPr>
              <w:t>9,710</w:t>
            </w: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101"/>
              <w:spacing w:after="0"/>
              <w:rPr>
                <w:sz w:val="20"/>
                <w:szCs w:val="20"/>
                <w:color w:val="auto"/>
              </w:rPr>
            </w:pPr>
            <w:r>
              <w:rPr>
                <w:rFonts w:ascii="Arial" w:cs="Arial" w:eastAsia="Arial" w:hAnsi="Arial"/>
                <w:sz w:val="12"/>
                <w:szCs w:val="12"/>
                <w:color w:val="auto"/>
              </w:rPr>
              <w:t>3,567</w:t>
            </w: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101"/>
              <w:spacing w:after="0"/>
              <w:rPr>
                <w:sz w:val="20"/>
                <w:szCs w:val="20"/>
                <w:color w:val="auto"/>
              </w:rPr>
            </w:pPr>
            <w:r>
              <w:rPr>
                <w:rFonts w:ascii="Arial" w:cs="Arial" w:eastAsia="Arial" w:hAnsi="Arial"/>
                <w:sz w:val="12"/>
                <w:szCs w:val="12"/>
                <w:color w:val="auto"/>
              </w:rPr>
              <w:t>2</w:t>
            </w: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81"/>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101"/>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01"/>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81"/>
              <w:spacing w:after="0"/>
              <w:rPr>
                <w:sz w:val="20"/>
                <w:szCs w:val="20"/>
                <w:color w:val="auto"/>
              </w:rPr>
            </w:pPr>
            <w:r>
              <w:rPr>
                <w:rFonts w:ascii="Arial" w:cs="Arial" w:eastAsia="Arial" w:hAnsi="Arial"/>
                <w:sz w:val="12"/>
                <w:szCs w:val="12"/>
                <w:color w:val="auto"/>
              </w:rPr>
              <w:t>13,279</w:t>
            </w:r>
          </w:p>
        </w:tc>
        <w:tc>
          <w:tcPr>
            <w:tcW w:w="0" w:type="dxa"/>
            <w:vAlign w:val="bottom"/>
          </w:tcPr>
          <w:p>
            <w:pPr>
              <w:spacing w:after="0"/>
              <w:rPr>
                <w:sz w:val="1"/>
                <w:szCs w:val="1"/>
                <w:color w:val="auto"/>
              </w:rPr>
            </w:pPr>
          </w:p>
        </w:tc>
      </w:tr>
      <w:tr>
        <w:trPr>
          <w:trHeight w:val="170"/>
        </w:trPr>
        <w:tc>
          <w:tcPr>
            <w:tcW w:w="3600" w:type="dxa"/>
            <w:vAlign w:val="bottom"/>
            <w:gridSpan w:val="2"/>
            <w:shd w:val="clear" w:color="auto" w:fill="CCEEFF"/>
          </w:tcPr>
          <w:p>
            <w:pPr>
              <w:ind w:left="160"/>
              <w:spacing w:after="0"/>
              <w:rPr>
                <w:sz w:val="20"/>
                <w:szCs w:val="20"/>
                <w:color w:val="auto"/>
              </w:rPr>
            </w:pPr>
            <w:r>
              <w:rPr>
                <w:rFonts w:ascii="Arial" w:cs="Arial" w:eastAsia="Arial" w:hAnsi="Arial"/>
                <w:sz w:val="12"/>
                <w:szCs w:val="12"/>
                <w:color w:val="auto"/>
              </w:rPr>
              <w:t>Gross unrealized gains</w:t>
            </w: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539</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180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719</w:t>
            </w:r>
          </w:p>
        </w:tc>
        <w:tc>
          <w:tcPr>
            <w:tcW w:w="0" w:type="dxa"/>
            <w:vAlign w:val="bottom"/>
          </w:tcPr>
          <w:p>
            <w:pPr>
              <w:spacing w:after="0"/>
              <w:rPr>
                <w:sz w:val="1"/>
                <w:szCs w:val="1"/>
                <w:color w:val="auto"/>
              </w:rPr>
            </w:pPr>
          </w:p>
        </w:tc>
      </w:tr>
      <w:tr>
        <w:trPr>
          <w:trHeight w:val="155"/>
        </w:trPr>
        <w:tc>
          <w:tcPr>
            <w:tcW w:w="3600" w:type="dxa"/>
            <w:vAlign w:val="bottom"/>
            <w:gridSpan w:val="2"/>
          </w:tcPr>
          <w:p>
            <w:pPr>
              <w:ind w:left="160"/>
              <w:spacing w:after="0"/>
              <w:rPr>
                <w:sz w:val="20"/>
                <w:szCs w:val="20"/>
                <w:color w:val="auto"/>
              </w:rPr>
            </w:pPr>
            <w:r>
              <w:rPr>
                <w:rFonts w:ascii="Arial" w:cs="Arial" w:eastAsia="Arial" w:hAnsi="Arial"/>
                <w:sz w:val="12"/>
                <w:szCs w:val="12"/>
                <w:color w:val="auto"/>
              </w:rPr>
              <w:t>Gross unrealized losses</w:t>
            </w:r>
          </w:p>
        </w:tc>
        <w:tc>
          <w:tcPr>
            <w:tcW w:w="160" w:type="dxa"/>
            <w:vAlign w:val="bottom"/>
          </w:tcPr>
          <w:p>
            <w:pPr>
              <w:spacing w:after="0"/>
              <w:rPr>
                <w:sz w:val="13"/>
                <w:szCs w:val="13"/>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3"/>
                <w:szCs w:val="13"/>
                <w:color w:val="auto"/>
              </w:rPr>
            </w:pPr>
          </w:p>
        </w:tc>
        <w:tc>
          <w:tcPr>
            <w:tcW w:w="760" w:type="dxa"/>
            <w:vAlign w:val="bottom"/>
          </w:tcPr>
          <w:p>
            <w:pPr>
              <w:jc w:val="right"/>
              <w:ind w:right="101"/>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720" w:type="dxa"/>
            <w:vAlign w:val="bottom"/>
          </w:tcPr>
          <w:p>
            <w:pPr>
              <w:jc w:val="right"/>
              <w:ind w:right="8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2"/>
        </w:trPr>
        <w:tc>
          <w:tcPr>
            <w:tcW w:w="36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2"/>
                <w:szCs w:val="12"/>
                <w:color w:val="auto"/>
              </w:rPr>
              <w:t>Total available-for-sale securities, at fair value</w:t>
            </w: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76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Arial" w:cs="Arial" w:eastAsia="Arial" w:hAnsi="Arial"/>
                <w:sz w:val="12"/>
                <w:szCs w:val="12"/>
                <w:color w:val="auto"/>
              </w:rPr>
              <w:t>10,249</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840" w:type="dxa"/>
            <w:vAlign w:val="bottom"/>
            <w:tcBorders>
              <w:top w:val="single" w:sz="8" w:color="auto"/>
              <w:bottom w:val="single" w:sz="8" w:color="auto"/>
            </w:tcBorders>
            <w:shd w:val="clear" w:color="auto" w:fill="CCEEFF"/>
          </w:tcPr>
          <w:p>
            <w:pPr>
              <w:jc w:val="right"/>
              <w:ind w:right="101"/>
              <w:spacing w:after="0"/>
              <w:rPr>
                <w:sz w:val="20"/>
                <w:szCs w:val="20"/>
                <w:color w:val="auto"/>
              </w:rPr>
            </w:pPr>
            <w:r>
              <w:rPr>
                <w:rFonts w:ascii="Arial" w:cs="Arial" w:eastAsia="Arial" w:hAnsi="Arial"/>
                <w:sz w:val="12"/>
                <w:szCs w:val="12"/>
                <w:color w:val="auto"/>
              </w:rPr>
              <w:t>3,747</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760" w:type="dxa"/>
            <w:vAlign w:val="bottom"/>
            <w:tcBorders>
              <w:top w:val="single" w:sz="8" w:color="auto"/>
              <w:bottom w:val="single" w:sz="8" w:color="auto"/>
            </w:tcBorders>
            <w:shd w:val="clear" w:color="auto" w:fill="CCEEFF"/>
          </w:tcPr>
          <w:p>
            <w:pPr>
              <w:jc w:val="right"/>
              <w:ind w:right="101"/>
              <w:spacing w:after="0"/>
              <w:rPr>
                <w:sz w:val="20"/>
                <w:szCs w:val="20"/>
                <w:color w:val="auto"/>
              </w:rPr>
            </w:pPr>
            <w:r>
              <w:rPr>
                <w:rFonts w:ascii="Arial" w:cs="Arial" w:eastAsia="Arial" w:hAnsi="Arial"/>
                <w:sz w:val="12"/>
                <w:szCs w:val="12"/>
                <w:color w:val="auto"/>
              </w:rPr>
              <w:t>2</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spacing w:after="0"/>
              <w:rPr>
                <w:sz w:val="14"/>
                <w:szCs w:val="14"/>
                <w:color w:val="auto"/>
              </w:rPr>
            </w:pPr>
          </w:p>
        </w:tc>
        <w:tc>
          <w:tcPr>
            <w:tcW w:w="74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Arial" w:cs="Arial" w:eastAsia="Arial" w:hAnsi="Arial"/>
                <w:sz w:val="12"/>
                <w:szCs w:val="12"/>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spacing w:after="0"/>
              <w:rPr>
                <w:sz w:val="14"/>
                <w:szCs w:val="14"/>
                <w:color w:val="auto"/>
              </w:rPr>
            </w:pPr>
          </w:p>
        </w:tc>
        <w:tc>
          <w:tcPr>
            <w:tcW w:w="760" w:type="dxa"/>
            <w:vAlign w:val="bottom"/>
            <w:tcBorders>
              <w:top w:val="single" w:sz="8" w:color="auto"/>
              <w:bottom w:val="single" w:sz="8" w:color="auto"/>
            </w:tcBorders>
            <w:shd w:val="clear" w:color="auto" w:fill="CCEEFF"/>
          </w:tcPr>
          <w:p>
            <w:pPr>
              <w:jc w:val="right"/>
              <w:ind w:right="101"/>
              <w:spacing w:after="0"/>
              <w:rPr>
                <w:sz w:val="20"/>
                <w:szCs w:val="20"/>
                <w:color w:val="auto"/>
              </w:rPr>
            </w:pPr>
            <w:r>
              <w:rPr>
                <w:rFonts w:ascii="Arial" w:cs="Arial" w:eastAsia="Arial" w:hAnsi="Arial"/>
                <w:sz w:val="12"/>
                <w:szCs w:val="12"/>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spacing w:after="0"/>
              <w:rPr>
                <w:sz w:val="14"/>
                <w:szCs w:val="14"/>
                <w:color w:val="auto"/>
              </w:rPr>
            </w:pPr>
          </w:p>
        </w:tc>
        <w:tc>
          <w:tcPr>
            <w:tcW w:w="700" w:type="dxa"/>
            <w:vAlign w:val="bottom"/>
            <w:tcBorders>
              <w:top w:val="single" w:sz="8" w:color="auto"/>
              <w:bottom w:val="single" w:sz="8" w:color="auto"/>
            </w:tcBorders>
            <w:shd w:val="clear" w:color="auto" w:fill="CCEEFF"/>
          </w:tcPr>
          <w:p>
            <w:pPr>
              <w:jc w:val="right"/>
              <w:ind w:right="101"/>
              <w:spacing w:after="0"/>
              <w:rPr>
                <w:sz w:val="20"/>
                <w:szCs w:val="20"/>
                <w:color w:val="auto"/>
              </w:rPr>
            </w:pPr>
            <w:r>
              <w:rPr>
                <w:rFonts w:ascii="Arial" w:cs="Arial" w:eastAsia="Arial" w:hAnsi="Arial"/>
                <w:sz w:val="12"/>
                <w:szCs w:val="12"/>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spacing w:after="0"/>
              <w:rPr>
                <w:sz w:val="14"/>
                <w:szCs w:val="14"/>
                <w:color w:val="auto"/>
              </w:rPr>
            </w:pPr>
          </w:p>
        </w:tc>
        <w:tc>
          <w:tcPr>
            <w:tcW w:w="72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Arial" w:cs="Arial" w:eastAsia="Arial" w:hAnsi="Arial"/>
                <w:sz w:val="12"/>
                <w:szCs w:val="12"/>
                <w:color w:val="auto"/>
              </w:rPr>
              <w:t>13,998</w:t>
            </w:r>
          </w:p>
        </w:tc>
        <w:tc>
          <w:tcPr>
            <w:tcW w:w="0" w:type="dxa"/>
            <w:vAlign w:val="bottom"/>
          </w:tcPr>
          <w:p>
            <w:pPr>
              <w:spacing w:after="0"/>
              <w:rPr>
                <w:sz w:val="1"/>
                <w:szCs w:val="1"/>
                <w:color w:val="auto"/>
              </w:rPr>
            </w:pPr>
          </w:p>
        </w:tc>
      </w:tr>
      <w:tr>
        <w:trPr>
          <w:trHeight w:val="135"/>
        </w:trPr>
        <w:tc>
          <w:tcPr>
            <w:tcW w:w="3600" w:type="dxa"/>
            <w:vAlign w:val="bottom"/>
            <w:gridSpan w:val="2"/>
          </w:tcPr>
          <w:p>
            <w:pPr>
              <w:ind w:left="20"/>
              <w:spacing w:after="0" w:line="128" w:lineRule="exact"/>
              <w:rPr>
                <w:sz w:val="20"/>
                <w:szCs w:val="20"/>
                <w:color w:val="auto"/>
              </w:rPr>
            </w:pPr>
            <w:r>
              <w:rPr>
                <w:rFonts w:ascii="Arial" w:cs="Arial" w:eastAsia="Arial" w:hAnsi="Arial"/>
                <w:sz w:val="12"/>
                <w:szCs w:val="12"/>
                <w:color w:val="auto"/>
              </w:rPr>
              <w:t>Securities remeasured at fair value through earnings:</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3600" w:type="dxa"/>
            <w:vAlign w:val="bottom"/>
            <w:gridSpan w:val="2"/>
            <w:shd w:val="clear" w:color="auto" w:fill="CCEEFF"/>
          </w:tcPr>
          <w:p>
            <w:pPr>
              <w:ind w:left="200"/>
              <w:spacing w:after="0"/>
              <w:rPr>
                <w:sz w:val="20"/>
                <w:szCs w:val="20"/>
                <w:color w:val="auto"/>
              </w:rPr>
            </w:pPr>
            <w:r>
              <w:rPr>
                <w:rFonts w:ascii="Arial" w:cs="Arial" w:eastAsia="Arial" w:hAnsi="Arial"/>
                <w:sz w:val="12"/>
                <w:szCs w:val="12"/>
                <w:color w:val="auto"/>
              </w:rPr>
              <w:t>Par value</w:t>
            </w: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32,824</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14,447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187</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331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735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48,527</w:t>
            </w:r>
          </w:p>
        </w:tc>
        <w:tc>
          <w:tcPr>
            <w:tcW w:w="0" w:type="dxa"/>
            <w:vAlign w:val="bottom"/>
          </w:tcPr>
          <w:p>
            <w:pPr>
              <w:spacing w:after="0"/>
              <w:rPr>
                <w:sz w:val="1"/>
                <w:szCs w:val="1"/>
                <w:color w:val="auto"/>
              </w:rPr>
            </w:pPr>
          </w:p>
        </w:tc>
      </w:tr>
      <w:tr>
        <w:trPr>
          <w:trHeight w:val="155"/>
        </w:trPr>
        <w:tc>
          <w:tcPr>
            <w:tcW w:w="3600" w:type="dxa"/>
            <w:vAlign w:val="bottom"/>
            <w:gridSpan w:val="2"/>
          </w:tcPr>
          <w:p>
            <w:pPr>
              <w:ind w:left="200"/>
              <w:spacing w:after="0"/>
              <w:rPr>
                <w:sz w:val="20"/>
                <w:szCs w:val="20"/>
                <w:color w:val="auto"/>
              </w:rPr>
            </w:pPr>
            <w:r>
              <w:rPr>
                <w:rFonts w:ascii="Arial" w:cs="Arial" w:eastAsia="Arial" w:hAnsi="Arial"/>
                <w:sz w:val="12"/>
                <w:szCs w:val="12"/>
                <w:color w:val="auto"/>
              </w:rPr>
              <w:t>Unamortized discount</w:t>
            </w:r>
          </w:p>
        </w:tc>
        <w:tc>
          <w:tcPr>
            <w:tcW w:w="160" w:type="dxa"/>
            <w:vAlign w:val="bottom"/>
          </w:tcPr>
          <w:p>
            <w:pPr>
              <w:spacing w:after="0"/>
              <w:rPr>
                <w:sz w:val="13"/>
                <w:szCs w:val="13"/>
                <w:color w:val="auto"/>
              </w:rPr>
            </w:pPr>
          </w:p>
        </w:tc>
        <w:tc>
          <w:tcPr>
            <w:tcW w:w="760" w:type="dxa"/>
            <w:vAlign w:val="bottom"/>
          </w:tcPr>
          <w:p>
            <w:pPr>
              <w:jc w:val="right"/>
              <w:ind w:right="61"/>
              <w:spacing w:after="0"/>
              <w:rPr>
                <w:sz w:val="20"/>
                <w:szCs w:val="20"/>
                <w:color w:val="auto"/>
              </w:rPr>
            </w:pPr>
            <w:r>
              <w:rPr>
                <w:rFonts w:ascii="Arial" w:cs="Arial" w:eastAsia="Arial" w:hAnsi="Arial"/>
                <w:sz w:val="12"/>
                <w:szCs w:val="12"/>
                <w:color w:val="auto"/>
              </w:rPr>
              <w:t>(18)</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jc w:val="right"/>
              <w:ind w:right="61"/>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right"/>
              <w:ind w:right="101"/>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jc w:val="right"/>
              <w:ind w:right="61"/>
              <w:spacing w:after="0"/>
              <w:rPr>
                <w:sz w:val="20"/>
                <w:szCs w:val="20"/>
                <w:color w:val="auto"/>
              </w:rPr>
            </w:pPr>
            <w:r>
              <w:rPr>
                <w:rFonts w:ascii="Arial" w:cs="Arial" w:eastAsia="Arial" w:hAnsi="Arial"/>
                <w:sz w:val="12"/>
                <w:szCs w:val="12"/>
                <w:color w:val="auto"/>
              </w:rPr>
              <w:t>(12)</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jc w:val="right"/>
              <w:ind w:right="61"/>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ind w:right="61"/>
              <w:spacing w:after="0"/>
              <w:rPr>
                <w:sz w:val="20"/>
                <w:szCs w:val="20"/>
                <w:color w:val="auto"/>
              </w:rPr>
            </w:pPr>
            <w:r>
              <w:rPr>
                <w:rFonts w:ascii="Arial" w:cs="Arial" w:eastAsia="Arial" w:hAnsi="Arial"/>
                <w:sz w:val="12"/>
                <w:szCs w:val="12"/>
                <w:color w:val="auto"/>
              </w:rPr>
              <w:t>(12)</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jc w:val="right"/>
              <w:ind w:right="61"/>
              <w:spacing w:after="0"/>
              <w:rPr>
                <w:sz w:val="20"/>
                <w:szCs w:val="20"/>
                <w:color w:val="auto"/>
              </w:rPr>
            </w:pPr>
            <w:r>
              <w:rPr>
                <w:rFonts w:ascii="Arial" w:cs="Arial" w:eastAsia="Arial" w:hAnsi="Arial"/>
                <w:sz w:val="12"/>
                <w:szCs w:val="12"/>
                <w:color w:val="auto"/>
              </w:rPr>
              <w:t>(46)</w:t>
            </w:r>
          </w:p>
        </w:tc>
        <w:tc>
          <w:tcPr>
            <w:tcW w:w="0" w:type="dxa"/>
            <w:vAlign w:val="bottom"/>
          </w:tcPr>
          <w:p>
            <w:pPr>
              <w:spacing w:after="0"/>
              <w:rPr>
                <w:sz w:val="1"/>
                <w:szCs w:val="1"/>
                <w:color w:val="auto"/>
              </w:rPr>
            </w:pPr>
          </w:p>
        </w:tc>
      </w:tr>
      <w:tr>
        <w:trPr>
          <w:trHeight w:val="170"/>
        </w:trPr>
        <w:tc>
          <w:tcPr>
            <w:tcW w:w="3600" w:type="dxa"/>
            <w:vAlign w:val="bottom"/>
            <w:gridSpan w:val="2"/>
            <w:shd w:val="clear" w:color="auto" w:fill="CCEEFF"/>
          </w:tcPr>
          <w:p>
            <w:pPr>
              <w:ind w:left="200"/>
              <w:spacing w:after="0"/>
              <w:rPr>
                <w:sz w:val="20"/>
                <w:szCs w:val="20"/>
                <w:color w:val="auto"/>
              </w:rPr>
            </w:pPr>
            <w:r>
              <w:rPr>
                <w:rFonts w:ascii="Arial" w:cs="Arial" w:eastAsia="Arial" w:hAnsi="Arial"/>
                <w:sz w:val="12"/>
                <w:szCs w:val="12"/>
                <w:color w:val="auto"/>
              </w:rPr>
              <w:t>Unamortized premium</w:t>
            </w:r>
          </w:p>
        </w:tc>
        <w:tc>
          <w:tcPr>
            <w:tcW w:w="16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2"/>
                <w:szCs w:val="12"/>
                <w:color w:val="auto"/>
              </w:rPr>
              <w:t>1,314</w:t>
            </w: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2"/>
                <w:szCs w:val="12"/>
                <w:color w:val="auto"/>
              </w:rPr>
              <w:t>607</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2"/>
                <w:szCs w:val="12"/>
                <w:color w:val="auto"/>
              </w:rPr>
              <w:t>4</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2"/>
                <w:szCs w:val="12"/>
                <w:color w:val="auto"/>
              </w:rPr>
              <w:t>6</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2"/>
                <w:szCs w:val="12"/>
                <w:color w:val="auto"/>
              </w:rPr>
              <w:t>10</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2"/>
                <w:szCs w:val="12"/>
                <w:color w:val="auto"/>
              </w:rPr>
              <w:t>1,941</w:t>
            </w:r>
          </w:p>
        </w:tc>
        <w:tc>
          <w:tcPr>
            <w:tcW w:w="0" w:type="dxa"/>
            <w:vAlign w:val="bottom"/>
          </w:tcPr>
          <w:p>
            <w:pPr>
              <w:spacing w:after="0"/>
              <w:rPr>
                <w:sz w:val="1"/>
                <w:szCs w:val="1"/>
                <w:color w:val="auto"/>
              </w:rPr>
            </w:pPr>
          </w:p>
        </w:tc>
      </w:tr>
      <w:tr>
        <w:trPr>
          <w:trHeight w:val="148"/>
        </w:trPr>
        <w:tc>
          <w:tcPr>
            <w:tcW w:w="3600" w:type="dxa"/>
            <w:vAlign w:val="bottom"/>
            <w:gridSpan w:val="2"/>
          </w:tcPr>
          <w:p>
            <w:pPr>
              <w:ind w:left="200"/>
              <w:spacing w:after="0"/>
              <w:rPr>
                <w:sz w:val="20"/>
                <w:szCs w:val="20"/>
                <w:color w:val="auto"/>
              </w:rPr>
            </w:pPr>
            <w:r>
              <w:rPr>
                <w:rFonts w:ascii="Arial" w:cs="Arial" w:eastAsia="Arial" w:hAnsi="Arial"/>
                <w:sz w:val="12"/>
                <w:szCs w:val="12"/>
                <w:color w:val="auto"/>
              </w:rPr>
              <w:t>Amortized cost</w:t>
            </w:r>
          </w:p>
        </w:tc>
        <w:tc>
          <w:tcPr>
            <w:tcW w:w="160" w:type="dxa"/>
            <w:vAlign w:val="bottom"/>
          </w:tcPr>
          <w:p>
            <w:pPr>
              <w:spacing w:after="0"/>
              <w:rPr>
                <w:sz w:val="12"/>
                <w:szCs w:val="12"/>
                <w:color w:val="auto"/>
              </w:rPr>
            </w:pPr>
          </w:p>
        </w:tc>
        <w:tc>
          <w:tcPr>
            <w:tcW w:w="760" w:type="dxa"/>
            <w:vAlign w:val="bottom"/>
          </w:tcPr>
          <w:p>
            <w:pPr>
              <w:jc w:val="right"/>
              <w:ind w:right="81"/>
              <w:spacing w:after="0"/>
              <w:rPr>
                <w:sz w:val="20"/>
                <w:szCs w:val="20"/>
                <w:color w:val="auto"/>
              </w:rPr>
            </w:pPr>
            <w:r>
              <w:rPr>
                <w:rFonts w:ascii="Arial" w:cs="Arial" w:eastAsia="Arial" w:hAnsi="Arial"/>
                <w:sz w:val="12"/>
                <w:szCs w:val="12"/>
                <w:color w:val="auto"/>
              </w:rPr>
              <w:t>34,120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right"/>
              <w:ind w:right="101"/>
              <w:spacing w:after="0"/>
              <w:rPr>
                <w:sz w:val="20"/>
                <w:szCs w:val="20"/>
                <w:color w:val="auto"/>
              </w:rPr>
            </w:pPr>
            <w:r>
              <w:rPr>
                <w:rFonts w:ascii="Arial" w:cs="Arial" w:eastAsia="Arial" w:hAnsi="Arial"/>
                <w:sz w:val="12"/>
                <w:szCs w:val="12"/>
                <w:color w:val="auto"/>
              </w:rPr>
              <w:t>15,053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101"/>
              <w:spacing w:after="0"/>
              <w:rPr>
                <w:sz w:val="20"/>
                <w:szCs w:val="20"/>
                <w:color w:val="auto"/>
              </w:rPr>
            </w:pPr>
            <w:r>
              <w:rPr>
                <w:rFonts w:ascii="Arial" w:cs="Arial" w:eastAsia="Arial" w:hAnsi="Arial"/>
                <w:sz w:val="12"/>
                <w:szCs w:val="12"/>
                <w:color w:val="auto"/>
              </w:rPr>
              <w:t>3</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ind w:right="81"/>
              <w:spacing w:after="0"/>
              <w:rPr>
                <w:sz w:val="20"/>
                <w:szCs w:val="20"/>
                <w:color w:val="auto"/>
              </w:rPr>
            </w:pPr>
            <w:r>
              <w:rPr>
                <w:rFonts w:ascii="Arial" w:cs="Arial" w:eastAsia="Arial" w:hAnsi="Arial"/>
                <w:sz w:val="12"/>
                <w:szCs w:val="12"/>
                <w:color w:val="auto"/>
              </w:rPr>
              <w:t>179</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ind w:right="101"/>
              <w:spacing w:after="0"/>
              <w:rPr>
                <w:sz w:val="20"/>
                <w:szCs w:val="20"/>
                <w:color w:val="auto"/>
              </w:rPr>
            </w:pPr>
            <w:r>
              <w:rPr>
                <w:rFonts w:ascii="Arial" w:cs="Arial" w:eastAsia="Arial" w:hAnsi="Arial"/>
                <w:sz w:val="12"/>
                <w:szCs w:val="12"/>
                <w:color w:val="auto"/>
              </w:rPr>
              <w:t>334</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jc w:val="right"/>
              <w:ind w:right="101"/>
              <w:spacing w:after="0"/>
              <w:rPr>
                <w:sz w:val="20"/>
                <w:szCs w:val="20"/>
                <w:color w:val="auto"/>
              </w:rPr>
            </w:pPr>
            <w:r>
              <w:rPr>
                <w:rFonts w:ascii="Arial" w:cs="Arial" w:eastAsia="Arial" w:hAnsi="Arial"/>
                <w:sz w:val="12"/>
                <w:szCs w:val="12"/>
                <w:color w:val="auto"/>
              </w:rPr>
              <w:t>733</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ind w:right="81"/>
              <w:spacing w:after="0"/>
              <w:rPr>
                <w:sz w:val="20"/>
                <w:szCs w:val="20"/>
                <w:color w:val="auto"/>
              </w:rPr>
            </w:pPr>
            <w:r>
              <w:rPr>
                <w:rFonts w:ascii="Arial" w:cs="Arial" w:eastAsia="Arial" w:hAnsi="Arial"/>
                <w:sz w:val="12"/>
                <w:szCs w:val="12"/>
                <w:color w:val="auto"/>
              </w:rPr>
              <w:t>50,422</w:t>
            </w:r>
          </w:p>
        </w:tc>
        <w:tc>
          <w:tcPr>
            <w:tcW w:w="0" w:type="dxa"/>
            <w:vAlign w:val="bottom"/>
          </w:tcPr>
          <w:p>
            <w:pPr>
              <w:spacing w:after="0"/>
              <w:rPr>
                <w:sz w:val="1"/>
                <w:szCs w:val="1"/>
                <w:color w:val="auto"/>
              </w:rPr>
            </w:pPr>
          </w:p>
        </w:tc>
      </w:tr>
      <w:tr>
        <w:trPr>
          <w:trHeight w:val="170"/>
        </w:trPr>
        <w:tc>
          <w:tcPr>
            <w:tcW w:w="3600" w:type="dxa"/>
            <w:vAlign w:val="bottom"/>
            <w:gridSpan w:val="2"/>
            <w:shd w:val="clear" w:color="auto" w:fill="CCEEFF"/>
          </w:tcPr>
          <w:p>
            <w:pPr>
              <w:ind w:left="200"/>
              <w:spacing w:after="0"/>
              <w:rPr>
                <w:sz w:val="20"/>
                <w:szCs w:val="20"/>
                <w:color w:val="auto"/>
              </w:rPr>
            </w:pPr>
            <w:r>
              <w:rPr>
                <w:rFonts w:ascii="Arial" w:cs="Arial" w:eastAsia="Arial" w:hAnsi="Arial"/>
                <w:sz w:val="12"/>
                <w:szCs w:val="12"/>
                <w:color w:val="auto"/>
              </w:rPr>
              <w:t>Gross unrealized gains</w:t>
            </w: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1,280</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683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11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28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101"/>
              <w:spacing w:after="0"/>
              <w:rPr>
                <w:sz w:val="20"/>
                <w:szCs w:val="20"/>
                <w:color w:val="auto"/>
              </w:rPr>
            </w:pPr>
            <w:r>
              <w:rPr>
                <w:rFonts w:ascii="Arial" w:cs="Arial" w:eastAsia="Arial" w:hAnsi="Arial"/>
                <w:sz w:val="12"/>
                <w:szCs w:val="12"/>
                <w:color w:val="auto"/>
              </w:rPr>
              <w:t>12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2,014</w:t>
            </w:r>
          </w:p>
        </w:tc>
        <w:tc>
          <w:tcPr>
            <w:tcW w:w="0" w:type="dxa"/>
            <w:vAlign w:val="bottom"/>
          </w:tcPr>
          <w:p>
            <w:pPr>
              <w:spacing w:after="0"/>
              <w:rPr>
                <w:sz w:val="1"/>
                <w:szCs w:val="1"/>
                <w:color w:val="auto"/>
              </w:rPr>
            </w:pPr>
          </w:p>
        </w:tc>
      </w:tr>
      <w:tr>
        <w:trPr>
          <w:trHeight w:val="155"/>
        </w:trPr>
        <w:tc>
          <w:tcPr>
            <w:tcW w:w="3600" w:type="dxa"/>
            <w:vAlign w:val="bottom"/>
            <w:tcBorders>
              <w:bottom w:val="single" w:sz="8" w:color="CCEEFF"/>
            </w:tcBorders>
            <w:gridSpan w:val="2"/>
          </w:tcPr>
          <w:p>
            <w:pPr>
              <w:ind w:left="200"/>
              <w:spacing w:after="0"/>
              <w:rPr>
                <w:sz w:val="20"/>
                <w:szCs w:val="20"/>
                <w:color w:val="auto"/>
              </w:rPr>
            </w:pPr>
            <w:r>
              <w:rPr>
                <w:rFonts w:ascii="Arial" w:cs="Arial" w:eastAsia="Arial" w:hAnsi="Arial"/>
                <w:sz w:val="12"/>
                <w:szCs w:val="12"/>
                <w:color w:val="auto"/>
              </w:rPr>
              <w:t>Gross unrealized losses</w:t>
            </w: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(5)</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(1)</w:t>
            </w: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01"/>
              <w:spacing w:after="0"/>
              <w:rPr>
                <w:sz w:val="20"/>
                <w:szCs w:val="20"/>
                <w:color w:val="auto"/>
              </w:rPr>
            </w:pPr>
            <w:r>
              <w:rPr>
                <w:rFonts w:ascii="Arial" w:cs="Arial" w:eastAsia="Arial" w:hAnsi="Arial"/>
                <w:sz w:val="12"/>
                <w:szCs w:val="12"/>
                <w:color w:val="auto"/>
              </w:rPr>
              <w:t>—</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(2)</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(4)</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(8)</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61"/>
              <w:spacing w:after="0"/>
              <w:rPr>
                <w:sz w:val="20"/>
                <w:szCs w:val="20"/>
                <w:color w:val="auto"/>
              </w:rPr>
            </w:pPr>
            <w:r>
              <w:rPr>
                <w:rFonts w:ascii="Arial" w:cs="Arial" w:eastAsia="Arial" w:hAnsi="Arial"/>
                <w:sz w:val="12"/>
                <w:szCs w:val="12"/>
                <w:color w:val="auto"/>
              </w:rPr>
              <w:t>(20)</w:t>
            </w:r>
          </w:p>
        </w:tc>
        <w:tc>
          <w:tcPr>
            <w:tcW w:w="0" w:type="dxa"/>
            <w:vAlign w:val="bottom"/>
          </w:tcPr>
          <w:p>
            <w:pPr>
              <w:spacing w:after="0"/>
              <w:rPr>
                <w:sz w:val="1"/>
                <w:szCs w:val="1"/>
                <w:color w:val="auto"/>
              </w:rPr>
            </w:pPr>
          </w:p>
        </w:tc>
      </w:tr>
      <w:tr>
        <w:trPr>
          <w:trHeight w:val="162"/>
        </w:trPr>
        <w:tc>
          <w:tcPr>
            <w:tcW w:w="360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Total securities remeasured at fair value through earnings</w:t>
            </w:r>
          </w:p>
        </w:tc>
        <w:tc>
          <w:tcPr>
            <w:tcW w:w="16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2"/>
                <w:szCs w:val="12"/>
                <w:color w:val="auto"/>
              </w:rPr>
              <w:t>35,395</w:t>
            </w: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2"/>
                <w:szCs w:val="12"/>
                <w:color w:val="auto"/>
              </w:rPr>
              <w:t>15,735</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2"/>
                <w:szCs w:val="12"/>
                <w:color w:val="auto"/>
              </w:rPr>
              <w:t>3</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2"/>
                <w:szCs w:val="12"/>
                <w:color w:val="auto"/>
              </w:rPr>
              <w:t>188</w:t>
            </w: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2"/>
                <w:szCs w:val="12"/>
                <w:color w:val="auto"/>
              </w:rPr>
              <w:t>358</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2"/>
                <w:szCs w:val="12"/>
                <w:color w:val="auto"/>
              </w:rPr>
              <w:t>737</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2"/>
                <w:szCs w:val="12"/>
                <w:color w:val="auto"/>
              </w:rPr>
              <w:t>52,416</w:t>
            </w:r>
          </w:p>
        </w:tc>
        <w:tc>
          <w:tcPr>
            <w:tcW w:w="0" w:type="dxa"/>
            <w:vAlign w:val="bottom"/>
          </w:tcPr>
          <w:p>
            <w:pPr>
              <w:spacing w:after="0"/>
              <w:rPr>
                <w:sz w:val="1"/>
                <w:szCs w:val="1"/>
                <w:color w:val="auto"/>
              </w:rPr>
            </w:pPr>
          </w:p>
        </w:tc>
      </w:tr>
      <w:tr>
        <w:trPr>
          <w:trHeight w:val="155"/>
        </w:trPr>
        <w:tc>
          <w:tcPr>
            <w:tcW w:w="3600" w:type="dxa"/>
            <w:vAlign w:val="bottom"/>
            <w:gridSpan w:val="2"/>
          </w:tcPr>
          <w:p>
            <w:pPr>
              <w:ind w:left="20"/>
              <w:spacing w:after="0"/>
              <w:rPr>
                <w:sz w:val="20"/>
                <w:szCs w:val="20"/>
                <w:color w:val="auto"/>
              </w:rPr>
            </w:pPr>
            <w:r>
              <w:rPr>
                <w:rFonts w:ascii="Arial" w:cs="Arial" w:eastAsia="Arial" w:hAnsi="Arial"/>
                <w:sz w:val="12"/>
                <w:szCs w:val="12"/>
                <w:color w:val="auto"/>
              </w:rPr>
              <w:t>Total securities, at fair value</w:t>
            </w:r>
          </w:p>
        </w:tc>
        <w:tc>
          <w:tcPr>
            <w:tcW w:w="16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w w:val="89"/>
              </w:rPr>
              <w:t>$</w:t>
            </w:r>
          </w:p>
        </w:tc>
        <w:tc>
          <w:tcPr>
            <w:tcW w:w="760" w:type="dxa"/>
            <w:vAlign w:val="bottom"/>
            <w:tcBorders>
              <w:bottom w:val="single" w:sz="8" w:color="auto"/>
            </w:tcBorders>
          </w:tcPr>
          <w:p>
            <w:pPr>
              <w:jc w:val="right"/>
              <w:ind w:right="81"/>
              <w:spacing w:after="0"/>
              <w:rPr>
                <w:sz w:val="20"/>
                <w:szCs w:val="20"/>
                <w:color w:val="auto"/>
              </w:rPr>
            </w:pPr>
            <w:r>
              <w:rPr>
                <w:rFonts w:ascii="Arial" w:cs="Arial" w:eastAsia="Arial" w:hAnsi="Arial"/>
                <w:sz w:val="12"/>
                <w:szCs w:val="12"/>
                <w:color w:val="auto"/>
              </w:rPr>
              <w:t>45,644</w:t>
            </w:r>
          </w:p>
        </w:tc>
        <w:tc>
          <w:tcPr>
            <w:tcW w:w="10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40" w:type="dxa"/>
            <w:vAlign w:val="bottom"/>
            <w:tcBorders>
              <w:bottom w:val="single" w:sz="8" w:color="auto"/>
            </w:tcBorders>
          </w:tcPr>
          <w:p>
            <w:pPr>
              <w:jc w:val="right"/>
              <w:ind w:right="101"/>
              <w:spacing w:after="0"/>
              <w:rPr>
                <w:sz w:val="20"/>
                <w:szCs w:val="20"/>
                <w:color w:val="auto"/>
              </w:rPr>
            </w:pPr>
            <w:r>
              <w:rPr>
                <w:rFonts w:ascii="Arial" w:cs="Arial" w:eastAsia="Arial" w:hAnsi="Arial"/>
                <w:sz w:val="12"/>
                <w:szCs w:val="12"/>
                <w:color w:val="auto"/>
              </w:rPr>
              <w:t>19,482</w:t>
            </w:r>
          </w:p>
        </w:tc>
        <w:tc>
          <w:tcPr>
            <w:tcW w:w="100" w:type="dxa"/>
            <w:vAlign w:val="bottom"/>
          </w:tcPr>
          <w:p>
            <w:pPr>
              <w:spacing w:after="0"/>
              <w:rPr>
                <w:sz w:val="13"/>
                <w:szCs w:val="13"/>
                <w:color w:val="auto"/>
              </w:rPr>
            </w:pPr>
          </w:p>
        </w:tc>
        <w:tc>
          <w:tcPr>
            <w:tcW w:w="16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w w:val="89"/>
              </w:rPr>
              <w:t>$</w:t>
            </w:r>
          </w:p>
        </w:tc>
        <w:tc>
          <w:tcPr>
            <w:tcW w:w="760" w:type="dxa"/>
            <w:vAlign w:val="bottom"/>
            <w:tcBorders>
              <w:bottom w:val="single" w:sz="8" w:color="auto"/>
            </w:tcBorders>
          </w:tcPr>
          <w:p>
            <w:pPr>
              <w:jc w:val="right"/>
              <w:ind w:right="101"/>
              <w:spacing w:after="0"/>
              <w:rPr>
                <w:sz w:val="20"/>
                <w:szCs w:val="20"/>
                <w:color w:val="auto"/>
              </w:rPr>
            </w:pPr>
            <w:r>
              <w:rPr>
                <w:rFonts w:ascii="Arial" w:cs="Arial" w:eastAsia="Arial" w:hAnsi="Arial"/>
                <w:sz w:val="12"/>
                <w:szCs w:val="12"/>
                <w:color w:val="auto"/>
              </w:rPr>
              <w:t>5</w:t>
            </w:r>
          </w:p>
        </w:tc>
        <w:tc>
          <w:tcPr>
            <w:tcW w:w="100" w:type="dxa"/>
            <w:vAlign w:val="bottom"/>
          </w:tcPr>
          <w:p>
            <w:pPr>
              <w:spacing w:after="0"/>
              <w:rPr>
                <w:sz w:val="13"/>
                <w:szCs w:val="13"/>
                <w:color w:val="auto"/>
              </w:rPr>
            </w:pPr>
          </w:p>
        </w:tc>
        <w:tc>
          <w:tcPr>
            <w:tcW w:w="18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w w:val="89"/>
              </w:rPr>
              <w:t>$</w:t>
            </w:r>
          </w:p>
        </w:tc>
        <w:tc>
          <w:tcPr>
            <w:tcW w:w="740" w:type="dxa"/>
            <w:vAlign w:val="bottom"/>
            <w:tcBorders>
              <w:bottom w:val="single" w:sz="8" w:color="auto"/>
            </w:tcBorders>
          </w:tcPr>
          <w:p>
            <w:pPr>
              <w:jc w:val="right"/>
              <w:ind w:right="81"/>
              <w:spacing w:after="0"/>
              <w:rPr>
                <w:sz w:val="20"/>
                <w:szCs w:val="20"/>
                <w:color w:val="auto"/>
              </w:rPr>
            </w:pPr>
            <w:r>
              <w:rPr>
                <w:rFonts w:ascii="Arial" w:cs="Arial" w:eastAsia="Arial" w:hAnsi="Arial"/>
                <w:sz w:val="12"/>
                <w:szCs w:val="12"/>
                <w:color w:val="auto"/>
              </w:rPr>
              <w:t>188</w:t>
            </w:r>
          </w:p>
        </w:tc>
        <w:tc>
          <w:tcPr>
            <w:tcW w:w="100" w:type="dxa"/>
            <w:vAlign w:val="bottom"/>
          </w:tcPr>
          <w:p>
            <w:pPr>
              <w:spacing w:after="0"/>
              <w:rPr>
                <w:sz w:val="13"/>
                <w:szCs w:val="13"/>
                <w:color w:val="auto"/>
              </w:rPr>
            </w:pPr>
          </w:p>
        </w:tc>
        <w:tc>
          <w:tcPr>
            <w:tcW w:w="18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w w:val="89"/>
              </w:rPr>
              <w:t>$</w:t>
            </w:r>
          </w:p>
        </w:tc>
        <w:tc>
          <w:tcPr>
            <w:tcW w:w="760" w:type="dxa"/>
            <w:vAlign w:val="bottom"/>
            <w:tcBorders>
              <w:bottom w:val="single" w:sz="8" w:color="auto"/>
            </w:tcBorders>
          </w:tcPr>
          <w:p>
            <w:pPr>
              <w:jc w:val="right"/>
              <w:ind w:right="101"/>
              <w:spacing w:after="0"/>
              <w:rPr>
                <w:sz w:val="20"/>
                <w:szCs w:val="20"/>
                <w:color w:val="auto"/>
              </w:rPr>
            </w:pPr>
            <w:r>
              <w:rPr>
                <w:rFonts w:ascii="Arial" w:cs="Arial" w:eastAsia="Arial" w:hAnsi="Arial"/>
                <w:sz w:val="12"/>
                <w:szCs w:val="12"/>
                <w:color w:val="auto"/>
              </w:rPr>
              <w:t>358</w:t>
            </w:r>
          </w:p>
        </w:tc>
        <w:tc>
          <w:tcPr>
            <w:tcW w:w="100" w:type="dxa"/>
            <w:vAlign w:val="bottom"/>
          </w:tcPr>
          <w:p>
            <w:pPr>
              <w:spacing w:after="0"/>
              <w:rPr>
                <w:sz w:val="13"/>
                <w:szCs w:val="13"/>
                <w:color w:val="auto"/>
              </w:rPr>
            </w:pPr>
          </w:p>
        </w:tc>
        <w:tc>
          <w:tcPr>
            <w:tcW w:w="20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w w:val="89"/>
              </w:rPr>
              <w:t>$</w:t>
            </w:r>
          </w:p>
        </w:tc>
        <w:tc>
          <w:tcPr>
            <w:tcW w:w="700" w:type="dxa"/>
            <w:vAlign w:val="bottom"/>
            <w:tcBorders>
              <w:bottom w:val="single" w:sz="8" w:color="auto"/>
            </w:tcBorders>
          </w:tcPr>
          <w:p>
            <w:pPr>
              <w:jc w:val="right"/>
              <w:ind w:right="101"/>
              <w:spacing w:after="0"/>
              <w:rPr>
                <w:sz w:val="20"/>
                <w:szCs w:val="20"/>
                <w:color w:val="auto"/>
              </w:rPr>
            </w:pPr>
            <w:r>
              <w:rPr>
                <w:rFonts w:ascii="Arial" w:cs="Arial" w:eastAsia="Arial" w:hAnsi="Arial"/>
                <w:sz w:val="12"/>
                <w:szCs w:val="12"/>
                <w:color w:val="auto"/>
              </w:rPr>
              <w:t>737</w:t>
            </w:r>
          </w:p>
        </w:tc>
        <w:tc>
          <w:tcPr>
            <w:tcW w:w="100" w:type="dxa"/>
            <w:vAlign w:val="bottom"/>
          </w:tcPr>
          <w:p>
            <w:pPr>
              <w:spacing w:after="0"/>
              <w:rPr>
                <w:sz w:val="13"/>
                <w:szCs w:val="13"/>
                <w:color w:val="auto"/>
              </w:rPr>
            </w:pPr>
          </w:p>
        </w:tc>
        <w:tc>
          <w:tcPr>
            <w:tcW w:w="20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w w:val="89"/>
              </w:rPr>
              <w:t>$</w:t>
            </w:r>
          </w:p>
        </w:tc>
        <w:tc>
          <w:tcPr>
            <w:tcW w:w="720" w:type="dxa"/>
            <w:vAlign w:val="bottom"/>
            <w:tcBorders>
              <w:bottom w:val="single" w:sz="8" w:color="auto"/>
            </w:tcBorders>
          </w:tcPr>
          <w:p>
            <w:pPr>
              <w:jc w:val="right"/>
              <w:ind w:right="81"/>
              <w:spacing w:after="0"/>
              <w:rPr>
                <w:sz w:val="20"/>
                <w:szCs w:val="20"/>
                <w:color w:val="auto"/>
              </w:rPr>
            </w:pPr>
            <w:r>
              <w:rPr>
                <w:rFonts w:ascii="Arial" w:cs="Arial" w:eastAsia="Arial" w:hAnsi="Arial"/>
                <w:sz w:val="12"/>
                <w:szCs w:val="12"/>
                <w:color w:val="auto"/>
              </w:rPr>
              <w:t>66,414</w:t>
            </w:r>
          </w:p>
        </w:tc>
        <w:tc>
          <w:tcPr>
            <w:tcW w:w="0" w:type="dxa"/>
            <w:vAlign w:val="bottom"/>
          </w:tcPr>
          <w:p>
            <w:pPr>
              <w:spacing w:after="0"/>
              <w:rPr>
                <w:sz w:val="1"/>
                <w:szCs w:val="1"/>
                <w:color w:val="auto"/>
              </w:rPr>
            </w:pPr>
          </w:p>
        </w:tc>
      </w:tr>
      <w:tr>
        <w:trPr>
          <w:trHeight w:val="20"/>
        </w:trPr>
        <w:tc>
          <w:tcPr>
            <w:tcW w:w="35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3600" w:type="dxa"/>
            <w:vAlign w:val="bottom"/>
            <w:gridSpan w:val="2"/>
            <w:shd w:val="clear" w:color="auto" w:fill="CCEEFF"/>
          </w:tcPr>
          <w:p>
            <w:pPr>
              <w:ind w:left="20"/>
              <w:spacing w:after="0" w:line="137" w:lineRule="exact"/>
              <w:rPr>
                <w:sz w:val="20"/>
                <w:szCs w:val="20"/>
                <w:color w:val="auto"/>
              </w:rPr>
            </w:pPr>
            <w:r>
              <w:rPr>
                <w:rFonts w:ascii="Arial" w:cs="Arial" w:eastAsia="Arial" w:hAnsi="Arial"/>
                <w:sz w:val="12"/>
                <w:szCs w:val="12"/>
                <w:color w:val="auto"/>
              </w:rPr>
              <w:t>Weighted average coupon as of December 31, 2020</w:t>
            </w: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3.30 %</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3.56 %</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4.73 %</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4.28 %</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4.13 %</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3.43 %</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3.39 %</w:t>
            </w:r>
          </w:p>
        </w:tc>
        <w:tc>
          <w:tcPr>
            <w:tcW w:w="0" w:type="dxa"/>
            <w:vAlign w:val="bottom"/>
          </w:tcPr>
          <w:p>
            <w:pPr>
              <w:spacing w:after="0"/>
              <w:rPr>
                <w:sz w:val="1"/>
                <w:szCs w:val="1"/>
                <w:color w:val="auto"/>
              </w:rPr>
            </w:pPr>
          </w:p>
        </w:tc>
      </w:tr>
      <w:tr>
        <w:trPr>
          <w:trHeight w:val="198"/>
        </w:trPr>
        <w:tc>
          <w:tcPr>
            <w:tcW w:w="3600" w:type="dxa"/>
            <w:vAlign w:val="bottom"/>
            <w:gridSpan w:val="2"/>
          </w:tcPr>
          <w:p>
            <w:pPr>
              <w:ind w:left="20"/>
              <w:spacing w:after="0"/>
              <w:rPr>
                <w:sz w:val="20"/>
                <w:szCs w:val="20"/>
                <w:color w:val="auto"/>
              </w:rPr>
            </w:pPr>
            <w:r>
              <w:rPr>
                <w:rFonts w:ascii="Arial" w:cs="Arial" w:eastAsia="Arial" w:hAnsi="Arial"/>
                <w:sz w:val="12"/>
                <w:szCs w:val="12"/>
                <w:color w:val="auto"/>
              </w:rPr>
              <w:t xml:space="preserve">Weighted average yield as of December 31, 2020 </w:t>
            </w:r>
            <w:r>
              <w:rPr>
                <w:rFonts w:ascii="Arial" w:cs="Arial" w:eastAsia="Arial" w:hAnsi="Arial"/>
                <w:sz w:val="15"/>
                <w:szCs w:val="15"/>
                <w:color w:val="auto"/>
                <w:vertAlign w:val="superscript"/>
              </w:rPr>
              <w:t>1</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2.25 %</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2.39 %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2.46 %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4.33 %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4.29 %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3.71 %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2.33 %</w:t>
            </w:r>
          </w:p>
        </w:tc>
        <w:tc>
          <w:tcPr>
            <w:tcW w:w="0" w:type="dxa"/>
            <w:vAlign w:val="bottom"/>
          </w:tcPr>
          <w:p>
            <w:pPr>
              <w:spacing w:after="0"/>
              <w:rPr>
                <w:sz w:val="1"/>
                <w:szCs w:val="1"/>
                <w:color w:val="auto"/>
              </w:rPr>
            </w:pPr>
          </w:p>
        </w:tc>
      </w:tr>
    </w:tbl>
    <w:p>
      <w:pPr>
        <w:spacing w:after="0" w:line="42" w:lineRule="exact"/>
        <w:rPr>
          <w:sz w:val="20"/>
          <w:szCs w:val="20"/>
          <w:color w:val="auto"/>
        </w:rPr>
      </w:pPr>
    </w:p>
    <w:p>
      <w:pPr>
        <w:ind w:left="20"/>
        <w:spacing w:after="0"/>
        <w:rPr>
          <w:sz w:val="20"/>
          <w:szCs w:val="20"/>
          <w:color w:val="auto"/>
        </w:rPr>
      </w:pPr>
      <w:r>
        <w:rPr>
          <w:rFonts w:ascii="Arial" w:cs="Arial" w:eastAsia="Arial" w:hAnsi="Arial"/>
          <w:sz w:val="10"/>
          <w:szCs w:val="10"/>
          <w:color w:val="auto"/>
        </w:rPr>
        <w:t>________________________________</w:t>
      </w:r>
    </w:p>
    <w:p>
      <w:pPr>
        <w:spacing w:after="0" w:line="1" w:lineRule="exact"/>
        <w:rPr>
          <w:sz w:val="20"/>
          <w:szCs w:val="20"/>
          <w:color w:val="auto"/>
        </w:rPr>
      </w:pPr>
    </w:p>
    <w:p>
      <w:pPr>
        <w:ind w:left="600" w:hanging="300"/>
        <w:spacing w:after="0"/>
        <w:tabs>
          <w:tab w:leader="none" w:pos="600" w:val="left"/>
        </w:tabs>
        <w:numPr>
          <w:ilvl w:val="0"/>
          <w:numId w:val="3"/>
        </w:numPr>
        <w:rPr>
          <w:rFonts w:ascii="Arial" w:cs="Arial" w:eastAsia="Arial" w:hAnsi="Arial"/>
          <w:sz w:val="13"/>
          <w:szCs w:val="13"/>
          <w:color w:val="auto"/>
        </w:rPr>
      </w:pPr>
      <w:r>
        <w:rPr>
          <w:rFonts w:ascii="Arial" w:cs="Arial" w:eastAsia="Arial" w:hAnsi="Arial"/>
          <w:sz w:val="13"/>
          <w:szCs w:val="13"/>
          <w:color w:val="auto"/>
        </w:rPr>
        <w:t>Incorporates a weighted average future constant prepayment rate assumption of 17.6% based on forward rates as of December 31, 2020.</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As of June 30, 2021 and December 31, 2020, our investments in CRT and non-Agency securities had the following credit ratings (in millions):</w:t>
      </w:r>
    </w:p>
    <w:p>
      <w:pPr>
        <w:spacing w:after="0" w:line="34" w:lineRule="exact"/>
        <w:rPr>
          <w:sz w:val="20"/>
          <w:szCs w:val="20"/>
          <w:color w:val="auto"/>
        </w:rPr>
      </w:pPr>
    </w:p>
    <w:tbl>
      <w:tblPr>
        <w:tblLayout w:type="fixed"/>
        <w:tblInd w:w="20" w:type="dxa"/>
        <w:tblCellMar>
          <w:top w:w="0" w:type="dxa"/>
          <w:left w:w="0" w:type="dxa"/>
          <w:bottom w:w="0" w:type="dxa"/>
          <w:right w:w="0" w:type="dxa"/>
        </w:tblCellMar>
      </w:tblPr>
      <w:tr>
        <w:trPr>
          <w:trHeight w:val="175"/>
        </w:trPr>
        <w:tc>
          <w:tcPr>
            <w:tcW w:w="3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89"/>
              </w:rPr>
              <w:t>June 30, 2021</w:t>
            </w: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3"/>
          </w:tcPr>
          <w:p>
            <w:pPr>
              <w:spacing w:after="0"/>
              <w:rPr>
                <w:sz w:val="20"/>
                <w:szCs w:val="20"/>
                <w:color w:val="auto"/>
              </w:rPr>
            </w:pPr>
            <w:r>
              <w:rPr>
                <w:rFonts w:ascii="Arial" w:cs="Arial" w:eastAsia="Arial" w:hAnsi="Arial"/>
                <w:sz w:val="13"/>
                <w:szCs w:val="13"/>
                <w:b w:val="1"/>
                <w:bCs w:val="1"/>
                <w:color w:val="auto"/>
              </w:rPr>
              <w:t>December 31, 2020</w:t>
            </w: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r>
      <w:tr>
        <w:trPr>
          <w:trHeight w:val="175"/>
        </w:trPr>
        <w:tc>
          <w:tcPr>
            <w:tcW w:w="4080" w:type="dxa"/>
            <w:vAlign w:val="bottom"/>
            <w:gridSpan w:val="2"/>
          </w:tcPr>
          <w:p>
            <w:pPr>
              <w:spacing w:after="0" w:line="175" w:lineRule="exact"/>
              <w:rPr>
                <w:sz w:val="20"/>
                <w:szCs w:val="20"/>
                <w:color w:val="auto"/>
              </w:rPr>
            </w:pPr>
            <w:r>
              <w:rPr>
                <w:rFonts w:ascii="Arial" w:cs="Arial" w:eastAsia="Arial" w:hAnsi="Arial"/>
                <w:sz w:val="13"/>
                <w:szCs w:val="13"/>
                <w:b w:val="1"/>
                <w:bCs w:val="1"/>
                <w:color w:val="auto"/>
              </w:rPr>
              <w:t xml:space="preserve">CRT and Non-Agency Security Credit Ratings </w:t>
            </w:r>
            <w:r>
              <w:rPr>
                <w:rFonts w:ascii="Arial" w:cs="Arial" w:eastAsia="Arial" w:hAnsi="Arial"/>
                <w:sz w:val="17"/>
                <w:szCs w:val="17"/>
                <w:b w:val="1"/>
                <w:bCs w:val="1"/>
                <w:color w:val="auto"/>
                <w:vertAlign w:val="superscript"/>
              </w:rPr>
              <w:t>1</w:t>
            </w:r>
          </w:p>
        </w:tc>
        <w:tc>
          <w:tcPr>
            <w:tcW w:w="240" w:type="dxa"/>
            <w:vAlign w:val="bottom"/>
          </w:tcPr>
          <w:p>
            <w:pPr>
              <w:spacing w:after="0"/>
              <w:rPr>
                <w:sz w:val="15"/>
                <w:szCs w:val="15"/>
                <w:color w:val="auto"/>
              </w:rPr>
            </w:pPr>
          </w:p>
        </w:tc>
        <w:tc>
          <w:tcPr>
            <w:tcW w:w="940" w:type="dxa"/>
            <w:vAlign w:val="bottom"/>
            <w:gridSpan w:val="2"/>
          </w:tcPr>
          <w:p>
            <w:pPr>
              <w:ind w:left="160"/>
              <w:spacing w:after="0"/>
              <w:rPr>
                <w:sz w:val="20"/>
                <w:szCs w:val="20"/>
                <w:color w:val="auto"/>
              </w:rPr>
            </w:pPr>
            <w:r>
              <w:rPr>
                <w:rFonts w:ascii="Arial" w:cs="Arial" w:eastAsia="Arial" w:hAnsi="Arial"/>
                <w:sz w:val="13"/>
                <w:szCs w:val="13"/>
                <w:b w:val="1"/>
                <w:bCs w:val="1"/>
                <w:color w:val="auto"/>
              </w:rPr>
              <w:t>CRT</w:t>
            </w:r>
          </w:p>
        </w:tc>
        <w:tc>
          <w:tcPr>
            <w:tcW w:w="140" w:type="dxa"/>
            <w:vAlign w:val="bottom"/>
          </w:tcPr>
          <w:p>
            <w:pPr>
              <w:spacing w:after="0"/>
              <w:rPr>
                <w:sz w:val="15"/>
                <w:szCs w:val="15"/>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9"/>
              </w:rPr>
              <w:t>RMBS</w:t>
            </w:r>
          </w:p>
        </w:tc>
        <w:tc>
          <w:tcPr>
            <w:tcW w:w="220" w:type="dxa"/>
            <w:vAlign w:val="bottom"/>
          </w:tcPr>
          <w:p>
            <w:pPr>
              <w:spacing w:after="0"/>
              <w:rPr>
                <w:sz w:val="15"/>
                <w:szCs w:val="15"/>
                <w:color w:val="auto"/>
              </w:rPr>
            </w:pPr>
          </w:p>
        </w:tc>
        <w:tc>
          <w:tcPr>
            <w:tcW w:w="880" w:type="dxa"/>
            <w:vAlign w:val="bottom"/>
          </w:tcPr>
          <w:p>
            <w:pPr>
              <w:jc w:val="right"/>
              <w:ind w:right="293"/>
              <w:spacing w:after="0"/>
              <w:rPr>
                <w:sz w:val="20"/>
                <w:szCs w:val="20"/>
                <w:color w:val="auto"/>
              </w:rPr>
            </w:pPr>
            <w:r>
              <w:rPr>
                <w:rFonts w:ascii="Arial" w:cs="Arial" w:eastAsia="Arial" w:hAnsi="Arial"/>
                <w:sz w:val="13"/>
                <w:szCs w:val="13"/>
                <w:b w:val="1"/>
                <w:bCs w:val="1"/>
                <w:color w:val="auto"/>
              </w:rPr>
              <w:t>CMBS</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gridSpan w:val="2"/>
          </w:tcPr>
          <w:p>
            <w:pPr>
              <w:ind w:left="160"/>
              <w:spacing w:after="0"/>
              <w:rPr>
                <w:sz w:val="20"/>
                <w:szCs w:val="20"/>
                <w:color w:val="auto"/>
              </w:rPr>
            </w:pPr>
            <w:r>
              <w:rPr>
                <w:rFonts w:ascii="Arial" w:cs="Arial" w:eastAsia="Arial" w:hAnsi="Arial"/>
                <w:sz w:val="13"/>
                <w:szCs w:val="13"/>
                <w:b w:val="1"/>
                <w:bCs w:val="1"/>
                <w:color w:val="auto"/>
              </w:rPr>
              <w:t>CRT</w:t>
            </w:r>
          </w:p>
        </w:tc>
        <w:tc>
          <w:tcPr>
            <w:tcW w:w="220" w:type="dxa"/>
            <w:vAlign w:val="bottom"/>
          </w:tcPr>
          <w:p>
            <w:pPr>
              <w:spacing w:after="0"/>
              <w:rPr>
                <w:sz w:val="15"/>
                <w:szCs w:val="15"/>
                <w:color w:val="auto"/>
              </w:rPr>
            </w:pPr>
          </w:p>
        </w:tc>
        <w:tc>
          <w:tcPr>
            <w:tcW w:w="980" w:type="dxa"/>
            <w:vAlign w:val="bottom"/>
            <w:gridSpan w:val="2"/>
          </w:tcPr>
          <w:p>
            <w:pPr>
              <w:ind w:left="140"/>
              <w:spacing w:after="0"/>
              <w:rPr>
                <w:sz w:val="20"/>
                <w:szCs w:val="20"/>
                <w:color w:val="auto"/>
              </w:rPr>
            </w:pPr>
            <w:r>
              <w:rPr>
                <w:rFonts w:ascii="Arial" w:cs="Arial" w:eastAsia="Arial" w:hAnsi="Arial"/>
                <w:sz w:val="13"/>
                <w:szCs w:val="13"/>
                <w:b w:val="1"/>
                <w:bCs w:val="1"/>
                <w:color w:val="auto"/>
              </w:rPr>
              <w:t>RMBS</w:t>
            </w:r>
          </w:p>
        </w:tc>
        <w:tc>
          <w:tcPr>
            <w:tcW w:w="220" w:type="dxa"/>
            <w:vAlign w:val="bottom"/>
          </w:tcPr>
          <w:p>
            <w:pPr>
              <w:spacing w:after="0"/>
              <w:rPr>
                <w:sz w:val="15"/>
                <w:szCs w:val="15"/>
                <w:color w:val="auto"/>
              </w:rPr>
            </w:pPr>
          </w:p>
        </w:tc>
        <w:tc>
          <w:tcPr>
            <w:tcW w:w="880" w:type="dxa"/>
            <w:vAlign w:val="bottom"/>
          </w:tcPr>
          <w:p>
            <w:pPr>
              <w:jc w:val="right"/>
              <w:ind w:right="293"/>
              <w:spacing w:after="0"/>
              <w:rPr>
                <w:sz w:val="20"/>
                <w:szCs w:val="20"/>
                <w:color w:val="auto"/>
              </w:rPr>
            </w:pPr>
            <w:r>
              <w:rPr>
                <w:rFonts w:ascii="Arial" w:cs="Arial" w:eastAsia="Arial" w:hAnsi="Arial"/>
                <w:sz w:val="13"/>
                <w:szCs w:val="13"/>
                <w:b w:val="1"/>
                <w:bCs w:val="1"/>
                <w:color w:val="auto"/>
              </w:rPr>
              <w:t>CMBS</w:t>
            </w:r>
          </w:p>
        </w:tc>
      </w:tr>
      <w:tr>
        <w:trPr>
          <w:trHeight w:val="167"/>
        </w:trPr>
        <w:tc>
          <w:tcPr>
            <w:tcW w:w="3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color w:val="auto"/>
              </w:rPr>
              <w:t>AAA</w:t>
            </w:r>
          </w:p>
        </w:tc>
        <w:tc>
          <w:tcPr>
            <w:tcW w:w="16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93"/>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16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93"/>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w:t>
            </w:r>
          </w:p>
        </w:tc>
      </w:tr>
      <w:tr>
        <w:trPr>
          <w:trHeight w:val="172"/>
        </w:trPr>
        <w:tc>
          <w:tcPr>
            <w:tcW w:w="4080" w:type="dxa"/>
            <w:vAlign w:val="bottom"/>
            <w:gridSpan w:val="2"/>
          </w:tcPr>
          <w:p>
            <w:pPr>
              <w:spacing w:after="0"/>
              <w:rPr>
                <w:sz w:val="20"/>
                <w:szCs w:val="20"/>
                <w:color w:val="auto"/>
              </w:rPr>
            </w:pPr>
            <w:r>
              <w:rPr>
                <w:rFonts w:ascii="Arial" w:cs="Arial" w:eastAsia="Arial" w:hAnsi="Arial"/>
                <w:sz w:val="13"/>
                <w:szCs w:val="13"/>
                <w:color w:val="auto"/>
              </w:rPr>
              <w:t>AA</w:t>
            </w:r>
          </w:p>
        </w:tc>
        <w:tc>
          <w:tcPr>
            <w:tcW w:w="24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118</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190</w:t>
            </w:r>
          </w:p>
        </w:tc>
      </w:tr>
      <w:tr>
        <w:trPr>
          <w:trHeight w:val="178"/>
        </w:trPr>
        <w:tc>
          <w:tcPr>
            <w:tcW w:w="40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w:t>
            </w:r>
          </w:p>
        </w:tc>
        <w:tc>
          <w:tcPr>
            <w:tcW w:w="2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w:t>
            </w: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w:t>
            </w:r>
          </w:p>
        </w:tc>
      </w:tr>
      <w:tr>
        <w:trPr>
          <w:trHeight w:val="172"/>
        </w:trPr>
        <w:tc>
          <w:tcPr>
            <w:tcW w:w="4080" w:type="dxa"/>
            <w:vAlign w:val="bottom"/>
            <w:gridSpan w:val="2"/>
          </w:tcPr>
          <w:p>
            <w:pPr>
              <w:spacing w:after="0"/>
              <w:rPr>
                <w:sz w:val="20"/>
                <w:szCs w:val="20"/>
                <w:color w:val="auto"/>
              </w:rPr>
            </w:pPr>
            <w:r>
              <w:rPr>
                <w:rFonts w:ascii="Arial" w:cs="Arial" w:eastAsia="Arial" w:hAnsi="Arial"/>
                <w:sz w:val="13"/>
                <w:szCs w:val="13"/>
                <w:color w:val="auto"/>
              </w:rPr>
              <w:t>BBB</w:t>
            </w: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72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77</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50</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83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55</w:t>
            </w:r>
          </w:p>
        </w:tc>
      </w:tr>
      <w:tr>
        <w:trPr>
          <w:trHeight w:val="178"/>
        </w:trPr>
        <w:tc>
          <w:tcPr>
            <w:tcW w:w="40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BB</w:t>
            </w: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w:t>
            </w: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167</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w:t>
            </w:r>
          </w:p>
        </w:tc>
      </w:tr>
      <w:tr>
        <w:trPr>
          <w:trHeight w:val="172"/>
        </w:trPr>
        <w:tc>
          <w:tcPr>
            <w:tcW w:w="4080" w:type="dxa"/>
            <w:vAlign w:val="bottom"/>
            <w:gridSpan w:val="2"/>
          </w:tcPr>
          <w:p>
            <w:pPr>
              <w:spacing w:after="0"/>
              <w:rPr>
                <w:sz w:val="20"/>
                <w:szCs w:val="20"/>
                <w:color w:val="auto"/>
              </w:rPr>
            </w:pPr>
            <w:r>
              <w:rPr>
                <w:rFonts w:ascii="Arial" w:cs="Arial" w:eastAsia="Arial" w:hAnsi="Arial"/>
                <w:sz w:val="13"/>
                <w:szCs w:val="13"/>
                <w:color w:val="auto"/>
              </w:rPr>
              <w:t>B</w:t>
            </w: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386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36</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304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7</w:t>
            </w:r>
          </w:p>
        </w:tc>
      </w:tr>
      <w:tr>
        <w:trPr>
          <w:trHeight w:val="175"/>
        </w:trPr>
        <w:tc>
          <w:tcPr>
            <w:tcW w:w="40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Not Rated</w:t>
            </w: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4080" w:type="dxa"/>
            <w:vAlign w:val="bottom"/>
            <w:gridSpan w:val="2"/>
          </w:tcPr>
          <w:p>
            <w:pPr>
              <w:spacing w:after="0"/>
              <w:rPr>
                <w:sz w:val="20"/>
                <w:szCs w:val="20"/>
                <w:color w:val="auto"/>
              </w:rPr>
            </w:pPr>
            <w:r>
              <w:rPr>
                <w:rFonts w:ascii="Arial" w:cs="Arial" w:eastAsia="Arial" w:hAnsi="Arial"/>
                <w:sz w:val="13"/>
                <w:szCs w:val="13"/>
                <w:color w:val="auto"/>
              </w:rPr>
              <w:t>Total</w:t>
            </w:r>
          </w:p>
        </w:tc>
        <w:tc>
          <w:tcPr>
            <w:tcW w:w="24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1,105</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200</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353</w:t>
            </w:r>
          </w:p>
        </w:tc>
        <w:tc>
          <w:tcPr>
            <w:tcW w:w="16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737</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188</w:t>
            </w:r>
          </w:p>
        </w:tc>
        <w:tc>
          <w:tcPr>
            <w:tcW w:w="10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358</w:t>
            </w:r>
          </w:p>
        </w:tc>
      </w:tr>
      <w:tr>
        <w:trPr>
          <w:trHeight w:val="20"/>
        </w:trPr>
        <w:tc>
          <w:tcPr>
            <w:tcW w:w="3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20"/>
        <w:spacing w:after="0"/>
        <w:rPr>
          <w:sz w:val="20"/>
          <w:szCs w:val="20"/>
          <w:color w:val="auto"/>
        </w:rPr>
      </w:pPr>
      <w:r>
        <w:rPr>
          <w:rFonts w:ascii="Arial" w:cs="Arial" w:eastAsia="Arial" w:hAnsi="Arial"/>
          <w:sz w:val="10"/>
          <w:szCs w:val="10"/>
          <w:color w:val="auto"/>
        </w:rPr>
        <w:t>________________________________</w:t>
      </w:r>
    </w:p>
    <w:p>
      <w:pPr>
        <w:spacing w:after="0" w:line="1" w:lineRule="exact"/>
        <w:rPr>
          <w:sz w:val="20"/>
          <w:szCs w:val="20"/>
          <w:color w:val="auto"/>
        </w:rPr>
      </w:pPr>
    </w:p>
    <w:p>
      <w:pPr>
        <w:ind w:left="600" w:hanging="300"/>
        <w:spacing w:after="0" w:line="255" w:lineRule="auto"/>
        <w:tabs>
          <w:tab w:leader="none" w:pos="600" w:val="left"/>
        </w:tabs>
        <w:numPr>
          <w:ilvl w:val="0"/>
          <w:numId w:val="4"/>
        </w:numPr>
        <w:rPr>
          <w:rFonts w:ascii="Arial" w:cs="Arial" w:eastAsia="Arial" w:hAnsi="Arial"/>
          <w:sz w:val="13"/>
          <w:szCs w:val="13"/>
          <w:color w:val="auto"/>
        </w:rPr>
      </w:pPr>
      <w:r>
        <w:rPr>
          <w:rFonts w:ascii="Arial" w:cs="Arial" w:eastAsia="Arial" w:hAnsi="Arial"/>
          <w:sz w:val="13"/>
          <w:szCs w:val="13"/>
          <w:color w:val="auto"/>
        </w:rPr>
        <w:t>Represents the lowest of Standard and Poor's ("S&amp;P"), Moody's, Fitch, DBRS, Kroll Bond Rating Agency ("KBRA") and Morningstar credit ratings, stated in terms of the S&amp;P equivalent rating as of each date.</w:t>
      </w:r>
    </w:p>
    <w:p>
      <w:pPr>
        <w:spacing w:after="0" w:line="126" w:lineRule="exact"/>
        <w:rPr>
          <w:sz w:val="20"/>
          <w:szCs w:val="20"/>
          <w:color w:val="auto"/>
        </w:rPr>
      </w:pPr>
    </w:p>
    <w:p>
      <w:pPr>
        <w:jc w:val="both"/>
        <w:ind w:firstLine="412"/>
        <w:spacing w:after="0" w:line="266" w:lineRule="auto"/>
        <w:rPr>
          <w:sz w:val="20"/>
          <w:szCs w:val="20"/>
          <w:color w:val="auto"/>
        </w:rPr>
      </w:pPr>
      <w:r>
        <w:rPr>
          <w:rFonts w:ascii="Arial" w:cs="Arial" w:eastAsia="Arial" w:hAnsi="Arial"/>
          <w:sz w:val="17"/>
          <w:szCs w:val="17"/>
          <w:color w:val="auto"/>
        </w:rPr>
        <w:t>Our CRT securities reference the performance of loans underlying Agency RMBS issued by Fannie Mae or Freddie Mac, which were subject to their underwriting standards.</w:t>
      </w:r>
    </w:p>
    <w:p>
      <w:pPr>
        <w:spacing w:after="0" w:line="117" w:lineRule="exact"/>
        <w:rPr>
          <w:sz w:val="20"/>
          <w:szCs w:val="20"/>
          <w:color w:val="auto"/>
        </w:rPr>
      </w:pPr>
    </w:p>
    <w:p>
      <w:pPr>
        <w:jc w:val="both"/>
        <w:ind w:firstLine="412"/>
        <w:spacing w:after="0" w:line="267" w:lineRule="auto"/>
        <w:rPr>
          <w:sz w:val="20"/>
          <w:szCs w:val="20"/>
          <w:color w:val="auto"/>
        </w:rPr>
      </w:pPr>
      <w:r>
        <w:rPr>
          <w:rFonts w:ascii="Arial" w:cs="Arial" w:eastAsia="Arial" w:hAnsi="Arial"/>
          <w:sz w:val="16"/>
          <w:szCs w:val="16"/>
          <w:color w:val="auto"/>
        </w:rPr>
        <w:t>The actual maturities of our investment securities are generally shorter than their stated contractual maturities. The actual maturities of our Agency and high credit quality non-Agency RMBS are primarily affected by principal prepayments and to a lesser degree the contractual lives of the underlying mortgages and periodic contractual principal repayments. The actual maturities of our credit-oriented investments are primarily impacted by their contractual lives and default and loss recovery rates. As of June 30, 2021 and December 31, 2020, the weighted average expected constant prepayment rate ("CPR") over the remaining life of our Agency and high credit quality non-Agency RMBS investment portfolio was 11.6% and 17.6%, respectively. Our estimates can differ materially for different securities and thus our individual holdings have a wide range of projected CPRs. The following table summarizes our investments as of June 30, 2021 and December 31, 2020 according to their estimated weighted average life classification (dollars in millions):</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13" w:name="page14"/>
    <w:bookmarkEnd w:id="13"/>
    <w:tbl>
      <w:tblPr>
        <w:tblLayout w:type="fixed"/>
        <w:tblInd w:w="420" w:type="dxa"/>
        <w:tblCellMar>
          <w:top w:w="0" w:type="dxa"/>
          <w:left w:w="0" w:type="dxa"/>
          <w:bottom w:w="0" w:type="dxa"/>
          <w:right w:w="0" w:type="dxa"/>
        </w:tblCellMar>
      </w:tblPr>
      <w:tr>
        <w:trPr>
          <w:trHeight w:val="175"/>
        </w:trPr>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3"/>
          </w:tcPr>
          <w:p>
            <w:pPr>
              <w:ind w:left="340"/>
              <w:spacing w:after="0"/>
              <w:rPr>
                <w:sz w:val="20"/>
                <w:szCs w:val="20"/>
                <w:color w:val="auto"/>
              </w:rPr>
            </w:pPr>
            <w:r>
              <w:rPr>
                <w:rFonts w:ascii="Arial" w:cs="Arial" w:eastAsia="Arial" w:hAnsi="Arial"/>
                <w:sz w:val="13"/>
                <w:szCs w:val="13"/>
                <w:b w:val="1"/>
                <w:bCs w:val="1"/>
                <w:color w:val="auto"/>
                <w:w w:val="92"/>
              </w:rPr>
              <w:t>June 30, 2021</w:t>
            </w:r>
          </w:p>
        </w:tc>
        <w:tc>
          <w:tcPr>
            <w:tcW w:w="7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4"/>
          </w:tcPr>
          <w:p>
            <w:pPr>
              <w:ind w:left="200"/>
              <w:spacing w:after="0"/>
              <w:rPr>
                <w:sz w:val="20"/>
                <w:szCs w:val="20"/>
                <w:color w:val="auto"/>
              </w:rPr>
            </w:pPr>
            <w:r>
              <w:rPr>
                <w:rFonts w:ascii="Arial" w:cs="Arial" w:eastAsia="Arial" w:hAnsi="Arial"/>
                <w:sz w:val="13"/>
                <w:szCs w:val="13"/>
                <w:b w:val="1"/>
                <w:bCs w:val="1"/>
                <w:color w:val="auto"/>
              </w:rPr>
              <w:t>December 31, 2020</w:t>
            </w:r>
          </w:p>
        </w:tc>
        <w:tc>
          <w:tcPr>
            <w:tcW w:w="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2"/>
        </w:trPr>
        <w:tc>
          <w:tcPr>
            <w:tcW w:w="1200" w:type="dxa"/>
            <w:vAlign w:val="bottom"/>
            <w:gridSpan w:val="2"/>
          </w:tcPr>
          <w:p>
            <w:pPr>
              <w:ind w:left="420"/>
              <w:spacing w:after="0" w:line="113" w:lineRule="exact"/>
              <w:rPr>
                <w:sz w:val="20"/>
                <w:szCs w:val="20"/>
                <w:color w:val="auto"/>
              </w:rPr>
            </w:pPr>
            <w:r>
              <w:rPr>
                <w:rFonts w:ascii="Arial" w:cs="Arial" w:eastAsia="Arial" w:hAnsi="Arial"/>
                <w:sz w:val="13"/>
                <w:szCs w:val="13"/>
                <w:b w:val="1"/>
                <w:bCs w:val="1"/>
                <w:color w:val="auto"/>
              </w:rPr>
              <w:t>Estimated</w:t>
            </w:r>
          </w:p>
        </w:tc>
        <w:tc>
          <w:tcPr>
            <w:tcW w:w="5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gridSpan w:val="2"/>
            <w:vMerge w:val="restart"/>
          </w:tcPr>
          <w:p>
            <w:pPr>
              <w:jc w:val="center"/>
              <w:ind w:left="33"/>
              <w:spacing w:after="0"/>
              <w:rPr>
                <w:sz w:val="20"/>
                <w:szCs w:val="20"/>
                <w:color w:val="auto"/>
              </w:rPr>
            </w:pPr>
            <w:r>
              <w:rPr>
                <w:rFonts w:ascii="Arial" w:cs="Arial" w:eastAsia="Arial" w:hAnsi="Arial"/>
                <w:sz w:val="13"/>
                <w:szCs w:val="13"/>
                <w:b w:val="1"/>
                <w:bCs w:val="1"/>
                <w:color w:val="auto"/>
                <w:w w:val="92"/>
              </w:rPr>
              <w:t>Weighted</w:t>
            </w:r>
          </w:p>
        </w:tc>
        <w:tc>
          <w:tcPr>
            <w:tcW w:w="1100" w:type="dxa"/>
            <w:vAlign w:val="bottom"/>
            <w:gridSpan w:val="2"/>
            <w:vMerge w:val="restart"/>
          </w:tcPr>
          <w:p>
            <w:pPr>
              <w:jc w:val="center"/>
              <w:ind w:left="253"/>
              <w:spacing w:after="0"/>
              <w:rPr>
                <w:sz w:val="20"/>
                <w:szCs w:val="20"/>
                <w:color w:val="auto"/>
              </w:rPr>
            </w:pPr>
            <w:r>
              <w:rPr>
                <w:rFonts w:ascii="Arial" w:cs="Arial" w:eastAsia="Arial" w:hAnsi="Arial"/>
                <w:sz w:val="13"/>
                <w:szCs w:val="13"/>
                <w:b w:val="1"/>
                <w:bCs w:val="1"/>
                <w:color w:val="auto"/>
                <w:w w:val="92"/>
              </w:rPr>
              <w:t>Weighted</w:t>
            </w:r>
          </w:p>
        </w:tc>
        <w:tc>
          <w:tcPr>
            <w:tcW w:w="54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gridSpan w:val="2"/>
            <w:vMerge w:val="restart"/>
          </w:tcPr>
          <w:p>
            <w:pPr>
              <w:jc w:val="center"/>
              <w:ind w:left="233"/>
              <w:spacing w:after="0"/>
              <w:rPr>
                <w:sz w:val="20"/>
                <w:szCs w:val="20"/>
                <w:color w:val="auto"/>
              </w:rPr>
            </w:pPr>
            <w:r>
              <w:rPr>
                <w:rFonts w:ascii="Arial" w:cs="Arial" w:eastAsia="Arial" w:hAnsi="Arial"/>
                <w:sz w:val="13"/>
                <w:szCs w:val="13"/>
                <w:b w:val="1"/>
                <w:bCs w:val="1"/>
                <w:color w:val="auto"/>
                <w:w w:val="92"/>
              </w:rPr>
              <w:t>Weighted</w:t>
            </w:r>
          </w:p>
        </w:tc>
        <w:tc>
          <w:tcPr>
            <w:tcW w:w="7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Weigh</w:t>
            </w:r>
          </w:p>
        </w:tc>
        <w:tc>
          <w:tcPr>
            <w:tcW w:w="0" w:type="dxa"/>
            <w:vAlign w:val="bottom"/>
          </w:tcPr>
          <w:p>
            <w:pPr>
              <w:spacing w:after="0"/>
              <w:rPr>
                <w:sz w:val="1"/>
                <w:szCs w:val="1"/>
                <w:color w:val="auto"/>
              </w:rPr>
            </w:pPr>
          </w:p>
        </w:tc>
      </w:tr>
      <w:tr>
        <w:trPr>
          <w:trHeight w:val="125"/>
        </w:trPr>
        <w:tc>
          <w:tcPr>
            <w:tcW w:w="1200" w:type="dxa"/>
            <w:vAlign w:val="bottom"/>
            <w:gridSpan w:val="2"/>
          </w:tcPr>
          <w:p>
            <w:pPr>
              <w:spacing w:after="0" w:line="125" w:lineRule="exact"/>
              <w:rPr>
                <w:sz w:val="20"/>
                <w:szCs w:val="20"/>
                <w:color w:val="auto"/>
              </w:rPr>
            </w:pPr>
            <w:r>
              <w:rPr>
                <w:rFonts w:ascii="Arial" w:cs="Arial" w:eastAsia="Arial" w:hAnsi="Arial"/>
                <w:sz w:val="13"/>
                <w:szCs w:val="13"/>
                <w:b w:val="1"/>
                <w:bCs w:val="1"/>
                <w:color w:val="auto"/>
              </w:rPr>
              <w:t>Weighted Average</w:t>
            </w:r>
          </w:p>
        </w:tc>
        <w:tc>
          <w:tcPr>
            <w:tcW w:w="5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140" w:type="dxa"/>
            <w:vAlign w:val="bottom"/>
            <w:gridSpan w:val="3"/>
            <w:vMerge w:val="restart"/>
          </w:tcPr>
          <w:p>
            <w:pPr>
              <w:ind w:left="60"/>
              <w:spacing w:after="0"/>
              <w:rPr>
                <w:sz w:val="20"/>
                <w:szCs w:val="20"/>
                <w:color w:val="auto"/>
              </w:rPr>
            </w:pPr>
            <w:r>
              <w:rPr>
                <w:rFonts w:ascii="Arial" w:cs="Arial" w:eastAsia="Arial" w:hAnsi="Arial"/>
                <w:sz w:val="13"/>
                <w:szCs w:val="13"/>
                <w:b w:val="1"/>
                <w:bCs w:val="1"/>
                <w:color w:val="auto"/>
              </w:rPr>
              <w:t>Amortized</w:t>
            </w:r>
          </w:p>
        </w:tc>
        <w:tc>
          <w:tcPr>
            <w:tcW w:w="840" w:type="dxa"/>
            <w:vAlign w:val="bottom"/>
            <w:gridSpan w:val="2"/>
            <w:vMerge w:val="continue"/>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5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Amortized</w:t>
            </w:r>
          </w:p>
        </w:tc>
        <w:tc>
          <w:tcPr>
            <w:tcW w:w="1080" w:type="dxa"/>
            <w:vAlign w:val="bottom"/>
            <w:gridSpan w:val="2"/>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1200" w:type="dxa"/>
            <w:vAlign w:val="bottom"/>
            <w:gridSpan w:val="2"/>
          </w:tcPr>
          <w:p>
            <w:pPr>
              <w:spacing w:after="0" w:line="125" w:lineRule="exact"/>
              <w:rPr>
                <w:sz w:val="20"/>
                <w:szCs w:val="20"/>
                <w:color w:val="auto"/>
              </w:rPr>
            </w:pPr>
            <w:r>
              <w:rPr>
                <w:rFonts w:ascii="Arial" w:cs="Arial" w:eastAsia="Arial" w:hAnsi="Arial"/>
                <w:sz w:val="13"/>
                <w:szCs w:val="13"/>
                <w:b w:val="1"/>
                <w:bCs w:val="1"/>
                <w:color w:val="auto"/>
              </w:rPr>
              <w:t>Life of Investment</w:t>
            </w:r>
          </w:p>
        </w:tc>
        <w:tc>
          <w:tcPr>
            <w:tcW w:w="520" w:type="dxa"/>
            <w:vAlign w:val="bottom"/>
          </w:tcPr>
          <w:p>
            <w:pPr>
              <w:spacing w:after="0"/>
              <w:rPr>
                <w:sz w:val="10"/>
                <w:szCs w:val="10"/>
                <w:color w:val="auto"/>
              </w:rPr>
            </w:pPr>
          </w:p>
        </w:tc>
        <w:tc>
          <w:tcPr>
            <w:tcW w:w="90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Fair Value</w:t>
            </w:r>
          </w:p>
        </w:tc>
        <w:tc>
          <w:tcPr>
            <w:tcW w:w="520" w:type="dxa"/>
            <w:vAlign w:val="bottom"/>
          </w:tcPr>
          <w:p>
            <w:pPr>
              <w:spacing w:after="0"/>
              <w:rPr>
                <w:sz w:val="10"/>
                <w:szCs w:val="10"/>
                <w:color w:val="auto"/>
              </w:rPr>
            </w:pPr>
          </w:p>
        </w:tc>
        <w:tc>
          <w:tcPr>
            <w:tcW w:w="1140" w:type="dxa"/>
            <w:vAlign w:val="bottom"/>
            <w:gridSpan w:val="3"/>
            <w:vMerge w:val="continue"/>
          </w:tcPr>
          <w:p>
            <w:pPr>
              <w:spacing w:after="0"/>
              <w:rPr>
                <w:sz w:val="10"/>
                <w:szCs w:val="10"/>
                <w:color w:val="auto"/>
              </w:rPr>
            </w:pPr>
          </w:p>
        </w:tc>
        <w:tc>
          <w:tcPr>
            <w:tcW w:w="840" w:type="dxa"/>
            <w:vAlign w:val="bottom"/>
            <w:gridSpan w:val="2"/>
          </w:tcPr>
          <w:p>
            <w:pPr>
              <w:ind w:left="40"/>
              <w:spacing w:after="0" w:line="125" w:lineRule="exact"/>
              <w:rPr>
                <w:sz w:val="20"/>
                <w:szCs w:val="20"/>
                <w:color w:val="auto"/>
              </w:rPr>
            </w:pPr>
            <w:r>
              <w:rPr>
                <w:rFonts w:ascii="Arial" w:cs="Arial" w:eastAsia="Arial" w:hAnsi="Arial"/>
                <w:sz w:val="13"/>
                <w:szCs w:val="13"/>
                <w:b w:val="1"/>
                <w:bCs w:val="1"/>
                <w:color w:val="auto"/>
              </w:rPr>
              <w:t>Average</w:t>
            </w:r>
          </w:p>
        </w:tc>
        <w:tc>
          <w:tcPr>
            <w:tcW w:w="1100" w:type="dxa"/>
            <w:vAlign w:val="bottom"/>
            <w:gridSpan w:val="2"/>
          </w:tcPr>
          <w:p>
            <w:pPr>
              <w:jc w:val="center"/>
              <w:ind w:right="80"/>
              <w:spacing w:after="0" w:line="125" w:lineRule="exact"/>
              <w:rPr>
                <w:sz w:val="20"/>
                <w:szCs w:val="20"/>
                <w:color w:val="auto"/>
              </w:rPr>
            </w:pPr>
            <w:r>
              <w:rPr>
                <w:rFonts w:ascii="Arial" w:cs="Arial" w:eastAsia="Arial" w:hAnsi="Arial"/>
                <w:sz w:val="13"/>
                <w:szCs w:val="13"/>
                <w:b w:val="1"/>
                <w:bCs w:val="1"/>
                <w:color w:val="auto"/>
                <w:w w:val="89"/>
              </w:rPr>
              <w:t>Average</w:t>
            </w:r>
          </w:p>
        </w:tc>
        <w:tc>
          <w:tcPr>
            <w:tcW w:w="540" w:type="dxa"/>
            <w:vAlign w:val="bottom"/>
          </w:tcPr>
          <w:p>
            <w:pPr>
              <w:spacing w:after="0"/>
              <w:rPr>
                <w:sz w:val="10"/>
                <w:szCs w:val="10"/>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Fair Value</w:t>
            </w:r>
          </w:p>
        </w:tc>
        <w:tc>
          <w:tcPr>
            <w:tcW w:w="52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080" w:type="dxa"/>
            <w:vAlign w:val="bottom"/>
            <w:gridSpan w:val="2"/>
          </w:tcPr>
          <w:p>
            <w:pPr>
              <w:ind w:left="260"/>
              <w:spacing w:after="0" w:line="125" w:lineRule="exact"/>
              <w:rPr>
                <w:sz w:val="20"/>
                <w:szCs w:val="20"/>
                <w:color w:val="auto"/>
              </w:rPr>
            </w:pPr>
            <w:r>
              <w:rPr>
                <w:rFonts w:ascii="Arial" w:cs="Arial" w:eastAsia="Arial" w:hAnsi="Arial"/>
                <w:sz w:val="13"/>
                <w:szCs w:val="13"/>
                <w:b w:val="1"/>
                <w:bCs w:val="1"/>
                <w:color w:val="auto"/>
              </w:rPr>
              <w:t>Average</w:t>
            </w:r>
          </w:p>
        </w:tc>
        <w:tc>
          <w:tcPr>
            <w:tcW w:w="760" w:type="dxa"/>
            <w:vAlign w:val="bottom"/>
          </w:tcPr>
          <w:p>
            <w:pPr>
              <w:jc w:val="right"/>
              <w:spacing w:after="0" w:line="125" w:lineRule="exact"/>
              <w:rPr>
                <w:sz w:val="20"/>
                <w:szCs w:val="20"/>
                <w:color w:val="auto"/>
              </w:rPr>
            </w:pPr>
            <w:r>
              <w:rPr>
                <w:rFonts w:ascii="Arial" w:cs="Arial" w:eastAsia="Arial" w:hAnsi="Arial"/>
                <w:sz w:val="13"/>
                <w:szCs w:val="13"/>
                <w:b w:val="1"/>
                <w:bCs w:val="1"/>
                <w:color w:val="auto"/>
              </w:rPr>
              <w:t>Average</w:t>
            </w:r>
          </w:p>
        </w:tc>
        <w:tc>
          <w:tcPr>
            <w:tcW w:w="0" w:type="dxa"/>
            <w:vAlign w:val="bottom"/>
          </w:tcPr>
          <w:p>
            <w:pPr>
              <w:spacing w:after="0"/>
              <w:rPr>
                <w:sz w:val="1"/>
                <w:szCs w:val="1"/>
                <w:color w:val="auto"/>
              </w:rPr>
            </w:pPr>
          </w:p>
        </w:tc>
      </w:tr>
      <w:tr>
        <w:trPr>
          <w:trHeight w:val="174"/>
        </w:trPr>
        <w:tc>
          <w:tcPr>
            <w:tcW w:w="1200" w:type="dxa"/>
            <w:vAlign w:val="bottom"/>
            <w:gridSpan w:val="2"/>
          </w:tcPr>
          <w:p>
            <w:pPr>
              <w:spacing w:after="0"/>
              <w:rPr>
                <w:sz w:val="20"/>
                <w:szCs w:val="20"/>
                <w:color w:val="auto"/>
              </w:rPr>
            </w:pPr>
            <w:r>
              <w:rPr>
                <w:rFonts w:ascii="Arial" w:cs="Arial" w:eastAsia="Arial" w:hAnsi="Arial"/>
                <w:sz w:val="13"/>
                <w:szCs w:val="13"/>
                <w:b w:val="1"/>
                <w:bCs w:val="1"/>
                <w:color w:val="auto"/>
              </w:rPr>
              <w:t>Securities</w:t>
            </w:r>
          </w:p>
        </w:tc>
        <w:tc>
          <w:tcPr>
            <w:tcW w:w="52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520" w:type="dxa"/>
            <w:vAlign w:val="bottom"/>
          </w:tcPr>
          <w:p>
            <w:pPr>
              <w:spacing w:after="0"/>
              <w:rPr>
                <w:sz w:val="15"/>
                <w:szCs w:val="15"/>
                <w:color w:val="auto"/>
              </w:rPr>
            </w:pPr>
          </w:p>
        </w:tc>
        <w:tc>
          <w:tcPr>
            <w:tcW w:w="1140" w:type="dxa"/>
            <w:vAlign w:val="bottom"/>
            <w:gridSpan w:val="3"/>
          </w:tcPr>
          <w:p>
            <w:pPr>
              <w:ind w:left="20"/>
              <w:spacing w:after="0"/>
              <w:rPr>
                <w:sz w:val="20"/>
                <w:szCs w:val="20"/>
                <w:color w:val="auto"/>
              </w:rPr>
            </w:pPr>
            <w:r>
              <w:rPr>
                <w:rFonts w:ascii="Arial" w:cs="Arial" w:eastAsia="Arial" w:hAnsi="Arial"/>
                <w:sz w:val="13"/>
                <w:szCs w:val="13"/>
                <w:b w:val="1"/>
                <w:bCs w:val="1"/>
                <w:color w:val="auto"/>
              </w:rPr>
              <w:t>Cost</w:t>
            </w:r>
          </w:p>
        </w:tc>
        <w:tc>
          <w:tcPr>
            <w:tcW w:w="840" w:type="dxa"/>
            <w:vAlign w:val="bottom"/>
            <w:gridSpan w:val="2"/>
          </w:tcPr>
          <w:p>
            <w:pPr>
              <w:ind w:left="40"/>
              <w:spacing w:after="0"/>
              <w:rPr>
                <w:sz w:val="20"/>
                <w:szCs w:val="20"/>
                <w:color w:val="auto"/>
              </w:rPr>
            </w:pPr>
            <w:r>
              <w:rPr>
                <w:rFonts w:ascii="Arial" w:cs="Arial" w:eastAsia="Arial" w:hAnsi="Arial"/>
                <w:sz w:val="13"/>
                <w:szCs w:val="13"/>
                <w:b w:val="1"/>
                <w:bCs w:val="1"/>
                <w:color w:val="auto"/>
              </w:rPr>
              <w:t>Coupon</w:t>
            </w:r>
          </w:p>
        </w:tc>
        <w:tc>
          <w:tcPr>
            <w:tcW w:w="11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6"/>
              </w:rPr>
              <w:t>Yield</w:t>
            </w:r>
          </w:p>
        </w:tc>
        <w:tc>
          <w:tcPr>
            <w:tcW w:w="54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520" w:type="dxa"/>
            <w:vAlign w:val="bottom"/>
          </w:tcPr>
          <w:p>
            <w:pPr>
              <w:spacing w:after="0"/>
              <w:rPr>
                <w:sz w:val="15"/>
                <w:szCs w:val="15"/>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b w:val="1"/>
                <w:bCs w:val="1"/>
                <w:color w:val="auto"/>
              </w:rPr>
              <w:t>Cost</w:t>
            </w:r>
          </w:p>
        </w:tc>
        <w:tc>
          <w:tcPr>
            <w:tcW w:w="1080" w:type="dxa"/>
            <w:vAlign w:val="bottom"/>
            <w:gridSpan w:val="2"/>
          </w:tcPr>
          <w:p>
            <w:pPr>
              <w:ind w:left="260"/>
              <w:spacing w:after="0"/>
              <w:rPr>
                <w:sz w:val="20"/>
                <w:szCs w:val="20"/>
                <w:color w:val="auto"/>
              </w:rPr>
            </w:pPr>
            <w:r>
              <w:rPr>
                <w:rFonts w:ascii="Arial" w:cs="Arial" w:eastAsia="Arial" w:hAnsi="Arial"/>
                <w:sz w:val="13"/>
                <w:szCs w:val="13"/>
                <w:b w:val="1"/>
                <w:bCs w:val="1"/>
                <w:color w:val="auto"/>
              </w:rPr>
              <w:t>Coupon</w:t>
            </w:r>
          </w:p>
        </w:tc>
        <w:tc>
          <w:tcPr>
            <w:tcW w:w="760" w:type="dxa"/>
            <w:vAlign w:val="bottom"/>
          </w:tcPr>
          <w:p>
            <w:pPr>
              <w:jc w:val="right"/>
              <w:ind w:right="53"/>
              <w:spacing w:after="0"/>
              <w:rPr>
                <w:sz w:val="20"/>
                <w:szCs w:val="20"/>
                <w:color w:val="auto"/>
              </w:rPr>
            </w:pPr>
            <w:r>
              <w:rPr>
                <w:rFonts w:ascii="Arial" w:cs="Arial" w:eastAsia="Arial" w:hAnsi="Arial"/>
                <w:sz w:val="13"/>
                <w:szCs w:val="13"/>
                <w:b w:val="1"/>
                <w:bCs w:val="1"/>
                <w:color w:val="auto"/>
              </w:rPr>
              <w:t>Yield</w:t>
            </w:r>
          </w:p>
        </w:tc>
        <w:tc>
          <w:tcPr>
            <w:tcW w:w="0" w:type="dxa"/>
            <w:vAlign w:val="bottom"/>
          </w:tcPr>
          <w:p>
            <w:pPr>
              <w:spacing w:after="0"/>
              <w:rPr>
                <w:sz w:val="1"/>
                <w:szCs w:val="1"/>
                <w:color w:val="auto"/>
              </w:rPr>
            </w:pPr>
          </w:p>
        </w:tc>
      </w:tr>
      <w:tr>
        <w:trPr>
          <w:trHeight w:val="169"/>
        </w:trPr>
        <w:tc>
          <w:tcPr>
            <w:tcW w:w="110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3"/>
                <w:szCs w:val="13"/>
                <w:color w:val="auto"/>
              </w:rPr>
              <w:t>≤ 3 years</w:t>
            </w:r>
          </w:p>
        </w:tc>
        <w:tc>
          <w:tcPr>
            <w:tcW w:w="10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1,407</w:t>
            </w:r>
          </w:p>
        </w:tc>
        <w:tc>
          <w:tcPr>
            <w:tcW w:w="10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1,370</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center"/>
              <w:ind w:left="113"/>
              <w:spacing w:after="0"/>
              <w:rPr>
                <w:sz w:val="20"/>
                <w:szCs w:val="20"/>
                <w:color w:val="auto"/>
              </w:rPr>
            </w:pPr>
            <w:r>
              <w:rPr>
                <w:rFonts w:ascii="Arial" w:cs="Arial" w:eastAsia="Arial" w:hAnsi="Arial"/>
                <w:sz w:val="13"/>
                <w:szCs w:val="13"/>
                <w:color w:val="auto"/>
                <w:w w:val="92"/>
              </w:rPr>
              <w:t>3.59%</w:t>
            </w:r>
          </w:p>
        </w:tc>
        <w:tc>
          <w:tcPr>
            <w:tcW w:w="8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jc w:val="center"/>
              <w:ind w:left="353"/>
              <w:spacing w:after="0"/>
              <w:rPr>
                <w:sz w:val="20"/>
                <w:szCs w:val="20"/>
                <w:color w:val="auto"/>
              </w:rPr>
            </w:pPr>
            <w:r>
              <w:rPr>
                <w:rFonts w:ascii="Arial" w:cs="Arial" w:eastAsia="Arial" w:hAnsi="Arial"/>
                <w:sz w:val="13"/>
                <w:szCs w:val="13"/>
                <w:color w:val="auto"/>
                <w:w w:val="92"/>
              </w:rPr>
              <w:t>2.69%</w:t>
            </w:r>
          </w:p>
        </w:tc>
        <w:tc>
          <w:tcPr>
            <w:tcW w:w="10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3,642</w:t>
            </w:r>
          </w:p>
        </w:tc>
        <w:tc>
          <w:tcPr>
            <w:tcW w:w="8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3,569</w:t>
            </w:r>
          </w:p>
        </w:tc>
        <w:tc>
          <w:tcPr>
            <w:tcW w:w="80" w:type="dxa"/>
            <w:vAlign w:val="bottom"/>
            <w:tcBorders>
              <w:top w:val="single" w:sz="8" w:color="CCEEFF"/>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jc w:val="center"/>
              <w:ind w:left="353"/>
              <w:spacing w:after="0"/>
              <w:rPr>
                <w:sz w:val="20"/>
                <w:szCs w:val="20"/>
                <w:color w:val="auto"/>
              </w:rPr>
            </w:pPr>
            <w:r>
              <w:rPr>
                <w:rFonts w:ascii="Arial" w:cs="Arial" w:eastAsia="Arial" w:hAnsi="Arial"/>
                <w:sz w:val="13"/>
                <w:szCs w:val="13"/>
                <w:color w:val="auto"/>
                <w:w w:val="97"/>
              </w:rPr>
              <w:t>3.56%</w:t>
            </w:r>
          </w:p>
        </w:tc>
        <w:tc>
          <w:tcPr>
            <w:tcW w:w="10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2.15</w:t>
            </w:r>
          </w:p>
        </w:tc>
        <w:tc>
          <w:tcPr>
            <w:tcW w:w="0" w:type="dxa"/>
            <w:vAlign w:val="bottom"/>
          </w:tcPr>
          <w:p>
            <w:pPr>
              <w:spacing w:after="0"/>
              <w:rPr>
                <w:sz w:val="1"/>
                <w:szCs w:val="1"/>
                <w:color w:val="auto"/>
              </w:rPr>
            </w:pPr>
          </w:p>
        </w:tc>
      </w:tr>
      <w:tr>
        <w:trPr>
          <w:trHeight w:val="125"/>
        </w:trPr>
        <w:tc>
          <w:tcPr>
            <w:tcW w:w="1200" w:type="dxa"/>
            <w:vAlign w:val="bottom"/>
            <w:gridSpan w:val="2"/>
          </w:tcPr>
          <w:p>
            <w:pPr>
              <w:ind w:left="420"/>
              <w:spacing w:after="0" w:line="125" w:lineRule="exact"/>
              <w:rPr>
                <w:sz w:val="20"/>
                <w:szCs w:val="20"/>
                <w:color w:val="auto"/>
              </w:rPr>
            </w:pPr>
            <w:r>
              <w:rPr>
                <w:rFonts w:ascii="Arial" w:cs="Arial" w:eastAsia="Arial" w:hAnsi="Arial"/>
                <w:sz w:val="13"/>
                <w:szCs w:val="13"/>
                <w:color w:val="auto"/>
              </w:rPr>
              <w:t>&gt; 3 years</w:t>
            </w:r>
          </w:p>
        </w:tc>
        <w:tc>
          <w:tcPr>
            <w:tcW w:w="52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15,366</w:t>
            </w: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14,905</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vMerge w:val="restart"/>
          </w:tcPr>
          <w:p>
            <w:pPr>
              <w:jc w:val="center"/>
              <w:ind w:left="113"/>
              <w:spacing w:after="0"/>
              <w:rPr>
                <w:sz w:val="20"/>
                <w:szCs w:val="20"/>
                <w:color w:val="auto"/>
              </w:rPr>
            </w:pPr>
            <w:r>
              <w:rPr>
                <w:rFonts w:ascii="Arial" w:cs="Arial" w:eastAsia="Arial" w:hAnsi="Arial"/>
                <w:sz w:val="13"/>
                <w:szCs w:val="13"/>
                <w:color w:val="auto"/>
                <w:w w:val="92"/>
              </w:rPr>
              <w:t>3.62%</w:t>
            </w:r>
          </w:p>
        </w:tc>
        <w:tc>
          <w:tcPr>
            <w:tcW w:w="80" w:type="dxa"/>
            <w:vAlign w:val="bottom"/>
          </w:tcPr>
          <w:p>
            <w:pPr>
              <w:spacing w:after="0"/>
              <w:rPr>
                <w:sz w:val="10"/>
                <w:szCs w:val="10"/>
                <w:color w:val="auto"/>
              </w:rPr>
            </w:pPr>
          </w:p>
        </w:tc>
        <w:tc>
          <w:tcPr>
            <w:tcW w:w="1000" w:type="dxa"/>
            <w:vAlign w:val="bottom"/>
            <w:vMerge w:val="restart"/>
          </w:tcPr>
          <w:p>
            <w:pPr>
              <w:jc w:val="center"/>
              <w:ind w:left="353"/>
              <w:spacing w:after="0"/>
              <w:rPr>
                <w:sz w:val="20"/>
                <w:szCs w:val="20"/>
                <w:color w:val="auto"/>
              </w:rPr>
            </w:pPr>
            <w:r>
              <w:rPr>
                <w:rFonts w:ascii="Arial" w:cs="Arial" w:eastAsia="Arial" w:hAnsi="Arial"/>
                <w:sz w:val="13"/>
                <w:szCs w:val="13"/>
                <w:color w:val="auto"/>
                <w:w w:val="92"/>
              </w:rPr>
              <w:t>2.49%</w:t>
            </w: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47,740</w:t>
            </w: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45,578</w:t>
            </w:r>
          </w:p>
        </w:tc>
        <w:tc>
          <w:tcPr>
            <w:tcW w:w="80" w:type="dxa"/>
            <w:vAlign w:val="bottom"/>
          </w:tcPr>
          <w:p>
            <w:pPr>
              <w:spacing w:after="0"/>
              <w:rPr>
                <w:sz w:val="10"/>
                <w:szCs w:val="10"/>
                <w:color w:val="auto"/>
              </w:rPr>
            </w:pPr>
          </w:p>
        </w:tc>
        <w:tc>
          <w:tcPr>
            <w:tcW w:w="980" w:type="dxa"/>
            <w:vAlign w:val="bottom"/>
            <w:vMerge w:val="restart"/>
          </w:tcPr>
          <w:p>
            <w:pPr>
              <w:jc w:val="center"/>
              <w:ind w:left="353"/>
              <w:spacing w:after="0"/>
              <w:rPr>
                <w:sz w:val="20"/>
                <w:szCs w:val="20"/>
                <w:color w:val="auto"/>
              </w:rPr>
            </w:pPr>
            <w:r>
              <w:rPr>
                <w:rFonts w:ascii="Arial" w:cs="Arial" w:eastAsia="Arial" w:hAnsi="Arial"/>
                <w:sz w:val="13"/>
                <w:szCs w:val="13"/>
                <w:color w:val="auto"/>
                <w:w w:val="97"/>
              </w:rPr>
              <w:t>3.54%</w:t>
            </w:r>
          </w:p>
        </w:tc>
        <w:tc>
          <w:tcPr>
            <w:tcW w:w="10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2.42</w:t>
            </w:r>
          </w:p>
        </w:tc>
        <w:tc>
          <w:tcPr>
            <w:tcW w:w="0" w:type="dxa"/>
            <w:vAlign w:val="bottom"/>
          </w:tcPr>
          <w:p>
            <w:pPr>
              <w:spacing w:after="0"/>
              <w:rPr>
                <w:sz w:val="1"/>
                <w:szCs w:val="1"/>
                <w:color w:val="auto"/>
              </w:rPr>
            </w:pPr>
          </w:p>
        </w:tc>
      </w:tr>
      <w:tr>
        <w:trPr>
          <w:trHeight w:val="172"/>
        </w:trPr>
        <w:tc>
          <w:tcPr>
            <w:tcW w:w="1200" w:type="dxa"/>
            <w:vAlign w:val="bottom"/>
            <w:gridSpan w:val="2"/>
          </w:tcPr>
          <w:p>
            <w:pPr>
              <w:spacing w:after="0"/>
              <w:rPr>
                <w:sz w:val="20"/>
                <w:szCs w:val="20"/>
                <w:color w:val="auto"/>
              </w:rPr>
            </w:pPr>
            <w:r>
              <w:rPr>
                <w:rFonts w:ascii="Arial" w:cs="Arial" w:eastAsia="Arial" w:hAnsi="Arial"/>
                <w:sz w:val="13"/>
                <w:szCs w:val="13"/>
                <w:color w:val="auto"/>
              </w:rPr>
              <w:t>and ≤ 5 years</w:t>
            </w:r>
          </w:p>
        </w:tc>
        <w:tc>
          <w:tcPr>
            <w:tcW w:w="5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1200" w:type="dxa"/>
            <w:vAlign w:val="bottom"/>
            <w:gridSpan w:val="2"/>
            <w:shd w:val="clear" w:color="auto" w:fill="CCEEFF"/>
          </w:tcPr>
          <w:p>
            <w:pPr>
              <w:ind w:left="420"/>
              <w:spacing w:after="0" w:line="128" w:lineRule="exact"/>
              <w:rPr>
                <w:sz w:val="20"/>
                <w:szCs w:val="20"/>
                <w:color w:val="auto"/>
              </w:rPr>
            </w:pPr>
            <w:r>
              <w:rPr>
                <w:rFonts w:ascii="Arial" w:cs="Arial" w:eastAsia="Arial" w:hAnsi="Arial"/>
                <w:sz w:val="13"/>
                <w:szCs w:val="13"/>
                <w:color w:val="auto"/>
              </w:rPr>
              <w:t>&gt; 5 years</w:t>
            </w:r>
          </w:p>
        </w:tc>
        <w:tc>
          <w:tcPr>
            <w:tcW w:w="52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40,176</w:t>
            </w: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39,276</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center"/>
              <w:ind w:left="113"/>
              <w:spacing w:after="0"/>
              <w:rPr>
                <w:sz w:val="20"/>
                <w:szCs w:val="20"/>
                <w:color w:val="auto"/>
              </w:rPr>
            </w:pPr>
            <w:r>
              <w:rPr>
                <w:rFonts w:ascii="Arial" w:cs="Arial" w:eastAsia="Arial" w:hAnsi="Arial"/>
                <w:sz w:val="13"/>
                <w:szCs w:val="13"/>
                <w:color w:val="auto"/>
                <w:w w:val="92"/>
              </w:rPr>
              <w:t>3.07%</w:t>
            </w:r>
          </w:p>
        </w:tc>
        <w:tc>
          <w:tcPr>
            <w:tcW w:w="8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center"/>
              <w:ind w:left="353"/>
              <w:spacing w:after="0"/>
              <w:rPr>
                <w:sz w:val="20"/>
                <w:szCs w:val="20"/>
                <w:color w:val="auto"/>
              </w:rPr>
            </w:pPr>
            <w:r>
              <w:rPr>
                <w:rFonts w:ascii="Arial" w:cs="Arial" w:eastAsia="Arial" w:hAnsi="Arial"/>
                <w:sz w:val="13"/>
                <w:szCs w:val="13"/>
                <w:color w:val="auto"/>
                <w:w w:val="92"/>
              </w:rPr>
              <w:t>2.41%</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15,019</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14,541</w:t>
            </w:r>
          </w:p>
        </w:tc>
        <w:tc>
          <w:tcPr>
            <w:tcW w:w="8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center"/>
              <w:ind w:left="353"/>
              <w:spacing w:after="0"/>
              <w:rPr>
                <w:sz w:val="20"/>
                <w:szCs w:val="20"/>
                <w:color w:val="auto"/>
              </w:rPr>
            </w:pPr>
            <w:r>
              <w:rPr>
                <w:rFonts w:ascii="Arial" w:cs="Arial" w:eastAsia="Arial" w:hAnsi="Arial"/>
                <w:sz w:val="13"/>
                <w:szCs w:val="13"/>
                <w:color w:val="auto"/>
                <w:w w:val="97"/>
              </w:rPr>
              <w:t>2.87%</w:t>
            </w:r>
          </w:p>
        </w:tc>
        <w:tc>
          <w:tcPr>
            <w:tcW w:w="10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2.08</w:t>
            </w:r>
          </w:p>
        </w:tc>
        <w:tc>
          <w:tcPr>
            <w:tcW w:w="0" w:type="dxa"/>
            <w:vAlign w:val="bottom"/>
          </w:tcPr>
          <w:p>
            <w:pPr>
              <w:spacing w:after="0"/>
              <w:rPr>
                <w:sz w:val="1"/>
                <w:szCs w:val="1"/>
                <w:color w:val="auto"/>
              </w:rPr>
            </w:pPr>
          </w:p>
        </w:tc>
      </w:tr>
      <w:tr>
        <w:trPr>
          <w:trHeight w:val="175"/>
        </w:trPr>
        <w:tc>
          <w:tcPr>
            <w:tcW w:w="1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and ≤10 years</w:t>
            </w:r>
          </w:p>
        </w:tc>
        <w:tc>
          <w:tcPr>
            <w:tcW w:w="52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1200" w:type="dxa"/>
            <w:vAlign w:val="bottom"/>
            <w:tcBorders>
              <w:bottom w:val="single" w:sz="8" w:color="CCEEFF"/>
            </w:tcBorders>
            <w:gridSpan w:val="2"/>
          </w:tcPr>
          <w:p>
            <w:pPr>
              <w:ind w:left="420"/>
              <w:spacing w:after="0"/>
              <w:rPr>
                <w:sz w:val="20"/>
                <w:szCs w:val="20"/>
                <w:color w:val="auto"/>
              </w:rPr>
            </w:pPr>
            <w:r>
              <w:rPr>
                <w:rFonts w:ascii="Arial" w:cs="Arial" w:eastAsia="Arial" w:hAnsi="Arial"/>
                <w:sz w:val="13"/>
                <w:szCs w:val="13"/>
                <w:color w:val="auto"/>
              </w:rPr>
              <w:t>&gt; 10 years</w:t>
            </w:r>
          </w:p>
        </w:tc>
        <w:tc>
          <w:tcPr>
            <w:tcW w:w="5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2,850</w:t>
            </w:r>
          </w:p>
        </w:tc>
        <w:tc>
          <w:tcPr>
            <w:tcW w:w="10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2,828</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left="113"/>
              <w:spacing w:after="0"/>
              <w:rPr>
                <w:sz w:val="20"/>
                <w:szCs w:val="20"/>
                <w:color w:val="auto"/>
              </w:rPr>
            </w:pPr>
            <w:r>
              <w:rPr>
                <w:rFonts w:ascii="Arial" w:cs="Arial" w:eastAsia="Arial" w:hAnsi="Arial"/>
                <w:sz w:val="13"/>
                <w:szCs w:val="13"/>
                <w:color w:val="auto"/>
                <w:w w:val="92"/>
              </w:rPr>
              <w:t>2.32%</w:t>
            </w:r>
          </w:p>
        </w:tc>
        <w:tc>
          <w:tcPr>
            <w:tcW w:w="8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center"/>
              <w:ind w:left="353"/>
              <w:spacing w:after="0"/>
              <w:rPr>
                <w:sz w:val="20"/>
                <w:szCs w:val="20"/>
                <w:color w:val="auto"/>
              </w:rPr>
            </w:pPr>
            <w:r>
              <w:rPr>
                <w:rFonts w:ascii="Arial" w:cs="Arial" w:eastAsia="Arial" w:hAnsi="Arial"/>
                <w:sz w:val="13"/>
                <w:szCs w:val="13"/>
                <w:color w:val="auto"/>
                <w:w w:val="92"/>
              </w:rPr>
              <w:t>2.09%</w:t>
            </w:r>
          </w:p>
        </w:tc>
        <w:tc>
          <w:tcPr>
            <w:tcW w:w="10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w:t>
            </w:r>
          </w:p>
        </w:tc>
        <w:tc>
          <w:tcPr>
            <w:tcW w:w="8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w:t>
            </w:r>
          </w:p>
        </w:tc>
        <w:tc>
          <w:tcPr>
            <w:tcW w:w="8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center"/>
              <w:ind w:left="353"/>
              <w:spacing w:after="0"/>
              <w:rPr>
                <w:sz w:val="20"/>
                <w:szCs w:val="20"/>
                <w:color w:val="auto"/>
              </w:rPr>
            </w:pPr>
            <w:r>
              <w:rPr>
                <w:rFonts w:ascii="Arial" w:cs="Arial" w:eastAsia="Arial" w:hAnsi="Arial"/>
                <w:sz w:val="13"/>
                <w:szCs w:val="13"/>
                <w:color w:val="auto"/>
                <w:w w:val="97"/>
              </w:rPr>
              <w:t>5.56%</w:t>
            </w:r>
          </w:p>
        </w:tc>
        <w:tc>
          <w:tcPr>
            <w:tcW w:w="10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3.59</w:t>
            </w:r>
          </w:p>
        </w:tc>
        <w:tc>
          <w:tcPr>
            <w:tcW w:w="0" w:type="dxa"/>
            <w:vAlign w:val="bottom"/>
          </w:tcPr>
          <w:p>
            <w:pPr>
              <w:spacing w:after="0"/>
              <w:rPr>
                <w:sz w:val="1"/>
                <w:szCs w:val="1"/>
                <w:color w:val="auto"/>
              </w:rPr>
            </w:pPr>
          </w:p>
        </w:tc>
      </w:tr>
      <w:tr>
        <w:trPr>
          <w:trHeight w:val="196"/>
        </w:trPr>
        <w:tc>
          <w:tcPr>
            <w:tcW w:w="1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Total</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59,799</w:t>
            </w:r>
          </w:p>
        </w:tc>
        <w:tc>
          <w:tcPr>
            <w:tcW w:w="1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58,379</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center"/>
              <w:ind w:left="113"/>
              <w:spacing w:after="0"/>
              <w:rPr>
                <w:sz w:val="20"/>
                <w:szCs w:val="20"/>
                <w:color w:val="auto"/>
              </w:rPr>
            </w:pPr>
            <w:r>
              <w:rPr>
                <w:rFonts w:ascii="Arial" w:cs="Arial" w:eastAsia="Arial" w:hAnsi="Arial"/>
                <w:sz w:val="13"/>
                <w:szCs w:val="13"/>
                <w:color w:val="auto"/>
                <w:w w:val="92"/>
              </w:rPr>
              <w:t>3.19%</w:t>
            </w:r>
          </w:p>
        </w:tc>
        <w:tc>
          <w:tcPr>
            <w:tcW w:w="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center"/>
              <w:ind w:left="353"/>
              <w:spacing w:after="0"/>
              <w:rPr>
                <w:sz w:val="20"/>
                <w:szCs w:val="20"/>
                <w:color w:val="auto"/>
              </w:rPr>
            </w:pPr>
            <w:r>
              <w:rPr>
                <w:rFonts w:ascii="Arial" w:cs="Arial" w:eastAsia="Arial" w:hAnsi="Arial"/>
                <w:sz w:val="13"/>
                <w:szCs w:val="13"/>
                <w:color w:val="auto"/>
                <w:w w:val="92"/>
              </w:rPr>
              <w:t>2.42%</w:t>
            </w: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66,414</w:t>
            </w:r>
          </w:p>
        </w:tc>
        <w:tc>
          <w:tcPr>
            <w:tcW w:w="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63,701</w:t>
            </w:r>
          </w:p>
        </w:tc>
        <w:tc>
          <w:tcPr>
            <w:tcW w:w="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center"/>
              <w:ind w:left="353"/>
              <w:spacing w:after="0"/>
              <w:rPr>
                <w:sz w:val="20"/>
                <w:szCs w:val="20"/>
                <w:color w:val="auto"/>
              </w:rPr>
            </w:pPr>
            <w:r>
              <w:rPr>
                <w:rFonts w:ascii="Arial" w:cs="Arial" w:eastAsia="Arial" w:hAnsi="Arial"/>
                <w:sz w:val="13"/>
                <w:szCs w:val="13"/>
                <w:color w:val="auto"/>
                <w:w w:val="97"/>
              </w:rPr>
              <w:t>3.39%</w:t>
            </w:r>
          </w:p>
        </w:tc>
        <w:tc>
          <w:tcPr>
            <w:tcW w:w="10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2.33</w:t>
            </w:r>
          </w:p>
        </w:tc>
        <w:tc>
          <w:tcPr>
            <w:tcW w:w="0" w:type="dxa"/>
            <w:vAlign w:val="bottom"/>
          </w:tcPr>
          <w:p>
            <w:pPr>
              <w:spacing w:after="0"/>
              <w:rPr>
                <w:sz w:val="1"/>
                <w:szCs w:val="1"/>
                <w:color w:val="auto"/>
              </w:rPr>
            </w:pPr>
          </w:p>
        </w:tc>
      </w:tr>
      <w:tr>
        <w:trPr>
          <w:trHeight w:val="20"/>
        </w:trPr>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Gains and Losses on Sale of Investment Securities</w:t>
      </w:r>
    </w:p>
    <w:p>
      <w:pPr>
        <w:spacing w:after="0" w:line="154" w:lineRule="exact"/>
        <w:rPr>
          <w:sz w:val="20"/>
          <w:szCs w:val="20"/>
          <w:color w:val="auto"/>
        </w:rPr>
      </w:pPr>
    </w:p>
    <w:p>
      <w:pPr>
        <w:ind w:right="100" w:firstLine="450"/>
        <w:spacing w:after="0" w:line="266" w:lineRule="auto"/>
        <w:rPr>
          <w:sz w:val="20"/>
          <w:szCs w:val="20"/>
          <w:color w:val="auto"/>
        </w:rPr>
      </w:pPr>
      <w:r>
        <w:rPr>
          <w:rFonts w:ascii="Arial" w:cs="Arial" w:eastAsia="Arial" w:hAnsi="Arial"/>
          <w:sz w:val="17"/>
          <w:szCs w:val="17"/>
          <w:color w:val="auto"/>
        </w:rPr>
        <w:t>The following table is a summary of our net gain (loss) from the sale of investment securities for the three and six months ended June 30, 2021 and 2020 by investment classification of accounting (in millions):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40" w:type="dxa"/>
            <w:vAlign w:val="bottom"/>
            <w:gridSpan w:val="6"/>
          </w:tcPr>
          <w:p>
            <w:pPr>
              <w:jc w:val="center"/>
              <w:ind w:right="100"/>
              <w:spacing w:after="0"/>
              <w:rPr>
                <w:sz w:val="20"/>
                <w:szCs w:val="20"/>
                <w:color w:val="auto"/>
              </w:rPr>
            </w:pPr>
            <w:r>
              <w:rPr>
                <w:rFonts w:ascii="Arial" w:cs="Arial" w:eastAsia="Arial" w:hAnsi="Arial"/>
                <w:sz w:val="13"/>
                <w:szCs w:val="13"/>
                <w:b w:val="1"/>
                <w:bCs w:val="1"/>
                <w:color w:val="auto"/>
                <w:w w:val="93"/>
              </w:rPr>
              <w:t>Three Months Ended June 30,</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76"/>
              <w:spacing w:after="0"/>
              <w:rPr>
                <w:sz w:val="20"/>
                <w:szCs w:val="20"/>
                <w:color w:val="auto"/>
              </w:rPr>
            </w:pPr>
            <w:r>
              <w:rPr>
                <w:rFonts w:ascii="Arial" w:cs="Arial" w:eastAsia="Arial" w:hAnsi="Arial"/>
                <w:sz w:val="13"/>
                <w:szCs w:val="13"/>
                <w:b w:val="1"/>
                <w:bCs w:val="1"/>
                <w:color w:val="auto"/>
                <w:w w:val="96"/>
              </w:rPr>
              <w:t>2021</w:t>
            </w: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56"/>
              <w:spacing w:after="0"/>
              <w:rPr>
                <w:sz w:val="20"/>
                <w:szCs w:val="20"/>
                <w:color w:val="auto"/>
              </w:rPr>
            </w:pPr>
            <w:r>
              <w:rPr>
                <w:rFonts w:ascii="Arial" w:cs="Arial" w:eastAsia="Arial" w:hAnsi="Arial"/>
                <w:sz w:val="13"/>
                <w:szCs w:val="13"/>
                <w:b w:val="1"/>
                <w:bCs w:val="1"/>
                <w:color w:val="auto"/>
                <w:w w:val="89"/>
              </w:rPr>
              <w:t>2020</w:t>
            </w: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0"/>
        </w:trPr>
        <w:tc>
          <w:tcPr>
            <w:tcW w:w="5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tcPr>
          <w:p>
            <w:pPr>
              <w:jc w:val="center"/>
              <w:ind w:right="180"/>
              <w:spacing w:after="0" w:line="110" w:lineRule="exact"/>
              <w:rPr>
                <w:sz w:val="20"/>
                <w:szCs w:val="20"/>
                <w:color w:val="auto"/>
              </w:rPr>
            </w:pPr>
            <w:r>
              <w:rPr>
                <w:rFonts w:ascii="Arial" w:cs="Arial" w:eastAsia="Arial" w:hAnsi="Arial"/>
                <w:sz w:val="12"/>
                <w:szCs w:val="12"/>
                <w:b w:val="1"/>
                <w:bCs w:val="1"/>
                <w:color w:val="auto"/>
                <w:w w:val="88"/>
              </w:rPr>
              <w:t>Available-for-</w:t>
            </w:r>
          </w:p>
        </w:tc>
        <w:tc>
          <w:tcPr>
            <w:tcW w:w="140" w:type="dxa"/>
            <w:vAlign w:val="bottom"/>
          </w:tcPr>
          <w:p>
            <w:pPr>
              <w:spacing w:after="0"/>
              <w:rPr>
                <w:sz w:val="9"/>
                <w:szCs w:val="9"/>
                <w:color w:val="auto"/>
              </w:rPr>
            </w:pPr>
          </w:p>
        </w:tc>
        <w:tc>
          <w:tcPr>
            <w:tcW w:w="820" w:type="dxa"/>
            <w:vAlign w:val="bottom"/>
            <w:gridSpan w:val="2"/>
          </w:tcPr>
          <w:p>
            <w:pPr>
              <w:jc w:val="center"/>
              <w:ind w:right="220"/>
              <w:spacing w:after="0" w:line="110" w:lineRule="exact"/>
              <w:rPr>
                <w:sz w:val="20"/>
                <w:szCs w:val="20"/>
                <w:color w:val="auto"/>
              </w:rPr>
            </w:pPr>
            <w:r>
              <w:rPr>
                <w:rFonts w:ascii="Arial" w:cs="Arial" w:eastAsia="Arial" w:hAnsi="Arial"/>
                <w:sz w:val="12"/>
                <w:szCs w:val="12"/>
                <w:b w:val="1"/>
                <w:bCs w:val="1"/>
                <w:color w:val="auto"/>
                <w:w w:val="90"/>
              </w:rPr>
              <w:t>Fair Value</w:t>
            </w: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2"/>
          </w:tcPr>
          <w:p>
            <w:pPr>
              <w:jc w:val="center"/>
              <w:ind w:right="200"/>
              <w:spacing w:after="0" w:line="110" w:lineRule="exact"/>
              <w:rPr>
                <w:sz w:val="20"/>
                <w:szCs w:val="20"/>
                <w:color w:val="auto"/>
              </w:rPr>
            </w:pPr>
            <w:r>
              <w:rPr>
                <w:rFonts w:ascii="Arial" w:cs="Arial" w:eastAsia="Arial" w:hAnsi="Arial"/>
                <w:sz w:val="12"/>
                <w:szCs w:val="12"/>
                <w:b w:val="1"/>
                <w:bCs w:val="1"/>
                <w:color w:val="auto"/>
                <w:w w:val="88"/>
              </w:rPr>
              <w:t>Available-for-</w:t>
            </w:r>
          </w:p>
        </w:tc>
        <w:tc>
          <w:tcPr>
            <w:tcW w:w="120" w:type="dxa"/>
            <w:vAlign w:val="bottom"/>
          </w:tcPr>
          <w:p>
            <w:pPr>
              <w:spacing w:after="0"/>
              <w:rPr>
                <w:sz w:val="9"/>
                <w:szCs w:val="9"/>
                <w:color w:val="auto"/>
              </w:rPr>
            </w:pPr>
          </w:p>
        </w:tc>
        <w:tc>
          <w:tcPr>
            <w:tcW w:w="840" w:type="dxa"/>
            <w:vAlign w:val="bottom"/>
            <w:gridSpan w:val="2"/>
          </w:tcPr>
          <w:p>
            <w:pPr>
              <w:jc w:val="center"/>
              <w:ind w:right="220"/>
              <w:spacing w:after="0" w:line="110" w:lineRule="exact"/>
              <w:rPr>
                <w:sz w:val="20"/>
                <w:szCs w:val="20"/>
                <w:color w:val="auto"/>
              </w:rPr>
            </w:pPr>
            <w:r>
              <w:rPr>
                <w:rFonts w:ascii="Arial" w:cs="Arial" w:eastAsia="Arial" w:hAnsi="Arial"/>
                <w:sz w:val="12"/>
                <w:szCs w:val="12"/>
                <w:b w:val="1"/>
                <w:bCs w:val="1"/>
                <w:color w:val="auto"/>
                <w:w w:val="94"/>
              </w:rPr>
              <w:t>Fair Value</w:t>
            </w: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55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Investment Securities</w:t>
            </w:r>
          </w:p>
        </w:tc>
        <w:tc>
          <w:tcPr>
            <w:tcW w:w="100" w:type="dxa"/>
            <w:vAlign w:val="bottom"/>
          </w:tcPr>
          <w:p>
            <w:pPr>
              <w:spacing w:after="0"/>
              <w:rPr>
                <w:sz w:val="9"/>
                <w:szCs w:val="9"/>
                <w:color w:val="auto"/>
              </w:rPr>
            </w:pPr>
          </w:p>
        </w:tc>
        <w:tc>
          <w:tcPr>
            <w:tcW w:w="860" w:type="dxa"/>
            <w:vAlign w:val="bottom"/>
            <w:gridSpan w:val="2"/>
          </w:tcPr>
          <w:p>
            <w:pPr>
              <w:jc w:val="center"/>
              <w:ind w:right="180"/>
              <w:spacing w:after="0" w:line="113" w:lineRule="exact"/>
              <w:rPr>
                <w:sz w:val="20"/>
                <w:szCs w:val="20"/>
                <w:color w:val="auto"/>
              </w:rPr>
            </w:pPr>
            <w:r>
              <w:rPr>
                <w:rFonts w:ascii="Arial" w:cs="Arial" w:eastAsia="Arial" w:hAnsi="Arial"/>
                <w:sz w:val="12"/>
                <w:szCs w:val="12"/>
                <w:b w:val="1"/>
                <w:bCs w:val="1"/>
                <w:color w:val="auto"/>
                <w:w w:val="80"/>
              </w:rPr>
              <w:t>Sale</w:t>
            </w:r>
          </w:p>
        </w:tc>
        <w:tc>
          <w:tcPr>
            <w:tcW w:w="140" w:type="dxa"/>
            <w:vAlign w:val="bottom"/>
          </w:tcPr>
          <w:p>
            <w:pPr>
              <w:spacing w:after="0"/>
              <w:rPr>
                <w:sz w:val="9"/>
                <w:szCs w:val="9"/>
                <w:color w:val="auto"/>
              </w:rPr>
            </w:pPr>
          </w:p>
        </w:tc>
        <w:tc>
          <w:tcPr>
            <w:tcW w:w="820" w:type="dxa"/>
            <w:vAlign w:val="bottom"/>
            <w:gridSpan w:val="2"/>
          </w:tcPr>
          <w:p>
            <w:pPr>
              <w:jc w:val="center"/>
              <w:ind w:right="220"/>
              <w:spacing w:after="0" w:line="113" w:lineRule="exact"/>
              <w:rPr>
                <w:sz w:val="20"/>
                <w:szCs w:val="20"/>
                <w:color w:val="auto"/>
              </w:rPr>
            </w:pPr>
            <w:r>
              <w:rPr>
                <w:rFonts w:ascii="Arial" w:cs="Arial" w:eastAsia="Arial" w:hAnsi="Arial"/>
                <w:sz w:val="12"/>
                <w:szCs w:val="12"/>
                <w:b w:val="1"/>
                <w:bCs w:val="1"/>
                <w:color w:val="auto"/>
                <w:w w:val="92"/>
              </w:rPr>
              <w:t>Option</w:t>
            </w:r>
          </w:p>
        </w:tc>
        <w:tc>
          <w:tcPr>
            <w:tcW w:w="120" w:type="dxa"/>
            <w:vAlign w:val="bottom"/>
          </w:tcPr>
          <w:p>
            <w:pPr>
              <w:spacing w:after="0"/>
              <w:rPr>
                <w:sz w:val="9"/>
                <w:szCs w:val="9"/>
                <w:color w:val="auto"/>
              </w:rPr>
            </w:pPr>
          </w:p>
        </w:tc>
        <w:tc>
          <w:tcPr>
            <w:tcW w:w="840" w:type="dxa"/>
            <w:vAlign w:val="bottom"/>
            <w:gridSpan w:val="2"/>
            <w:vMerge w:val="restart"/>
          </w:tcPr>
          <w:p>
            <w:pPr>
              <w:ind w:left="200"/>
              <w:spacing w:after="0"/>
              <w:rPr>
                <w:sz w:val="20"/>
                <w:szCs w:val="20"/>
                <w:color w:val="auto"/>
              </w:rPr>
            </w:pPr>
            <w:r>
              <w:rPr>
                <w:rFonts w:ascii="Arial" w:cs="Arial" w:eastAsia="Arial" w:hAnsi="Arial"/>
                <w:sz w:val="12"/>
                <w:szCs w:val="12"/>
                <w:b w:val="1"/>
                <w:bCs w:val="1"/>
                <w:color w:val="auto"/>
              </w:rPr>
              <w:t>Total</w:t>
            </w:r>
          </w:p>
        </w:tc>
        <w:tc>
          <w:tcPr>
            <w:tcW w:w="100" w:type="dxa"/>
            <w:vAlign w:val="bottom"/>
          </w:tcPr>
          <w:p>
            <w:pPr>
              <w:spacing w:after="0"/>
              <w:rPr>
                <w:sz w:val="9"/>
                <w:szCs w:val="9"/>
                <w:color w:val="auto"/>
              </w:rPr>
            </w:pPr>
          </w:p>
        </w:tc>
        <w:tc>
          <w:tcPr>
            <w:tcW w:w="880" w:type="dxa"/>
            <w:vAlign w:val="bottom"/>
            <w:gridSpan w:val="2"/>
          </w:tcPr>
          <w:p>
            <w:pPr>
              <w:jc w:val="center"/>
              <w:ind w:right="200"/>
              <w:spacing w:after="0" w:line="113" w:lineRule="exact"/>
              <w:rPr>
                <w:sz w:val="20"/>
                <w:szCs w:val="20"/>
                <w:color w:val="auto"/>
              </w:rPr>
            </w:pPr>
            <w:r>
              <w:rPr>
                <w:rFonts w:ascii="Arial" w:cs="Arial" w:eastAsia="Arial" w:hAnsi="Arial"/>
                <w:sz w:val="12"/>
                <w:szCs w:val="12"/>
                <w:b w:val="1"/>
                <w:bCs w:val="1"/>
                <w:color w:val="auto"/>
                <w:w w:val="80"/>
              </w:rPr>
              <w:t>Sale</w:t>
            </w:r>
          </w:p>
        </w:tc>
        <w:tc>
          <w:tcPr>
            <w:tcW w:w="120" w:type="dxa"/>
            <w:vAlign w:val="bottom"/>
          </w:tcPr>
          <w:p>
            <w:pPr>
              <w:spacing w:after="0"/>
              <w:rPr>
                <w:sz w:val="9"/>
                <w:szCs w:val="9"/>
                <w:color w:val="auto"/>
              </w:rPr>
            </w:pPr>
          </w:p>
        </w:tc>
        <w:tc>
          <w:tcPr>
            <w:tcW w:w="840" w:type="dxa"/>
            <w:vAlign w:val="bottom"/>
            <w:gridSpan w:val="2"/>
          </w:tcPr>
          <w:p>
            <w:pPr>
              <w:jc w:val="center"/>
              <w:ind w:right="220"/>
              <w:spacing w:after="0" w:line="113" w:lineRule="exact"/>
              <w:rPr>
                <w:sz w:val="20"/>
                <w:szCs w:val="20"/>
                <w:color w:val="auto"/>
              </w:rPr>
            </w:pPr>
            <w:r>
              <w:rPr>
                <w:rFonts w:ascii="Arial" w:cs="Arial" w:eastAsia="Arial" w:hAnsi="Arial"/>
                <w:sz w:val="12"/>
                <w:szCs w:val="12"/>
                <w:b w:val="1"/>
                <w:bCs w:val="1"/>
                <w:color w:val="auto"/>
                <w:w w:val="87"/>
              </w:rPr>
              <w:t>Option</w:t>
            </w:r>
          </w:p>
        </w:tc>
        <w:tc>
          <w:tcPr>
            <w:tcW w:w="180" w:type="dxa"/>
            <w:vAlign w:val="bottom"/>
          </w:tcPr>
          <w:p>
            <w:pPr>
              <w:spacing w:after="0"/>
              <w:rPr>
                <w:sz w:val="9"/>
                <w:szCs w:val="9"/>
                <w:color w:val="auto"/>
              </w:rPr>
            </w:pPr>
          </w:p>
        </w:tc>
        <w:tc>
          <w:tcPr>
            <w:tcW w:w="680" w:type="dxa"/>
            <w:vAlign w:val="bottom"/>
            <w:vMerge w:val="restart"/>
          </w:tcPr>
          <w:p>
            <w:pPr>
              <w:jc w:val="right"/>
              <w:ind w:right="235"/>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62"/>
        </w:trPr>
        <w:tc>
          <w:tcPr>
            <w:tcW w:w="55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180"/>
              <w:spacing w:after="0" w:line="163" w:lineRule="exact"/>
              <w:rPr>
                <w:sz w:val="20"/>
                <w:szCs w:val="20"/>
                <w:color w:val="auto"/>
              </w:rPr>
            </w:pPr>
            <w:r>
              <w:rPr>
                <w:rFonts w:ascii="Arial" w:cs="Arial" w:eastAsia="Arial" w:hAnsi="Arial"/>
                <w:sz w:val="12"/>
                <w:szCs w:val="12"/>
                <w:b w:val="1"/>
                <w:bCs w:val="1"/>
                <w:color w:val="auto"/>
                <w:w w:val="84"/>
              </w:rPr>
              <w:t xml:space="preserve">Securities </w:t>
            </w:r>
            <w:r>
              <w:rPr>
                <w:rFonts w:ascii="Arial" w:cs="Arial" w:eastAsia="Arial" w:hAnsi="Arial"/>
                <w:sz w:val="15"/>
                <w:szCs w:val="15"/>
                <w:b w:val="1"/>
                <w:bCs w:val="1"/>
                <w:color w:val="auto"/>
                <w:w w:val="84"/>
                <w:vertAlign w:val="superscript"/>
              </w:rPr>
              <w:t>2</w:t>
            </w:r>
          </w:p>
        </w:tc>
        <w:tc>
          <w:tcPr>
            <w:tcW w:w="140" w:type="dxa"/>
            <w:vAlign w:val="bottom"/>
          </w:tcPr>
          <w:p>
            <w:pPr>
              <w:spacing w:after="0"/>
              <w:rPr>
                <w:sz w:val="14"/>
                <w:szCs w:val="14"/>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3"/>
              </w:rPr>
              <w:t>Securities</w:t>
            </w:r>
          </w:p>
        </w:tc>
        <w:tc>
          <w:tcPr>
            <w:tcW w:w="1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00"/>
              <w:spacing w:after="0" w:line="163" w:lineRule="exact"/>
              <w:rPr>
                <w:sz w:val="20"/>
                <w:szCs w:val="20"/>
                <w:color w:val="auto"/>
              </w:rPr>
            </w:pPr>
            <w:r>
              <w:rPr>
                <w:rFonts w:ascii="Arial" w:cs="Arial" w:eastAsia="Arial" w:hAnsi="Arial"/>
                <w:sz w:val="12"/>
                <w:szCs w:val="12"/>
                <w:b w:val="1"/>
                <w:bCs w:val="1"/>
                <w:color w:val="auto"/>
                <w:w w:val="84"/>
              </w:rPr>
              <w:t xml:space="preserve">Securities </w:t>
            </w:r>
            <w:r>
              <w:rPr>
                <w:rFonts w:ascii="Arial" w:cs="Arial" w:eastAsia="Arial" w:hAnsi="Arial"/>
                <w:sz w:val="15"/>
                <w:szCs w:val="15"/>
                <w:b w:val="1"/>
                <w:bCs w:val="1"/>
                <w:color w:val="auto"/>
                <w:w w:val="84"/>
                <w:vertAlign w:val="superscript"/>
              </w:rPr>
              <w:t>2</w:t>
            </w:r>
          </w:p>
        </w:tc>
        <w:tc>
          <w:tcPr>
            <w:tcW w:w="12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7"/>
              </w:rPr>
              <w:t>Securities</w:t>
            </w:r>
          </w:p>
        </w:tc>
        <w:tc>
          <w:tcPr>
            <w:tcW w:w="1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548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Investment securities sold, at cost</w:t>
            </w:r>
          </w:p>
        </w:tc>
        <w:tc>
          <w:tcPr>
            <w:tcW w:w="8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(4,151)</w:t>
            </w:r>
          </w:p>
        </w:tc>
        <w:tc>
          <w:tcPr>
            <w:tcW w:w="8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(8,659)</w:t>
            </w:r>
          </w:p>
        </w:tc>
        <w:tc>
          <w:tcPr>
            <w:tcW w:w="8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(12,810)</w:t>
            </w:r>
          </w:p>
        </w:tc>
        <w:tc>
          <w:tcPr>
            <w:tcW w:w="8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(1,278)</w:t>
            </w:r>
          </w:p>
        </w:tc>
        <w:tc>
          <w:tcPr>
            <w:tcW w:w="10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(4,472)</w:t>
            </w:r>
          </w:p>
        </w:tc>
        <w:tc>
          <w:tcPr>
            <w:tcW w:w="100" w:type="dxa"/>
            <w:vAlign w:val="bottom"/>
          </w:tcPr>
          <w:p>
            <w:pPr>
              <w:spacing w:after="0"/>
              <w:rPr>
                <w:sz w:val="14"/>
                <w:szCs w:val="14"/>
                <w:color w:val="auto"/>
              </w:rPr>
            </w:pPr>
          </w:p>
        </w:tc>
        <w:tc>
          <w:tcPr>
            <w:tcW w:w="180" w:type="dxa"/>
            <w:vAlign w:val="bottom"/>
            <w:tcBorders>
              <w:top w:val="single" w:sz="8" w:color="auto"/>
            </w:tcBorders>
          </w:tcPr>
          <w:p>
            <w:pPr>
              <w:jc w:val="right"/>
              <w:ind w:right="33"/>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(5,750)</w:t>
            </w:r>
          </w:p>
        </w:tc>
        <w:tc>
          <w:tcPr>
            <w:tcW w:w="0" w:type="dxa"/>
            <w:vAlign w:val="bottom"/>
          </w:tcPr>
          <w:p>
            <w:pPr>
              <w:spacing w:after="0"/>
              <w:rPr>
                <w:sz w:val="1"/>
                <w:szCs w:val="1"/>
                <w:color w:val="auto"/>
              </w:rPr>
            </w:pPr>
          </w:p>
        </w:tc>
      </w:tr>
      <w:tr>
        <w:trPr>
          <w:trHeight w:val="178"/>
        </w:trPr>
        <w:tc>
          <w:tcPr>
            <w:tcW w:w="5560" w:type="dxa"/>
            <w:vAlign w:val="bottom"/>
            <w:gridSpan w:val="2"/>
            <w:shd w:val="clear" w:color="auto" w:fill="CCEEFF"/>
          </w:tcPr>
          <w:p>
            <w:pPr>
              <w:ind w:left="20"/>
              <w:spacing w:after="0" w:line="178" w:lineRule="exact"/>
              <w:rPr>
                <w:sz w:val="20"/>
                <w:szCs w:val="20"/>
                <w:color w:val="auto"/>
              </w:rPr>
            </w:pPr>
            <w:r>
              <w:rPr>
                <w:rFonts w:ascii="Arial" w:cs="Arial" w:eastAsia="Arial" w:hAnsi="Arial"/>
                <w:sz w:val="13"/>
                <w:szCs w:val="13"/>
                <w:color w:val="auto"/>
              </w:rPr>
              <w:t xml:space="preserve">Proceeds from investment securities sold </w:t>
            </w:r>
            <w:r>
              <w:rPr>
                <w:rFonts w:ascii="Arial" w:cs="Arial" w:eastAsia="Arial" w:hAnsi="Arial"/>
                <w:sz w:val="17"/>
                <w:szCs w:val="17"/>
                <w:color w:val="auto"/>
                <w:vertAlign w:val="superscript"/>
              </w:rPr>
              <w:t>1</w:t>
            </w:r>
          </w:p>
        </w:tc>
        <w:tc>
          <w:tcPr>
            <w:tcW w:w="10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4,165</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8,670</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12,835</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1,317</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4,586</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5,903</w:t>
            </w:r>
          </w:p>
        </w:tc>
        <w:tc>
          <w:tcPr>
            <w:tcW w:w="0" w:type="dxa"/>
            <w:vAlign w:val="bottom"/>
          </w:tcPr>
          <w:p>
            <w:pPr>
              <w:spacing w:after="0"/>
              <w:rPr>
                <w:sz w:val="1"/>
                <w:szCs w:val="1"/>
                <w:color w:val="auto"/>
              </w:rPr>
            </w:pPr>
          </w:p>
        </w:tc>
      </w:tr>
      <w:tr>
        <w:trPr>
          <w:trHeight w:val="167"/>
        </w:trPr>
        <w:tc>
          <w:tcPr>
            <w:tcW w:w="5560" w:type="dxa"/>
            <w:vAlign w:val="bottom"/>
            <w:gridSpan w:val="2"/>
          </w:tcPr>
          <w:p>
            <w:pPr>
              <w:ind w:left="20"/>
              <w:spacing w:after="0"/>
              <w:rPr>
                <w:sz w:val="20"/>
                <w:szCs w:val="20"/>
                <w:color w:val="auto"/>
              </w:rPr>
            </w:pPr>
            <w:r>
              <w:rPr>
                <w:rFonts w:ascii="Arial" w:cs="Arial" w:eastAsia="Arial" w:hAnsi="Arial"/>
                <w:sz w:val="13"/>
                <w:szCs w:val="13"/>
                <w:color w:val="auto"/>
              </w:rPr>
              <w:t>Net gain (loss) on sale of investment securities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w:t>
            </w:r>
          </w:p>
        </w:tc>
        <w:tc>
          <w:tcPr>
            <w:tcW w:w="8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w:t>
            </w:r>
          </w:p>
        </w:tc>
        <w:tc>
          <w:tcPr>
            <w:tcW w:w="8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w:t>
            </w:r>
          </w:p>
        </w:tc>
        <w:tc>
          <w:tcPr>
            <w:tcW w:w="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w:t>
            </w:r>
          </w:p>
        </w:tc>
        <w:tc>
          <w:tcPr>
            <w:tcW w:w="1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114</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153</w:t>
            </w:r>
          </w:p>
        </w:tc>
        <w:tc>
          <w:tcPr>
            <w:tcW w:w="0" w:type="dxa"/>
            <w:vAlign w:val="bottom"/>
          </w:tcPr>
          <w:p>
            <w:pPr>
              <w:spacing w:after="0"/>
              <w:rPr>
                <w:sz w:val="1"/>
                <w:szCs w:val="1"/>
                <w:color w:val="auto"/>
              </w:rPr>
            </w:pP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5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560" w:type="dxa"/>
            <w:vAlign w:val="bottom"/>
            <w:gridSpan w:val="2"/>
          </w:tcPr>
          <w:p>
            <w:pPr>
              <w:ind w:left="20"/>
              <w:spacing w:after="0"/>
              <w:rPr>
                <w:sz w:val="20"/>
                <w:szCs w:val="20"/>
                <w:color w:val="auto"/>
              </w:rPr>
            </w:pPr>
            <w:r>
              <w:rPr>
                <w:rFonts w:ascii="Arial" w:cs="Arial" w:eastAsia="Arial" w:hAnsi="Arial"/>
                <w:sz w:val="13"/>
                <w:szCs w:val="13"/>
                <w:color w:val="auto"/>
              </w:rPr>
              <w:t>Gross gain on sale of investment securities</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14</w:t>
            </w:r>
          </w:p>
        </w:tc>
        <w:tc>
          <w:tcPr>
            <w:tcW w:w="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48</w:t>
            </w: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62</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39</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129</w:t>
            </w:r>
          </w:p>
        </w:tc>
        <w:tc>
          <w:tcPr>
            <w:tcW w:w="100" w:type="dxa"/>
            <w:vAlign w:val="bottom"/>
          </w:tcPr>
          <w:p>
            <w:pPr>
              <w:spacing w:after="0"/>
              <w:rPr>
                <w:sz w:val="14"/>
                <w:szCs w:val="14"/>
                <w:color w:val="auto"/>
              </w:rPr>
            </w:pPr>
          </w:p>
        </w:tc>
        <w:tc>
          <w:tcPr>
            <w:tcW w:w="180" w:type="dxa"/>
            <w:vAlign w:val="bottom"/>
          </w:tcPr>
          <w:p>
            <w:pPr>
              <w:jc w:val="right"/>
              <w:ind w:right="33"/>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168</w:t>
            </w:r>
          </w:p>
        </w:tc>
        <w:tc>
          <w:tcPr>
            <w:tcW w:w="0" w:type="dxa"/>
            <w:vAlign w:val="bottom"/>
          </w:tcPr>
          <w:p>
            <w:pPr>
              <w:spacing w:after="0"/>
              <w:rPr>
                <w:sz w:val="1"/>
                <w:szCs w:val="1"/>
                <w:color w:val="auto"/>
              </w:rPr>
            </w:pPr>
          </w:p>
        </w:tc>
      </w:tr>
      <w:tr>
        <w:trPr>
          <w:trHeight w:val="175"/>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Gross loss on sale of investment securities</w:t>
            </w:r>
          </w:p>
        </w:tc>
        <w:tc>
          <w:tcPr>
            <w:tcW w:w="1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71"/>
        </w:trPr>
        <w:tc>
          <w:tcPr>
            <w:tcW w:w="5560" w:type="dxa"/>
            <w:vAlign w:val="bottom"/>
            <w:gridSpan w:val="2"/>
          </w:tcPr>
          <w:p>
            <w:pPr>
              <w:ind w:left="20"/>
              <w:spacing w:after="0"/>
              <w:rPr>
                <w:sz w:val="20"/>
                <w:szCs w:val="20"/>
                <w:color w:val="auto"/>
              </w:rPr>
            </w:pPr>
            <w:r>
              <w:rPr>
                <w:rFonts w:ascii="Arial" w:cs="Arial" w:eastAsia="Arial" w:hAnsi="Arial"/>
                <w:sz w:val="13"/>
                <w:szCs w:val="13"/>
                <w:color w:val="auto"/>
              </w:rPr>
              <w:t>Net gain (loss) on sale of investment securities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14</w:t>
            </w: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25</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39</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114</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153</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7"/>
        </w:trPr>
        <w:tc>
          <w:tcPr>
            <w:tcW w:w="5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20" w:type="dxa"/>
            <w:vAlign w:val="bottom"/>
            <w:gridSpan w:val="5"/>
          </w:tcPr>
          <w:p>
            <w:pPr>
              <w:jc w:val="center"/>
              <w:ind w:right="220"/>
              <w:spacing w:after="0"/>
              <w:rPr>
                <w:sz w:val="20"/>
                <w:szCs w:val="20"/>
                <w:color w:val="auto"/>
              </w:rPr>
            </w:pPr>
            <w:r>
              <w:rPr>
                <w:rFonts w:ascii="Arial" w:cs="Arial" w:eastAsia="Arial" w:hAnsi="Arial"/>
                <w:sz w:val="13"/>
                <w:szCs w:val="13"/>
                <w:b w:val="1"/>
                <w:bCs w:val="1"/>
                <w:color w:val="auto"/>
                <w:w w:val="92"/>
              </w:rPr>
              <w:t>Six Months Ended June 30,</w:t>
            </w: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0"/>
        </w:trPr>
        <w:tc>
          <w:tcPr>
            <w:tcW w:w="5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76"/>
              <w:spacing w:after="0"/>
              <w:rPr>
                <w:sz w:val="20"/>
                <w:szCs w:val="20"/>
                <w:color w:val="auto"/>
              </w:rPr>
            </w:pPr>
            <w:r>
              <w:rPr>
                <w:rFonts w:ascii="Arial" w:cs="Arial" w:eastAsia="Arial" w:hAnsi="Arial"/>
                <w:sz w:val="13"/>
                <w:szCs w:val="13"/>
                <w:b w:val="1"/>
                <w:bCs w:val="1"/>
                <w:color w:val="auto"/>
                <w:w w:val="96"/>
              </w:rPr>
              <w:t>2021</w:t>
            </w: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56"/>
              <w:spacing w:after="0"/>
              <w:rPr>
                <w:sz w:val="20"/>
                <w:szCs w:val="20"/>
                <w:color w:val="auto"/>
              </w:rPr>
            </w:pPr>
            <w:r>
              <w:rPr>
                <w:rFonts w:ascii="Arial" w:cs="Arial" w:eastAsia="Arial" w:hAnsi="Arial"/>
                <w:sz w:val="13"/>
                <w:szCs w:val="13"/>
                <w:b w:val="1"/>
                <w:bCs w:val="1"/>
                <w:color w:val="auto"/>
                <w:w w:val="89"/>
              </w:rPr>
              <w:t>2020</w:t>
            </w: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0"/>
        </w:trPr>
        <w:tc>
          <w:tcPr>
            <w:tcW w:w="54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tcPr>
          <w:p>
            <w:pPr>
              <w:jc w:val="center"/>
              <w:ind w:right="180"/>
              <w:spacing w:after="0" w:line="110" w:lineRule="exact"/>
              <w:rPr>
                <w:sz w:val="20"/>
                <w:szCs w:val="20"/>
                <w:color w:val="auto"/>
              </w:rPr>
            </w:pPr>
            <w:r>
              <w:rPr>
                <w:rFonts w:ascii="Arial" w:cs="Arial" w:eastAsia="Arial" w:hAnsi="Arial"/>
                <w:sz w:val="12"/>
                <w:szCs w:val="12"/>
                <w:b w:val="1"/>
                <w:bCs w:val="1"/>
                <w:color w:val="auto"/>
                <w:w w:val="88"/>
              </w:rPr>
              <w:t>Available-for-</w:t>
            </w:r>
          </w:p>
        </w:tc>
        <w:tc>
          <w:tcPr>
            <w:tcW w:w="140" w:type="dxa"/>
            <w:vAlign w:val="bottom"/>
          </w:tcPr>
          <w:p>
            <w:pPr>
              <w:spacing w:after="0"/>
              <w:rPr>
                <w:sz w:val="9"/>
                <w:szCs w:val="9"/>
                <w:color w:val="auto"/>
              </w:rPr>
            </w:pPr>
          </w:p>
        </w:tc>
        <w:tc>
          <w:tcPr>
            <w:tcW w:w="820" w:type="dxa"/>
            <w:vAlign w:val="bottom"/>
            <w:gridSpan w:val="2"/>
          </w:tcPr>
          <w:p>
            <w:pPr>
              <w:jc w:val="center"/>
              <w:ind w:right="220"/>
              <w:spacing w:after="0" w:line="110" w:lineRule="exact"/>
              <w:rPr>
                <w:sz w:val="20"/>
                <w:szCs w:val="20"/>
                <w:color w:val="auto"/>
              </w:rPr>
            </w:pPr>
            <w:r>
              <w:rPr>
                <w:rFonts w:ascii="Arial" w:cs="Arial" w:eastAsia="Arial" w:hAnsi="Arial"/>
                <w:sz w:val="12"/>
                <w:szCs w:val="12"/>
                <w:b w:val="1"/>
                <w:bCs w:val="1"/>
                <w:color w:val="auto"/>
                <w:w w:val="90"/>
              </w:rPr>
              <w:t>Fair Value</w:t>
            </w: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2"/>
          </w:tcPr>
          <w:p>
            <w:pPr>
              <w:jc w:val="center"/>
              <w:ind w:right="200"/>
              <w:spacing w:after="0" w:line="110" w:lineRule="exact"/>
              <w:rPr>
                <w:sz w:val="20"/>
                <w:szCs w:val="20"/>
                <w:color w:val="auto"/>
              </w:rPr>
            </w:pPr>
            <w:r>
              <w:rPr>
                <w:rFonts w:ascii="Arial" w:cs="Arial" w:eastAsia="Arial" w:hAnsi="Arial"/>
                <w:sz w:val="12"/>
                <w:szCs w:val="12"/>
                <w:b w:val="1"/>
                <w:bCs w:val="1"/>
                <w:color w:val="auto"/>
                <w:w w:val="88"/>
              </w:rPr>
              <w:t>Available-for-</w:t>
            </w:r>
          </w:p>
        </w:tc>
        <w:tc>
          <w:tcPr>
            <w:tcW w:w="120" w:type="dxa"/>
            <w:vAlign w:val="bottom"/>
          </w:tcPr>
          <w:p>
            <w:pPr>
              <w:spacing w:after="0"/>
              <w:rPr>
                <w:sz w:val="9"/>
                <w:szCs w:val="9"/>
                <w:color w:val="auto"/>
              </w:rPr>
            </w:pPr>
          </w:p>
        </w:tc>
        <w:tc>
          <w:tcPr>
            <w:tcW w:w="840" w:type="dxa"/>
            <w:vAlign w:val="bottom"/>
            <w:gridSpan w:val="2"/>
          </w:tcPr>
          <w:p>
            <w:pPr>
              <w:jc w:val="center"/>
              <w:ind w:right="220"/>
              <w:spacing w:after="0" w:line="110" w:lineRule="exact"/>
              <w:rPr>
                <w:sz w:val="20"/>
                <w:szCs w:val="20"/>
                <w:color w:val="auto"/>
              </w:rPr>
            </w:pPr>
            <w:r>
              <w:rPr>
                <w:rFonts w:ascii="Arial" w:cs="Arial" w:eastAsia="Arial" w:hAnsi="Arial"/>
                <w:sz w:val="12"/>
                <w:szCs w:val="12"/>
                <w:b w:val="1"/>
                <w:bCs w:val="1"/>
                <w:color w:val="auto"/>
                <w:w w:val="94"/>
              </w:rPr>
              <w:t>Fair Value</w:t>
            </w: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55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Investment Securities</w:t>
            </w:r>
          </w:p>
        </w:tc>
        <w:tc>
          <w:tcPr>
            <w:tcW w:w="100" w:type="dxa"/>
            <w:vAlign w:val="bottom"/>
          </w:tcPr>
          <w:p>
            <w:pPr>
              <w:spacing w:after="0"/>
              <w:rPr>
                <w:sz w:val="9"/>
                <w:szCs w:val="9"/>
                <w:color w:val="auto"/>
              </w:rPr>
            </w:pPr>
          </w:p>
        </w:tc>
        <w:tc>
          <w:tcPr>
            <w:tcW w:w="860" w:type="dxa"/>
            <w:vAlign w:val="bottom"/>
            <w:gridSpan w:val="2"/>
          </w:tcPr>
          <w:p>
            <w:pPr>
              <w:jc w:val="center"/>
              <w:ind w:right="180"/>
              <w:spacing w:after="0" w:line="113" w:lineRule="exact"/>
              <w:rPr>
                <w:sz w:val="20"/>
                <w:szCs w:val="20"/>
                <w:color w:val="auto"/>
              </w:rPr>
            </w:pPr>
            <w:r>
              <w:rPr>
                <w:rFonts w:ascii="Arial" w:cs="Arial" w:eastAsia="Arial" w:hAnsi="Arial"/>
                <w:sz w:val="12"/>
                <w:szCs w:val="12"/>
                <w:b w:val="1"/>
                <w:bCs w:val="1"/>
                <w:color w:val="auto"/>
                <w:w w:val="80"/>
              </w:rPr>
              <w:t>Sale</w:t>
            </w:r>
          </w:p>
        </w:tc>
        <w:tc>
          <w:tcPr>
            <w:tcW w:w="140" w:type="dxa"/>
            <w:vAlign w:val="bottom"/>
          </w:tcPr>
          <w:p>
            <w:pPr>
              <w:spacing w:after="0"/>
              <w:rPr>
                <w:sz w:val="9"/>
                <w:szCs w:val="9"/>
                <w:color w:val="auto"/>
              </w:rPr>
            </w:pPr>
          </w:p>
        </w:tc>
        <w:tc>
          <w:tcPr>
            <w:tcW w:w="820" w:type="dxa"/>
            <w:vAlign w:val="bottom"/>
            <w:gridSpan w:val="2"/>
          </w:tcPr>
          <w:p>
            <w:pPr>
              <w:jc w:val="center"/>
              <w:ind w:right="220"/>
              <w:spacing w:after="0" w:line="113" w:lineRule="exact"/>
              <w:rPr>
                <w:sz w:val="20"/>
                <w:szCs w:val="20"/>
                <w:color w:val="auto"/>
              </w:rPr>
            </w:pPr>
            <w:r>
              <w:rPr>
                <w:rFonts w:ascii="Arial" w:cs="Arial" w:eastAsia="Arial" w:hAnsi="Arial"/>
                <w:sz w:val="12"/>
                <w:szCs w:val="12"/>
                <w:b w:val="1"/>
                <w:bCs w:val="1"/>
                <w:color w:val="auto"/>
                <w:w w:val="92"/>
              </w:rPr>
              <w:t>Option</w:t>
            </w:r>
          </w:p>
        </w:tc>
        <w:tc>
          <w:tcPr>
            <w:tcW w:w="120" w:type="dxa"/>
            <w:vAlign w:val="bottom"/>
          </w:tcPr>
          <w:p>
            <w:pPr>
              <w:spacing w:after="0"/>
              <w:rPr>
                <w:sz w:val="9"/>
                <w:szCs w:val="9"/>
                <w:color w:val="auto"/>
              </w:rPr>
            </w:pPr>
          </w:p>
        </w:tc>
        <w:tc>
          <w:tcPr>
            <w:tcW w:w="840" w:type="dxa"/>
            <w:vAlign w:val="bottom"/>
            <w:gridSpan w:val="2"/>
            <w:vMerge w:val="restart"/>
          </w:tcPr>
          <w:p>
            <w:pPr>
              <w:ind w:left="200"/>
              <w:spacing w:after="0"/>
              <w:rPr>
                <w:sz w:val="20"/>
                <w:szCs w:val="20"/>
                <w:color w:val="auto"/>
              </w:rPr>
            </w:pPr>
            <w:r>
              <w:rPr>
                <w:rFonts w:ascii="Arial" w:cs="Arial" w:eastAsia="Arial" w:hAnsi="Arial"/>
                <w:sz w:val="12"/>
                <w:szCs w:val="12"/>
                <w:b w:val="1"/>
                <w:bCs w:val="1"/>
                <w:color w:val="auto"/>
              </w:rPr>
              <w:t>Total</w:t>
            </w:r>
          </w:p>
        </w:tc>
        <w:tc>
          <w:tcPr>
            <w:tcW w:w="100" w:type="dxa"/>
            <w:vAlign w:val="bottom"/>
          </w:tcPr>
          <w:p>
            <w:pPr>
              <w:spacing w:after="0"/>
              <w:rPr>
                <w:sz w:val="9"/>
                <w:szCs w:val="9"/>
                <w:color w:val="auto"/>
              </w:rPr>
            </w:pPr>
          </w:p>
        </w:tc>
        <w:tc>
          <w:tcPr>
            <w:tcW w:w="880" w:type="dxa"/>
            <w:vAlign w:val="bottom"/>
            <w:gridSpan w:val="2"/>
          </w:tcPr>
          <w:p>
            <w:pPr>
              <w:jc w:val="center"/>
              <w:ind w:right="200"/>
              <w:spacing w:after="0" w:line="113" w:lineRule="exact"/>
              <w:rPr>
                <w:sz w:val="20"/>
                <w:szCs w:val="20"/>
                <w:color w:val="auto"/>
              </w:rPr>
            </w:pPr>
            <w:r>
              <w:rPr>
                <w:rFonts w:ascii="Arial" w:cs="Arial" w:eastAsia="Arial" w:hAnsi="Arial"/>
                <w:sz w:val="12"/>
                <w:szCs w:val="12"/>
                <w:b w:val="1"/>
                <w:bCs w:val="1"/>
                <w:color w:val="auto"/>
                <w:w w:val="80"/>
              </w:rPr>
              <w:t>Sale</w:t>
            </w:r>
          </w:p>
        </w:tc>
        <w:tc>
          <w:tcPr>
            <w:tcW w:w="120" w:type="dxa"/>
            <w:vAlign w:val="bottom"/>
          </w:tcPr>
          <w:p>
            <w:pPr>
              <w:spacing w:after="0"/>
              <w:rPr>
                <w:sz w:val="9"/>
                <w:szCs w:val="9"/>
                <w:color w:val="auto"/>
              </w:rPr>
            </w:pPr>
          </w:p>
        </w:tc>
        <w:tc>
          <w:tcPr>
            <w:tcW w:w="840" w:type="dxa"/>
            <w:vAlign w:val="bottom"/>
            <w:gridSpan w:val="2"/>
          </w:tcPr>
          <w:p>
            <w:pPr>
              <w:jc w:val="center"/>
              <w:ind w:right="220"/>
              <w:spacing w:after="0" w:line="113" w:lineRule="exact"/>
              <w:rPr>
                <w:sz w:val="20"/>
                <w:szCs w:val="20"/>
                <w:color w:val="auto"/>
              </w:rPr>
            </w:pPr>
            <w:r>
              <w:rPr>
                <w:rFonts w:ascii="Arial" w:cs="Arial" w:eastAsia="Arial" w:hAnsi="Arial"/>
                <w:sz w:val="12"/>
                <w:szCs w:val="12"/>
                <w:b w:val="1"/>
                <w:bCs w:val="1"/>
                <w:color w:val="auto"/>
                <w:w w:val="87"/>
              </w:rPr>
              <w:t>Option</w:t>
            </w:r>
          </w:p>
        </w:tc>
        <w:tc>
          <w:tcPr>
            <w:tcW w:w="180" w:type="dxa"/>
            <w:vAlign w:val="bottom"/>
          </w:tcPr>
          <w:p>
            <w:pPr>
              <w:spacing w:after="0"/>
              <w:rPr>
                <w:sz w:val="9"/>
                <w:szCs w:val="9"/>
                <w:color w:val="auto"/>
              </w:rPr>
            </w:pPr>
          </w:p>
        </w:tc>
        <w:tc>
          <w:tcPr>
            <w:tcW w:w="680" w:type="dxa"/>
            <w:vAlign w:val="bottom"/>
            <w:vMerge w:val="restart"/>
          </w:tcPr>
          <w:p>
            <w:pPr>
              <w:jc w:val="right"/>
              <w:ind w:right="235"/>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62"/>
        </w:trPr>
        <w:tc>
          <w:tcPr>
            <w:tcW w:w="55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180"/>
              <w:spacing w:after="0" w:line="163" w:lineRule="exact"/>
              <w:rPr>
                <w:sz w:val="20"/>
                <w:szCs w:val="20"/>
                <w:color w:val="auto"/>
              </w:rPr>
            </w:pPr>
            <w:r>
              <w:rPr>
                <w:rFonts w:ascii="Arial" w:cs="Arial" w:eastAsia="Arial" w:hAnsi="Arial"/>
                <w:sz w:val="12"/>
                <w:szCs w:val="12"/>
                <w:b w:val="1"/>
                <w:bCs w:val="1"/>
                <w:color w:val="auto"/>
                <w:w w:val="84"/>
              </w:rPr>
              <w:t xml:space="preserve">Securities </w:t>
            </w:r>
            <w:r>
              <w:rPr>
                <w:rFonts w:ascii="Arial" w:cs="Arial" w:eastAsia="Arial" w:hAnsi="Arial"/>
                <w:sz w:val="15"/>
                <w:szCs w:val="15"/>
                <w:b w:val="1"/>
                <w:bCs w:val="1"/>
                <w:color w:val="auto"/>
                <w:w w:val="84"/>
                <w:vertAlign w:val="superscript"/>
              </w:rPr>
              <w:t>2</w:t>
            </w:r>
          </w:p>
        </w:tc>
        <w:tc>
          <w:tcPr>
            <w:tcW w:w="140" w:type="dxa"/>
            <w:vAlign w:val="bottom"/>
          </w:tcPr>
          <w:p>
            <w:pPr>
              <w:spacing w:after="0"/>
              <w:rPr>
                <w:sz w:val="14"/>
                <w:szCs w:val="14"/>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3"/>
              </w:rPr>
              <w:t>Securities</w:t>
            </w:r>
          </w:p>
        </w:tc>
        <w:tc>
          <w:tcPr>
            <w:tcW w:w="1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00"/>
              <w:spacing w:after="0" w:line="163" w:lineRule="exact"/>
              <w:rPr>
                <w:sz w:val="20"/>
                <w:szCs w:val="20"/>
                <w:color w:val="auto"/>
              </w:rPr>
            </w:pPr>
            <w:r>
              <w:rPr>
                <w:rFonts w:ascii="Arial" w:cs="Arial" w:eastAsia="Arial" w:hAnsi="Arial"/>
                <w:sz w:val="12"/>
                <w:szCs w:val="12"/>
                <w:b w:val="1"/>
                <w:bCs w:val="1"/>
                <w:color w:val="auto"/>
                <w:w w:val="84"/>
              </w:rPr>
              <w:t xml:space="preserve">Securities </w:t>
            </w:r>
            <w:r>
              <w:rPr>
                <w:rFonts w:ascii="Arial" w:cs="Arial" w:eastAsia="Arial" w:hAnsi="Arial"/>
                <w:sz w:val="15"/>
                <w:szCs w:val="15"/>
                <w:b w:val="1"/>
                <w:bCs w:val="1"/>
                <w:color w:val="auto"/>
                <w:w w:val="84"/>
                <w:vertAlign w:val="superscript"/>
              </w:rPr>
              <w:t>2</w:t>
            </w:r>
          </w:p>
        </w:tc>
        <w:tc>
          <w:tcPr>
            <w:tcW w:w="12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7"/>
              </w:rPr>
              <w:t>Securities</w:t>
            </w:r>
          </w:p>
        </w:tc>
        <w:tc>
          <w:tcPr>
            <w:tcW w:w="1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548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Investment securities sold, at cost</w:t>
            </w:r>
          </w:p>
        </w:tc>
        <w:tc>
          <w:tcPr>
            <w:tcW w:w="8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(4,644)</w:t>
            </w:r>
          </w:p>
        </w:tc>
        <w:tc>
          <w:tcPr>
            <w:tcW w:w="8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(14,523)</w:t>
            </w:r>
          </w:p>
        </w:tc>
        <w:tc>
          <w:tcPr>
            <w:tcW w:w="8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(19,167)</w:t>
            </w:r>
          </w:p>
        </w:tc>
        <w:tc>
          <w:tcPr>
            <w:tcW w:w="8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(1,433)</w:t>
            </w:r>
          </w:p>
        </w:tc>
        <w:tc>
          <w:tcPr>
            <w:tcW w:w="10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(53,912)</w:t>
            </w:r>
          </w:p>
        </w:tc>
        <w:tc>
          <w:tcPr>
            <w:tcW w:w="100" w:type="dxa"/>
            <w:vAlign w:val="bottom"/>
          </w:tcPr>
          <w:p>
            <w:pPr>
              <w:spacing w:after="0"/>
              <w:rPr>
                <w:sz w:val="14"/>
                <w:szCs w:val="14"/>
                <w:color w:val="auto"/>
              </w:rPr>
            </w:pPr>
          </w:p>
        </w:tc>
        <w:tc>
          <w:tcPr>
            <w:tcW w:w="180" w:type="dxa"/>
            <w:vAlign w:val="bottom"/>
            <w:tcBorders>
              <w:top w:val="single" w:sz="8" w:color="auto"/>
            </w:tcBorders>
          </w:tcPr>
          <w:p>
            <w:pPr>
              <w:jc w:val="right"/>
              <w:ind w:right="33"/>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(55,345)</w:t>
            </w:r>
          </w:p>
        </w:tc>
        <w:tc>
          <w:tcPr>
            <w:tcW w:w="0" w:type="dxa"/>
            <w:vAlign w:val="bottom"/>
          </w:tcPr>
          <w:p>
            <w:pPr>
              <w:spacing w:after="0"/>
              <w:rPr>
                <w:sz w:val="1"/>
                <w:szCs w:val="1"/>
                <w:color w:val="auto"/>
              </w:rPr>
            </w:pPr>
          </w:p>
        </w:tc>
      </w:tr>
      <w:tr>
        <w:trPr>
          <w:trHeight w:val="178"/>
        </w:trPr>
        <w:tc>
          <w:tcPr>
            <w:tcW w:w="5560" w:type="dxa"/>
            <w:vAlign w:val="bottom"/>
            <w:gridSpan w:val="2"/>
            <w:shd w:val="clear" w:color="auto" w:fill="CCEEFF"/>
          </w:tcPr>
          <w:p>
            <w:pPr>
              <w:ind w:left="20"/>
              <w:spacing w:after="0" w:line="178" w:lineRule="exact"/>
              <w:rPr>
                <w:sz w:val="20"/>
                <w:szCs w:val="20"/>
                <w:color w:val="auto"/>
              </w:rPr>
            </w:pPr>
            <w:r>
              <w:rPr>
                <w:rFonts w:ascii="Arial" w:cs="Arial" w:eastAsia="Arial" w:hAnsi="Arial"/>
                <w:sz w:val="13"/>
                <w:szCs w:val="13"/>
                <w:color w:val="auto"/>
              </w:rPr>
              <w:t xml:space="preserve">Proceeds from investment securities sold </w:t>
            </w:r>
            <w:r>
              <w:rPr>
                <w:rFonts w:ascii="Arial" w:cs="Arial" w:eastAsia="Arial" w:hAnsi="Arial"/>
                <w:sz w:val="17"/>
                <w:szCs w:val="17"/>
                <w:color w:val="auto"/>
                <w:vertAlign w:val="superscript"/>
              </w:rPr>
              <w:t>1</w:t>
            </w:r>
          </w:p>
        </w:tc>
        <w:tc>
          <w:tcPr>
            <w:tcW w:w="10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4,676</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14,503</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19,179</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1,473</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54,519</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55,992</w:t>
            </w:r>
          </w:p>
        </w:tc>
        <w:tc>
          <w:tcPr>
            <w:tcW w:w="0" w:type="dxa"/>
            <w:vAlign w:val="bottom"/>
          </w:tcPr>
          <w:p>
            <w:pPr>
              <w:spacing w:after="0"/>
              <w:rPr>
                <w:sz w:val="1"/>
                <w:szCs w:val="1"/>
                <w:color w:val="auto"/>
              </w:rPr>
            </w:pPr>
          </w:p>
        </w:tc>
      </w:tr>
      <w:tr>
        <w:trPr>
          <w:trHeight w:val="167"/>
        </w:trPr>
        <w:tc>
          <w:tcPr>
            <w:tcW w:w="5560" w:type="dxa"/>
            <w:vAlign w:val="bottom"/>
            <w:gridSpan w:val="2"/>
          </w:tcPr>
          <w:p>
            <w:pPr>
              <w:ind w:left="20"/>
              <w:spacing w:after="0"/>
              <w:rPr>
                <w:sz w:val="20"/>
                <w:szCs w:val="20"/>
                <w:color w:val="auto"/>
              </w:rPr>
            </w:pPr>
            <w:r>
              <w:rPr>
                <w:rFonts w:ascii="Arial" w:cs="Arial" w:eastAsia="Arial" w:hAnsi="Arial"/>
                <w:sz w:val="13"/>
                <w:szCs w:val="13"/>
                <w:color w:val="auto"/>
              </w:rPr>
              <w:t>Net gain (loss) on sale of investment securities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w:t>
            </w:r>
          </w:p>
        </w:tc>
        <w:tc>
          <w:tcPr>
            <w:tcW w:w="8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w:t>
            </w:r>
          </w:p>
        </w:tc>
        <w:tc>
          <w:tcPr>
            <w:tcW w:w="8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w:t>
            </w:r>
          </w:p>
        </w:tc>
        <w:tc>
          <w:tcPr>
            <w:tcW w:w="80" w:type="dxa"/>
            <w:vAlign w:val="bottom"/>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w:t>
            </w:r>
          </w:p>
        </w:tc>
        <w:tc>
          <w:tcPr>
            <w:tcW w:w="1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607</w:t>
            </w:r>
          </w:p>
        </w:tc>
        <w:tc>
          <w:tcPr>
            <w:tcW w:w="100" w:type="dxa"/>
            <w:vAlign w:val="bottom"/>
          </w:tcPr>
          <w:p>
            <w:pPr>
              <w:spacing w:after="0"/>
              <w:rPr>
                <w:sz w:val="14"/>
                <w:szCs w:val="14"/>
                <w:color w:val="auto"/>
              </w:rPr>
            </w:pPr>
          </w:p>
        </w:tc>
        <w:tc>
          <w:tcPr>
            <w:tcW w:w="18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647</w:t>
            </w:r>
          </w:p>
        </w:tc>
        <w:tc>
          <w:tcPr>
            <w:tcW w:w="0" w:type="dxa"/>
            <w:vAlign w:val="bottom"/>
          </w:tcPr>
          <w:p>
            <w:pPr>
              <w:spacing w:after="0"/>
              <w:rPr>
                <w:sz w:val="1"/>
                <w:szCs w:val="1"/>
                <w:color w:val="auto"/>
              </w:rPr>
            </w:pP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5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560" w:type="dxa"/>
            <w:vAlign w:val="bottom"/>
            <w:gridSpan w:val="2"/>
          </w:tcPr>
          <w:p>
            <w:pPr>
              <w:ind w:left="20"/>
              <w:spacing w:after="0"/>
              <w:rPr>
                <w:sz w:val="20"/>
                <w:szCs w:val="20"/>
                <w:color w:val="auto"/>
              </w:rPr>
            </w:pPr>
            <w:r>
              <w:rPr>
                <w:rFonts w:ascii="Arial" w:cs="Arial" w:eastAsia="Arial" w:hAnsi="Arial"/>
                <w:sz w:val="13"/>
                <w:szCs w:val="13"/>
                <w:color w:val="auto"/>
              </w:rPr>
              <w:t>Gross gain on sale of investment securities</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32</w:t>
            </w:r>
          </w:p>
        </w:tc>
        <w:tc>
          <w:tcPr>
            <w:tcW w:w="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97</w:t>
            </w:r>
          </w:p>
        </w:tc>
        <w:tc>
          <w:tcPr>
            <w:tcW w:w="8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129</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40</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696</w:t>
            </w:r>
          </w:p>
        </w:tc>
        <w:tc>
          <w:tcPr>
            <w:tcW w:w="100" w:type="dxa"/>
            <w:vAlign w:val="bottom"/>
          </w:tcPr>
          <w:p>
            <w:pPr>
              <w:spacing w:after="0"/>
              <w:rPr>
                <w:sz w:val="14"/>
                <w:szCs w:val="14"/>
                <w:color w:val="auto"/>
              </w:rPr>
            </w:pPr>
          </w:p>
        </w:tc>
        <w:tc>
          <w:tcPr>
            <w:tcW w:w="180" w:type="dxa"/>
            <w:vAlign w:val="bottom"/>
          </w:tcPr>
          <w:p>
            <w:pPr>
              <w:jc w:val="right"/>
              <w:ind w:right="33"/>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736</w:t>
            </w:r>
          </w:p>
        </w:tc>
        <w:tc>
          <w:tcPr>
            <w:tcW w:w="0" w:type="dxa"/>
            <w:vAlign w:val="bottom"/>
          </w:tcPr>
          <w:p>
            <w:pPr>
              <w:spacing w:after="0"/>
              <w:rPr>
                <w:sz w:val="1"/>
                <w:szCs w:val="1"/>
                <w:color w:val="auto"/>
              </w:rPr>
            </w:pPr>
          </w:p>
        </w:tc>
      </w:tr>
      <w:tr>
        <w:trPr>
          <w:trHeight w:val="175"/>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Gross loss on sale of investment securities</w:t>
            </w:r>
          </w:p>
        </w:tc>
        <w:tc>
          <w:tcPr>
            <w:tcW w:w="10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w:t>
            </w:r>
          </w:p>
        </w:tc>
        <w:tc>
          <w:tcPr>
            <w:tcW w:w="0" w:type="dxa"/>
            <w:vAlign w:val="bottom"/>
          </w:tcPr>
          <w:p>
            <w:pPr>
              <w:spacing w:after="0"/>
              <w:rPr>
                <w:sz w:val="1"/>
                <w:szCs w:val="1"/>
                <w:color w:val="auto"/>
              </w:rPr>
            </w:pPr>
          </w:p>
        </w:tc>
      </w:tr>
      <w:tr>
        <w:trPr>
          <w:trHeight w:val="171"/>
        </w:trPr>
        <w:tc>
          <w:tcPr>
            <w:tcW w:w="5560" w:type="dxa"/>
            <w:vAlign w:val="bottom"/>
            <w:gridSpan w:val="2"/>
          </w:tcPr>
          <w:p>
            <w:pPr>
              <w:ind w:left="20"/>
              <w:spacing w:after="0"/>
              <w:rPr>
                <w:sz w:val="20"/>
                <w:szCs w:val="20"/>
                <w:color w:val="auto"/>
              </w:rPr>
            </w:pPr>
            <w:r>
              <w:rPr>
                <w:rFonts w:ascii="Arial" w:cs="Arial" w:eastAsia="Arial" w:hAnsi="Arial"/>
                <w:sz w:val="13"/>
                <w:szCs w:val="13"/>
                <w:color w:val="auto"/>
              </w:rPr>
              <w:t>Net gain (loss) on sale of investment securities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32</w:t>
            </w: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(20)</w:t>
            </w:r>
          </w:p>
        </w:tc>
        <w:tc>
          <w:tcPr>
            <w:tcW w:w="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40</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607</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647</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5" w:lineRule="exact"/>
        <w:rPr>
          <w:sz w:val="20"/>
          <w:szCs w:val="20"/>
          <w:color w:val="auto"/>
        </w:rPr>
      </w:pPr>
    </w:p>
    <w:p>
      <w:pPr>
        <w:ind w:left="60"/>
        <w:spacing w:after="0"/>
        <w:rPr>
          <w:sz w:val="20"/>
          <w:szCs w:val="20"/>
          <w:color w:val="auto"/>
        </w:rPr>
      </w:pPr>
      <w:r>
        <w:rPr>
          <w:rFonts w:ascii="Arial" w:cs="Arial" w:eastAsia="Arial" w:hAnsi="Arial"/>
          <w:sz w:val="10"/>
          <w:szCs w:val="10"/>
          <w:color w:val="auto"/>
        </w:rPr>
        <w:t>________________________________</w:t>
      </w:r>
    </w:p>
    <w:p>
      <w:pPr>
        <w:spacing w:after="0" w:line="41" w:lineRule="exact"/>
        <w:rPr>
          <w:sz w:val="20"/>
          <w:szCs w:val="20"/>
          <w:color w:val="auto"/>
        </w:rPr>
      </w:pPr>
    </w:p>
    <w:p>
      <w:pPr>
        <w:ind w:left="600" w:hanging="300"/>
        <w:spacing w:after="0"/>
        <w:tabs>
          <w:tab w:leader="none" w:pos="600" w:val="left"/>
        </w:tabs>
        <w:numPr>
          <w:ilvl w:val="0"/>
          <w:numId w:val="5"/>
        </w:numPr>
        <w:rPr>
          <w:rFonts w:ascii="Arial" w:cs="Arial" w:eastAsia="Arial" w:hAnsi="Arial"/>
          <w:sz w:val="13"/>
          <w:szCs w:val="13"/>
          <w:color w:val="auto"/>
        </w:rPr>
      </w:pPr>
      <w:r>
        <w:rPr>
          <w:rFonts w:ascii="Arial" w:cs="Arial" w:eastAsia="Arial" w:hAnsi="Arial"/>
          <w:sz w:val="13"/>
          <w:szCs w:val="13"/>
          <w:color w:val="auto"/>
        </w:rPr>
        <w:t>Proceeds include cash received during the period, plus receivable for investment securities sold during the period as of period end.</w:t>
      </w:r>
    </w:p>
    <w:p>
      <w:pPr>
        <w:spacing w:after="0" w:line="50" w:lineRule="exact"/>
        <w:rPr>
          <w:rFonts w:ascii="Arial" w:cs="Arial" w:eastAsia="Arial" w:hAnsi="Arial"/>
          <w:sz w:val="13"/>
          <w:szCs w:val="13"/>
          <w:color w:val="auto"/>
        </w:rPr>
      </w:pPr>
    </w:p>
    <w:p>
      <w:pPr>
        <w:ind w:left="600" w:hanging="300"/>
        <w:spacing w:after="0"/>
        <w:tabs>
          <w:tab w:leader="none" w:pos="600" w:val="left"/>
        </w:tabs>
        <w:numPr>
          <w:ilvl w:val="0"/>
          <w:numId w:val="5"/>
        </w:numPr>
        <w:rPr>
          <w:rFonts w:ascii="Arial" w:cs="Arial" w:eastAsia="Arial" w:hAnsi="Arial"/>
          <w:sz w:val="13"/>
          <w:szCs w:val="13"/>
          <w:color w:val="auto"/>
        </w:rPr>
      </w:pPr>
      <w:r>
        <w:rPr>
          <w:rFonts w:ascii="Arial" w:cs="Arial" w:eastAsia="Arial" w:hAnsi="Arial"/>
          <w:sz w:val="13"/>
          <w:szCs w:val="13"/>
          <w:color w:val="auto"/>
        </w:rPr>
        <w:t>See Note 9 for a summary of changes in accumulated OCI.</w:t>
      </w:r>
    </w:p>
    <w:p>
      <w:pPr>
        <w:spacing w:after="0" w:line="3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4. Repurchase Agreements and Reverse Repurchase Agreements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Repurchase Agreements</w:t>
      </w:r>
    </w:p>
    <w:p>
      <w:pPr>
        <w:spacing w:after="0" w:line="154" w:lineRule="exact"/>
        <w:rPr>
          <w:sz w:val="20"/>
          <w:szCs w:val="20"/>
          <w:color w:val="auto"/>
        </w:rPr>
      </w:pPr>
    </w:p>
    <w:p>
      <w:pPr>
        <w:jc w:val="both"/>
        <w:ind w:right="100" w:firstLine="412"/>
        <w:spacing w:after="0" w:line="249" w:lineRule="auto"/>
        <w:rPr>
          <w:sz w:val="20"/>
          <w:szCs w:val="20"/>
          <w:color w:val="auto"/>
        </w:rPr>
      </w:pPr>
      <w:r>
        <w:rPr>
          <w:rFonts w:ascii="Arial" w:cs="Arial" w:eastAsia="Arial" w:hAnsi="Arial"/>
          <w:sz w:val="17"/>
          <w:szCs w:val="17"/>
          <w:color w:val="auto"/>
        </w:rPr>
        <w:t>We pledge our securities as collateral under our borrowings structured as repurchase agreements with financial institutions. Amounts available to be borrowed are dependent upon the fair value of the securities pledged as collateral, which fluctuates with changes in interest rates, type of security and liquidity conditions within the banking, mortgage finance and real estate industries. If the fair value of our pledged securities declines, lenders will typically require us to post additional collateral or pay down borrowings to re-establish agreed upon collateral requirements, referred to as "margin calls." Similarly, if the fair value of our pledged securities increases, lenders may release collateral back to us. As of June 30, 2021, we had met all margin call requirements. For additional information regarding our pledged assets, please refer to Note 6.</w:t>
      </w:r>
    </w:p>
    <w:p>
      <w:pPr>
        <w:spacing w:after="0" w:line="133" w:lineRule="exact"/>
        <w:rPr>
          <w:sz w:val="20"/>
          <w:szCs w:val="20"/>
          <w:color w:val="auto"/>
        </w:rPr>
      </w:pPr>
    </w:p>
    <w:p>
      <w:pPr>
        <w:jc w:val="both"/>
        <w:ind w:right="100" w:firstLine="412"/>
        <w:spacing w:after="0" w:line="252" w:lineRule="auto"/>
        <w:rPr>
          <w:sz w:val="20"/>
          <w:szCs w:val="20"/>
          <w:color w:val="auto"/>
        </w:rPr>
      </w:pPr>
      <w:r>
        <w:rPr>
          <w:rFonts w:ascii="Arial" w:cs="Arial" w:eastAsia="Arial" w:hAnsi="Arial"/>
          <w:sz w:val="17"/>
          <w:szCs w:val="17"/>
          <w:color w:val="auto"/>
        </w:rPr>
        <w:t>As of June 30, 2021 and December 31, 2020, we had $48.7 billion and $52.4 billion, respectively, of repurchase agreements outstanding used to fund our investment portfolio and temporary holdings of U.S. Treasury securities. The terms and conditions of our repurchase agreements are typically negotiated on a transaction-by-transaction basis. Our repurchase agreements with original maturities greater than one year may have floating interest rates based on an index plus or minus a</w:t>
      </w:r>
    </w:p>
    <w:p>
      <w:pPr>
        <w:spacing w:after="0" w:line="200" w:lineRule="exact"/>
        <w:rPr>
          <w:sz w:val="20"/>
          <w:szCs w:val="20"/>
          <w:color w:val="auto"/>
        </w:rPr>
      </w:pPr>
    </w:p>
    <w:p>
      <w:pPr>
        <w:spacing w:after="0" w:line="291"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340"/>
          </w:cols>
          <w:pgMar w:left="320" w:top="869" w:right="239" w:bottom="1440" w:gutter="0" w:footer="0" w:header="0"/>
        </w:sectPr>
      </w:pPr>
    </w:p>
    <w:bookmarkStart w:id="14" w:name="page15"/>
    <w:bookmarkEnd w:id="14"/>
    <w:p>
      <w:pPr>
        <w:jc w:val="both"/>
        <w:spacing w:after="0" w:line="266" w:lineRule="auto"/>
        <w:rPr>
          <w:sz w:val="20"/>
          <w:szCs w:val="20"/>
          <w:color w:val="auto"/>
        </w:rPr>
      </w:pPr>
      <w:r>
        <w:rPr>
          <w:rFonts w:ascii="Arial" w:cs="Arial" w:eastAsia="Arial" w:hAnsi="Arial"/>
          <w:sz w:val="17"/>
          <w:szCs w:val="17"/>
          <w:color w:val="auto"/>
        </w:rPr>
        <w:t>fixed spread. The following table summarizes our borrowings under repurchase agreements by their remaining maturities as of June 30, 2021 and December 31, 2020 (dollars in millions):</w:t>
      </w:r>
    </w:p>
    <w:p>
      <w:pPr>
        <w:spacing w:after="0" w:line="146"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25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3"/>
                <w:szCs w:val="13"/>
                <w:b w:val="1"/>
                <w:bCs w:val="1"/>
                <w:color w:val="auto"/>
                <w:w w:val="89"/>
              </w:rPr>
              <w:t>June 30, 2021</w:t>
            </w:r>
          </w:p>
        </w:tc>
        <w:tc>
          <w:tcPr>
            <w:tcW w:w="1160" w:type="dxa"/>
            <w:vAlign w:val="bottom"/>
            <w:tcBorders>
              <w:bottom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3"/>
                <w:szCs w:val="13"/>
                <w:b w:val="1"/>
                <w:bCs w:val="1"/>
                <w:color w:val="auto"/>
                <w:w w:val="92"/>
              </w:rPr>
              <w:t>December 31, 2020</w:t>
            </w:r>
          </w:p>
        </w:tc>
        <w:tc>
          <w:tcPr>
            <w:tcW w:w="11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5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40" w:type="dxa"/>
            <w:vAlign w:val="bottom"/>
            <w:gridSpan w:val="2"/>
          </w:tcPr>
          <w:p>
            <w:pPr>
              <w:jc w:val="center"/>
              <w:ind w:right="140"/>
              <w:spacing w:after="0" w:line="123" w:lineRule="exact"/>
              <w:rPr>
                <w:sz w:val="20"/>
                <w:szCs w:val="20"/>
                <w:color w:val="auto"/>
              </w:rPr>
            </w:pPr>
            <w:r>
              <w:rPr>
                <w:rFonts w:ascii="Arial" w:cs="Arial" w:eastAsia="Arial" w:hAnsi="Arial"/>
                <w:sz w:val="13"/>
                <w:szCs w:val="13"/>
                <w:b w:val="1"/>
                <w:bCs w:val="1"/>
                <w:color w:val="auto"/>
                <w:w w:val="92"/>
              </w:rPr>
              <w:t>Weighted</w:t>
            </w:r>
          </w:p>
        </w:tc>
        <w:tc>
          <w:tcPr>
            <w:tcW w:w="1600" w:type="dxa"/>
            <w:vAlign w:val="bottom"/>
            <w:gridSpan w:val="2"/>
            <w:vMerge w:val="restart"/>
          </w:tcPr>
          <w:p>
            <w:pPr>
              <w:jc w:val="center"/>
              <w:ind w:right="460"/>
              <w:spacing w:after="0"/>
              <w:rPr>
                <w:sz w:val="20"/>
                <w:szCs w:val="20"/>
                <w:color w:val="auto"/>
              </w:rPr>
            </w:pPr>
            <w:r>
              <w:rPr>
                <w:rFonts w:ascii="Arial" w:cs="Arial" w:eastAsia="Arial" w:hAnsi="Arial"/>
                <w:sz w:val="13"/>
                <w:szCs w:val="13"/>
                <w:b w:val="1"/>
                <w:bCs w:val="1"/>
                <w:color w:val="auto"/>
                <w:w w:val="92"/>
              </w:rPr>
              <w:t>Weighted</w:t>
            </w:r>
          </w:p>
        </w:tc>
        <w:tc>
          <w:tcPr>
            <w:tcW w:w="1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20" w:type="dxa"/>
            <w:vAlign w:val="bottom"/>
            <w:gridSpan w:val="2"/>
          </w:tcPr>
          <w:p>
            <w:pPr>
              <w:jc w:val="center"/>
              <w:ind w:right="160"/>
              <w:spacing w:after="0" w:line="123" w:lineRule="exact"/>
              <w:rPr>
                <w:sz w:val="20"/>
                <w:szCs w:val="20"/>
                <w:color w:val="auto"/>
              </w:rPr>
            </w:pPr>
            <w:r>
              <w:rPr>
                <w:rFonts w:ascii="Arial" w:cs="Arial" w:eastAsia="Arial" w:hAnsi="Arial"/>
                <w:sz w:val="13"/>
                <w:szCs w:val="13"/>
                <w:b w:val="1"/>
                <w:bCs w:val="1"/>
                <w:color w:val="auto"/>
                <w:w w:val="92"/>
              </w:rPr>
              <w:t>Weighted</w:t>
            </w:r>
          </w:p>
        </w:tc>
        <w:tc>
          <w:tcPr>
            <w:tcW w:w="11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2"/>
              </w:rPr>
              <w:t>Weighted</w:t>
            </w:r>
          </w:p>
        </w:tc>
        <w:tc>
          <w:tcPr>
            <w:tcW w:w="0" w:type="dxa"/>
            <w:vAlign w:val="bottom"/>
          </w:tcPr>
          <w:p>
            <w:pPr>
              <w:spacing w:after="0"/>
              <w:rPr>
                <w:sz w:val="1"/>
                <w:szCs w:val="1"/>
                <w:color w:val="auto"/>
              </w:rPr>
            </w:pPr>
          </w:p>
        </w:tc>
      </w:tr>
      <w:tr>
        <w:trPr>
          <w:trHeight w:val="125"/>
        </w:trPr>
        <w:tc>
          <w:tcPr>
            <w:tcW w:w="25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Repurchase</w:t>
            </w:r>
          </w:p>
        </w:tc>
        <w:tc>
          <w:tcPr>
            <w:tcW w:w="1440" w:type="dxa"/>
            <w:vAlign w:val="bottom"/>
            <w:gridSpan w:val="2"/>
          </w:tcPr>
          <w:p>
            <w:pPr>
              <w:jc w:val="center"/>
              <w:ind w:right="140"/>
              <w:spacing w:after="0" w:line="125" w:lineRule="exact"/>
              <w:rPr>
                <w:sz w:val="20"/>
                <w:szCs w:val="20"/>
                <w:color w:val="auto"/>
              </w:rPr>
            </w:pPr>
            <w:r>
              <w:rPr>
                <w:rFonts w:ascii="Arial" w:cs="Arial" w:eastAsia="Arial" w:hAnsi="Arial"/>
                <w:sz w:val="13"/>
                <w:szCs w:val="13"/>
                <w:b w:val="1"/>
                <w:bCs w:val="1"/>
                <w:color w:val="auto"/>
                <w:w w:val="89"/>
              </w:rPr>
              <w:t>Average</w:t>
            </w:r>
          </w:p>
        </w:tc>
        <w:tc>
          <w:tcPr>
            <w:tcW w:w="160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Repurchase</w:t>
            </w:r>
          </w:p>
        </w:tc>
        <w:tc>
          <w:tcPr>
            <w:tcW w:w="1420" w:type="dxa"/>
            <w:vAlign w:val="bottom"/>
            <w:gridSpan w:val="2"/>
          </w:tcPr>
          <w:p>
            <w:pPr>
              <w:jc w:val="center"/>
              <w:ind w:right="160"/>
              <w:spacing w:after="0" w:line="125" w:lineRule="exact"/>
              <w:rPr>
                <w:sz w:val="20"/>
                <w:szCs w:val="20"/>
                <w:color w:val="auto"/>
              </w:rPr>
            </w:pPr>
            <w:r>
              <w:rPr>
                <w:rFonts w:ascii="Arial" w:cs="Arial" w:eastAsia="Arial" w:hAnsi="Arial"/>
                <w:sz w:val="13"/>
                <w:szCs w:val="13"/>
                <w:b w:val="1"/>
                <w:bCs w:val="1"/>
                <w:color w:val="auto"/>
                <w:w w:val="89"/>
              </w:rPr>
              <w:t>Average</w:t>
            </w:r>
          </w:p>
        </w:tc>
        <w:tc>
          <w:tcPr>
            <w:tcW w:w="1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54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Remaining Maturity</w:t>
            </w:r>
          </w:p>
        </w:tc>
        <w:tc>
          <w:tcPr>
            <w:tcW w:w="42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440" w:type="dxa"/>
            <w:vAlign w:val="bottom"/>
            <w:gridSpan w:val="2"/>
          </w:tcPr>
          <w:p>
            <w:pPr>
              <w:jc w:val="center"/>
              <w:ind w:right="140"/>
              <w:spacing w:after="0" w:line="125" w:lineRule="exact"/>
              <w:rPr>
                <w:sz w:val="20"/>
                <w:szCs w:val="20"/>
                <w:color w:val="auto"/>
              </w:rPr>
            </w:pPr>
            <w:r>
              <w:rPr>
                <w:rFonts w:ascii="Arial" w:cs="Arial" w:eastAsia="Arial" w:hAnsi="Arial"/>
                <w:sz w:val="13"/>
                <w:szCs w:val="13"/>
                <w:b w:val="1"/>
                <w:bCs w:val="1"/>
                <w:color w:val="auto"/>
                <w:w w:val="97"/>
              </w:rPr>
              <w:t>Interest</w:t>
            </w:r>
          </w:p>
        </w:tc>
        <w:tc>
          <w:tcPr>
            <w:tcW w:w="1600" w:type="dxa"/>
            <w:vAlign w:val="bottom"/>
            <w:gridSpan w:val="2"/>
          </w:tcPr>
          <w:p>
            <w:pPr>
              <w:jc w:val="center"/>
              <w:ind w:right="460"/>
              <w:spacing w:after="0" w:line="125" w:lineRule="exact"/>
              <w:rPr>
                <w:sz w:val="20"/>
                <w:szCs w:val="20"/>
                <w:color w:val="auto"/>
              </w:rPr>
            </w:pPr>
            <w:r>
              <w:rPr>
                <w:rFonts w:ascii="Arial" w:cs="Arial" w:eastAsia="Arial" w:hAnsi="Arial"/>
                <w:sz w:val="13"/>
                <w:szCs w:val="13"/>
                <w:b w:val="1"/>
                <w:bCs w:val="1"/>
                <w:color w:val="auto"/>
                <w:w w:val="90"/>
              </w:rPr>
              <w:t>Average Days</w:t>
            </w:r>
          </w:p>
        </w:tc>
        <w:tc>
          <w:tcPr>
            <w:tcW w:w="16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1420" w:type="dxa"/>
            <w:vAlign w:val="bottom"/>
            <w:gridSpan w:val="2"/>
          </w:tcPr>
          <w:p>
            <w:pPr>
              <w:jc w:val="center"/>
              <w:ind w:right="140"/>
              <w:spacing w:after="0" w:line="125" w:lineRule="exact"/>
              <w:rPr>
                <w:sz w:val="20"/>
                <w:szCs w:val="20"/>
                <w:color w:val="auto"/>
              </w:rPr>
            </w:pPr>
            <w:r>
              <w:rPr>
                <w:rFonts w:ascii="Arial" w:cs="Arial" w:eastAsia="Arial" w:hAnsi="Arial"/>
                <w:sz w:val="13"/>
                <w:szCs w:val="13"/>
                <w:b w:val="1"/>
                <w:bCs w:val="1"/>
                <w:color w:val="auto"/>
                <w:w w:val="93"/>
              </w:rPr>
              <w:t>Interest</w:t>
            </w:r>
          </w:p>
        </w:tc>
        <w:tc>
          <w:tcPr>
            <w:tcW w:w="1180" w:type="dxa"/>
            <w:vAlign w:val="bottom"/>
          </w:tcPr>
          <w:p>
            <w:pPr>
              <w:jc w:val="center"/>
              <w:spacing w:after="0" w:line="125" w:lineRule="exact"/>
              <w:rPr>
                <w:sz w:val="20"/>
                <w:szCs w:val="20"/>
                <w:color w:val="auto"/>
              </w:rPr>
            </w:pPr>
            <w:r>
              <w:rPr>
                <w:rFonts w:ascii="Arial" w:cs="Arial" w:eastAsia="Arial" w:hAnsi="Arial"/>
                <w:sz w:val="13"/>
                <w:szCs w:val="13"/>
                <w:b w:val="1"/>
                <w:bCs w:val="1"/>
                <w:color w:val="auto"/>
                <w:w w:val="90"/>
              </w:rPr>
              <w:t>Average Days</w:t>
            </w:r>
          </w:p>
        </w:tc>
        <w:tc>
          <w:tcPr>
            <w:tcW w:w="0" w:type="dxa"/>
            <w:vAlign w:val="bottom"/>
          </w:tcPr>
          <w:p>
            <w:pPr>
              <w:spacing w:after="0"/>
              <w:rPr>
                <w:sz w:val="1"/>
                <w:szCs w:val="1"/>
                <w:color w:val="auto"/>
              </w:rPr>
            </w:pPr>
          </w:p>
        </w:tc>
      </w:tr>
      <w:tr>
        <w:trPr>
          <w:trHeight w:val="174"/>
        </w:trPr>
        <w:tc>
          <w:tcPr>
            <w:tcW w:w="2540" w:type="dxa"/>
            <w:vAlign w:val="bottom"/>
            <w:tcBorders>
              <w:bottom w:val="single" w:sz="8" w:color="auto"/>
            </w:tcBorders>
            <w:vMerge w:val="continue"/>
          </w:tcPr>
          <w:p>
            <w:pPr>
              <w:spacing w:after="0"/>
              <w:rPr>
                <w:sz w:val="15"/>
                <w:szCs w:val="15"/>
                <w:color w:val="auto"/>
              </w:rPr>
            </w:pPr>
          </w:p>
        </w:tc>
        <w:tc>
          <w:tcPr>
            <w:tcW w:w="420" w:type="dxa"/>
            <w:vAlign w:val="bottom"/>
            <w:tcBorders>
              <w:bottom w:val="single" w:sz="8" w:color="CCEEFF"/>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Agreements</w:t>
            </w:r>
          </w:p>
        </w:tc>
        <w:tc>
          <w:tcPr>
            <w:tcW w:w="14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Rate</w:t>
            </w:r>
          </w:p>
        </w:tc>
        <w:tc>
          <w:tcPr>
            <w:tcW w:w="140" w:type="dxa"/>
            <w:vAlign w:val="bottom"/>
            <w:tcBorders>
              <w:bottom w:val="single" w:sz="8" w:color="CCEEFF"/>
            </w:tcBorders>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to Maturity</w:t>
            </w:r>
          </w:p>
        </w:tc>
        <w:tc>
          <w:tcPr>
            <w:tcW w:w="4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Agreements</w:t>
            </w:r>
          </w:p>
        </w:tc>
        <w:tc>
          <w:tcPr>
            <w:tcW w:w="140" w:type="dxa"/>
            <w:vAlign w:val="bottom"/>
            <w:tcBorders>
              <w:bottom w:val="single" w:sz="8" w:color="CCEEFF"/>
            </w:tcBorders>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Rate</w:t>
            </w:r>
          </w:p>
        </w:tc>
        <w:tc>
          <w:tcPr>
            <w:tcW w:w="12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to Maturity</w:t>
            </w:r>
          </w:p>
        </w:tc>
        <w:tc>
          <w:tcPr>
            <w:tcW w:w="0" w:type="dxa"/>
            <w:vAlign w:val="bottom"/>
          </w:tcPr>
          <w:p>
            <w:pPr>
              <w:spacing w:after="0"/>
              <w:rPr>
                <w:sz w:val="1"/>
                <w:szCs w:val="1"/>
                <w:color w:val="auto"/>
              </w:rPr>
            </w:pPr>
          </w:p>
        </w:tc>
      </w:tr>
      <w:tr>
        <w:trPr>
          <w:trHeight w:val="194"/>
        </w:trPr>
        <w:tc>
          <w:tcPr>
            <w:tcW w:w="29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Agency repo:</w:t>
            </w: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960" w:type="dxa"/>
            <w:vAlign w:val="bottom"/>
            <w:gridSpan w:val="2"/>
          </w:tcPr>
          <w:p>
            <w:pPr>
              <w:ind w:left="140"/>
              <w:spacing w:after="0"/>
              <w:rPr>
                <w:sz w:val="20"/>
                <w:szCs w:val="20"/>
                <w:color w:val="auto"/>
              </w:rPr>
            </w:pPr>
            <w:r>
              <w:rPr>
                <w:rFonts w:ascii="Arial" w:cs="Arial" w:eastAsia="Arial" w:hAnsi="Arial"/>
                <w:sz w:val="15"/>
                <w:szCs w:val="15"/>
                <w:color w:val="auto"/>
              </w:rPr>
              <w:t>≤ 1 month</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31,093</w:t>
            </w: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0.10 %</w:t>
            </w: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11</w:t>
            </w:r>
          </w:p>
        </w:tc>
        <w:tc>
          <w:tcPr>
            <w:tcW w:w="440" w:type="dxa"/>
            <w:vAlign w:val="bottom"/>
          </w:tcPr>
          <w:p>
            <w:pPr>
              <w:spacing w:after="0"/>
              <w:rPr>
                <w:sz w:val="17"/>
                <w:szCs w:val="17"/>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7"/>
              <w:spacing w:after="0"/>
              <w:rPr>
                <w:sz w:val="20"/>
                <w:szCs w:val="20"/>
                <w:color w:val="auto"/>
              </w:rPr>
            </w:pPr>
            <w:r>
              <w:rPr>
                <w:rFonts w:ascii="Arial" w:cs="Arial" w:eastAsia="Arial" w:hAnsi="Arial"/>
                <w:sz w:val="15"/>
                <w:szCs w:val="15"/>
                <w:color w:val="auto"/>
              </w:rPr>
              <w:t>29,505</w:t>
            </w: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0.22 %</w:t>
            </w:r>
          </w:p>
        </w:tc>
        <w:tc>
          <w:tcPr>
            <w:tcW w:w="120" w:type="dxa"/>
            <w:vAlign w:val="bottom"/>
          </w:tcPr>
          <w:p>
            <w:pPr>
              <w:spacing w:after="0"/>
              <w:rPr>
                <w:sz w:val="17"/>
                <w:szCs w:val="17"/>
                <w:color w:val="auto"/>
              </w:rPr>
            </w:pPr>
          </w:p>
        </w:tc>
        <w:tc>
          <w:tcPr>
            <w:tcW w:w="1180" w:type="dxa"/>
            <w:vAlign w:val="bottom"/>
          </w:tcPr>
          <w:p>
            <w:pPr>
              <w:jc w:val="right"/>
              <w:ind w:right="7"/>
              <w:spacing w:after="0"/>
              <w:rPr>
                <w:sz w:val="20"/>
                <w:szCs w:val="20"/>
                <w:color w:val="auto"/>
              </w:rPr>
            </w:pPr>
            <w:r>
              <w:rPr>
                <w:rFonts w:ascii="Arial" w:cs="Arial" w:eastAsia="Arial" w:hAnsi="Arial"/>
                <w:sz w:val="15"/>
                <w:szCs w:val="15"/>
                <w:color w:val="auto"/>
              </w:rPr>
              <w:t>12</w:t>
            </w:r>
          </w:p>
        </w:tc>
        <w:tc>
          <w:tcPr>
            <w:tcW w:w="0" w:type="dxa"/>
            <w:vAlign w:val="bottom"/>
          </w:tcPr>
          <w:p>
            <w:pPr>
              <w:spacing w:after="0"/>
              <w:rPr>
                <w:sz w:val="1"/>
                <w:szCs w:val="1"/>
                <w:color w:val="auto"/>
              </w:rPr>
            </w:pPr>
          </w:p>
        </w:tc>
      </w:tr>
      <w:tr>
        <w:trPr>
          <w:trHeight w:val="203"/>
        </w:trPr>
        <w:tc>
          <w:tcPr>
            <w:tcW w:w="296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&gt; 1 to ≤ 3 months</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8,794</w:t>
            </w: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0.15 %</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w:t>
            </w: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13,434</w:t>
            </w: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0.27 %</w:t>
            </w: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57</w:t>
            </w:r>
          </w:p>
        </w:tc>
        <w:tc>
          <w:tcPr>
            <w:tcW w:w="0" w:type="dxa"/>
            <w:vAlign w:val="bottom"/>
          </w:tcPr>
          <w:p>
            <w:pPr>
              <w:spacing w:after="0"/>
              <w:rPr>
                <w:sz w:val="1"/>
                <w:szCs w:val="1"/>
                <w:color w:val="auto"/>
              </w:rPr>
            </w:pPr>
          </w:p>
        </w:tc>
      </w:tr>
      <w:tr>
        <w:trPr>
          <w:trHeight w:val="197"/>
        </w:trPr>
        <w:tc>
          <w:tcPr>
            <w:tcW w:w="2960" w:type="dxa"/>
            <w:vAlign w:val="bottom"/>
            <w:gridSpan w:val="2"/>
          </w:tcPr>
          <w:p>
            <w:pPr>
              <w:ind w:left="140"/>
              <w:spacing w:after="0"/>
              <w:rPr>
                <w:sz w:val="20"/>
                <w:szCs w:val="20"/>
                <w:color w:val="auto"/>
              </w:rPr>
            </w:pPr>
            <w:r>
              <w:rPr>
                <w:rFonts w:ascii="Arial" w:cs="Arial" w:eastAsia="Arial" w:hAnsi="Arial"/>
                <w:sz w:val="15"/>
                <w:szCs w:val="15"/>
                <w:color w:val="auto"/>
              </w:rPr>
              <w:t>&gt; 3 to ≤ 6 months</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1,662</w:t>
            </w: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0.12 %</w:t>
            </w: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148</w:t>
            </w: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ind w:right="7"/>
              <w:spacing w:after="0"/>
              <w:rPr>
                <w:sz w:val="20"/>
                <w:szCs w:val="20"/>
                <w:color w:val="auto"/>
              </w:rPr>
            </w:pPr>
            <w:r>
              <w:rPr>
                <w:rFonts w:ascii="Arial" w:cs="Arial" w:eastAsia="Arial" w:hAnsi="Arial"/>
                <w:sz w:val="15"/>
                <w:szCs w:val="15"/>
                <w:color w:val="auto"/>
              </w:rPr>
              <w:t>7,317</w:t>
            </w: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0.28 %</w:t>
            </w:r>
          </w:p>
        </w:tc>
        <w:tc>
          <w:tcPr>
            <w:tcW w:w="120" w:type="dxa"/>
            <w:vAlign w:val="bottom"/>
          </w:tcPr>
          <w:p>
            <w:pPr>
              <w:spacing w:after="0"/>
              <w:rPr>
                <w:sz w:val="17"/>
                <w:szCs w:val="17"/>
                <w:color w:val="auto"/>
              </w:rPr>
            </w:pPr>
          </w:p>
        </w:tc>
        <w:tc>
          <w:tcPr>
            <w:tcW w:w="1180" w:type="dxa"/>
            <w:vAlign w:val="bottom"/>
          </w:tcPr>
          <w:p>
            <w:pPr>
              <w:jc w:val="right"/>
              <w:ind w:right="7"/>
              <w:spacing w:after="0"/>
              <w:rPr>
                <w:sz w:val="20"/>
                <w:szCs w:val="20"/>
                <w:color w:val="auto"/>
              </w:rPr>
            </w:pPr>
            <w:r>
              <w:rPr>
                <w:rFonts w:ascii="Arial" w:cs="Arial" w:eastAsia="Arial" w:hAnsi="Arial"/>
                <w:sz w:val="15"/>
                <w:szCs w:val="15"/>
                <w:color w:val="auto"/>
              </w:rPr>
              <w:t>142</w:t>
            </w:r>
          </w:p>
        </w:tc>
        <w:tc>
          <w:tcPr>
            <w:tcW w:w="0" w:type="dxa"/>
            <w:vAlign w:val="bottom"/>
          </w:tcPr>
          <w:p>
            <w:pPr>
              <w:spacing w:after="0"/>
              <w:rPr>
                <w:sz w:val="1"/>
                <w:szCs w:val="1"/>
                <w:color w:val="auto"/>
              </w:rPr>
            </w:pPr>
          </w:p>
        </w:tc>
      </w:tr>
      <w:tr>
        <w:trPr>
          <w:trHeight w:val="203"/>
        </w:trPr>
        <w:tc>
          <w:tcPr>
            <w:tcW w:w="296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&gt; 6 to ≤ 9 months</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5,916</w:t>
            </w: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0.15 %</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199</w:t>
            </w: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660</w:t>
            </w: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0.24 %</w:t>
            </w: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208</w:t>
            </w:r>
          </w:p>
        </w:tc>
        <w:tc>
          <w:tcPr>
            <w:tcW w:w="0" w:type="dxa"/>
            <w:vAlign w:val="bottom"/>
          </w:tcPr>
          <w:p>
            <w:pPr>
              <w:spacing w:after="0"/>
              <w:rPr>
                <w:sz w:val="1"/>
                <w:szCs w:val="1"/>
                <w:color w:val="auto"/>
              </w:rPr>
            </w:pPr>
          </w:p>
        </w:tc>
      </w:tr>
      <w:tr>
        <w:trPr>
          <w:trHeight w:val="197"/>
        </w:trPr>
        <w:tc>
          <w:tcPr>
            <w:tcW w:w="2960" w:type="dxa"/>
            <w:vAlign w:val="bottom"/>
            <w:tcBorders>
              <w:bottom w:val="single" w:sz="8" w:color="CCEEFF"/>
            </w:tcBorders>
            <w:gridSpan w:val="2"/>
          </w:tcPr>
          <w:p>
            <w:pPr>
              <w:ind w:left="140"/>
              <w:spacing w:after="0"/>
              <w:rPr>
                <w:sz w:val="20"/>
                <w:szCs w:val="20"/>
                <w:color w:val="auto"/>
              </w:rPr>
            </w:pPr>
            <w:r>
              <w:rPr>
                <w:rFonts w:ascii="Arial" w:cs="Arial" w:eastAsia="Arial" w:hAnsi="Arial"/>
                <w:sz w:val="15"/>
                <w:szCs w:val="15"/>
                <w:color w:val="auto"/>
              </w:rPr>
              <w:t>&gt; 9 to ≤ 12 months</w:t>
            </w: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875</w:t>
            </w:r>
          </w:p>
        </w:tc>
        <w:tc>
          <w:tcPr>
            <w:tcW w:w="14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0.18 %</w:t>
            </w:r>
          </w:p>
        </w:tc>
        <w:tc>
          <w:tcPr>
            <w:tcW w:w="14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303</w:t>
            </w:r>
          </w:p>
        </w:tc>
        <w:tc>
          <w:tcPr>
            <w:tcW w:w="4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1,450</w:t>
            </w:r>
          </w:p>
        </w:tc>
        <w:tc>
          <w:tcPr>
            <w:tcW w:w="14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0.15 %</w:t>
            </w:r>
          </w:p>
        </w:tc>
        <w:tc>
          <w:tcPr>
            <w:tcW w:w="12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rPr>
              <w:t>354</w:t>
            </w:r>
          </w:p>
        </w:tc>
        <w:tc>
          <w:tcPr>
            <w:tcW w:w="0" w:type="dxa"/>
            <w:vAlign w:val="bottom"/>
          </w:tcPr>
          <w:p>
            <w:pPr>
              <w:spacing w:after="0"/>
              <w:rPr>
                <w:sz w:val="1"/>
                <w:szCs w:val="1"/>
                <w:color w:val="auto"/>
              </w:rPr>
            </w:pPr>
          </w:p>
        </w:tc>
      </w:tr>
      <w:tr>
        <w:trPr>
          <w:trHeight w:val="195"/>
        </w:trPr>
        <w:tc>
          <w:tcPr>
            <w:tcW w:w="296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Total Agency repo</w:t>
            </w:r>
          </w:p>
        </w:tc>
        <w:tc>
          <w:tcPr>
            <w:tcW w:w="16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48,340</w:t>
            </w:r>
          </w:p>
        </w:tc>
        <w:tc>
          <w:tcPr>
            <w:tcW w:w="140" w:type="dxa"/>
            <w:vAlign w:val="bottom"/>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0.11 %</w:t>
            </w:r>
          </w:p>
        </w:tc>
        <w:tc>
          <w:tcPr>
            <w:tcW w:w="140" w:type="dxa"/>
            <w:vAlign w:val="bottom"/>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54</w:t>
            </w:r>
          </w:p>
        </w:tc>
        <w:tc>
          <w:tcPr>
            <w:tcW w:w="44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rPr>
              <w:t>52,366</w:t>
            </w:r>
          </w:p>
        </w:tc>
        <w:tc>
          <w:tcPr>
            <w:tcW w:w="140" w:type="dxa"/>
            <w:vAlign w:val="bottom"/>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0.24 %</w:t>
            </w:r>
          </w:p>
        </w:tc>
        <w:tc>
          <w:tcPr>
            <w:tcW w:w="120" w:type="dxa"/>
            <w:vAlign w:val="bottom"/>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rPr>
              <w:t>54</w:t>
            </w:r>
          </w:p>
        </w:tc>
        <w:tc>
          <w:tcPr>
            <w:tcW w:w="0" w:type="dxa"/>
            <w:vAlign w:val="bottom"/>
          </w:tcPr>
          <w:p>
            <w:pPr>
              <w:spacing w:after="0"/>
              <w:rPr>
                <w:sz w:val="1"/>
                <w:szCs w:val="1"/>
                <w:color w:val="auto"/>
              </w:rPr>
            </w:pPr>
          </w:p>
        </w:tc>
      </w:tr>
      <w:tr>
        <w:trPr>
          <w:trHeight w:val="177"/>
        </w:trPr>
        <w:tc>
          <w:tcPr>
            <w:tcW w:w="2960" w:type="dxa"/>
            <w:vAlign w:val="bottom"/>
            <w:gridSpan w:val="2"/>
          </w:tcPr>
          <w:p>
            <w:pPr>
              <w:ind w:left="20"/>
              <w:spacing w:after="0"/>
              <w:rPr>
                <w:sz w:val="20"/>
                <w:szCs w:val="20"/>
                <w:color w:val="auto"/>
              </w:rPr>
            </w:pPr>
            <w:r>
              <w:rPr>
                <w:rFonts w:ascii="Arial" w:cs="Arial" w:eastAsia="Arial" w:hAnsi="Arial"/>
                <w:sz w:val="15"/>
                <w:szCs w:val="15"/>
                <w:color w:val="auto"/>
              </w:rPr>
              <w:t>U.S. Treasury repo:</w:t>
            </w: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96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&gt; 1 day to ≤ 1 month</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397</w:t>
            </w: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0.02 %</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 %</w:t>
            </w:r>
          </w:p>
        </w:tc>
        <w:tc>
          <w:tcPr>
            <w:tcW w:w="118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5"/>
        </w:trPr>
        <w:tc>
          <w:tcPr>
            <w:tcW w:w="2960" w:type="dxa"/>
            <w:vAlign w:val="bottom"/>
            <w:gridSpan w:val="2"/>
          </w:tcPr>
          <w:p>
            <w:pPr>
              <w:ind w:left="20"/>
              <w:spacing w:after="0"/>
              <w:rPr>
                <w:sz w:val="20"/>
                <w:szCs w:val="20"/>
                <w:color w:val="auto"/>
              </w:rPr>
            </w:pPr>
            <w:r>
              <w:rPr>
                <w:rFonts w:ascii="Arial" w:cs="Arial" w:eastAsia="Arial" w:hAnsi="Arial"/>
                <w:sz w:val="15"/>
                <w:szCs w:val="15"/>
                <w:color w:val="auto"/>
              </w:rPr>
              <w:t>Total</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48,737</w:t>
            </w:r>
          </w:p>
        </w:tc>
        <w:tc>
          <w:tcPr>
            <w:tcW w:w="140" w:type="dxa"/>
            <w:vAlign w:val="bottom"/>
          </w:tcPr>
          <w:p>
            <w:pPr>
              <w:spacing w:after="0"/>
              <w:rPr>
                <w:sz w:val="16"/>
                <w:szCs w:val="16"/>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0.11 %</w:t>
            </w:r>
          </w:p>
        </w:tc>
        <w:tc>
          <w:tcPr>
            <w:tcW w:w="140" w:type="dxa"/>
            <w:vAlign w:val="bottom"/>
          </w:tcPr>
          <w:p>
            <w:pPr>
              <w:spacing w:after="0"/>
              <w:rPr>
                <w:sz w:val="16"/>
                <w:szCs w:val="16"/>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54</w:t>
            </w:r>
          </w:p>
        </w:tc>
        <w:tc>
          <w:tcPr>
            <w:tcW w:w="44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rPr>
              <w:t>52,366</w:t>
            </w:r>
          </w:p>
        </w:tc>
        <w:tc>
          <w:tcPr>
            <w:tcW w:w="140" w:type="dxa"/>
            <w:vAlign w:val="bottom"/>
          </w:tcPr>
          <w:p>
            <w:pPr>
              <w:spacing w:after="0"/>
              <w:rPr>
                <w:sz w:val="16"/>
                <w:szCs w:val="16"/>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0.24 %</w:t>
            </w:r>
          </w:p>
        </w:tc>
        <w:tc>
          <w:tcPr>
            <w:tcW w:w="120" w:type="dxa"/>
            <w:vAlign w:val="bottom"/>
          </w:tcPr>
          <w:p>
            <w:pPr>
              <w:spacing w:after="0"/>
              <w:rPr>
                <w:sz w:val="16"/>
                <w:szCs w:val="16"/>
                <w:color w:val="auto"/>
              </w:rPr>
            </w:pPr>
          </w:p>
        </w:tc>
        <w:tc>
          <w:tcPr>
            <w:tcW w:w="118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rPr>
              <w:t>54</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7" w:lineRule="exact"/>
        <w:rPr>
          <w:sz w:val="20"/>
          <w:szCs w:val="20"/>
          <w:color w:val="auto"/>
        </w:rPr>
      </w:pPr>
    </w:p>
    <w:p>
      <w:pPr>
        <w:jc w:val="both"/>
        <w:ind w:firstLine="375"/>
        <w:spacing w:after="0" w:line="266" w:lineRule="auto"/>
        <w:rPr>
          <w:sz w:val="20"/>
          <w:szCs w:val="20"/>
          <w:color w:val="auto"/>
        </w:rPr>
      </w:pPr>
      <w:r>
        <w:rPr>
          <w:rFonts w:ascii="Arial" w:cs="Arial" w:eastAsia="Arial" w:hAnsi="Arial"/>
          <w:sz w:val="16"/>
          <w:szCs w:val="16"/>
          <w:color w:val="auto"/>
        </w:rPr>
        <w:t>As of June 30, 2021 and December 31, 2020, $7.4 billion and $11.2 billion, respectively, of our repurchase agreements had an overnight maturity of one business day and none of our repurchase agreements were due on demand. As of June 30, 2021, we had $8.3 billion of forward commitments to enter into repurchase agreements with a weighted average forward start date of 2 days and a weighted average interest rate of 0.06%. As of December 31, 2020, we had $2.9 billion of forward commitments to enter into repurchase agreements, with a weighted average forward start date of 4 days and a weighted average interest rate of 0.12%. As of June 30, 2021 and December 31, 2020, 44% and 47%, respectively, of our repurchase agreement funding was sourced through our wholly-owned captive broker-dealer subsidiary, Bethesda Securities, LLC ("BES"). Amounts sourced through BES include funding from the General Collateral Finance Repo service ("GCF Repo") offered by the Fixed Income Clearing Corporation ("FICC"), which totaled 43% and 46% of our repurchase agreement funding outstanding as of June 30, 2021 and December 31, 2020, respectively.</w:t>
      </w:r>
    </w:p>
    <w:p>
      <w:pPr>
        <w:spacing w:after="0" w:line="118" w:lineRule="exact"/>
        <w:rPr>
          <w:sz w:val="20"/>
          <w:szCs w:val="20"/>
          <w:color w:val="auto"/>
        </w:rPr>
      </w:pPr>
    </w:p>
    <w:p>
      <w:pPr>
        <w:jc w:val="both"/>
        <w:ind w:firstLine="375"/>
        <w:spacing w:after="0" w:line="273" w:lineRule="auto"/>
        <w:rPr>
          <w:sz w:val="20"/>
          <w:szCs w:val="20"/>
          <w:color w:val="auto"/>
        </w:rPr>
      </w:pPr>
      <w:r>
        <w:rPr>
          <w:rFonts w:ascii="Arial" w:cs="Arial" w:eastAsia="Arial" w:hAnsi="Arial"/>
          <w:sz w:val="16"/>
          <w:szCs w:val="16"/>
          <w:color w:val="auto"/>
        </w:rPr>
        <w:t>During the three and six months ended June 30, 2020, we terminated $3.7 billion of repurchase agreements with a weighted average interest rate of 2.11% and a weighted average remaining maturity of 2.2 years. The terminated agreements were replaced with shorter duration repurchase agreements at lower prevailing market rates. We recognized losses on debt extinguishment of $146 million in other gain (loss), net for the three and six months ended June 30, 2020 associated with the terminated repurchase agreements. We did not terminate any repurchase agreements during the prior year periods.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Reverse Repurchase Agreements</w:t>
      </w:r>
    </w:p>
    <w:p>
      <w:pPr>
        <w:spacing w:after="0" w:line="154" w:lineRule="exact"/>
        <w:rPr>
          <w:sz w:val="20"/>
          <w:szCs w:val="20"/>
          <w:color w:val="auto"/>
        </w:rPr>
      </w:pPr>
    </w:p>
    <w:p>
      <w:pPr>
        <w:jc w:val="both"/>
        <w:ind w:firstLine="375"/>
        <w:spacing w:after="0" w:line="252" w:lineRule="auto"/>
        <w:rPr>
          <w:sz w:val="20"/>
          <w:szCs w:val="20"/>
          <w:color w:val="auto"/>
        </w:rPr>
      </w:pPr>
      <w:r>
        <w:rPr>
          <w:rFonts w:ascii="Arial" w:cs="Arial" w:eastAsia="Arial" w:hAnsi="Arial"/>
          <w:sz w:val="17"/>
          <w:szCs w:val="17"/>
          <w:color w:val="auto"/>
        </w:rPr>
        <w:t>As of June 30, 2021 and December 31, 2020, we had $12.0 billion and $11.7 billion, respectively, of reverse repurchase agreements outstanding used primarily to borrow securities to cover short sales of U.S. Treasury securities, for which we had associated obligations to return borrowed securities at fair value of $10.9 billion and $11.7 billion, respectively. As of June 30, 2021 and December 31, 2020, $2.7 billion and $3.6 billion, respectively, of our reverse repurchase agreements were with the FICC sourced through BES.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5. Derivative and Other Hedging Instruments</w:t>
      </w:r>
    </w:p>
    <w:p>
      <w:pPr>
        <w:spacing w:after="0" w:line="158" w:lineRule="exact"/>
        <w:rPr>
          <w:sz w:val="20"/>
          <w:szCs w:val="20"/>
          <w:color w:val="auto"/>
        </w:rPr>
      </w:pPr>
    </w:p>
    <w:p>
      <w:pPr>
        <w:jc w:val="both"/>
        <w:ind w:firstLine="412"/>
        <w:spacing w:after="0" w:line="279" w:lineRule="auto"/>
        <w:rPr>
          <w:sz w:val="20"/>
          <w:szCs w:val="20"/>
          <w:color w:val="auto"/>
        </w:rPr>
      </w:pPr>
      <w:r>
        <w:rPr>
          <w:rFonts w:ascii="Arial" w:cs="Arial" w:eastAsia="Arial" w:hAnsi="Arial"/>
          <w:sz w:val="16"/>
          <w:szCs w:val="16"/>
          <w:color w:val="auto"/>
        </w:rPr>
        <w:t>We hedge a portion of our interest rate risk primarily utilizing interest rate swaps, interest rate swaptions, U.S. Treasury securities and U.S. Treasury futures contracts. We utilize TBA securities primarily as a means of investing in the Agency securities market. For additional information regarding our derivative instruments and our overall risk management strategy, please refer to the discussion of derivative and other hedging instruments in Note 2.</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5" w:name="page16"/>
    <w:bookmarkEnd w:id="15"/>
    <w:p>
      <w:pPr>
        <w:spacing w:after="0"/>
        <w:rPr>
          <w:sz w:val="20"/>
          <w:szCs w:val="20"/>
          <w:color w:val="auto"/>
        </w:rPr>
      </w:pPr>
      <w:r>
        <w:rPr>
          <w:rFonts w:ascii="Arial" w:cs="Arial" w:eastAsia="Arial" w:hAnsi="Arial"/>
          <w:sz w:val="17"/>
          <w:szCs w:val="17"/>
          <w:b w:val="1"/>
          <w:bCs w:val="1"/>
          <w:i w:val="1"/>
          <w:iCs w:val="1"/>
          <w:color w:val="auto"/>
        </w:rPr>
        <w:t>Derivative and Other Hedging Instrument Assets (Liabilities), at Fair Value</w:t>
      </w:r>
    </w:p>
    <w:p>
      <w:pPr>
        <w:spacing w:after="0" w:line="154" w:lineRule="exact"/>
        <w:rPr>
          <w:sz w:val="20"/>
          <w:szCs w:val="20"/>
          <w:color w:val="auto"/>
        </w:rPr>
      </w:pPr>
    </w:p>
    <w:p>
      <w:pPr>
        <w:ind w:left="380"/>
        <w:spacing w:after="0"/>
        <w:rPr>
          <w:sz w:val="20"/>
          <w:szCs w:val="20"/>
          <w:color w:val="auto"/>
        </w:rPr>
      </w:pPr>
      <w:r>
        <w:rPr>
          <w:rFonts w:ascii="Arial" w:cs="Arial" w:eastAsia="Arial" w:hAnsi="Arial"/>
          <w:sz w:val="15"/>
          <w:szCs w:val="15"/>
          <w:color w:val="auto"/>
        </w:rPr>
        <w:t>The table below summarizes fair value information about our derivative and other hedging instrument assets/(liabilities) as of June 30, 2021 and December 31,</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2020 (in millions):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34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Derivative and Other Hedging Instruments</w:t>
            </w:r>
          </w:p>
        </w:tc>
        <w:tc>
          <w:tcPr>
            <w:tcW w:w="100" w:type="dxa"/>
            <w:vAlign w:val="bottom"/>
            <w:vMerge w:val="restart"/>
          </w:tcPr>
          <w:p>
            <w:pPr>
              <w:spacing w:after="0"/>
              <w:rPr>
                <w:sz w:val="13"/>
                <w:szCs w:val="13"/>
                <w:color w:val="auto"/>
              </w:rPr>
            </w:pPr>
          </w:p>
        </w:tc>
        <w:tc>
          <w:tcPr>
            <w:tcW w:w="4180" w:type="dxa"/>
            <w:vAlign w:val="bottom"/>
            <w:vMerge w:val="restart"/>
          </w:tcPr>
          <w:p>
            <w:pPr>
              <w:ind w:left="1440"/>
              <w:spacing w:after="0"/>
              <w:rPr>
                <w:sz w:val="20"/>
                <w:szCs w:val="20"/>
                <w:color w:val="auto"/>
              </w:rPr>
            </w:pPr>
            <w:r>
              <w:rPr>
                <w:rFonts w:ascii="Arial" w:cs="Arial" w:eastAsia="Arial" w:hAnsi="Arial"/>
                <w:sz w:val="13"/>
                <w:szCs w:val="13"/>
                <w:b w:val="1"/>
                <w:bCs w:val="1"/>
                <w:color w:val="auto"/>
              </w:rPr>
              <w:t>Balance Sheet Location</w:t>
            </w:r>
          </w:p>
        </w:tc>
        <w:tc>
          <w:tcPr>
            <w:tcW w:w="100" w:type="dxa"/>
            <w:vAlign w:val="bottom"/>
            <w:vMerge w:val="restart"/>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June 30,</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jc w:val="right"/>
              <w:ind w:right="127"/>
              <w:spacing w:after="0"/>
              <w:rPr>
                <w:sz w:val="20"/>
                <w:szCs w:val="20"/>
                <w:color w:val="auto"/>
              </w:rPr>
            </w:pPr>
            <w:r>
              <w:rPr>
                <w:rFonts w:ascii="Arial" w:cs="Arial" w:eastAsia="Arial" w:hAnsi="Arial"/>
                <w:sz w:val="13"/>
                <w:szCs w:val="13"/>
                <w:b w:val="1"/>
                <w:bCs w:val="1"/>
                <w:color w:val="auto"/>
                <w:w w:val="96"/>
              </w:rPr>
              <w:t>December 31,</w:t>
            </w:r>
          </w:p>
        </w:tc>
        <w:tc>
          <w:tcPr>
            <w:tcW w:w="0" w:type="dxa"/>
            <w:vAlign w:val="bottom"/>
          </w:tcPr>
          <w:p>
            <w:pPr>
              <w:spacing w:after="0"/>
              <w:rPr>
                <w:sz w:val="1"/>
                <w:szCs w:val="1"/>
                <w:color w:val="auto"/>
              </w:rPr>
            </w:pPr>
          </w:p>
        </w:tc>
      </w:tr>
      <w:tr>
        <w:trPr>
          <w:trHeight w:val="174"/>
        </w:trPr>
        <w:tc>
          <w:tcPr>
            <w:tcW w:w="43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41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880" w:type="dxa"/>
            <w:vAlign w:val="bottom"/>
            <w:tcBorders>
              <w:bottom w:val="single" w:sz="8" w:color="auto"/>
            </w:tcBorders>
          </w:tcPr>
          <w:p>
            <w:pPr>
              <w:jc w:val="right"/>
              <w:ind w:right="68"/>
              <w:spacing w:after="0"/>
              <w:rPr>
                <w:sz w:val="20"/>
                <w:szCs w:val="20"/>
                <w:color w:val="auto"/>
              </w:rPr>
            </w:pPr>
            <w:r>
              <w:rPr>
                <w:rFonts w:ascii="Arial" w:cs="Arial" w:eastAsia="Arial" w:hAnsi="Arial"/>
                <w:sz w:val="13"/>
                <w:szCs w:val="13"/>
                <w:b w:val="1"/>
                <w:bCs w:val="1"/>
                <w:color w:val="auto"/>
              </w:rPr>
              <w:t>2021</w:t>
            </w:r>
          </w:p>
        </w:tc>
        <w:tc>
          <w:tcPr>
            <w:tcW w:w="3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87"/>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194"/>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Swaptions</w:t>
            </w:r>
          </w:p>
        </w:tc>
        <w:tc>
          <w:tcPr>
            <w:tcW w:w="42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Derivative assets, at fair value</w:t>
            </w:r>
          </w:p>
        </w:tc>
        <w:tc>
          <w:tcPr>
            <w:tcW w:w="880" w:type="dxa"/>
            <w:vAlign w:val="bottom"/>
            <w:shd w:val="clear" w:color="auto" w:fill="CCEEFF"/>
          </w:tcPr>
          <w:p>
            <w:pPr>
              <w:jc w:val="right"/>
              <w:ind w:right="708"/>
              <w:spacing w:after="0"/>
              <w:rPr>
                <w:sz w:val="20"/>
                <w:szCs w:val="20"/>
                <w:color w:val="auto"/>
              </w:rPr>
            </w:pPr>
            <w:r>
              <w:rPr>
                <w:rFonts w:ascii="Arial" w:cs="Arial" w:eastAsia="Arial" w:hAnsi="Arial"/>
                <w:sz w:val="15"/>
                <w:szCs w:val="15"/>
                <w:color w:val="auto"/>
                <w:w w:val="95"/>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294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116</w:t>
            </w:r>
          </w:p>
        </w:tc>
        <w:tc>
          <w:tcPr>
            <w:tcW w:w="0" w:type="dxa"/>
            <w:vAlign w:val="bottom"/>
          </w:tcPr>
          <w:p>
            <w:pPr>
              <w:spacing w:after="0"/>
              <w:rPr>
                <w:sz w:val="1"/>
                <w:szCs w:val="1"/>
                <w:color w:val="auto"/>
              </w:rPr>
            </w:pPr>
          </w:p>
        </w:tc>
      </w:tr>
      <w:tr>
        <w:trPr>
          <w:trHeight w:val="197"/>
        </w:trPr>
        <w:tc>
          <w:tcPr>
            <w:tcW w:w="444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TBA securities</w:t>
            </w:r>
          </w:p>
        </w:tc>
        <w:tc>
          <w:tcPr>
            <w:tcW w:w="428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Derivative assets, at fair value</w:t>
            </w:r>
          </w:p>
        </w:tc>
        <w:tc>
          <w:tcPr>
            <w:tcW w:w="8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87</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275</w:t>
            </w:r>
          </w:p>
        </w:tc>
        <w:tc>
          <w:tcPr>
            <w:tcW w:w="0" w:type="dxa"/>
            <w:vAlign w:val="bottom"/>
          </w:tcPr>
          <w:p>
            <w:pPr>
              <w:spacing w:after="0"/>
              <w:rPr>
                <w:sz w:val="1"/>
                <w:szCs w:val="1"/>
                <w:color w:val="auto"/>
              </w:rPr>
            </w:pPr>
          </w:p>
        </w:tc>
      </w:tr>
      <w:tr>
        <w:trPr>
          <w:trHeight w:val="220"/>
        </w:trPr>
        <w:tc>
          <w:tcPr>
            <w:tcW w:w="44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5"/>
                <w:szCs w:val="15"/>
                <w:color w:val="auto"/>
              </w:rPr>
              <w:t>Total derivative assets, at fair value</w:t>
            </w:r>
          </w:p>
        </w:tc>
        <w:tc>
          <w:tcPr>
            <w:tcW w:w="4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708"/>
              <w:spacing w:after="0"/>
              <w:rPr>
                <w:sz w:val="20"/>
                <w:szCs w:val="20"/>
                <w:color w:val="auto"/>
              </w:rPr>
            </w:pPr>
            <w:r>
              <w:rPr>
                <w:rFonts w:ascii="Arial" w:cs="Arial" w:eastAsia="Arial" w:hAnsi="Arial"/>
                <w:sz w:val="15"/>
                <w:szCs w:val="15"/>
                <w:color w:val="auto"/>
                <w:w w:val="95"/>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381</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391</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TBA securities</w:t>
            </w:r>
          </w:p>
        </w:tc>
        <w:tc>
          <w:tcPr>
            <w:tcW w:w="42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Derivative liabilities, at fair value</w:t>
            </w: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7"/>
        </w:trPr>
        <w:tc>
          <w:tcPr>
            <w:tcW w:w="444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U.S. Treasury futures - short</w:t>
            </w:r>
          </w:p>
        </w:tc>
        <w:tc>
          <w:tcPr>
            <w:tcW w:w="428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Derivative liabilities, at fair value</w:t>
            </w:r>
          </w:p>
        </w:tc>
        <w:tc>
          <w:tcPr>
            <w:tcW w:w="8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20"/>
        </w:trPr>
        <w:tc>
          <w:tcPr>
            <w:tcW w:w="44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5"/>
                <w:szCs w:val="15"/>
                <w:color w:val="auto"/>
              </w:rPr>
              <w:t>Total derivative liabilities, at fair value</w:t>
            </w:r>
          </w:p>
        </w:tc>
        <w:tc>
          <w:tcPr>
            <w:tcW w:w="4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708"/>
              <w:spacing w:after="0"/>
              <w:rPr>
                <w:sz w:val="20"/>
                <w:szCs w:val="20"/>
                <w:color w:val="auto"/>
              </w:rPr>
            </w:pPr>
            <w:r>
              <w:rPr>
                <w:rFonts w:ascii="Arial" w:cs="Arial" w:eastAsia="Arial" w:hAnsi="Arial"/>
                <w:sz w:val="15"/>
                <w:szCs w:val="15"/>
                <w:color w:val="auto"/>
                <w:w w:val="95"/>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134620</wp:posOffset>
            </wp:positionV>
            <wp:extent cx="7126605" cy="1270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26605" cy="127000"/>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p>
      <w:pPr>
        <w:spacing w:after="0" w:line="217" w:lineRule="exact"/>
        <w:rPr>
          <w:sz w:val="20"/>
          <w:szCs w:val="20"/>
          <w:color w:val="auto"/>
        </w:rPr>
      </w:pPr>
    </w:p>
    <w:p>
      <w:pPr>
        <w:ind w:left="20"/>
        <w:spacing w:after="0"/>
        <w:rPr>
          <w:sz w:val="20"/>
          <w:szCs w:val="20"/>
          <w:color w:val="auto"/>
        </w:rPr>
      </w:pPr>
      <w:r>
        <w:rPr>
          <w:rFonts w:ascii="Arial" w:cs="Arial" w:eastAsia="Arial" w:hAnsi="Arial"/>
          <w:sz w:val="15"/>
          <w:szCs w:val="15"/>
          <w:color w:val="auto"/>
        </w:rPr>
        <w:t>U.S. Treasury securities - long</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5"/>
          <w:szCs w:val="15"/>
          <w:color w:val="auto"/>
        </w:rPr>
        <w:t>U.S. Treasury securities - short</w:t>
      </w:r>
    </w:p>
    <w:p>
      <w:pPr>
        <w:spacing w:after="0" w:line="65" w:lineRule="exact"/>
        <w:rPr>
          <w:sz w:val="20"/>
          <w:szCs w:val="20"/>
          <w:color w:val="auto"/>
        </w:rPr>
      </w:pPr>
    </w:p>
    <w:p>
      <w:pPr>
        <w:ind w:left="160"/>
        <w:spacing w:after="0"/>
        <w:rPr>
          <w:sz w:val="20"/>
          <w:szCs w:val="20"/>
          <w:color w:val="auto"/>
        </w:rPr>
      </w:pPr>
      <w:r>
        <w:rPr>
          <w:rFonts w:ascii="Arial" w:cs="Arial" w:eastAsia="Arial" w:hAnsi="Arial"/>
          <w:sz w:val="13"/>
          <w:szCs w:val="13"/>
          <w:color w:val="auto"/>
        </w:rPr>
        <w:t>Total U.S. Treasury securities, net at fair value</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4260" w:type="dxa"/>
            <w:vAlign w:val="bottom"/>
          </w:tcPr>
          <w:p>
            <w:pPr>
              <w:spacing w:after="0"/>
              <w:rPr>
                <w:sz w:val="20"/>
                <w:szCs w:val="20"/>
                <w:color w:val="auto"/>
              </w:rPr>
            </w:pPr>
            <w:r>
              <w:rPr>
                <w:rFonts w:ascii="Arial" w:cs="Arial" w:eastAsia="Arial" w:hAnsi="Arial"/>
                <w:sz w:val="15"/>
                <w:szCs w:val="15"/>
                <w:color w:val="auto"/>
              </w:rPr>
              <w:t>U.S. Treasury securities, at fair value</w:t>
            </w:r>
          </w:p>
        </w:tc>
        <w:tc>
          <w:tcPr>
            <w:tcW w:w="380" w:type="dxa"/>
            <w:vAlign w:val="bottom"/>
          </w:tcPr>
          <w:p>
            <w:pPr>
              <w:jc w:val="right"/>
              <w:ind w:right="205"/>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397</w:t>
            </w:r>
          </w:p>
        </w:tc>
        <w:tc>
          <w:tcPr>
            <w:tcW w:w="100" w:type="dxa"/>
            <w:vAlign w:val="bottom"/>
          </w:tcPr>
          <w:p>
            <w:pPr>
              <w:spacing w:after="0"/>
              <w:rPr>
                <w:sz w:val="16"/>
                <w:szCs w:val="16"/>
                <w:color w:val="auto"/>
              </w:rPr>
            </w:pPr>
          </w:p>
        </w:tc>
        <w:tc>
          <w:tcPr>
            <w:tcW w:w="380" w:type="dxa"/>
            <w:vAlign w:val="bottom"/>
          </w:tcPr>
          <w:p>
            <w:pPr>
              <w:jc w:val="right"/>
              <w:ind w:right="205"/>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0"/>
        </w:trPr>
        <w:tc>
          <w:tcPr>
            <w:tcW w:w="4260" w:type="dxa"/>
            <w:vAlign w:val="bottom"/>
          </w:tcPr>
          <w:p>
            <w:pPr>
              <w:spacing w:after="0" w:line="161" w:lineRule="exact"/>
              <w:rPr>
                <w:sz w:val="20"/>
                <w:szCs w:val="20"/>
                <w:color w:val="auto"/>
              </w:rPr>
            </w:pPr>
            <w:r>
              <w:rPr>
                <w:rFonts w:ascii="Arial" w:cs="Arial" w:eastAsia="Arial" w:hAnsi="Arial"/>
                <w:sz w:val="15"/>
                <w:szCs w:val="15"/>
                <w:color w:val="auto"/>
                <w:w w:val="96"/>
              </w:rPr>
              <w:t>Obligation to return securities borrowed under reverse repurchase</w:t>
            </w:r>
          </w:p>
        </w:tc>
        <w:tc>
          <w:tcPr>
            <w:tcW w:w="38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(10,920)</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5"/>
                <w:szCs w:val="15"/>
                <w:color w:val="auto"/>
              </w:rPr>
              <w:t>(11,727)</w:t>
            </w:r>
          </w:p>
        </w:tc>
        <w:tc>
          <w:tcPr>
            <w:tcW w:w="0" w:type="dxa"/>
            <w:vAlign w:val="bottom"/>
          </w:tcPr>
          <w:p>
            <w:pPr>
              <w:spacing w:after="0"/>
              <w:rPr>
                <w:sz w:val="1"/>
                <w:szCs w:val="1"/>
                <w:color w:val="auto"/>
              </w:rPr>
            </w:pPr>
          </w:p>
        </w:tc>
      </w:tr>
      <w:tr>
        <w:trPr>
          <w:trHeight w:val="193"/>
        </w:trPr>
        <w:tc>
          <w:tcPr>
            <w:tcW w:w="4260" w:type="dxa"/>
            <w:vAlign w:val="bottom"/>
          </w:tcPr>
          <w:p>
            <w:pPr>
              <w:spacing w:after="0"/>
              <w:rPr>
                <w:sz w:val="20"/>
                <w:szCs w:val="20"/>
                <w:color w:val="auto"/>
              </w:rPr>
            </w:pPr>
            <w:r>
              <w:rPr>
                <w:rFonts w:ascii="Arial" w:cs="Arial" w:eastAsia="Arial" w:hAnsi="Arial"/>
                <w:sz w:val="15"/>
                <w:szCs w:val="15"/>
                <w:color w:val="auto"/>
              </w:rPr>
              <w:t>agreements, at fair value</w:t>
            </w:r>
          </w:p>
        </w:tc>
        <w:tc>
          <w:tcPr>
            <w:tcW w:w="3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260" w:type="dxa"/>
            <w:vAlign w:val="bottom"/>
          </w:tcPr>
          <w:p>
            <w:pPr>
              <w:spacing w:after="0"/>
              <w:rPr>
                <w:sz w:val="16"/>
                <w:szCs w:val="16"/>
                <w:color w:val="auto"/>
              </w:rPr>
            </w:pPr>
          </w:p>
        </w:tc>
        <w:tc>
          <w:tcPr>
            <w:tcW w:w="38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95"/>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(10,523)</w:t>
            </w:r>
          </w:p>
        </w:tc>
        <w:tc>
          <w:tcPr>
            <w:tcW w:w="100" w:type="dxa"/>
            <w:vAlign w:val="bottom"/>
          </w:tcPr>
          <w:p>
            <w:pPr>
              <w:spacing w:after="0"/>
              <w:rPr>
                <w:sz w:val="16"/>
                <w:szCs w:val="16"/>
                <w:color w:val="auto"/>
              </w:rPr>
            </w:pPr>
          </w:p>
        </w:tc>
        <w:tc>
          <w:tcPr>
            <w:tcW w:w="38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95"/>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(11,727)</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-2831465</wp:posOffset>
            </wp:positionH>
            <wp:positionV relativeFrom="paragraph">
              <wp:posOffset>-165735</wp:posOffset>
            </wp:positionV>
            <wp:extent cx="7126605" cy="1504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26605" cy="1504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740" w:space="720"/>
            <w:col w:w="6780"/>
          </w:cols>
          <w:pgMar w:left="320" w:top="989" w:right="339" w:bottom="1440" w:gutter="0" w:footer="0" w:header="0"/>
          <w:type w:val="continuous"/>
        </w:sectPr>
      </w:pPr>
    </w:p>
    <w:p>
      <w:pPr>
        <w:spacing w:after="0" w:line="112" w:lineRule="exact"/>
        <w:rPr>
          <w:sz w:val="20"/>
          <w:szCs w:val="20"/>
          <w:color w:val="auto"/>
        </w:rPr>
      </w:pPr>
    </w:p>
    <w:p>
      <w:pPr>
        <w:ind w:firstLine="375"/>
        <w:spacing w:after="0" w:line="266" w:lineRule="auto"/>
        <w:rPr>
          <w:sz w:val="20"/>
          <w:szCs w:val="20"/>
          <w:color w:val="auto"/>
        </w:rPr>
      </w:pPr>
      <w:r>
        <w:rPr>
          <w:rFonts w:ascii="Arial" w:cs="Arial" w:eastAsia="Arial" w:hAnsi="Arial"/>
          <w:sz w:val="17"/>
          <w:szCs w:val="17"/>
          <w:color w:val="auto"/>
        </w:rPr>
        <w:t>The following tables summarize certain characteristics of our derivative and other hedging instruments outstanding as of June 30, 2021 and December 31, 2020 (dollars in millions):</w:t>
      </w:r>
    </w:p>
    <w:p>
      <w:pPr>
        <w:spacing w:after="0" w:line="71" w:lineRule="exact"/>
        <w:rPr>
          <w:sz w:val="20"/>
          <w:szCs w:val="20"/>
          <w:color w:val="auto"/>
        </w:rPr>
      </w:pPr>
    </w:p>
    <w:tbl>
      <w:tblPr>
        <w:tblLayout w:type="fixed"/>
        <w:tblInd w:w="20" w:type="dxa"/>
        <w:tblCellMar>
          <w:top w:w="0" w:type="dxa"/>
          <w:left w:w="0" w:type="dxa"/>
          <w:bottom w:w="0" w:type="dxa"/>
          <w:right w:w="0" w:type="dxa"/>
        </w:tblCellMar>
      </w:tblPr>
      <w:tr>
        <w:trPr>
          <w:trHeight w:val="178"/>
        </w:trPr>
        <w:tc>
          <w:tcPr>
            <w:tcW w:w="2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4"/>
          </w:tcPr>
          <w:p>
            <w:pPr>
              <w:ind w:left="640"/>
              <w:spacing w:after="0"/>
              <w:rPr>
                <w:sz w:val="20"/>
                <w:szCs w:val="20"/>
                <w:color w:val="auto"/>
              </w:rPr>
            </w:pPr>
            <w:r>
              <w:rPr>
                <w:rFonts w:ascii="Arial" w:cs="Arial" w:eastAsia="Arial" w:hAnsi="Arial"/>
                <w:sz w:val="13"/>
                <w:szCs w:val="13"/>
                <w:b w:val="1"/>
                <w:bCs w:val="1"/>
                <w:color w:val="auto"/>
              </w:rPr>
              <w:t>June 30, 2021</w:t>
            </w:r>
          </w:p>
        </w:tc>
        <w:tc>
          <w:tcPr>
            <w:tcW w:w="98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4"/>
          </w:tcPr>
          <w:p>
            <w:pPr>
              <w:ind w:left="480"/>
              <w:spacing w:after="0"/>
              <w:rPr>
                <w:sz w:val="20"/>
                <w:szCs w:val="20"/>
                <w:color w:val="auto"/>
              </w:rPr>
            </w:pPr>
            <w:r>
              <w:rPr>
                <w:rFonts w:ascii="Arial" w:cs="Arial" w:eastAsia="Arial" w:hAnsi="Arial"/>
                <w:sz w:val="13"/>
                <w:szCs w:val="13"/>
                <w:b w:val="1"/>
                <w:bCs w:val="1"/>
                <w:color w:val="auto"/>
              </w:rPr>
              <w:t>December 31, 2020</w:t>
            </w:r>
          </w:p>
        </w:tc>
        <w:tc>
          <w:tcPr>
            <w:tcW w:w="10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5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Pay Fixed / Receive Variable Interest</w:t>
            </w:r>
          </w:p>
        </w:tc>
        <w:tc>
          <w:tcPr>
            <w:tcW w:w="180" w:type="dxa"/>
            <w:vAlign w:val="bottom"/>
          </w:tcPr>
          <w:p>
            <w:pPr>
              <w:spacing w:after="0"/>
              <w:rPr>
                <w:sz w:val="10"/>
                <w:szCs w:val="10"/>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Notional</w:t>
            </w:r>
          </w:p>
        </w:tc>
        <w:tc>
          <w:tcPr>
            <w:tcW w:w="1080" w:type="dxa"/>
            <w:vAlign w:val="bottom"/>
            <w:gridSpan w:val="2"/>
          </w:tcPr>
          <w:p>
            <w:pPr>
              <w:jc w:val="center"/>
              <w:ind w:right="100"/>
              <w:spacing w:after="0" w:line="123" w:lineRule="exact"/>
              <w:rPr>
                <w:sz w:val="20"/>
                <w:szCs w:val="20"/>
                <w:color w:val="auto"/>
              </w:rPr>
            </w:pPr>
            <w:r>
              <w:rPr>
                <w:rFonts w:ascii="Arial" w:cs="Arial" w:eastAsia="Arial" w:hAnsi="Arial"/>
                <w:sz w:val="13"/>
                <w:szCs w:val="13"/>
                <w:b w:val="1"/>
                <w:bCs w:val="1"/>
                <w:color w:val="auto"/>
                <w:w w:val="89"/>
              </w:rPr>
              <w:t>Average</w:t>
            </w:r>
          </w:p>
        </w:tc>
        <w:tc>
          <w:tcPr>
            <w:tcW w:w="1080" w:type="dxa"/>
            <w:vAlign w:val="bottom"/>
            <w:gridSpan w:val="2"/>
          </w:tcPr>
          <w:p>
            <w:pPr>
              <w:jc w:val="center"/>
              <w:ind w:right="100"/>
              <w:spacing w:after="0" w:line="123" w:lineRule="exact"/>
              <w:rPr>
                <w:sz w:val="20"/>
                <w:szCs w:val="20"/>
                <w:color w:val="auto"/>
              </w:rPr>
            </w:pPr>
            <w:r>
              <w:rPr>
                <w:rFonts w:ascii="Arial" w:cs="Arial" w:eastAsia="Arial" w:hAnsi="Arial"/>
                <w:sz w:val="13"/>
                <w:szCs w:val="13"/>
                <w:b w:val="1"/>
                <w:bCs w:val="1"/>
                <w:color w:val="auto"/>
                <w:w w:val="89"/>
              </w:rPr>
              <w:t>Average</w:t>
            </w:r>
          </w:p>
        </w:tc>
        <w:tc>
          <w:tcPr>
            <w:tcW w:w="980" w:type="dxa"/>
            <w:vAlign w:val="bottom"/>
          </w:tcPr>
          <w:p>
            <w:pPr>
              <w:jc w:val="center"/>
              <w:spacing w:after="0" w:line="123" w:lineRule="exact"/>
              <w:rPr>
                <w:sz w:val="20"/>
                <w:szCs w:val="20"/>
                <w:color w:val="auto"/>
              </w:rPr>
            </w:pPr>
            <w:r>
              <w:rPr>
                <w:rFonts w:ascii="Arial" w:cs="Arial" w:eastAsia="Arial" w:hAnsi="Arial"/>
                <w:sz w:val="13"/>
                <w:szCs w:val="13"/>
                <w:b w:val="1"/>
                <w:bCs w:val="1"/>
                <w:color w:val="auto"/>
                <w:w w:val="89"/>
              </w:rPr>
              <w:t>Average</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Notional</w:t>
            </w:r>
          </w:p>
        </w:tc>
        <w:tc>
          <w:tcPr>
            <w:tcW w:w="1080" w:type="dxa"/>
            <w:vAlign w:val="bottom"/>
            <w:gridSpan w:val="2"/>
          </w:tcPr>
          <w:p>
            <w:pPr>
              <w:jc w:val="center"/>
              <w:ind w:right="100"/>
              <w:spacing w:after="0" w:line="123" w:lineRule="exact"/>
              <w:rPr>
                <w:sz w:val="20"/>
                <w:szCs w:val="20"/>
                <w:color w:val="auto"/>
              </w:rPr>
            </w:pPr>
            <w:r>
              <w:rPr>
                <w:rFonts w:ascii="Arial" w:cs="Arial" w:eastAsia="Arial" w:hAnsi="Arial"/>
                <w:sz w:val="13"/>
                <w:szCs w:val="13"/>
                <w:b w:val="1"/>
                <w:bCs w:val="1"/>
                <w:color w:val="auto"/>
                <w:w w:val="89"/>
              </w:rPr>
              <w:t>Average</w:t>
            </w:r>
          </w:p>
        </w:tc>
        <w:tc>
          <w:tcPr>
            <w:tcW w:w="1080" w:type="dxa"/>
            <w:vAlign w:val="bottom"/>
            <w:gridSpan w:val="2"/>
          </w:tcPr>
          <w:p>
            <w:pPr>
              <w:jc w:val="center"/>
              <w:ind w:right="100"/>
              <w:spacing w:after="0" w:line="123" w:lineRule="exact"/>
              <w:rPr>
                <w:sz w:val="20"/>
                <w:szCs w:val="20"/>
                <w:color w:val="auto"/>
              </w:rPr>
            </w:pPr>
            <w:r>
              <w:rPr>
                <w:rFonts w:ascii="Arial" w:cs="Arial" w:eastAsia="Arial" w:hAnsi="Arial"/>
                <w:sz w:val="13"/>
                <w:szCs w:val="13"/>
                <w:b w:val="1"/>
                <w:bCs w:val="1"/>
                <w:color w:val="auto"/>
                <w:w w:val="89"/>
              </w:rPr>
              <w:t>Average</w:t>
            </w:r>
          </w:p>
        </w:tc>
        <w:tc>
          <w:tcPr>
            <w:tcW w:w="1000" w:type="dxa"/>
            <w:vAlign w:val="bottom"/>
          </w:tcPr>
          <w:p>
            <w:pPr>
              <w:jc w:val="center"/>
              <w:spacing w:after="0" w:line="123" w:lineRule="exact"/>
              <w:rPr>
                <w:sz w:val="20"/>
                <w:szCs w:val="20"/>
                <w:color w:val="auto"/>
              </w:rPr>
            </w:pPr>
            <w:r>
              <w:rPr>
                <w:rFonts w:ascii="Arial" w:cs="Arial" w:eastAsia="Arial" w:hAnsi="Arial"/>
                <w:sz w:val="13"/>
                <w:szCs w:val="13"/>
                <w:b w:val="1"/>
                <w:bCs w:val="1"/>
                <w:color w:val="auto"/>
                <w:w w:val="89"/>
              </w:rPr>
              <w:t>Average</w:t>
            </w:r>
          </w:p>
        </w:tc>
        <w:tc>
          <w:tcPr>
            <w:tcW w:w="0" w:type="dxa"/>
            <w:vAlign w:val="bottom"/>
          </w:tcPr>
          <w:p>
            <w:pPr>
              <w:spacing w:after="0"/>
              <w:rPr>
                <w:sz w:val="1"/>
                <w:szCs w:val="1"/>
                <w:color w:val="auto"/>
              </w:rPr>
            </w:pPr>
          </w:p>
        </w:tc>
      </w:tr>
      <w:tr>
        <w:trPr>
          <w:trHeight w:val="125"/>
        </w:trPr>
        <w:tc>
          <w:tcPr>
            <w:tcW w:w="252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080" w:type="dxa"/>
            <w:vAlign w:val="bottom"/>
            <w:gridSpan w:val="2"/>
          </w:tcPr>
          <w:p>
            <w:pPr>
              <w:jc w:val="center"/>
              <w:ind w:right="120"/>
              <w:spacing w:after="0" w:line="125" w:lineRule="exact"/>
              <w:rPr>
                <w:sz w:val="20"/>
                <w:szCs w:val="20"/>
                <w:color w:val="auto"/>
              </w:rPr>
            </w:pPr>
            <w:r>
              <w:rPr>
                <w:rFonts w:ascii="Arial" w:cs="Arial" w:eastAsia="Arial" w:hAnsi="Arial"/>
                <w:sz w:val="13"/>
                <w:szCs w:val="13"/>
                <w:b w:val="1"/>
                <w:bCs w:val="1"/>
                <w:color w:val="auto"/>
                <w:w w:val="92"/>
              </w:rPr>
              <w:t>Fixed Pay</w:t>
            </w:r>
          </w:p>
        </w:tc>
        <w:tc>
          <w:tcPr>
            <w:tcW w:w="1080" w:type="dxa"/>
            <w:vAlign w:val="bottom"/>
            <w:gridSpan w:val="2"/>
          </w:tcPr>
          <w:p>
            <w:pPr>
              <w:jc w:val="center"/>
              <w:ind w:right="120"/>
              <w:spacing w:after="0" w:line="125" w:lineRule="exact"/>
              <w:rPr>
                <w:sz w:val="20"/>
                <w:szCs w:val="20"/>
                <w:color w:val="auto"/>
              </w:rPr>
            </w:pPr>
            <w:r>
              <w:rPr>
                <w:rFonts w:ascii="Arial" w:cs="Arial" w:eastAsia="Arial" w:hAnsi="Arial"/>
                <w:sz w:val="13"/>
                <w:szCs w:val="13"/>
                <w:b w:val="1"/>
                <w:bCs w:val="1"/>
                <w:color w:val="auto"/>
                <w:w w:val="89"/>
              </w:rPr>
              <w:t>Receive</w:t>
            </w:r>
          </w:p>
        </w:tc>
        <w:tc>
          <w:tcPr>
            <w:tcW w:w="1180" w:type="dxa"/>
            <w:vAlign w:val="bottom"/>
            <w:gridSpan w:val="2"/>
          </w:tcPr>
          <w:p>
            <w:pPr>
              <w:jc w:val="center"/>
              <w:ind w:right="220"/>
              <w:spacing w:after="0" w:line="125" w:lineRule="exact"/>
              <w:rPr>
                <w:sz w:val="20"/>
                <w:szCs w:val="20"/>
                <w:color w:val="auto"/>
              </w:rPr>
            </w:pPr>
            <w:r>
              <w:rPr>
                <w:rFonts w:ascii="Arial" w:cs="Arial" w:eastAsia="Arial" w:hAnsi="Arial"/>
                <w:sz w:val="13"/>
                <w:szCs w:val="13"/>
                <w:b w:val="1"/>
                <w:bCs w:val="1"/>
                <w:color w:val="auto"/>
              </w:rPr>
              <w:t>Maturity</w:t>
            </w:r>
          </w:p>
        </w:tc>
        <w:tc>
          <w:tcPr>
            <w:tcW w:w="18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080" w:type="dxa"/>
            <w:vAlign w:val="bottom"/>
            <w:gridSpan w:val="2"/>
          </w:tcPr>
          <w:p>
            <w:pPr>
              <w:jc w:val="center"/>
              <w:ind w:right="120"/>
              <w:spacing w:after="0" w:line="125" w:lineRule="exact"/>
              <w:rPr>
                <w:sz w:val="20"/>
                <w:szCs w:val="20"/>
                <w:color w:val="auto"/>
              </w:rPr>
            </w:pPr>
            <w:r>
              <w:rPr>
                <w:rFonts w:ascii="Arial" w:cs="Arial" w:eastAsia="Arial" w:hAnsi="Arial"/>
                <w:sz w:val="13"/>
                <w:szCs w:val="13"/>
                <w:b w:val="1"/>
                <w:bCs w:val="1"/>
                <w:color w:val="auto"/>
                <w:w w:val="92"/>
              </w:rPr>
              <w:t>Fixed Pay</w:t>
            </w:r>
          </w:p>
        </w:tc>
        <w:tc>
          <w:tcPr>
            <w:tcW w:w="1080" w:type="dxa"/>
            <w:vAlign w:val="bottom"/>
            <w:gridSpan w:val="2"/>
          </w:tcPr>
          <w:p>
            <w:pPr>
              <w:jc w:val="center"/>
              <w:ind w:right="80"/>
              <w:spacing w:after="0" w:line="125" w:lineRule="exact"/>
              <w:rPr>
                <w:sz w:val="20"/>
                <w:szCs w:val="20"/>
                <w:color w:val="auto"/>
              </w:rPr>
            </w:pPr>
            <w:r>
              <w:rPr>
                <w:rFonts w:ascii="Arial" w:cs="Arial" w:eastAsia="Arial" w:hAnsi="Arial"/>
                <w:sz w:val="13"/>
                <w:szCs w:val="13"/>
                <w:b w:val="1"/>
                <w:bCs w:val="1"/>
                <w:color w:val="auto"/>
                <w:w w:val="89"/>
              </w:rPr>
              <w:t>Receive</w:t>
            </w:r>
          </w:p>
        </w:tc>
        <w:tc>
          <w:tcPr>
            <w:tcW w:w="1000" w:type="dxa"/>
            <w:vAlign w:val="bottom"/>
          </w:tcPr>
          <w:p>
            <w:pPr>
              <w:jc w:val="center"/>
              <w:spacing w:after="0" w:line="125" w:lineRule="exact"/>
              <w:rPr>
                <w:sz w:val="20"/>
                <w:szCs w:val="20"/>
                <w:color w:val="auto"/>
              </w:rPr>
            </w:pPr>
            <w:r>
              <w:rPr>
                <w:rFonts w:ascii="Arial" w:cs="Arial" w:eastAsia="Arial" w:hAnsi="Arial"/>
                <w:sz w:val="13"/>
                <w:szCs w:val="13"/>
                <w:b w:val="1"/>
                <w:bCs w:val="1"/>
                <w:color w:val="auto"/>
              </w:rPr>
              <w:t>Maturity</w:t>
            </w:r>
          </w:p>
        </w:tc>
        <w:tc>
          <w:tcPr>
            <w:tcW w:w="0" w:type="dxa"/>
            <w:vAlign w:val="bottom"/>
          </w:tcPr>
          <w:p>
            <w:pPr>
              <w:spacing w:after="0"/>
              <w:rPr>
                <w:sz w:val="1"/>
                <w:szCs w:val="1"/>
                <w:color w:val="auto"/>
              </w:rPr>
            </w:pPr>
          </w:p>
        </w:tc>
      </w:tr>
      <w:tr>
        <w:trPr>
          <w:trHeight w:val="174"/>
        </w:trPr>
        <w:tc>
          <w:tcPr>
            <w:tcW w:w="23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Rate Swaps</w:t>
            </w:r>
          </w:p>
        </w:tc>
        <w:tc>
          <w:tcPr>
            <w:tcW w:w="2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67"/>
              <w:spacing w:after="0"/>
              <w:rPr>
                <w:sz w:val="20"/>
                <w:szCs w:val="20"/>
                <w:color w:val="auto"/>
              </w:rPr>
            </w:pPr>
            <w:r>
              <w:rPr>
                <w:rFonts w:ascii="Arial" w:cs="Arial" w:eastAsia="Arial" w:hAnsi="Arial"/>
                <w:sz w:val="13"/>
                <w:szCs w:val="13"/>
                <w:b w:val="1"/>
                <w:bCs w:val="1"/>
                <w:color w:val="auto"/>
              </w:rPr>
              <w:t>Amount</w:t>
            </w:r>
          </w:p>
        </w:tc>
        <w:tc>
          <w:tcPr>
            <w:tcW w:w="10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Rate</w:t>
            </w:r>
          </w:p>
        </w:tc>
        <w:tc>
          <w:tcPr>
            <w:tcW w:w="10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Rate</w:t>
            </w:r>
          </w:p>
        </w:tc>
        <w:tc>
          <w:tcPr>
            <w:tcW w:w="10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(Years)</w:t>
            </w:r>
          </w:p>
        </w:tc>
        <w:tc>
          <w:tcPr>
            <w:tcW w:w="2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87"/>
              <w:spacing w:after="0"/>
              <w:rPr>
                <w:sz w:val="20"/>
                <w:szCs w:val="20"/>
                <w:color w:val="auto"/>
              </w:rPr>
            </w:pPr>
            <w:r>
              <w:rPr>
                <w:rFonts w:ascii="Arial" w:cs="Arial" w:eastAsia="Arial" w:hAnsi="Arial"/>
                <w:sz w:val="13"/>
                <w:szCs w:val="13"/>
                <w:b w:val="1"/>
                <w:bCs w:val="1"/>
                <w:color w:val="auto"/>
              </w:rPr>
              <w:t>Amount</w:t>
            </w:r>
          </w:p>
        </w:tc>
        <w:tc>
          <w:tcPr>
            <w:tcW w:w="14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Rate</w:t>
            </w:r>
          </w:p>
        </w:tc>
        <w:tc>
          <w:tcPr>
            <w:tcW w:w="10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Rate</w:t>
            </w:r>
          </w:p>
        </w:tc>
        <w:tc>
          <w:tcPr>
            <w:tcW w:w="10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(Years)</w:t>
            </w:r>
          </w:p>
        </w:tc>
        <w:tc>
          <w:tcPr>
            <w:tcW w:w="0" w:type="dxa"/>
            <w:vAlign w:val="bottom"/>
          </w:tcPr>
          <w:p>
            <w:pPr>
              <w:spacing w:after="0"/>
              <w:rPr>
                <w:sz w:val="1"/>
                <w:szCs w:val="1"/>
                <w:color w:val="auto"/>
              </w:rPr>
            </w:pPr>
          </w:p>
        </w:tc>
      </w:tr>
      <w:tr>
        <w:trPr>
          <w:trHeight w:val="194"/>
        </w:trPr>
        <w:tc>
          <w:tcPr>
            <w:tcW w:w="25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 3 years</w:t>
            </w:r>
          </w:p>
        </w:tc>
        <w:tc>
          <w:tcPr>
            <w:tcW w:w="1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95"/>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16,000</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9"/>
              </w:rPr>
              <w:t>0.11%</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9"/>
              </w:rPr>
              <w:t>0.06%</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6"/>
              </w:rPr>
              <w:t>2.3</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95"/>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8,750</w:t>
            </w: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9"/>
              </w:rPr>
              <w:t>0.04%</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9"/>
              </w:rPr>
              <w:t>0.08%</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2.4</w:t>
            </w:r>
          </w:p>
        </w:tc>
        <w:tc>
          <w:tcPr>
            <w:tcW w:w="0" w:type="dxa"/>
            <w:vAlign w:val="bottom"/>
          </w:tcPr>
          <w:p>
            <w:pPr>
              <w:spacing w:after="0"/>
              <w:rPr>
                <w:sz w:val="1"/>
                <w:szCs w:val="1"/>
                <w:color w:val="auto"/>
              </w:rPr>
            </w:pPr>
          </w:p>
        </w:tc>
      </w:tr>
      <w:tr>
        <w:trPr>
          <w:trHeight w:val="197"/>
        </w:trPr>
        <w:tc>
          <w:tcPr>
            <w:tcW w:w="2520" w:type="dxa"/>
            <w:vAlign w:val="bottom"/>
            <w:gridSpan w:val="2"/>
          </w:tcPr>
          <w:p>
            <w:pPr>
              <w:spacing w:after="0"/>
              <w:rPr>
                <w:sz w:val="20"/>
                <w:szCs w:val="20"/>
                <w:color w:val="auto"/>
              </w:rPr>
            </w:pPr>
            <w:r>
              <w:rPr>
                <w:rFonts w:ascii="Arial" w:cs="Arial" w:eastAsia="Arial" w:hAnsi="Arial"/>
                <w:sz w:val="15"/>
                <w:szCs w:val="15"/>
                <w:color w:val="auto"/>
              </w:rPr>
              <w:t>&gt; 3 to ≤ 5 years</w:t>
            </w: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18,500</w:t>
            </w:r>
          </w:p>
        </w:tc>
        <w:tc>
          <w:tcPr>
            <w:tcW w:w="10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5"/>
                <w:szCs w:val="15"/>
                <w:color w:val="auto"/>
                <w:w w:val="89"/>
              </w:rPr>
              <w:t>0.13%</w:t>
            </w:r>
          </w:p>
        </w:tc>
        <w:tc>
          <w:tcPr>
            <w:tcW w:w="10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5"/>
                <w:szCs w:val="15"/>
                <w:color w:val="auto"/>
                <w:w w:val="89"/>
              </w:rPr>
              <w:t>0.06%</w:t>
            </w:r>
          </w:p>
        </w:tc>
        <w:tc>
          <w:tcPr>
            <w:tcW w:w="10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5"/>
                <w:szCs w:val="15"/>
                <w:color w:val="auto"/>
                <w:w w:val="86"/>
              </w:rPr>
              <w:t>3.9</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17,000</w:t>
            </w:r>
          </w:p>
        </w:tc>
        <w:tc>
          <w:tcPr>
            <w:tcW w:w="14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5"/>
                <w:szCs w:val="15"/>
                <w:color w:val="auto"/>
                <w:w w:val="89"/>
              </w:rPr>
              <w:t>0.10%</w:t>
            </w:r>
          </w:p>
        </w:tc>
        <w:tc>
          <w:tcPr>
            <w:tcW w:w="10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5"/>
                <w:szCs w:val="15"/>
                <w:color w:val="auto"/>
                <w:w w:val="89"/>
              </w:rPr>
              <w:t>0.08%</w:t>
            </w:r>
          </w:p>
        </w:tc>
        <w:tc>
          <w:tcPr>
            <w:tcW w:w="10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5"/>
                <w:szCs w:val="15"/>
                <w:color w:val="auto"/>
                <w:w w:val="95"/>
              </w:rPr>
              <w:t>4.1</w:t>
            </w:r>
          </w:p>
        </w:tc>
        <w:tc>
          <w:tcPr>
            <w:tcW w:w="0" w:type="dxa"/>
            <w:vAlign w:val="bottom"/>
          </w:tcPr>
          <w:p>
            <w:pPr>
              <w:spacing w:after="0"/>
              <w:rPr>
                <w:sz w:val="1"/>
                <w:szCs w:val="1"/>
                <w:color w:val="auto"/>
              </w:rPr>
            </w:pPr>
          </w:p>
        </w:tc>
      </w:tr>
      <w:tr>
        <w:trPr>
          <w:trHeight w:val="203"/>
        </w:trPr>
        <w:tc>
          <w:tcPr>
            <w:tcW w:w="25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&gt; 5 to ≤ 7 years</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7,050</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9"/>
              </w:rPr>
              <w:t>0.21%</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9"/>
              </w:rPr>
              <w:t>0.05%</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6"/>
              </w:rPr>
              <w:t>5.5</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9,800</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9"/>
              </w:rPr>
              <w:t>0.21%</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9"/>
              </w:rPr>
              <w:t>0.08%</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5.8</w:t>
            </w:r>
          </w:p>
        </w:tc>
        <w:tc>
          <w:tcPr>
            <w:tcW w:w="0" w:type="dxa"/>
            <w:vAlign w:val="bottom"/>
          </w:tcPr>
          <w:p>
            <w:pPr>
              <w:spacing w:after="0"/>
              <w:rPr>
                <w:sz w:val="1"/>
                <w:szCs w:val="1"/>
                <w:color w:val="auto"/>
              </w:rPr>
            </w:pPr>
          </w:p>
        </w:tc>
      </w:tr>
      <w:tr>
        <w:trPr>
          <w:trHeight w:val="197"/>
        </w:trPr>
        <w:tc>
          <w:tcPr>
            <w:tcW w:w="2520" w:type="dxa"/>
            <w:vAlign w:val="bottom"/>
            <w:gridSpan w:val="2"/>
          </w:tcPr>
          <w:p>
            <w:pPr>
              <w:spacing w:after="0"/>
              <w:rPr>
                <w:sz w:val="20"/>
                <w:szCs w:val="20"/>
                <w:color w:val="auto"/>
              </w:rPr>
            </w:pPr>
            <w:r>
              <w:rPr>
                <w:rFonts w:ascii="Arial" w:cs="Arial" w:eastAsia="Arial" w:hAnsi="Arial"/>
                <w:sz w:val="15"/>
                <w:szCs w:val="15"/>
                <w:color w:val="auto"/>
              </w:rPr>
              <w:t>&gt; 7 to ≤ 10 years</w:t>
            </w: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6,700</w:t>
            </w:r>
          </w:p>
        </w:tc>
        <w:tc>
          <w:tcPr>
            <w:tcW w:w="10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5"/>
                <w:szCs w:val="15"/>
                <w:color w:val="auto"/>
                <w:w w:val="89"/>
              </w:rPr>
              <w:t>0.36%</w:t>
            </w:r>
          </w:p>
        </w:tc>
        <w:tc>
          <w:tcPr>
            <w:tcW w:w="10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5"/>
                <w:szCs w:val="15"/>
                <w:color w:val="auto"/>
                <w:w w:val="89"/>
              </w:rPr>
              <w:t>0.05%</w:t>
            </w:r>
          </w:p>
        </w:tc>
        <w:tc>
          <w:tcPr>
            <w:tcW w:w="10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5"/>
                <w:szCs w:val="15"/>
                <w:color w:val="auto"/>
                <w:w w:val="86"/>
              </w:rPr>
              <w:t>8.1</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6,200</w:t>
            </w:r>
          </w:p>
        </w:tc>
        <w:tc>
          <w:tcPr>
            <w:tcW w:w="14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5"/>
                <w:szCs w:val="15"/>
                <w:color w:val="auto"/>
                <w:w w:val="89"/>
              </w:rPr>
              <w:t>0.28%</w:t>
            </w:r>
          </w:p>
        </w:tc>
        <w:tc>
          <w:tcPr>
            <w:tcW w:w="10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Arial" w:cs="Arial" w:eastAsia="Arial" w:hAnsi="Arial"/>
                <w:sz w:val="15"/>
                <w:szCs w:val="15"/>
                <w:color w:val="auto"/>
                <w:w w:val="89"/>
              </w:rPr>
              <w:t>0.07%</w:t>
            </w:r>
          </w:p>
        </w:tc>
        <w:tc>
          <w:tcPr>
            <w:tcW w:w="10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Arial" w:cs="Arial" w:eastAsia="Arial" w:hAnsi="Arial"/>
                <w:sz w:val="15"/>
                <w:szCs w:val="15"/>
                <w:color w:val="auto"/>
                <w:w w:val="95"/>
              </w:rPr>
              <w:t>8.5</w:t>
            </w:r>
          </w:p>
        </w:tc>
        <w:tc>
          <w:tcPr>
            <w:tcW w:w="0" w:type="dxa"/>
            <w:vAlign w:val="bottom"/>
          </w:tcPr>
          <w:p>
            <w:pPr>
              <w:spacing w:after="0"/>
              <w:rPr>
                <w:sz w:val="1"/>
                <w:szCs w:val="1"/>
                <w:color w:val="auto"/>
              </w:rPr>
            </w:pPr>
          </w:p>
        </w:tc>
      </w:tr>
      <w:tr>
        <w:trPr>
          <w:trHeight w:val="200"/>
        </w:trPr>
        <w:tc>
          <w:tcPr>
            <w:tcW w:w="25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&gt; 10 years</w:t>
            </w:r>
          </w:p>
        </w:tc>
        <w:tc>
          <w:tcPr>
            <w:tcW w:w="1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1,475</w:t>
            </w:r>
          </w:p>
        </w:tc>
        <w:tc>
          <w:tcPr>
            <w:tcW w:w="10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89"/>
              </w:rPr>
              <w:t>0.47%</w:t>
            </w:r>
          </w:p>
        </w:tc>
        <w:tc>
          <w:tcPr>
            <w:tcW w:w="10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89"/>
              </w:rPr>
              <w:t>0.06%</w:t>
            </w:r>
          </w:p>
        </w:tc>
        <w:tc>
          <w:tcPr>
            <w:tcW w:w="10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88"/>
              </w:rPr>
              <w:t>13.7</w:t>
            </w:r>
          </w:p>
        </w:tc>
        <w:tc>
          <w:tcPr>
            <w:tcW w:w="2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1,475</w:t>
            </w:r>
          </w:p>
        </w:tc>
        <w:tc>
          <w:tcPr>
            <w:tcW w:w="14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89"/>
              </w:rPr>
              <w:t>0.47%</w:t>
            </w:r>
          </w:p>
        </w:tc>
        <w:tc>
          <w:tcPr>
            <w:tcW w:w="100" w:type="dxa"/>
            <w:vAlign w:val="bottom"/>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89"/>
              </w:rPr>
              <w:t>0.07%</w:t>
            </w:r>
          </w:p>
        </w:tc>
        <w:tc>
          <w:tcPr>
            <w:tcW w:w="100" w:type="dxa"/>
            <w:vAlign w:val="bottom"/>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88"/>
              </w:rPr>
              <w:t>14.2</w:t>
            </w:r>
          </w:p>
        </w:tc>
        <w:tc>
          <w:tcPr>
            <w:tcW w:w="0" w:type="dxa"/>
            <w:vAlign w:val="bottom"/>
          </w:tcPr>
          <w:p>
            <w:pPr>
              <w:spacing w:after="0"/>
              <w:rPr>
                <w:sz w:val="1"/>
                <w:szCs w:val="1"/>
                <w:color w:val="auto"/>
              </w:rPr>
            </w:pPr>
          </w:p>
        </w:tc>
      </w:tr>
      <w:tr>
        <w:trPr>
          <w:trHeight w:val="195"/>
        </w:trPr>
        <w:tc>
          <w:tcPr>
            <w:tcW w:w="2520" w:type="dxa"/>
            <w:vAlign w:val="bottom"/>
            <w:gridSpan w:val="2"/>
          </w:tcPr>
          <w:p>
            <w:pPr>
              <w:spacing w:after="0"/>
              <w:rPr>
                <w:sz w:val="20"/>
                <w:szCs w:val="20"/>
                <w:color w:val="auto"/>
              </w:rPr>
            </w:pPr>
            <w:r>
              <w:rPr>
                <w:rFonts w:ascii="Arial" w:cs="Arial" w:eastAsia="Arial" w:hAnsi="Arial"/>
                <w:sz w:val="15"/>
                <w:szCs w:val="15"/>
                <w:color w:val="auto"/>
              </w:rPr>
              <w:t>Total</w:t>
            </w:r>
          </w:p>
        </w:tc>
        <w:tc>
          <w:tcPr>
            <w:tcW w:w="18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95"/>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49,725</w:t>
            </w:r>
          </w:p>
        </w:tc>
        <w:tc>
          <w:tcPr>
            <w:tcW w:w="100" w:type="dxa"/>
            <w:vAlign w:val="bottom"/>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89"/>
              </w:rPr>
              <w:t>0.18%</w:t>
            </w:r>
          </w:p>
        </w:tc>
        <w:tc>
          <w:tcPr>
            <w:tcW w:w="100" w:type="dxa"/>
            <w:vAlign w:val="bottom"/>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89"/>
              </w:rPr>
              <w:t>0.06%</w:t>
            </w:r>
          </w:p>
        </w:tc>
        <w:tc>
          <w:tcPr>
            <w:tcW w:w="100" w:type="dxa"/>
            <w:vAlign w:val="bottom"/>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86"/>
              </w:rPr>
              <w:t>4.4</w:t>
            </w:r>
          </w:p>
        </w:tc>
        <w:tc>
          <w:tcPr>
            <w:tcW w:w="200" w:type="dxa"/>
            <w:vAlign w:val="bottom"/>
          </w:tcPr>
          <w:p>
            <w:pPr>
              <w:spacing w:after="0"/>
              <w:rPr>
                <w:sz w:val="16"/>
                <w:szCs w:val="16"/>
                <w:color w:val="auto"/>
              </w:rPr>
            </w:pPr>
          </w:p>
        </w:tc>
        <w:tc>
          <w:tcPr>
            <w:tcW w:w="18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95"/>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43,225</w:t>
            </w:r>
          </w:p>
        </w:tc>
        <w:tc>
          <w:tcPr>
            <w:tcW w:w="140" w:type="dxa"/>
            <w:vAlign w:val="bottom"/>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89"/>
              </w:rPr>
              <w:t>0.15%</w:t>
            </w:r>
          </w:p>
        </w:tc>
        <w:tc>
          <w:tcPr>
            <w:tcW w:w="100" w:type="dxa"/>
            <w:vAlign w:val="bottom"/>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89"/>
              </w:rPr>
              <w:t>0.08%</w:t>
            </w:r>
          </w:p>
        </w:tc>
        <w:tc>
          <w:tcPr>
            <w:tcW w:w="100" w:type="dxa"/>
            <w:vAlign w:val="bottom"/>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5"/>
              </w:rPr>
              <w:t>5.1</w:t>
            </w: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tbl>
      <w:tblPr>
        <w:tblLayout w:type="fixed"/>
        <w:tblInd w:w="2020" w:type="dxa"/>
        <w:tblCellMar>
          <w:top w:w="0" w:type="dxa"/>
          <w:left w:w="0" w:type="dxa"/>
          <w:bottom w:w="0" w:type="dxa"/>
          <w:right w:w="0" w:type="dxa"/>
        </w:tblCellMar>
      </w:tblPr>
      <w:tr>
        <w:trPr>
          <w:trHeight w:val="149"/>
        </w:trPr>
        <w:tc>
          <w:tcPr>
            <w:tcW w:w="3800" w:type="dxa"/>
            <w:vAlign w:val="bottom"/>
            <w:gridSpan w:val="2"/>
          </w:tcPr>
          <w:p>
            <w:pPr>
              <w:spacing w:after="0"/>
              <w:rPr>
                <w:sz w:val="20"/>
                <w:szCs w:val="20"/>
                <w:color w:val="auto"/>
              </w:rPr>
            </w:pPr>
            <w:r>
              <w:rPr>
                <w:rFonts w:ascii="Arial" w:cs="Arial" w:eastAsia="Arial" w:hAnsi="Arial"/>
                <w:sz w:val="13"/>
                <w:szCs w:val="13"/>
                <w:b w:val="1"/>
                <w:bCs w:val="1"/>
                <w:color w:val="auto"/>
              </w:rPr>
              <w:t>Pay Fixed / Receive Variable Interest Rate Swaps by Receive</w:t>
            </w:r>
          </w:p>
        </w:tc>
        <w:tc>
          <w:tcPr>
            <w:tcW w:w="1800" w:type="dxa"/>
            <w:vAlign w:val="bottom"/>
            <w:gridSpan w:val="2"/>
          </w:tcPr>
          <w:p>
            <w:pPr>
              <w:ind w:left="560"/>
              <w:spacing w:after="0"/>
              <w:rPr>
                <w:sz w:val="20"/>
                <w:szCs w:val="20"/>
                <w:color w:val="auto"/>
              </w:rPr>
            </w:pPr>
            <w:r>
              <w:rPr>
                <w:rFonts w:ascii="Arial" w:cs="Arial" w:eastAsia="Arial" w:hAnsi="Arial"/>
                <w:sz w:val="13"/>
                <w:szCs w:val="13"/>
                <w:b w:val="1"/>
                <w:bCs w:val="1"/>
                <w:color w:val="auto"/>
              </w:rPr>
              <w:t>June 30,</w:t>
            </w:r>
          </w:p>
        </w:tc>
        <w:tc>
          <w:tcPr>
            <w:tcW w:w="1620" w:type="dxa"/>
            <w:vAlign w:val="bottom"/>
            <w:vMerge w:val="restart"/>
          </w:tcPr>
          <w:p>
            <w:pPr>
              <w:jc w:val="right"/>
              <w:ind w:right="207"/>
              <w:spacing w:after="0"/>
              <w:rPr>
                <w:sz w:val="20"/>
                <w:szCs w:val="20"/>
                <w:color w:val="auto"/>
              </w:rPr>
            </w:pPr>
            <w:r>
              <w:rPr>
                <w:rFonts w:ascii="Arial" w:cs="Arial" w:eastAsia="Arial" w:hAnsi="Arial"/>
                <w:sz w:val="13"/>
                <w:szCs w:val="13"/>
                <w:b w:val="1"/>
                <w:bCs w:val="1"/>
                <w:color w:val="auto"/>
              </w:rPr>
              <w:t>December 31, 2020</w:t>
            </w:r>
          </w:p>
        </w:tc>
        <w:tc>
          <w:tcPr>
            <w:tcW w:w="0" w:type="dxa"/>
            <w:vAlign w:val="bottom"/>
          </w:tcPr>
          <w:p>
            <w:pPr>
              <w:spacing w:after="0"/>
              <w:rPr>
                <w:sz w:val="1"/>
                <w:szCs w:val="1"/>
                <w:color w:val="auto"/>
              </w:rPr>
            </w:pPr>
          </w:p>
        </w:tc>
      </w:tr>
      <w:tr>
        <w:trPr>
          <w:trHeight w:val="174"/>
        </w:trPr>
        <w:tc>
          <w:tcPr>
            <w:tcW w:w="36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Index (% of Notional Amount)</w:t>
            </w:r>
          </w:p>
        </w:tc>
        <w:tc>
          <w:tcPr>
            <w:tcW w:w="200" w:type="dxa"/>
            <w:vAlign w:val="bottom"/>
          </w:tcPr>
          <w:p>
            <w:pPr>
              <w:spacing w:after="0"/>
              <w:rPr>
                <w:sz w:val="15"/>
                <w:szCs w:val="15"/>
                <w:color w:val="auto"/>
              </w:rPr>
            </w:pPr>
          </w:p>
        </w:tc>
        <w:tc>
          <w:tcPr>
            <w:tcW w:w="1600" w:type="dxa"/>
            <w:vAlign w:val="bottom"/>
            <w:tcBorders>
              <w:bottom w:val="single" w:sz="8" w:color="auto"/>
            </w:tcBorders>
          </w:tcPr>
          <w:p>
            <w:pPr>
              <w:jc w:val="right"/>
              <w:ind w:right="588"/>
              <w:spacing w:after="0"/>
              <w:rPr>
                <w:sz w:val="20"/>
                <w:szCs w:val="20"/>
                <w:color w:val="auto"/>
              </w:rPr>
            </w:pPr>
            <w:r>
              <w:rPr>
                <w:rFonts w:ascii="Arial" w:cs="Arial" w:eastAsia="Arial" w:hAnsi="Arial"/>
                <w:sz w:val="13"/>
                <w:szCs w:val="13"/>
                <w:b w:val="1"/>
                <w:bCs w:val="1"/>
                <w:color w:val="auto"/>
              </w:rPr>
              <w:t>2021</w:t>
            </w:r>
          </w:p>
        </w:tc>
        <w:tc>
          <w:tcPr>
            <w:tcW w:w="200" w:type="dxa"/>
            <w:vAlign w:val="bottom"/>
          </w:tcPr>
          <w:p>
            <w:pPr>
              <w:spacing w:after="0"/>
              <w:rPr>
                <w:sz w:val="15"/>
                <w:szCs w:val="15"/>
                <w:color w:val="auto"/>
              </w:rPr>
            </w:pPr>
          </w:p>
        </w:tc>
        <w:tc>
          <w:tcPr>
            <w:tcW w:w="16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800" w:type="dxa"/>
            <w:vAlign w:val="bottom"/>
            <w:gridSpan w:val="2"/>
          </w:tcPr>
          <w:p>
            <w:pPr>
              <w:spacing w:after="0"/>
              <w:rPr>
                <w:sz w:val="20"/>
                <w:szCs w:val="20"/>
                <w:color w:val="auto"/>
              </w:rPr>
            </w:pPr>
            <w:r>
              <w:rPr>
                <w:rFonts w:ascii="Arial" w:cs="Arial" w:eastAsia="Arial" w:hAnsi="Arial"/>
                <w:sz w:val="15"/>
                <w:szCs w:val="15"/>
                <w:color w:val="auto"/>
              </w:rPr>
              <w:t>SOFR</w:t>
            </w:r>
          </w:p>
        </w:tc>
        <w:tc>
          <w:tcPr>
            <w:tcW w:w="1600" w:type="dxa"/>
            <w:vAlign w:val="bottom"/>
          </w:tcPr>
          <w:p>
            <w:pPr>
              <w:jc w:val="right"/>
              <w:spacing w:after="0"/>
              <w:rPr>
                <w:sz w:val="20"/>
                <w:szCs w:val="20"/>
                <w:color w:val="auto"/>
              </w:rPr>
            </w:pPr>
            <w:r>
              <w:rPr>
                <w:rFonts w:ascii="Arial" w:cs="Arial" w:eastAsia="Arial" w:hAnsi="Arial"/>
                <w:sz w:val="15"/>
                <w:szCs w:val="15"/>
                <w:color w:val="auto"/>
              </w:rPr>
              <w:t>74 %</w:t>
            </w:r>
          </w:p>
        </w:tc>
        <w:tc>
          <w:tcPr>
            <w:tcW w:w="200" w:type="dxa"/>
            <w:vAlign w:val="bottom"/>
          </w:tcPr>
          <w:p>
            <w:pPr>
              <w:spacing w:after="0"/>
              <w:rPr>
                <w:sz w:val="16"/>
                <w:szCs w:val="16"/>
                <w:color w:val="auto"/>
              </w:rPr>
            </w:pPr>
          </w:p>
        </w:tc>
        <w:tc>
          <w:tcPr>
            <w:tcW w:w="1620" w:type="dxa"/>
            <w:vAlign w:val="bottom"/>
          </w:tcPr>
          <w:p>
            <w:pPr>
              <w:jc w:val="right"/>
              <w:spacing w:after="0"/>
              <w:rPr>
                <w:sz w:val="20"/>
                <w:szCs w:val="20"/>
                <w:color w:val="auto"/>
              </w:rPr>
            </w:pPr>
            <w:r>
              <w:rPr>
                <w:rFonts w:ascii="Arial" w:cs="Arial" w:eastAsia="Arial" w:hAnsi="Arial"/>
                <w:sz w:val="15"/>
                <w:szCs w:val="15"/>
                <w:color w:val="auto"/>
              </w:rPr>
              <w:t>71 %</w:t>
            </w:r>
          </w:p>
        </w:tc>
        <w:tc>
          <w:tcPr>
            <w:tcW w:w="0" w:type="dxa"/>
            <w:vAlign w:val="bottom"/>
          </w:tcPr>
          <w:p>
            <w:pPr>
              <w:spacing w:after="0"/>
              <w:rPr>
                <w:sz w:val="1"/>
                <w:szCs w:val="1"/>
                <w:color w:val="auto"/>
              </w:rPr>
            </w:pPr>
          </w:p>
        </w:tc>
      </w:tr>
      <w:tr>
        <w:trPr>
          <w:trHeight w:val="200"/>
        </w:trPr>
        <w:tc>
          <w:tcPr>
            <w:tcW w:w="38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OIS</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26 %</w:t>
            </w:r>
          </w:p>
        </w:tc>
        <w:tc>
          <w:tcPr>
            <w:tcW w:w="200" w:type="dxa"/>
            <w:vAlign w:val="bottom"/>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29 %</w:t>
            </w:r>
          </w:p>
        </w:tc>
        <w:tc>
          <w:tcPr>
            <w:tcW w:w="0" w:type="dxa"/>
            <w:vAlign w:val="bottom"/>
          </w:tcPr>
          <w:p>
            <w:pPr>
              <w:spacing w:after="0"/>
              <w:rPr>
                <w:sz w:val="1"/>
                <w:szCs w:val="1"/>
                <w:color w:val="auto"/>
              </w:rPr>
            </w:pPr>
          </w:p>
        </w:tc>
      </w:tr>
      <w:tr>
        <w:trPr>
          <w:trHeight w:val="195"/>
        </w:trPr>
        <w:tc>
          <w:tcPr>
            <w:tcW w:w="3800" w:type="dxa"/>
            <w:vAlign w:val="bottom"/>
            <w:gridSpan w:val="2"/>
          </w:tcPr>
          <w:p>
            <w:pPr>
              <w:spacing w:after="0"/>
              <w:rPr>
                <w:sz w:val="20"/>
                <w:szCs w:val="20"/>
                <w:color w:val="auto"/>
              </w:rPr>
            </w:pPr>
            <w:r>
              <w:rPr>
                <w:rFonts w:ascii="Arial" w:cs="Arial" w:eastAsia="Arial" w:hAnsi="Arial"/>
                <w:sz w:val="15"/>
                <w:szCs w:val="15"/>
                <w:color w:val="auto"/>
              </w:rPr>
              <w:t>Total</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100 %</w:t>
            </w:r>
          </w:p>
        </w:tc>
        <w:tc>
          <w:tcPr>
            <w:tcW w:w="200" w:type="dxa"/>
            <w:vAlign w:val="bottom"/>
          </w:tcPr>
          <w:p>
            <w:pPr>
              <w:spacing w:after="0"/>
              <w:rPr>
                <w:sz w:val="16"/>
                <w:szCs w:val="16"/>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100 %</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type w:val="continuous"/>
        </w:sectPr>
      </w:pPr>
    </w:p>
    <w:bookmarkStart w:id="16" w:name="page17"/>
    <w:bookmarkEnd w:id="16"/>
    <w:tbl>
      <w:tblPr>
        <w:tblLayout w:type="fixed"/>
        <w:tblInd w:w="0" w:type="dxa"/>
        <w:tblCellMar>
          <w:top w:w="0" w:type="dxa"/>
          <w:left w:w="0" w:type="dxa"/>
          <w:bottom w:w="0" w:type="dxa"/>
          <w:right w:w="0" w:type="dxa"/>
        </w:tblCellMar>
      </w:tblPr>
      <w:tr>
        <w:trPr>
          <w:trHeight w:val="178"/>
        </w:trPr>
        <w:tc>
          <w:tcPr>
            <w:tcW w:w="4140" w:type="dxa"/>
            <w:vAlign w:val="bottom"/>
            <w:gridSpan w:val="2"/>
          </w:tcPr>
          <w:p>
            <w:pPr>
              <w:ind w:left="20"/>
              <w:spacing w:after="0"/>
              <w:rPr>
                <w:sz w:val="20"/>
                <w:szCs w:val="20"/>
                <w:color w:val="auto"/>
              </w:rPr>
            </w:pPr>
            <w:r>
              <w:rPr>
                <w:rFonts w:ascii="Arial" w:cs="Arial" w:eastAsia="Arial" w:hAnsi="Arial"/>
                <w:sz w:val="13"/>
                <w:szCs w:val="13"/>
                <w:b w:val="1"/>
                <w:bCs w:val="1"/>
                <w:color w:val="auto"/>
              </w:rPr>
              <w:t>Swaptions</w:t>
            </w: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ind w:left="200"/>
              <w:spacing w:after="0"/>
              <w:rPr>
                <w:sz w:val="20"/>
                <w:szCs w:val="20"/>
                <w:color w:val="auto"/>
              </w:rPr>
            </w:pPr>
            <w:r>
              <w:rPr>
                <w:rFonts w:ascii="Arial" w:cs="Arial" w:eastAsia="Arial" w:hAnsi="Arial"/>
                <w:sz w:val="13"/>
                <w:szCs w:val="13"/>
                <w:b w:val="1"/>
                <w:bCs w:val="1"/>
                <w:color w:val="auto"/>
              </w:rPr>
              <w:t>Option</w:t>
            </w: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520" w:type="dxa"/>
            <w:vAlign w:val="bottom"/>
            <w:gridSpan w:val="5"/>
          </w:tcPr>
          <w:p>
            <w:pPr>
              <w:jc w:val="center"/>
              <w:ind w:right="120"/>
              <w:spacing w:after="0"/>
              <w:rPr>
                <w:sz w:val="20"/>
                <w:szCs w:val="20"/>
                <w:color w:val="auto"/>
              </w:rPr>
            </w:pPr>
            <w:r>
              <w:rPr>
                <w:rFonts w:ascii="Arial" w:cs="Arial" w:eastAsia="Arial" w:hAnsi="Arial"/>
                <w:sz w:val="13"/>
                <w:szCs w:val="13"/>
                <w:b w:val="1"/>
                <w:bCs w:val="1"/>
                <w:color w:val="auto"/>
                <w:w w:val="94"/>
              </w:rPr>
              <w:t>Underlying Payer Swap</w:t>
            </w: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40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3"/>
                <w:szCs w:val="13"/>
                <w:b w:val="1"/>
                <w:bCs w:val="1"/>
                <w:color w:val="auto"/>
                <w:w w:val="89"/>
              </w:rPr>
              <w:t>Average</w:t>
            </w:r>
          </w:p>
        </w:tc>
        <w:tc>
          <w:tcPr>
            <w:tcW w:w="1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vMerge w:val="restart"/>
          </w:tcPr>
          <w:p>
            <w:pPr>
              <w:jc w:val="center"/>
              <w:ind w:right="87"/>
              <w:spacing w:after="0"/>
              <w:rPr>
                <w:sz w:val="20"/>
                <w:szCs w:val="20"/>
                <w:color w:val="auto"/>
              </w:rPr>
            </w:pPr>
            <w:r>
              <w:rPr>
                <w:rFonts w:ascii="Arial" w:cs="Arial" w:eastAsia="Arial" w:hAnsi="Arial"/>
                <w:sz w:val="13"/>
                <w:szCs w:val="13"/>
                <w:b w:val="1"/>
                <w:bCs w:val="1"/>
                <w:color w:val="auto"/>
                <w:w w:val="93"/>
              </w:rPr>
              <w:t>Average</w:t>
            </w:r>
          </w:p>
        </w:tc>
        <w:tc>
          <w:tcPr>
            <w:tcW w:w="0" w:type="dxa"/>
            <w:vAlign w:val="bottom"/>
          </w:tcPr>
          <w:p>
            <w:pPr>
              <w:spacing w:after="0"/>
              <w:rPr>
                <w:sz w:val="1"/>
                <w:szCs w:val="1"/>
                <w:color w:val="auto"/>
              </w:rPr>
            </w:pPr>
          </w:p>
        </w:tc>
      </w:tr>
      <w:tr>
        <w:trPr>
          <w:trHeight w:val="125"/>
        </w:trPr>
        <w:tc>
          <w:tcPr>
            <w:tcW w:w="4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tcPr>
          <w:p>
            <w:pPr>
              <w:jc w:val="center"/>
              <w:ind w:right="80"/>
              <w:spacing w:after="0" w:line="125" w:lineRule="exact"/>
              <w:rPr>
                <w:sz w:val="20"/>
                <w:szCs w:val="20"/>
                <w:color w:val="auto"/>
              </w:rPr>
            </w:pPr>
            <w:r>
              <w:rPr>
                <w:rFonts w:ascii="Arial" w:cs="Arial" w:eastAsia="Arial" w:hAnsi="Arial"/>
                <w:sz w:val="13"/>
                <w:szCs w:val="13"/>
                <w:b w:val="1"/>
                <w:bCs w:val="1"/>
                <w:color w:val="auto"/>
                <w:w w:val="95"/>
              </w:rPr>
              <w:t>Months to Current</w:t>
            </w:r>
          </w:p>
        </w:tc>
        <w:tc>
          <w:tcPr>
            <w:tcW w:w="200" w:type="dxa"/>
            <w:vAlign w:val="bottom"/>
          </w:tcPr>
          <w:p>
            <w:pPr>
              <w:spacing w:after="0"/>
              <w:rPr>
                <w:sz w:val="10"/>
                <w:szCs w:val="10"/>
                <w:color w:val="auto"/>
              </w:rPr>
            </w:pPr>
          </w:p>
        </w:tc>
        <w:tc>
          <w:tcPr>
            <w:tcW w:w="860" w:type="dxa"/>
            <w:vAlign w:val="bottom"/>
            <w:vMerge w:val="restart"/>
          </w:tcPr>
          <w:p>
            <w:pPr>
              <w:jc w:val="right"/>
              <w:ind w:right="187"/>
              <w:spacing w:after="0"/>
              <w:rPr>
                <w:sz w:val="20"/>
                <w:szCs w:val="20"/>
                <w:color w:val="auto"/>
              </w:rPr>
            </w:pPr>
            <w:r>
              <w:rPr>
                <w:rFonts w:ascii="Arial" w:cs="Arial" w:eastAsia="Arial" w:hAnsi="Arial"/>
                <w:sz w:val="13"/>
                <w:szCs w:val="13"/>
                <w:b w:val="1"/>
                <w:bCs w:val="1"/>
                <w:color w:val="auto"/>
              </w:rPr>
              <w:t>Notional</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gridSpan w:val="3"/>
            <w:vMerge w:val="restart"/>
          </w:tcPr>
          <w:p>
            <w:pPr>
              <w:jc w:val="center"/>
              <w:ind w:right="280"/>
              <w:spacing w:after="0"/>
              <w:rPr>
                <w:sz w:val="20"/>
                <w:szCs w:val="20"/>
                <w:color w:val="auto"/>
              </w:rPr>
            </w:pPr>
            <w:r>
              <w:rPr>
                <w:rFonts w:ascii="Arial" w:cs="Arial" w:eastAsia="Arial" w:hAnsi="Arial"/>
                <w:sz w:val="13"/>
                <w:szCs w:val="13"/>
                <w:b w:val="1"/>
                <w:bCs w:val="1"/>
                <w:color w:val="auto"/>
                <w:w w:val="91"/>
              </w:rPr>
              <w:t>Average Fixed Pay</w:t>
            </w: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404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Current Option Expiration Date</w:t>
            </w:r>
          </w:p>
        </w:tc>
        <w:tc>
          <w:tcPr>
            <w:tcW w:w="100" w:type="dxa"/>
            <w:vAlign w:val="bottom"/>
            <w:vMerge w:val="restart"/>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vMerge w:val="restart"/>
          </w:tcPr>
          <w:p>
            <w:pPr>
              <w:jc w:val="right"/>
              <w:ind w:right="186"/>
              <w:spacing w:after="0"/>
              <w:rPr>
                <w:sz w:val="20"/>
                <w:szCs w:val="20"/>
                <w:color w:val="auto"/>
              </w:rPr>
            </w:pPr>
            <w:r>
              <w:rPr>
                <w:rFonts w:ascii="Arial" w:cs="Arial" w:eastAsia="Arial" w:hAnsi="Arial"/>
                <w:sz w:val="13"/>
                <w:szCs w:val="13"/>
                <w:b w:val="1"/>
                <w:bCs w:val="1"/>
                <w:color w:val="auto"/>
                <w:w w:val="95"/>
              </w:rPr>
              <w:t>Cost Basis</w:t>
            </w:r>
          </w:p>
        </w:tc>
        <w:tc>
          <w:tcPr>
            <w:tcW w:w="10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vMerge w:val="restart"/>
          </w:tcPr>
          <w:p>
            <w:pPr>
              <w:jc w:val="right"/>
              <w:ind w:right="187"/>
              <w:spacing w:after="0"/>
              <w:rPr>
                <w:sz w:val="20"/>
                <w:szCs w:val="20"/>
                <w:color w:val="auto"/>
              </w:rPr>
            </w:pPr>
            <w:r>
              <w:rPr>
                <w:rFonts w:ascii="Arial" w:cs="Arial" w:eastAsia="Arial" w:hAnsi="Arial"/>
                <w:sz w:val="13"/>
                <w:szCs w:val="13"/>
                <w:b w:val="1"/>
                <w:bCs w:val="1"/>
                <w:color w:val="auto"/>
              </w:rPr>
              <w:t>Fair Value</w:t>
            </w:r>
          </w:p>
        </w:tc>
        <w:tc>
          <w:tcPr>
            <w:tcW w:w="100" w:type="dxa"/>
            <w:vAlign w:val="bottom"/>
            <w:vMerge w:val="restart"/>
          </w:tcPr>
          <w:p>
            <w:pPr>
              <w:spacing w:after="0"/>
              <w:rPr>
                <w:sz w:val="10"/>
                <w:szCs w:val="10"/>
                <w:color w:val="auto"/>
              </w:rPr>
            </w:pPr>
          </w:p>
        </w:tc>
        <w:tc>
          <w:tcPr>
            <w:tcW w:w="1200" w:type="dxa"/>
            <w:vAlign w:val="bottom"/>
            <w:gridSpan w:val="2"/>
          </w:tcPr>
          <w:p>
            <w:pPr>
              <w:jc w:val="center"/>
              <w:ind w:right="80"/>
              <w:spacing w:after="0" w:line="125" w:lineRule="exact"/>
              <w:rPr>
                <w:sz w:val="20"/>
                <w:szCs w:val="20"/>
                <w:color w:val="auto"/>
              </w:rPr>
            </w:pPr>
            <w:r>
              <w:rPr>
                <w:rFonts w:ascii="Arial" w:cs="Arial" w:eastAsia="Arial" w:hAnsi="Arial"/>
                <w:sz w:val="13"/>
                <w:szCs w:val="13"/>
                <w:b w:val="1"/>
                <w:bCs w:val="1"/>
                <w:color w:val="auto"/>
                <w:w w:val="95"/>
              </w:rPr>
              <w:t>Option</w:t>
            </w:r>
          </w:p>
        </w:tc>
        <w:tc>
          <w:tcPr>
            <w:tcW w:w="20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80" w:type="dxa"/>
            <w:vAlign w:val="bottom"/>
            <w:gridSpan w:val="3"/>
            <w:vMerge w:val="continue"/>
          </w:tcPr>
          <w:p>
            <w:pPr>
              <w:spacing w:after="0"/>
              <w:rPr>
                <w:sz w:val="10"/>
                <w:szCs w:val="10"/>
                <w:color w:val="auto"/>
              </w:rPr>
            </w:pPr>
          </w:p>
        </w:tc>
        <w:tc>
          <w:tcPr>
            <w:tcW w:w="920" w:type="dxa"/>
            <w:vAlign w:val="bottom"/>
          </w:tcPr>
          <w:p>
            <w:pPr>
              <w:jc w:val="center"/>
              <w:ind w:right="87"/>
              <w:spacing w:after="0" w:line="125" w:lineRule="exact"/>
              <w:rPr>
                <w:sz w:val="20"/>
                <w:szCs w:val="20"/>
                <w:color w:val="auto"/>
              </w:rPr>
            </w:pPr>
            <w:r>
              <w:rPr>
                <w:rFonts w:ascii="Arial" w:cs="Arial" w:eastAsia="Arial" w:hAnsi="Arial"/>
                <w:sz w:val="13"/>
                <w:szCs w:val="13"/>
                <w:b w:val="1"/>
                <w:bCs w:val="1"/>
                <w:color w:val="auto"/>
              </w:rPr>
              <w:t>Term</w:t>
            </w:r>
          </w:p>
        </w:tc>
        <w:tc>
          <w:tcPr>
            <w:tcW w:w="0" w:type="dxa"/>
            <w:vAlign w:val="bottom"/>
          </w:tcPr>
          <w:p>
            <w:pPr>
              <w:spacing w:after="0"/>
              <w:rPr>
                <w:sz w:val="1"/>
                <w:szCs w:val="1"/>
                <w:color w:val="auto"/>
              </w:rPr>
            </w:pPr>
          </w:p>
        </w:tc>
      </w:tr>
      <w:tr>
        <w:trPr>
          <w:trHeight w:val="174"/>
        </w:trPr>
        <w:tc>
          <w:tcPr>
            <w:tcW w:w="40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 xml:space="preserve">Expiration Date </w:t>
            </w:r>
            <w:r>
              <w:rPr>
                <w:rFonts w:ascii="Arial" w:cs="Arial" w:eastAsia="Arial" w:hAnsi="Arial"/>
                <w:sz w:val="8"/>
                <w:szCs w:val="8"/>
                <w:b w:val="1"/>
                <w:bCs w:val="1"/>
                <w:color w:val="auto"/>
                <w:w w:val="94"/>
              </w:rPr>
              <w:t>1</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87"/>
              <w:spacing w:after="0"/>
              <w:rPr>
                <w:sz w:val="20"/>
                <w:szCs w:val="20"/>
                <w:color w:val="auto"/>
              </w:rPr>
            </w:pPr>
            <w:r>
              <w:rPr>
                <w:rFonts w:ascii="Arial" w:cs="Arial" w:eastAsia="Arial" w:hAnsi="Arial"/>
                <w:sz w:val="13"/>
                <w:szCs w:val="13"/>
                <w:b w:val="1"/>
                <w:bCs w:val="1"/>
                <w:color w:val="auto"/>
              </w:rPr>
              <w:t>Amount</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 xml:space="preserve">Rate </w:t>
            </w:r>
            <w:r>
              <w:rPr>
                <w:rFonts w:ascii="Arial" w:cs="Arial" w:eastAsia="Arial" w:hAnsi="Arial"/>
                <w:sz w:val="8"/>
                <w:szCs w:val="8"/>
                <w:b w:val="1"/>
                <w:bCs w:val="1"/>
                <w:color w:val="auto"/>
                <w:w w:val="93"/>
              </w:rPr>
              <w:t>2</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87"/>
              <w:spacing w:after="0"/>
              <w:rPr>
                <w:sz w:val="20"/>
                <w:szCs w:val="20"/>
                <w:color w:val="auto"/>
              </w:rPr>
            </w:pPr>
            <w:r>
              <w:rPr>
                <w:rFonts w:ascii="Arial" w:cs="Arial" w:eastAsia="Arial" w:hAnsi="Arial"/>
                <w:sz w:val="13"/>
                <w:szCs w:val="13"/>
                <w:b w:val="1"/>
                <w:bCs w:val="1"/>
                <w:color w:val="auto"/>
                <w:w w:val="90"/>
              </w:rPr>
              <w:t>(Years)</w:t>
            </w:r>
          </w:p>
        </w:tc>
        <w:tc>
          <w:tcPr>
            <w:tcW w:w="0" w:type="dxa"/>
            <w:vAlign w:val="bottom"/>
          </w:tcPr>
          <w:p>
            <w:pPr>
              <w:spacing w:after="0"/>
              <w:rPr>
                <w:sz w:val="1"/>
                <w:szCs w:val="1"/>
                <w:color w:val="auto"/>
              </w:rPr>
            </w:pPr>
          </w:p>
        </w:tc>
      </w:tr>
      <w:tr>
        <w:trPr>
          <w:trHeight w:val="194"/>
        </w:trPr>
        <w:tc>
          <w:tcPr>
            <w:tcW w:w="4140" w:type="dxa"/>
            <w:vAlign w:val="bottom"/>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June 30, 2021</w:t>
            </w: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140" w:type="dxa"/>
            <w:vAlign w:val="bottom"/>
            <w:gridSpan w:val="2"/>
          </w:tcPr>
          <w:p>
            <w:pPr>
              <w:ind w:left="20"/>
              <w:spacing w:after="0"/>
              <w:rPr>
                <w:sz w:val="20"/>
                <w:szCs w:val="20"/>
                <w:color w:val="auto"/>
              </w:rPr>
            </w:pPr>
            <w:r>
              <w:rPr>
                <w:rFonts w:ascii="Arial" w:cs="Arial" w:eastAsia="Arial" w:hAnsi="Arial"/>
                <w:sz w:val="15"/>
                <w:szCs w:val="15"/>
                <w:color w:val="auto"/>
              </w:rPr>
              <w:t>≤ 1 year</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101</w:t>
            </w:r>
          </w:p>
        </w:tc>
        <w:tc>
          <w:tcPr>
            <w:tcW w:w="100" w:type="dxa"/>
            <w:vAlign w:val="bottom"/>
          </w:tcPr>
          <w:p>
            <w:pPr>
              <w:spacing w:after="0"/>
              <w:rPr>
                <w:sz w:val="17"/>
                <w:szCs w:val="17"/>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55</w:t>
            </w:r>
          </w:p>
        </w:tc>
        <w:tc>
          <w:tcPr>
            <w:tcW w:w="1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5"/>
                <w:szCs w:val="15"/>
                <w:color w:val="auto"/>
                <w:w w:val="95"/>
              </w:rPr>
              <w:t>5</w:t>
            </w:r>
          </w:p>
        </w:tc>
        <w:tc>
          <w:tcPr>
            <w:tcW w:w="100" w:type="dxa"/>
            <w:vAlign w:val="bottom"/>
          </w:tcPr>
          <w:p>
            <w:pPr>
              <w:spacing w:after="0"/>
              <w:rPr>
                <w:sz w:val="17"/>
                <w:szCs w:val="17"/>
                <w:color w:val="auto"/>
              </w:rPr>
            </w:pPr>
          </w:p>
        </w:tc>
        <w:tc>
          <w:tcPr>
            <w:tcW w:w="200" w:type="dxa"/>
            <w:vAlign w:val="bottom"/>
          </w:tcPr>
          <w:p>
            <w:pPr>
              <w:jc w:val="right"/>
              <w:ind w:right="25"/>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4,200</w:t>
            </w:r>
          </w:p>
        </w:tc>
        <w:tc>
          <w:tcPr>
            <w:tcW w:w="1240" w:type="dxa"/>
            <w:vAlign w:val="bottom"/>
            <w:gridSpan w:val="3"/>
          </w:tcPr>
          <w:p>
            <w:pPr>
              <w:jc w:val="center"/>
              <w:ind w:left="86"/>
              <w:spacing w:after="0"/>
              <w:rPr>
                <w:sz w:val="20"/>
                <w:szCs w:val="20"/>
                <w:color w:val="auto"/>
              </w:rPr>
            </w:pPr>
            <w:r>
              <w:rPr>
                <w:rFonts w:ascii="Arial" w:cs="Arial" w:eastAsia="Arial" w:hAnsi="Arial"/>
                <w:sz w:val="15"/>
                <w:szCs w:val="15"/>
                <w:color w:val="auto"/>
                <w:w w:val="93"/>
              </w:rPr>
              <w:t>1.77%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center"/>
              <w:ind w:right="87"/>
              <w:spacing w:after="0"/>
              <w:rPr>
                <w:sz w:val="20"/>
                <w:szCs w:val="20"/>
                <w:color w:val="auto"/>
              </w:rPr>
            </w:pPr>
            <w:r>
              <w:rPr>
                <w:rFonts w:ascii="Arial" w:cs="Arial" w:eastAsia="Arial" w:hAnsi="Arial"/>
                <w:sz w:val="15"/>
                <w:szCs w:val="15"/>
                <w:color w:val="auto"/>
                <w:w w:val="95"/>
              </w:rPr>
              <w:t>8.8</w:t>
            </w:r>
          </w:p>
        </w:tc>
        <w:tc>
          <w:tcPr>
            <w:tcW w:w="0" w:type="dxa"/>
            <w:vAlign w:val="bottom"/>
          </w:tcPr>
          <w:p>
            <w:pPr>
              <w:spacing w:after="0"/>
              <w:rPr>
                <w:sz w:val="1"/>
                <w:szCs w:val="1"/>
                <w:color w:val="auto"/>
              </w:rPr>
            </w:pPr>
          </w:p>
        </w:tc>
      </w:tr>
      <w:tr>
        <w:trPr>
          <w:trHeight w:val="203"/>
        </w:trPr>
        <w:tc>
          <w:tcPr>
            <w:tcW w:w="41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&gt; 1 year ≤ 2 years</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117</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3"/>
              </w:rPr>
              <w:t>20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3,250</w:t>
            </w:r>
          </w:p>
        </w:tc>
        <w:tc>
          <w:tcPr>
            <w:tcW w:w="1240" w:type="dxa"/>
            <w:vAlign w:val="bottom"/>
            <w:gridSpan w:val="3"/>
            <w:shd w:val="clear" w:color="auto" w:fill="CCEEFF"/>
          </w:tcPr>
          <w:p>
            <w:pPr>
              <w:jc w:val="center"/>
              <w:ind w:left="86"/>
              <w:spacing w:after="0"/>
              <w:rPr>
                <w:sz w:val="20"/>
                <w:szCs w:val="20"/>
                <w:color w:val="auto"/>
              </w:rPr>
            </w:pPr>
            <w:r>
              <w:rPr>
                <w:rFonts w:ascii="Arial" w:cs="Arial" w:eastAsia="Arial" w:hAnsi="Arial"/>
                <w:sz w:val="15"/>
                <w:szCs w:val="15"/>
                <w:color w:val="auto"/>
                <w:w w:val="93"/>
              </w:rPr>
              <w:t>1.41%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center"/>
              <w:ind w:right="107"/>
              <w:spacing w:after="0"/>
              <w:rPr>
                <w:sz w:val="20"/>
                <w:szCs w:val="20"/>
                <w:color w:val="auto"/>
              </w:rPr>
            </w:pPr>
            <w:r>
              <w:rPr>
                <w:rFonts w:ascii="Arial" w:cs="Arial" w:eastAsia="Arial" w:hAnsi="Arial"/>
                <w:sz w:val="15"/>
                <w:szCs w:val="15"/>
                <w:color w:val="auto"/>
                <w:w w:val="88"/>
              </w:rPr>
              <w:t>10.0</w:t>
            </w:r>
          </w:p>
        </w:tc>
        <w:tc>
          <w:tcPr>
            <w:tcW w:w="0" w:type="dxa"/>
            <w:vAlign w:val="bottom"/>
          </w:tcPr>
          <w:p>
            <w:pPr>
              <w:spacing w:after="0"/>
              <w:rPr>
                <w:sz w:val="1"/>
                <w:szCs w:val="1"/>
                <w:color w:val="auto"/>
              </w:rPr>
            </w:pPr>
          </w:p>
        </w:tc>
      </w:tr>
      <w:tr>
        <w:trPr>
          <w:trHeight w:val="197"/>
        </w:trPr>
        <w:tc>
          <w:tcPr>
            <w:tcW w:w="414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&gt; 2 year ≤ 3 years</w:t>
            </w: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110</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122</w:t>
            </w: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83"/>
              </w:rPr>
              <w:t>32</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4,000</w:t>
            </w: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3"/>
              </w:rPr>
              <w:t>2.07%</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107"/>
              <w:spacing w:after="0"/>
              <w:rPr>
                <w:sz w:val="20"/>
                <w:szCs w:val="20"/>
                <w:color w:val="auto"/>
              </w:rPr>
            </w:pPr>
            <w:r>
              <w:rPr>
                <w:rFonts w:ascii="Arial" w:cs="Arial" w:eastAsia="Arial" w:hAnsi="Arial"/>
                <w:sz w:val="15"/>
                <w:szCs w:val="15"/>
                <w:color w:val="auto"/>
                <w:w w:val="88"/>
              </w:rPr>
              <w:t>10.0</w:t>
            </w:r>
          </w:p>
        </w:tc>
        <w:tc>
          <w:tcPr>
            <w:tcW w:w="0" w:type="dxa"/>
            <w:vAlign w:val="bottom"/>
          </w:tcPr>
          <w:p>
            <w:pPr>
              <w:spacing w:after="0"/>
              <w:rPr>
                <w:sz w:val="1"/>
                <w:szCs w:val="1"/>
                <w:color w:val="auto"/>
              </w:rPr>
            </w:pPr>
          </w:p>
        </w:tc>
      </w:tr>
      <w:tr>
        <w:trPr>
          <w:trHeight w:val="215"/>
        </w:trPr>
        <w:tc>
          <w:tcPr>
            <w:tcW w:w="41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Total</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294</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3"/>
              </w:rPr>
              <w:t>19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95"/>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11,450</w:t>
            </w:r>
          </w:p>
        </w:tc>
        <w:tc>
          <w:tcPr>
            <w:tcW w:w="1240" w:type="dxa"/>
            <w:vAlign w:val="bottom"/>
            <w:gridSpan w:val="3"/>
            <w:shd w:val="clear" w:color="auto" w:fill="CCEEFF"/>
          </w:tcPr>
          <w:p>
            <w:pPr>
              <w:jc w:val="center"/>
              <w:ind w:left="86"/>
              <w:spacing w:after="0"/>
              <w:rPr>
                <w:sz w:val="20"/>
                <w:szCs w:val="20"/>
                <w:color w:val="auto"/>
              </w:rPr>
            </w:pPr>
            <w:r>
              <w:rPr>
                <w:rFonts w:ascii="Arial" w:cs="Arial" w:eastAsia="Arial" w:hAnsi="Arial"/>
                <w:sz w:val="15"/>
                <w:szCs w:val="15"/>
                <w:color w:val="auto"/>
                <w:w w:val="93"/>
              </w:rPr>
              <w:t>1.77%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center"/>
              <w:ind w:right="87"/>
              <w:spacing w:after="0"/>
              <w:rPr>
                <w:sz w:val="20"/>
                <w:szCs w:val="20"/>
                <w:color w:val="auto"/>
              </w:rPr>
            </w:pPr>
            <w:r>
              <w:rPr>
                <w:rFonts w:ascii="Arial" w:cs="Arial" w:eastAsia="Arial" w:hAnsi="Arial"/>
                <w:sz w:val="15"/>
                <w:szCs w:val="15"/>
                <w:color w:val="auto"/>
                <w:w w:val="95"/>
              </w:rPr>
              <w:t>9.5</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4140" w:type="dxa"/>
            <w:vAlign w:val="bottom"/>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December 31, 2020</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140" w:type="dxa"/>
            <w:vAlign w:val="bottom"/>
            <w:gridSpan w:val="2"/>
          </w:tcPr>
          <w:p>
            <w:pPr>
              <w:ind w:left="20"/>
              <w:spacing w:after="0"/>
              <w:rPr>
                <w:sz w:val="20"/>
                <w:szCs w:val="20"/>
                <w:color w:val="auto"/>
              </w:rPr>
            </w:pPr>
            <w:r>
              <w:rPr>
                <w:rFonts w:ascii="Arial" w:cs="Arial" w:eastAsia="Arial" w:hAnsi="Arial"/>
                <w:sz w:val="15"/>
                <w:szCs w:val="15"/>
                <w:color w:val="auto"/>
              </w:rPr>
              <w:t>≤ 1 year</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123</w:t>
            </w:r>
          </w:p>
        </w:tc>
        <w:tc>
          <w:tcPr>
            <w:tcW w:w="100" w:type="dxa"/>
            <w:vAlign w:val="bottom"/>
          </w:tcPr>
          <w:p>
            <w:pPr>
              <w:spacing w:after="0"/>
              <w:rPr>
                <w:sz w:val="17"/>
                <w:szCs w:val="17"/>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15</w:t>
            </w:r>
          </w:p>
        </w:tc>
        <w:tc>
          <w:tcPr>
            <w:tcW w:w="1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5"/>
                <w:szCs w:val="15"/>
                <w:color w:val="auto"/>
                <w:w w:val="95"/>
              </w:rPr>
              <w:t>5</w:t>
            </w:r>
          </w:p>
        </w:tc>
        <w:tc>
          <w:tcPr>
            <w:tcW w:w="100" w:type="dxa"/>
            <w:vAlign w:val="bottom"/>
          </w:tcPr>
          <w:p>
            <w:pPr>
              <w:spacing w:after="0"/>
              <w:rPr>
                <w:sz w:val="17"/>
                <w:szCs w:val="17"/>
                <w:color w:val="auto"/>
              </w:rPr>
            </w:pPr>
          </w:p>
        </w:tc>
        <w:tc>
          <w:tcPr>
            <w:tcW w:w="200" w:type="dxa"/>
            <w:vAlign w:val="bottom"/>
          </w:tcPr>
          <w:p>
            <w:pPr>
              <w:jc w:val="right"/>
              <w:ind w:right="25"/>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5,900</w:t>
            </w:r>
          </w:p>
        </w:tc>
        <w:tc>
          <w:tcPr>
            <w:tcW w:w="1240" w:type="dxa"/>
            <w:vAlign w:val="bottom"/>
            <w:gridSpan w:val="3"/>
          </w:tcPr>
          <w:p>
            <w:pPr>
              <w:jc w:val="center"/>
              <w:ind w:left="86"/>
              <w:spacing w:after="0"/>
              <w:rPr>
                <w:sz w:val="20"/>
                <w:szCs w:val="20"/>
                <w:color w:val="auto"/>
              </w:rPr>
            </w:pPr>
            <w:r>
              <w:rPr>
                <w:rFonts w:ascii="Arial" w:cs="Arial" w:eastAsia="Arial" w:hAnsi="Arial"/>
                <w:sz w:val="15"/>
                <w:szCs w:val="15"/>
                <w:color w:val="auto"/>
                <w:w w:val="93"/>
              </w:rPr>
              <w:t>2.17%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center"/>
              <w:ind w:right="87"/>
              <w:spacing w:after="0"/>
              <w:rPr>
                <w:sz w:val="20"/>
                <w:szCs w:val="20"/>
                <w:color w:val="auto"/>
              </w:rPr>
            </w:pPr>
            <w:r>
              <w:rPr>
                <w:rFonts w:ascii="Arial" w:cs="Arial" w:eastAsia="Arial" w:hAnsi="Arial"/>
                <w:sz w:val="15"/>
                <w:szCs w:val="15"/>
                <w:color w:val="auto"/>
                <w:w w:val="95"/>
              </w:rPr>
              <w:t>9.2</w:t>
            </w:r>
          </w:p>
        </w:tc>
        <w:tc>
          <w:tcPr>
            <w:tcW w:w="0" w:type="dxa"/>
            <w:vAlign w:val="bottom"/>
          </w:tcPr>
          <w:p>
            <w:pPr>
              <w:spacing w:after="0"/>
              <w:rPr>
                <w:sz w:val="1"/>
                <w:szCs w:val="1"/>
                <w:color w:val="auto"/>
              </w:rPr>
            </w:pPr>
          </w:p>
        </w:tc>
      </w:tr>
      <w:tr>
        <w:trPr>
          <w:trHeight w:val="203"/>
        </w:trPr>
        <w:tc>
          <w:tcPr>
            <w:tcW w:w="41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&gt; 1 year ≤ 2 years</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w:t>
            </w: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3"/>
              </w:rPr>
              <w:t>20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2,000</w:t>
            </w:r>
          </w:p>
        </w:tc>
        <w:tc>
          <w:tcPr>
            <w:tcW w:w="1240" w:type="dxa"/>
            <w:vAlign w:val="bottom"/>
            <w:gridSpan w:val="3"/>
            <w:shd w:val="clear" w:color="auto" w:fill="CCEEFF"/>
          </w:tcPr>
          <w:p>
            <w:pPr>
              <w:jc w:val="center"/>
              <w:ind w:left="86"/>
              <w:spacing w:after="0"/>
              <w:rPr>
                <w:sz w:val="20"/>
                <w:szCs w:val="20"/>
                <w:color w:val="auto"/>
              </w:rPr>
            </w:pPr>
            <w:r>
              <w:rPr>
                <w:rFonts w:ascii="Arial" w:cs="Arial" w:eastAsia="Arial" w:hAnsi="Arial"/>
                <w:sz w:val="15"/>
                <w:szCs w:val="15"/>
                <w:color w:val="auto"/>
                <w:w w:val="93"/>
              </w:rPr>
              <w:t>1.38%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center"/>
              <w:ind w:right="107"/>
              <w:spacing w:after="0"/>
              <w:rPr>
                <w:sz w:val="20"/>
                <w:szCs w:val="20"/>
                <w:color w:val="auto"/>
              </w:rPr>
            </w:pPr>
            <w:r>
              <w:rPr>
                <w:rFonts w:ascii="Arial" w:cs="Arial" w:eastAsia="Arial" w:hAnsi="Arial"/>
                <w:sz w:val="15"/>
                <w:szCs w:val="15"/>
                <w:color w:val="auto"/>
                <w:w w:val="88"/>
              </w:rPr>
              <w:t>10.0</w:t>
            </w:r>
          </w:p>
        </w:tc>
        <w:tc>
          <w:tcPr>
            <w:tcW w:w="0" w:type="dxa"/>
            <w:vAlign w:val="bottom"/>
          </w:tcPr>
          <w:p>
            <w:pPr>
              <w:spacing w:after="0"/>
              <w:rPr>
                <w:sz w:val="1"/>
                <w:szCs w:val="1"/>
                <w:color w:val="auto"/>
              </w:rPr>
            </w:pPr>
          </w:p>
        </w:tc>
      </w:tr>
      <w:tr>
        <w:trPr>
          <w:trHeight w:val="197"/>
        </w:trPr>
        <w:tc>
          <w:tcPr>
            <w:tcW w:w="4140" w:type="dxa"/>
            <w:vAlign w:val="bottom"/>
            <w:gridSpan w:val="2"/>
          </w:tcPr>
          <w:p>
            <w:pPr>
              <w:ind w:left="20"/>
              <w:spacing w:after="0"/>
              <w:rPr>
                <w:sz w:val="20"/>
                <w:szCs w:val="20"/>
                <w:color w:val="auto"/>
              </w:rPr>
            </w:pPr>
            <w:r>
              <w:rPr>
                <w:rFonts w:ascii="Arial" w:cs="Arial" w:eastAsia="Arial" w:hAnsi="Arial"/>
                <w:sz w:val="15"/>
                <w:szCs w:val="15"/>
                <w:color w:val="auto"/>
              </w:rPr>
              <w:t>&gt; 2 year ≤ 3 years</w:t>
            </w: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65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60</w:t>
            </w:r>
          </w:p>
        </w:tc>
        <w:tc>
          <w:tcPr>
            <w:tcW w:w="100" w:type="dxa"/>
            <w:vAlign w:val="bottom"/>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5"/>
                <w:szCs w:val="15"/>
                <w:color w:val="auto"/>
                <w:w w:val="83"/>
              </w:rPr>
              <w:t>33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2,250</w:t>
            </w:r>
          </w:p>
        </w:tc>
        <w:tc>
          <w:tcPr>
            <w:tcW w:w="1240" w:type="dxa"/>
            <w:vAlign w:val="bottom"/>
            <w:gridSpan w:val="3"/>
          </w:tcPr>
          <w:p>
            <w:pPr>
              <w:jc w:val="center"/>
              <w:ind w:left="86"/>
              <w:spacing w:after="0"/>
              <w:rPr>
                <w:sz w:val="20"/>
                <w:szCs w:val="20"/>
                <w:color w:val="auto"/>
              </w:rPr>
            </w:pPr>
            <w:r>
              <w:rPr>
                <w:rFonts w:ascii="Arial" w:cs="Arial" w:eastAsia="Arial" w:hAnsi="Arial"/>
                <w:sz w:val="15"/>
                <w:szCs w:val="15"/>
                <w:color w:val="auto"/>
                <w:w w:val="93"/>
              </w:rPr>
              <w:t>1.40%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center"/>
              <w:ind w:right="107"/>
              <w:spacing w:after="0"/>
              <w:rPr>
                <w:sz w:val="20"/>
                <w:szCs w:val="20"/>
                <w:color w:val="auto"/>
              </w:rPr>
            </w:pPr>
            <w:r>
              <w:rPr>
                <w:rFonts w:ascii="Arial" w:cs="Arial" w:eastAsia="Arial" w:hAnsi="Arial"/>
                <w:sz w:val="15"/>
                <w:szCs w:val="15"/>
                <w:color w:val="auto"/>
                <w:w w:val="88"/>
              </w:rPr>
              <w:t>10.0</w:t>
            </w:r>
          </w:p>
        </w:tc>
        <w:tc>
          <w:tcPr>
            <w:tcW w:w="0" w:type="dxa"/>
            <w:vAlign w:val="bottom"/>
          </w:tcPr>
          <w:p>
            <w:pPr>
              <w:spacing w:after="0"/>
              <w:rPr>
                <w:sz w:val="1"/>
                <w:szCs w:val="1"/>
                <w:color w:val="auto"/>
              </w:rPr>
            </w:pPr>
          </w:p>
        </w:tc>
      </w:tr>
      <w:tr>
        <w:trPr>
          <w:trHeight w:val="200"/>
        </w:trPr>
        <w:tc>
          <w:tcPr>
            <w:tcW w:w="41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&gt; 3 year ≤ 4 years</w:t>
            </w:r>
          </w:p>
        </w:tc>
        <w:tc>
          <w:tcPr>
            <w:tcW w:w="1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w:t>
            </w:r>
          </w:p>
        </w:tc>
        <w:tc>
          <w:tcPr>
            <w:tcW w:w="100" w:type="dxa"/>
            <w:vAlign w:val="bottom"/>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83"/>
              </w:rPr>
              <w:t>40</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250</w:t>
            </w:r>
          </w:p>
        </w:tc>
        <w:tc>
          <w:tcPr>
            <w:tcW w:w="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3"/>
              </w:rPr>
              <w:t>1.43%</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center"/>
              <w:ind w:right="107"/>
              <w:spacing w:after="0"/>
              <w:rPr>
                <w:sz w:val="20"/>
                <w:szCs w:val="20"/>
                <w:color w:val="auto"/>
              </w:rPr>
            </w:pPr>
            <w:r>
              <w:rPr>
                <w:rFonts w:ascii="Arial" w:cs="Arial" w:eastAsia="Arial" w:hAnsi="Arial"/>
                <w:sz w:val="15"/>
                <w:szCs w:val="15"/>
                <w:color w:val="auto"/>
                <w:w w:val="88"/>
              </w:rPr>
              <w:t>10.0</w:t>
            </w:r>
          </w:p>
        </w:tc>
        <w:tc>
          <w:tcPr>
            <w:tcW w:w="0" w:type="dxa"/>
            <w:vAlign w:val="bottom"/>
          </w:tcPr>
          <w:p>
            <w:pPr>
              <w:spacing w:after="0"/>
              <w:rPr>
                <w:sz w:val="1"/>
                <w:szCs w:val="1"/>
                <w:color w:val="auto"/>
              </w:rPr>
            </w:pPr>
          </w:p>
        </w:tc>
      </w:tr>
      <w:tr>
        <w:trPr>
          <w:trHeight w:val="195"/>
        </w:trPr>
        <w:tc>
          <w:tcPr>
            <w:tcW w:w="4140" w:type="dxa"/>
            <w:vAlign w:val="bottom"/>
            <w:gridSpan w:val="2"/>
          </w:tcPr>
          <w:p>
            <w:pPr>
              <w:ind w:left="20"/>
              <w:spacing w:after="0"/>
              <w:rPr>
                <w:sz w:val="20"/>
                <w:szCs w:val="20"/>
                <w:color w:val="auto"/>
              </w:rPr>
            </w:pPr>
            <w:r>
              <w:rPr>
                <w:rFonts w:ascii="Arial" w:cs="Arial" w:eastAsia="Arial" w:hAnsi="Arial"/>
                <w:sz w:val="15"/>
                <w:szCs w:val="15"/>
                <w:color w:val="auto"/>
              </w:rPr>
              <w:t>Total</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237</w:t>
            </w:r>
          </w:p>
        </w:tc>
        <w:tc>
          <w:tcPr>
            <w:tcW w:w="100" w:type="dxa"/>
            <w:vAlign w:val="bottom"/>
          </w:tcPr>
          <w:p>
            <w:pPr>
              <w:spacing w:after="0"/>
              <w:rPr>
                <w:sz w:val="16"/>
                <w:szCs w:val="16"/>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5"/>
                <w:szCs w:val="15"/>
                <w:color w:val="auto"/>
              </w:rPr>
              <w:t>116</w:t>
            </w:r>
          </w:p>
        </w:tc>
        <w:tc>
          <w:tcPr>
            <w:tcW w:w="10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5"/>
                <w:szCs w:val="15"/>
                <w:color w:val="auto"/>
                <w:w w:val="83"/>
              </w:rPr>
              <w:t>15</w:t>
            </w:r>
          </w:p>
        </w:tc>
        <w:tc>
          <w:tcPr>
            <w:tcW w:w="100" w:type="dxa"/>
            <w:vAlign w:val="bottom"/>
          </w:tcPr>
          <w:p>
            <w:pPr>
              <w:spacing w:after="0"/>
              <w:rPr>
                <w:sz w:val="16"/>
                <w:szCs w:val="16"/>
                <w:color w:val="auto"/>
              </w:rPr>
            </w:pPr>
          </w:p>
        </w:tc>
        <w:tc>
          <w:tcPr>
            <w:tcW w:w="200" w:type="dxa"/>
            <w:vAlign w:val="bottom"/>
          </w:tcPr>
          <w:p>
            <w:pPr>
              <w:jc w:val="right"/>
              <w:ind w:right="25"/>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10,400</w:t>
            </w:r>
          </w:p>
        </w:tc>
        <w:tc>
          <w:tcPr>
            <w:tcW w:w="1240" w:type="dxa"/>
            <w:vAlign w:val="bottom"/>
            <w:gridSpan w:val="3"/>
          </w:tcPr>
          <w:p>
            <w:pPr>
              <w:jc w:val="center"/>
              <w:ind w:left="86"/>
              <w:spacing w:after="0"/>
              <w:rPr>
                <w:sz w:val="20"/>
                <w:szCs w:val="20"/>
                <w:color w:val="auto"/>
              </w:rPr>
            </w:pPr>
            <w:r>
              <w:rPr>
                <w:rFonts w:ascii="Arial" w:cs="Arial" w:eastAsia="Arial" w:hAnsi="Arial"/>
                <w:sz w:val="15"/>
                <w:szCs w:val="15"/>
                <w:color w:val="auto"/>
                <w:w w:val="93"/>
              </w:rPr>
              <w:t>1.84%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center"/>
              <w:ind w:right="87"/>
              <w:spacing w:after="0"/>
              <w:rPr>
                <w:sz w:val="20"/>
                <w:szCs w:val="20"/>
                <w:color w:val="auto"/>
              </w:rPr>
            </w:pPr>
            <w:r>
              <w:rPr>
                <w:rFonts w:ascii="Arial" w:cs="Arial" w:eastAsia="Arial" w:hAnsi="Arial"/>
                <w:sz w:val="15"/>
                <w:szCs w:val="15"/>
                <w:color w:val="auto"/>
                <w:w w:val="95"/>
              </w:rPr>
              <w:t>9.5</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w:t>
      </w:r>
    </w:p>
    <w:p>
      <w:pPr>
        <w:spacing w:after="0" w:line="1" w:lineRule="exact"/>
        <w:rPr>
          <w:sz w:val="20"/>
          <w:szCs w:val="20"/>
          <w:color w:val="auto"/>
        </w:rPr>
      </w:pPr>
    </w:p>
    <w:p>
      <w:pPr>
        <w:ind w:left="600" w:hanging="300"/>
        <w:spacing w:after="0"/>
        <w:tabs>
          <w:tab w:leader="none" w:pos="600" w:val="left"/>
        </w:tabs>
        <w:numPr>
          <w:ilvl w:val="0"/>
          <w:numId w:val="6"/>
        </w:numPr>
        <w:rPr>
          <w:rFonts w:ascii="Arial" w:cs="Arial" w:eastAsia="Arial" w:hAnsi="Arial"/>
          <w:sz w:val="13"/>
          <w:szCs w:val="13"/>
          <w:color w:val="auto"/>
        </w:rPr>
      </w:pPr>
      <w:r>
        <w:rPr>
          <w:rFonts w:ascii="Arial" w:cs="Arial" w:eastAsia="Arial" w:hAnsi="Arial"/>
          <w:sz w:val="13"/>
          <w:szCs w:val="13"/>
          <w:color w:val="auto"/>
        </w:rPr>
        <w:t>As of June 30, 2021 and December 31, 2020, ≤ 1 year notional amount includes $700 million of Bermudan swaptions where the options may be exercised on predetermined dates up to their final exercise date, which is six months prior to the underlying swaps' maturity date.</w:t>
      </w:r>
    </w:p>
    <w:p>
      <w:pPr>
        <w:ind w:left="600" w:hanging="300"/>
        <w:spacing w:after="0" w:line="255" w:lineRule="auto"/>
        <w:tabs>
          <w:tab w:leader="none" w:pos="600" w:val="left"/>
        </w:tabs>
        <w:numPr>
          <w:ilvl w:val="0"/>
          <w:numId w:val="6"/>
        </w:numPr>
        <w:rPr>
          <w:rFonts w:ascii="Arial" w:cs="Arial" w:eastAsia="Arial" w:hAnsi="Arial"/>
          <w:sz w:val="13"/>
          <w:szCs w:val="13"/>
          <w:color w:val="auto"/>
        </w:rPr>
      </w:pPr>
      <w:r>
        <w:rPr>
          <w:rFonts w:ascii="Arial" w:cs="Arial" w:eastAsia="Arial" w:hAnsi="Arial"/>
          <w:sz w:val="13"/>
          <w:szCs w:val="13"/>
          <w:color w:val="auto"/>
        </w:rPr>
        <w:t>As of June 30, 2021, 8% and 92% of the underlying swap receive rates were tied to 3-Month LIBOR and SOFR, respectively. As of December 31, 2020, 33% and 67% of the underlying payer swap receive rates were tied to 3-Month LIBOR and SOFR, respectively.</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2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U.S. Treasury Securities</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June 30, 2021</w:t>
            </w: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4"/>
          </w:tcPr>
          <w:p>
            <w:pPr>
              <w:ind w:left="140"/>
              <w:spacing w:after="0"/>
              <w:rPr>
                <w:sz w:val="20"/>
                <w:szCs w:val="20"/>
                <w:color w:val="auto"/>
              </w:rPr>
            </w:pPr>
            <w:r>
              <w:rPr>
                <w:rFonts w:ascii="Arial" w:cs="Arial" w:eastAsia="Arial" w:hAnsi="Arial"/>
                <w:sz w:val="13"/>
                <w:szCs w:val="13"/>
                <w:b w:val="1"/>
                <w:bCs w:val="1"/>
                <w:color w:val="auto"/>
              </w:rPr>
              <w:t>December 31, 2020</w:t>
            </w: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Maturity</w:t>
            </w:r>
          </w:p>
        </w:tc>
        <w:tc>
          <w:tcPr>
            <w:tcW w:w="10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2"/>
          </w:tcPr>
          <w:p>
            <w:pPr>
              <w:ind w:left="60"/>
              <w:spacing w:after="0" w:line="123" w:lineRule="exact"/>
              <w:rPr>
                <w:sz w:val="20"/>
                <w:szCs w:val="20"/>
                <w:color w:val="auto"/>
              </w:rPr>
            </w:pPr>
            <w:r>
              <w:rPr>
                <w:rFonts w:ascii="Arial" w:cs="Arial" w:eastAsia="Arial" w:hAnsi="Arial"/>
                <w:sz w:val="13"/>
                <w:szCs w:val="13"/>
                <w:b w:val="1"/>
                <w:bCs w:val="1"/>
                <w:color w:val="auto"/>
              </w:rPr>
              <w:t>Face Amount</w:t>
            </w:r>
          </w:p>
        </w:tc>
        <w:tc>
          <w:tcPr>
            <w:tcW w:w="140" w:type="dxa"/>
            <w:vAlign w:val="bottom"/>
          </w:tcPr>
          <w:p>
            <w:pPr>
              <w:spacing w:after="0"/>
              <w:rPr>
                <w:sz w:val="10"/>
                <w:szCs w:val="10"/>
                <w:color w:val="auto"/>
              </w:rPr>
            </w:pPr>
          </w:p>
        </w:tc>
        <w:tc>
          <w:tcPr>
            <w:tcW w:w="1040" w:type="dxa"/>
            <w:vAlign w:val="bottom"/>
            <w:vMerge w:val="restart"/>
          </w:tcPr>
          <w:p>
            <w:pPr>
              <w:jc w:val="right"/>
              <w:ind w:right="188"/>
              <w:spacing w:after="0"/>
              <w:rPr>
                <w:sz w:val="20"/>
                <w:szCs w:val="20"/>
                <w:color w:val="auto"/>
              </w:rPr>
            </w:pPr>
            <w:r>
              <w:rPr>
                <w:rFonts w:ascii="Arial" w:cs="Arial" w:eastAsia="Arial" w:hAnsi="Arial"/>
                <w:sz w:val="13"/>
                <w:szCs w:val="13"/>
                <w:b w:val="1"/>
                <w:bCs w:val="1"/>
                <w:color w:val="auto"/>
              </w:rPr>
              <w:t xml:space="preserve">Cost Basis </w:t>
            </w:r>
            <w:r>
              <w:rPr>
                <w:rFonts w:ascii="Arial" w:cs="Arial" w:eastAsia="Arial" w:hAnsi="Arial"/>
                <w:sz w:val="8"/>
                <w:szCs w:val="8"/>
                <w:b w:val="1"/>
                <w:bCs w:val="1"/>
                <w:color w:val="auto"/>
              </w:rPr>
              <w:t>1</w:t>
            </w:r>
          </w:p>
        </w:tc>
        <w:tc>
          <w:tcPr>
            <w:tcW w:w="160" w:type="dxa"/>
            <w:vAlign w:val="bottom"/>
            <w:vMerge w:val="restart"/>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vMerge w:val="restart"/>
          </w:tcPr>
          <w:p>
            <w:pPr>
              <w:jc w:val="right"/>
              <w:ind w:right="207"/>
              <w:spacing w:after="0"/>
              <w:rPr>
                <w:sz w:val="20"/>
                <w:szCs w:val="20"/>
                <w:color w:val="auto"/>
              </w:rPr>
            </w:pPr>
            <w:r>
              <w:rPr>
                <w:rFonts w:ascii="Arial" w:cs="Arial" w:eastAsia="Arial" w:hAnsi="Arial"/>
                <w:sz w:val="13"/>
                <w:szCs w:val="13"/>
                <w:b w:val="1"/>
                <w:bCs w:val="1"/>
                <w:color w:val="auto"/>
              </w:rPr>
              <w:t>Fair Value</w:t>
            </w:r>
          </w:p>
        </w:tc>
        <w:tc>
          <w:tcPr>
            <w:tcW w:w="140" w:type="dxa"/>
            <w:vAlign w:val="bottom"/>
            <w:vMerge w:val="restart"/>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tcPr>
          <w:p>
            <w:pPr>
              <w:jc w:val="right"/>
              <w:ind w:right="188"/>
              <w:spacing w:after="0" w:line="123" w:lineRule="exact"/>
              <w:rPr>
                <w:sz w:val="20"/>
                <w:szCs w:val="20"/>
                <w:color w:val="auto"/>
              </w:rPr>
            </w:pPr>
            <w:r>
              <w:rPr>
                <w:rFonts w:ascii="Arial" w:cs="Arial" w:eastAsia="Arial" w:hAnsi="Arial"/>
                <w:sz w:val="13"/>
                <w:szCs w:val="13"/>
                <w:b w:val="1"/>
                <w:bCs w:val="1"/>
                <w:color w:val="auto"/>
                <w:w w:val="99"/>
              </w:rPr>
              <w:t>Face Amount</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vMerge w:val="restart"/>
          </w:tcPr>
          <w:p>
            <w:pPr>
              <w:jc w:val="right"/>
              <w:ind w:right="187"/>
              <w:spacing w:after="0"/>
              <w:rPr>
                <w:sz w:val="20"/>
                <w:szCs w:val="20"/>
                <w:color w:val="auto"/>
              </w:rPr>
            </w:pPr>
            <w:r>
              <w:rPr>
                <w:rFonts w:ascii="Arial" w:cs="Arial" w:eastAsia="Arial" w:hAnsi="Arial"/>
                <w:sz w:val="13"/>
                <w:szCs w:val="13"/>
                <w:b w:val="1"/>
                <w:bCs w:val="1"/>
                <w:color w:val="auto"/>
                <w:w w:val="95"/>
              </w:rPr>
              <w:t xml:space="preserve">Cost Basis </w:t>
            </w:r>
            <w:r>
              <w:rPr>
                <w:rFonts w:ascii="Arial" w:cs="Arial" w:eastAsia="Arial" w:hAnsi="Arial"/>
                <w:sz w:val="8"/>
                <w:szCs w:val="8"/>
                <w:b w:val="1"/>
                <w:bCs w:val="1"/>
                <w:color w:val="auto"/>
                <w:w w:val="95"/>
              </w:rPr>
              <w:t>1</w:t>
            </w:r>
          </w:p>
        </w:tc>
        <w:tc>
          <w:tcPr>
            <w:tcW w:w="160" w:type="dxa"/>
            <w:vAlign w:val="bottom"/>
            <w:vMerge w:val="restart"/>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vMerge w:val="restart"/>
          </w:tcPr>
          <w:p>
            <w:pPr>
              <w:jc w:val="right"/>
              <w:ind w:right="207"/>
              <w:spacing w:after="0"/>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174"/>
        </w:trPr>
        <w:tc>
          <w:tcPr>
            <w:tcW w:w="32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48"/>
              <w:spacing w:after="0"/>
              <w:rPr>
                <w:sz w:val="20"/>
                <w:szCs w:val="20"/>
                <w:color w:val="auto"/>
              </w:rPr>
            </w:pPr>
            <w:r>
              <w:rPr>
                <w:rFonts w:ascii="Arial" w:cs="Arial" w:eastAsia="Arial" w:hAnsi="Arial"/>
                <w:sz w:val="13"/>
                <w:szCs w:val="13"/>
                <w:b w:val="1"/>
                <w:bCs w:val="1"/>
                <w:color w:val="auto"/>
              </w:rPr>
              <w:t>Long/(Short)</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88"/>
              <w:spacing w:after="0"/>
              <w:rPr>
                <w:sz w:val="20"/>
                <w:szCs w:val="20"/>
                <w:color w:val="auto"/>
              </w:rPr>
            </w:pPr>
            <w:r>
              <w:rPr>
                <w:rFonts w:ascii="Arial" w:cs="Arial" w:eastAsia="Arial" w:hAnsi="Arial"/>
                <w:sz w:val="13"/>
                <w:szCs w:val="13"/>
                <w:b w:val="1"/>
                <w:bCs w:val="1"/>
                <w:color w:val="auto"/>
              </w:rPr>
              <w:t>Long/(Short)</w:t>
            </w:r>
          </w:p>
        </w:tc>
        <w:tc>
          <w:tcPr>
            <w:tcW w:w="1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33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5 years</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(1,665)</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(1,648)</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(1,631)</w:t>
            </w: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(425)</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(425)</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(425)</w:t>
            </w:r>
          </w:p>
        </w:tc>
        <w:tc>
          <w:tcPr>
            <w:tcW w:w="0" w:type="dxa"/>
            <w:vAlign w:val="bottom"/>
          </w:tcPr>
          <w:p>
            <w:pPr>
              <w:spacing w:after="0"/>
              <w:rPr>
                <w:sz w:val="1"/>
                <w:szCs w:val="1"/>
                <w:color w:val="auto"/>
              </w:rPr>
            </w:pPr>
          </w:p>
        </w:tc>
      </w:tr>
      <w:tr>
        <w:trPr>
          <w:trHeight w:val="197"/>
        </w:trPr>
        <w:tc>
          <w:tcPr>
            <w:tcW w:w="3340" w:type="dxa"/>
            <w:vAlign w:val="bottom"/>
            <w:gridSpan w:val="2"/>
          </w:tcPr>
          <w:p>
            <w:pPr>
              <w:ind w:left="20"/>
              <w:spacing w:after="0"/>
              <w:rPr>
                <w:sz w:val="20"/>
                <w:szCs w:val="20"/>
                <w:color w:val="auto"/>
              </w:rPr>
            </w:pPr>
            <w:r>
              <w:rPr>
                <w:rFonts w:ascii="Arial" w:cs="Arial" w:eastAsia="Arial" w:hAnsi="Arial"/>
                <w:sz w:val="15"/>
                <w:szCs w:val="15"/>
                <w:color w:val="auto"/>
              </w:rPr>
              <w:t>7 years</w:t>
            </w: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(1,083)</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(1,072)</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(1,049)</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(1,083)</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(1,081)</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5"/>
                <w:szCs w:val="15"/>
                <w:color w:val="auto"/>
              </w:rPr>
              <w:t>(1,089)</w:t>
            </w:r>
          </w:p>
        </w:tc>
        <w:tc>
          <w:tcPr>
            <w:tcW w:w="0" w:type="dxa"/>
            <w:vAlign w:val="bottom"/>
          </w:tcPr>
          <w:p>
            <w:pPr>
              <w:spacing w:after="0"/>
              <w:rPr>
                <w:sz w:val="1"/>
                <w:szCs w:val="1"/>
                <w:color w:val="auto"/>
              </w:rPr>
            </w:pPr>
          </w:p>
        </w:tc>
      </w:tr>
      <w:tr>
        <w:trPr>
          <w:trHeight w:val="200"/>
        </w:trPr>
        <w:tc>
          <w:tcPr>
            <w:tcW w:w="33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10 years</w:t>
            </w:r>
          </w:p>
        </w:tc>
        <w:tc>
          <w:tcPr>
            <w:tcW w:w="1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(7,748)</w:t>
            </w: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(7,740)</w:t>
            </w: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(7,843)</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(9,780)</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(9,862)</w:t>
            </w: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(10,213)</w:t>
            </w:r>
          </w:p>
        </w:tc>
        <w:tc>
          <w:tcPr>
            <w:tcW w:w="0" w:type="dxa"/>
            <w:vAlign w:val="bottom"/>
          </w:tcPr>
          <w:p>
            <w:pPr>
              <w:spacing w:after="0"/>
              <w:rPr>
                <w:sz w:val="1"/>
                <w:szCs w:val="1"/>
                <w:color w:val="auto"/>
              </w:rPr>
            </w:pPr>
          </w:p>
        </w:tc>
      </w:tr>
      <w:tr>
        <w:trPr>
          <w:trHeight w:val="195"/>
        </w:trPr>
        <w:tc>
          <w:tcPr>
            <w:tcW w:w="3340" w:type="dxa"/>
            <w:vAlign w:val="bottom"/>
            <w:gridSpan w:val="2"/>
          </w:tcPr>
          <w:p>
            <w:pPr>
              <w:ind w:left="20"/>
              <w:spacing w:after="0"/>
              <w:rPr>
                <w:sz w:val="20"/>
                <w:szCs w:val="20"/>
                <w:color w:val="auto"/>
              </w:rPr>
            </w:pPr>
            <w:r>
              <w:rPr>
                <w:rFonts w:ascii="Arial" w:cs="Arial" w:eastAsia="Arial" w:hAnsi="Arial"/>
                <w:sz w:val="15"/>
                <w:szCs w:val="15"/>
                <w:color w:val="auto"/>
              </w:rPr>
              <w:t>Total U.S. Treasury securities</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(10,496)</w:t>
            </w:r>
          </w:p>
        </w:tc>
        <w:tc>
          <w:tcPr>
            <w:tcW w:w="14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(10,460)</w:t>
            </w:r>
          </w:p>
        </w:tc>
        <w:tc>
          <w:tcPr>
            <w:tcW w:w="160" w:type="dxa"/>
            <w:vAlign w:val="bottom"/>
          </w:tcPr>
          <w:p>
            <w:pPr>
              <w:spacing w:after="0"/>
              <w:rPr>
                <w:sz w:val="16"/>
                <w:szCs w:val="16"/>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(10,523)</w:t>
            </w:r>
          </w:p>
        </w:tc>
        <w:tc>
          <w:tcPr>
            <w:tcW w:w="140" w:type="dxa"/>
            <w:vAlign w:val="bottom"/>
          </w:tcPr>
          <w:p>
            <w:pPr>
              <w:spacing w:after="0"/>
              <w:rPr>
                <w:sz w:val="16"/>
                <w:szCs w:val="16"/>
                <w:color w:val="auto"/>
              </w:rPr>
            </w:pPr>
          </w:p>
        </w:tc>
        <w:tc>
          <w:tcPr>
            <w:tcW w:w="180" w:type="dxa"/>
            <w:vAlign w:val="bottom"/>
          </w:tcPr>
          <w:p>
            <w:pPr>
              <w:jc w:val="right"/>
              <w:ind w:right="5"/>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(11,288)</w:t>
            </w:r>
          </w:p>
        </w:tc>
        <w:tc>
          <w:tcPr>
            <w:tcW w:w="320" w:type="dxa"/>
            <w:vAlign w:val="bottom"/>
            <w:gridSpan w:val="2"/>
          </w:tcPr>
          <w:p>
            <w:pPr>
              <w:jc w:val="right"/>
              <w:ind w:right="80"/>
              <w:spacing w:after="0"/>
              <w:rPr>
                <w:sz w:val="20"/>
                <w:szCs w:val="20"/>
                <w:color w:val="auto"/>
              </w:rPr>
            </w:pPr>
            <w:r>
              <w:rPr>
                <w:rFonts w:ascii="Arial" w:cs="Arial" w:eastAsia="Arial" w:hAnsi="Arial"/>
                <w:sz w:val="15"/>
                <w:szCs w:val="15"/>
                <w:color w:val="auto"/>
              </w:rPr>
              <w:t>$</w:t>
            </w:r>
          </w:p>
        </w:tc>
        <w:tc>
          <w:tcPr>
            <w:tcW w:w="1000" w:type="dxa"/>
            <w:vAlign w:val="bottom"/>
          </w:tcPr>
          <w:p>
            <w:pPr>
              <w:jc w:val="right"/>
              <w:spacing w:after="0"/>
              <w:rPr>
                <w:sz w:val="20"/>
                <w:szCs w:val="20"/>
                <w:color w:val="auto"/>
              </w:rPr>
            </w:pPr>
            <w:r>
              <w:rPr>
                <w:rFonts w:ascii="Arial" w:cs="Arial" w:eastAsia="Arial" w:hAnsi="Arial"/>
                <w:sz w:val="15"/>
                <w:szCs w:val="15"/>
                <w:color w:val="auto"/>
              </w:rPr>
              <w:t>(11,368)</w:t>
            </w:r>
          </w:p>
        </w:tc>
        <w:tc>
          <w:tcPr>
            <w:tcW w:w="160" w:type="dxa"/>
            <w:vAlign w:val="bottom"/>
          </w:tcPr>
          <w:p>
            <w:pPr>
              <w:spacing w:after="0"/>
              <w:rPr>
                <w:sz w:val="16"/>
                <w:szCs w:val="16"/>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5"/>
                <w:szCs w:val="15"/>
                <w:color w:val="auto"/>
              </w:rPr>
              <w:t>(11,727)</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w:t>
      </w:r>
    </w:p>
    <w:p>
      <w:pPr>
        <w:spacing w:after="0" w:line="1" w:lineRule="exact"/>
        <w:rPr>
          <w:sz w:val="20"/>
          <w:szCs w:val="20"/>
          <w:color w:val="auto"/>
        </w:rPr>
      </w:pPr>
    </w:p>
    <w:p>
      <w:pPr>
        <w:ind w:left="600" w:hanging="300"/>
        <w:spacing w:after="0" w:line="255" w:lineRule="auto"/>
        <w:tabs>
          <w:tab w:leader="none" w:pos="600" w:val="left"/>
        </w:tabs>
        <w:numPr>
          <w:ilvl w:val="0"/>
          <w:numId w:val="7"/>
        </w:numPr>
        <w:rPr>
          <w:rFonts w:ascii="Arial" w:cs="Arial" w:eastAsia="Arial" w:hAnsi="Arial"/>
          <w:sz w:val="13"/>
          <w:szCs w:val="13"/>
          <w:color w:val="auto"/>
        </w:rPr>
      </w:pPr>
      <w:r>
        <w:rPr>
          <w:rFonts w:ascii="Arial" w:cs="Arial" w:eastAsia="Arial" w:hAnsi="Arial"/>
          <w:sz w:val="13"/>
          <w:szCs w:val="13"/>
          <w:color w:val="auto"/>
        </w:rPr>
        <w:t>As of June 30, 2021 and December 31, 2020, short U.S. Treasury securities had a weighted average yield of 1.30% and 1.20%, respectively, and long U.S. Treasury securities totaling $397 million, at fair value, had a weighted average yield of 0.98% as of June 30, 2021.</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48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U.S. Treasury Futures</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3"/>
          </w:tcPr>
          <w:p>
            <w:pPr>
              <w:ind w:left="280"/>
              <w:spacing w:after="0"/>
              <w:rPr>
                <w:sz w:val="20"/>
                <w:szCs w:val="20"/>
                <w:color w:val="auto"/>
              </w:rPr>
            </w:pPr>
            <w:r>
              <w:rPr>
                <w:rFonts w:ascii="Arial" w:cs="Arial" w:eastAsia="Arial" w:hAnsi="Arial"/>
                <w:sz w:val="13"/>
                <w:szCs w:val="13"/>
                <w:b w:val="1"/>
                <w:bCs w:val="1"/>
                <w:color w:val="auto"/>
                <w:w w:val="94"/>
              </w:rPr>
              <w:t>June 30, 2021</w:t>
            </w: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5"/>
          </w:tcPr>
          <w:p>
            <w:pPr>
              <w:ind w:left="120"/>
              <w:spacing w:after="0"/>
              <w:rPr>
                <w:sz w:val="20"/>
                <w:szCs w:val="20"/>
                <w:color w:val="auto"/>
              </w:rPr>
            </w:pPr>
            <w:r>
              <w:rPr>
                <w:rFonts w:ascii="Arial" w:cs="Arial" w:eastAsia="Arial" w:hAnsi="Arial"/>
                <w:sz w:val="13"/>
                <w:szCs w:val="13"/>
                <w:b w:val="1"/>
                <w:bCs w:val="1"/>
                <w:color w:val="auto"/>
              </w:rPr>
              <w:t>December 31, 2020</w:t>
            </w: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0"/>
        </w:trPr>
        <w:tc>
          <w:tcPr>
            <w:tcW w:w="2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gridSpan w:val="2"/>
          </w:tcPr>
          <w:p>
            <w:pPr>
              <w:jc w:val="center"/>
              <w:ind w:right="300"/>
              <w:spacing w:after="0" w:line="110" w:lineRule="exact"/>
              <w:rPr>
                <w:sz w:val="20"/>
                <w:szCs w:val="20"/>
                <w:color w:val="auto"/>
              </w:rPr>
            </w:pPr>
            <w:r>
              <w:rPr>
                <w:rFonts w:ascii="Arial" w:cs="Arial" w:eastAsia="Arial" w:hAnsi="Arial"/>
                <w:sz w:val="12"/>
                <w:szCs w:val="12"/>
                <w:b w:val="1"/>
                <w:bCs w:val="1"/>
                <w:color w:val="auto"/>
                <w:w w:val="87"/>
              </w:rPr>
              <w:t>Notional</w:t>
            </w:r>
          </w:p>
        </w:tc>
        <w:tc>
          <w:tcPr>
            <w:tcW w:w="200" w:type="dxa"/>
            <w:vAlign w:val="bottom"/>
          </w:tcPr>
          <w:p>
            <w:pPr>
              <w:spacing w:after="0"/>
              <w:rPr>
                <w:sz w:val="9"/>
                <w:szCs w:val="9"/>
                <w:color w:val="auto"/>
              </w:rPr>
            </w:pPr>
          </w:p>
        </w:tc>
        <w:tc>
          <w:tcPr>
            <w:tcW w:w="8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Cost</w:t>
            </w:r>
          </w:p>
        </w:tc>
        <w:tc>
          <w:tcPr>
            <w:tcW w:w="280" w:type="dxa"/>
            <w:vAlign w:val="bottom"/>
          </w:tcPr>
          <w:p>
            <w:pPr>
              <w:spacing w:after="0"/>
              <w:rPr>
                <w:sz w:val="9"/>
                <w:szCs w:val="9"/>
                <w:color w:val="auto"/>
              </w:rPr>
            </w:pPr>
          </w:p>
        </w:tc>
        <w:tc>
          <w:tcPr>
            <w:tcW w:w="740" w:type="dxa"/>
            <w:vAlign w:val="bottom"/>
            <w:gridSpan w:val="2"/>
            <w:vMerge w:val="restart"/>
          </w:tcPr>
          <w:p>
            <w:pPr>
              <w:jc w:val="center"/>
              <w:ind w:right="380"/>
              <w:spacing w:after="0"/>
              <w:rPr>
                <w:sz w:val="20"/>
                <w:szCs w:val="20"/>
                <w:color w:val="auto"/>
              </w:rPr>
            </w:pPr>
            <w:r>
              <w:rPr>
                <w:rFonts w:ascii="Arial" w:cs="Arial" w:eastAsia="Arial" w:hAnsi="Arial"/>
                <w:sz w:val="12"/>
                <w:szCs w:val="12"/>
                <w:b w:val="1"/>
                <w:bCs w:val="1"/>
                <w:color w:val="auto"/>
                <w:w w:val="90"/>
              </w:rPr>
              <w:t>Fair</w:t>
            </w:r>
          </w:p>
        </w:tc>
        <w:tc>
          <w:tcPr>
            <w:tcW w:w="100" w:type="dxa"/>
            <w:vAlign w:val="bottom"/>
          </w:tcPr>
          <w:p>
            <w:pPr>
              <w:spacing w:after="0"/>
              <w:rPr>
                <w:sz w:val="9"/>
                <w:szCs w:val="9"/>
                <w:color w:val="auto"/>
              </w:rPr>
            </w:pPr>
          </w:p>
        </w:tc>
        <w:tc>
          <w:tcPr>
            <w:tcW w:w="940" w:type="dxa"/>
            <w:vAlign w:val="bottom"/>
            <w:gridSpan w:val="2"/>
            <w:vMerge w:val="restart"/>
          </w:tcPr>
          <w:p>
            <w:pPr>
              <w:jc w:val="center"/>
              <w:ind w:right="200"/>
              <w:spacing w:after="0"/>
              <w:rPr>
                <w:sz w:val="20"/>
                <w:szCs w:val="20"/>
                <w:color w:val="auto"/>
              </w:rPr>
            </w:pPr>
            <w:r>
              <w:rPr>
                <w:rFonts w:ascii="Arial" w:cs="Arial" w:eastAsia="Arial" w:hAnsi="Arial"/>
                <w:sz w:val="12"/>
                <w:szCs w:val="12"/>
                <w:b w:val="1"/>
                <w:bCs w:val="1"/>
                <w:color w:val="auto"/>
                <w:w w:val="91"/>
              </w:rPr>
              <w:t>Net Carrying</w:t>
            </w:r>
          </w:p>
        </w:tc>
        <w:tc>
          <w:tcPr>
            <w:tcW w:w="160" w:type="dxa"/>
            <w:vAlign w:val="bottom"/>
          </w:tcPr>
          <w:p>
            <w:pPr>
              <w:spacing w:after="0"/>
              <w:rPr>
                <w:sz w:val="9"/>
                <w:szCs w:val="9"/>
                <w:color w:val="auto"/>
              </w:rPr>
            </w:pPr>
          </w:p>
        </w:tc>
        <w:tc>
          <w:tcPr>
            <w:tcW w:w="1080" w:type="dxa"/>
            <w:vAlign w:val="bottom"/>
            <w:gridSpan w:val="2"/>
          </w:tcPr>
          <w:p>
            <w:pPr>
              <w:jc w:val="center"/>
              <w:ind w:right="300"/>
              <w:spacing w:after="0" w:line="110" w:lineRule="exact"/>
              <w:rPr>
                <w:sz w:val="20"/>
                <w:szCs w:val="20"/>
                <w:color w:val="auto"/>
              </w:rPr>
            </w:pPr>
            <w:r>
              <w:rPr>
                <w:rFonts w:ascii="Arial" w:cs="Arial" w:eastAsia="Arial" w:hAnsi="Arial"/>
                <w:sz w:val="12"/>
                <w:szCs w:val="12"/>
                <w:b w:val="1"/>
                <w:bCs w:val="1"/>
                <w:color w:val="auto"/>
                <w:w w:val="87"/>
              </w:rPr>
              <w:t>Notional</w:t>
            </w:r>
          </w:p>
        </w:tc>
        <w:tc>
          <w:tcPr>
            <w:tcW w:w="220" w:type="dxa"/>
            <w:vAlign w:val="bottom"/>
          </w:tcPr>
          <w:p>
            <w:pPr>
              <w:spacing w:after="0"/>
              <w:rPr>
                <w:sz w:val="9"/>
                <w:szCs w:val="9"/>
                <w:color w:val="auto"/>
              </w:rPr>
            </w:pPr>
          </w:p>
        </w:tc>
        <w:tc>
          <w:tcPr>
            <w:tcW w:w="8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Cost</w:t>
            </w:r>
          </w:p>
        </w:tc>
        <w:tc>
          <w:tcPr>
            <w:tcW w:w="200" w:type="dxa"/>
            <w:vAlign w:val="bottom"/>
          </w:tcPr>
          <w:p>
            <w:pPr>
              <w:spacing w:after="0"/>
              <w:rPr>
                <w:sz w:val="9"/>
                <w:szCs w:val="9"/>
                <w:color w:val="auto"/>
              </w:rPr>
            </w:pPr>
          </w:p>
        </w:tc>
        <w:tc>
          <w:tcPr>
            <w:tcW w:w="840" w:type="dxa"/>
            <w:vAlign w:val="bottom"/>
            <w:gridSpan w:val="2"/>
            <w:vMerge w:val="restart"/>
          </w:tcPr>
          <w:p>
            <w:pPr>
              <w:jc w:val="center"/>
              <w:ind w:right="300"/>
              <w:spacing w:after="0"/>
              <w:rPr>
                <w:sz w:val="20"/>
                <w:szCs w:val="20"/>
                <w:color w:val="auto"/>
              </w:rPr>
            </w:pPr>
            <w:r>
              <w:rPr>
                <w:rFonts w:ascii="Arial" w:cs="Arial" w:eastAsia="Arial" w:hAnsi="Arial"/>
                <w:sz w:val="12"/>
                <w:szCs w:val="12"/>
                <w:b w:val="1"/>
                <w:bCs w:val="1"/>
                <w:color w:val="auto"/>
                <w:w w:val="99"/>
              </w:rPr>
              <w:t>Fair</w:t>
            </w:r>
          </w:p>
        </w:tc>
        <w:tc>
          <w:tcPr>
            <w:tcW w:w="100" w:type="dxa"/>
            <w:vAlign w:val="bottom"/>
          </w:tcPr>
          <w:p>
            <w:pPr>
              <w:spacing w:after="0"/>
              <w:rPr>
                <w:sz w:val="9"/>
                <w:szCs w:val="9"/>
                <w:color w:val="auto"/>
              </w:rPr>
            </w:pPr>
          </w:p>
        </w:tc>
        <w:tc>
          <w:tcPr>
            <w:tcW w:w="840" w:type="dxa"/>
            <w:vAlign w:val="bottom"/>
            <w:vMerge w:val="restart"/>
          </w:tcPr>
          <w:p>
            <w:pPr>
              <w:jc w:val="center"/>
              <w:ind w:right="39"/>
              <w:spacing w:after="0"/>
              <w:rPr>
                <w:sz w:val="20"/>
                <w:szCs w:val="20"/>
                <w:color w:val="auto"/>
              </w:rPr>
            </w:pPr>
            <w:r>
              <w:rPr>
                <w:rFonts w:ascii="Arial" w:cs="Arial" w:eastAsia="Arial" w:hAnsi="Arial"/>
                <w:sz w:val="12"/>
                <w:szCs w:val="12"/>
                <w:b w:val="1"/>
                <w:bCs w:val="1"/>
                <w:color w:val="auto"/>
                <w:w w:val="91"/>
              </w:rPr>
              <w:t>Net Carrying</w:t>
            </w:r>
          </w:p>
        </w:tc>
        <w:tc>
          <w:tcPr>
            <w:tcW w:w="0" w:type="dxa"/>
            <w:vAlign w:val="bottom"/>
          </w:tcPr>
          <w:p>
            <w:pPr>
              <w:spacing w:after="0"/>
              <w:rPr>
                <w:sz w:val="1"/>
                <w:szCs w:val="1"/>
                <w:color w:val="auto"/>
              </w:rPr>
            </w:pPr>
          </w:p>
        </w:tc>
      </w:tr>
      <w:tr>
        <w:trPr>
          <w:trHeight w:val="112"/>
        </w:trPr>
        <w:tc>
          <w:tcPr>
            <w:tcW w:w="24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Maturity</w:t>
            </w:r>
          </w:p>
        </w:tc>
        <w:tc>
          <w:tcPr>
            <w:tcW w:w="100" w:type="dxa"/>
            <w:vAlign w:val="bottom"/>
            <w:vMerge w:val="restart"/>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gridSpan w:val="2"/>
          </w:tcPr>
          <w:p>
            <w:pPr>
              <w:jc w:val="center"/>
              <w:ind w:right="280"/>
              <w:spacing w:after="0" w:line="113" w:lineRule="exact"/>
              <w:rPr>
                <w:sz w:val="20"/>
                <w:szCs w:val="20"/>
                <w:color w:val="auto"/>
              </w:rPr>
            </w:pPr>
            <w:r>
              <w:rPr>
                <w:rFonts w:ascii="Arial" w:cs="Arial" w:eastAsia="Arial" w:hAnsi="Arial"/>
                <w:sz w:val="12"/>
                <w:szCs w:val="12"/>
                <w:b w:val="1"/>
                <w:bCs w:val="1"/>
                <w:color w:val="auto"/>
                <w:w w:val="88"/>
              </w:rPr>
              <w:t>Amount</w:t>
            </w:r>
          </w:p>
        </w:tc>
        <w:tc>
          <w:tcPr>
            <w:tcW w:w="20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gridSpan w:val="2"/>
          </w:tcPr>
          <w:p>
            <w:pPr>
              <w:jc w:val="center"/>
              <w:ind w:right="260"/>
              <w:spacing w:after="0" w:line="113" w:lineRule="exact"/>
              <w:rPr>
                <w:sz w:val="20"/>
                <w:szCs w:val="20"/>
                <w:color w:val="auto"/>
              </w:rPr>
            </w:pPr>
            <w:r>
              <w:rPr>
                <w:rFonts w:ascii="Arial" w:cs="Arial" w:eastAsia="Arial" w:hAnsi="Arial"/>
                <w:sz w:val="12"/>
                <w:szCs w:val="12"/>
                <w:b w:val="1"/>
                <w:bCs w:val="1"/>
                <w:color w:val="auto"/>
                <w:w w:val="92"/>
              </w:rPr>
              <w:t>Amount</w:t>
            </w:r>
          </w:p>
        </w:tc>
        <w:tc>
          <w:tcPr>
            <w:tcW w:w="22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4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20"/>
              <w:spacing w:after="0"/>
              <w:rPr>
                <w:sz w:val="20"/>
                <w:szCs w:val="20"/>
                <w:color w:val="auto"/>
              </w:rPr>
            </w:pPr>
            <w:r>
              <w:rPr>
                <w:rFonts w:ascii="Arial" w:cs="Arial" w:eastAsia="Arial" w:hAnsi="Arial"/>
                <w:sz w:val="12"/>
                <w:szCs w:val="12"/>
                <w:b w:val="1"/>
                <w:bCs w:val="1"/>
                <w:color w:val="auto"/>
                <w:w w:val="88"/>
              </w:rPr>
              <w:t>Long (Short)</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ind w:left="120"/>
              <w:spacing w:after="0"/>
              <w:rPr>
                <w:sz w:val="20"/>
                <w:szCs w:val="20"/>
                <w:color w:val="auto"/>
              </w:rPr>
            </w:pPr>
            <w:r>
              <w:rPr>
                <w:rFonts w:ascii="Arial" w:cs="Arial" w:eastAsia="Arial" w:hAnsi="Arial"/>
                <w:sz w:val="12"/>
                <w:szCs w:val="12"/>
                <w:b w:val="1"/>
                <w:bCs w:val="1"/>
                <w:color w:val="auto"/>
              </w:rPr>
              <w:t>Basis</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219"/>
              <w:spacing w:after="0"/>
              <w:rPr>
                <w:sz w:val="20"/>
                <w:szCs w:val="20"/>
                <w:color w:val="auto"/>
              </w:rPr>
            </w:pPr>
            <w:r>
              <w:rPr>
                <w:rFonts w:ascii="Arial" w:cs="Arial" w:eastAsia="Arial" w:hAnsi="Arial"/>
                <w:sz w:val="12"/>
                <w:szCs w:val="12"/>
                <w:b w:val="1"/>
                <w:bCs w:val="1"/>
                <w:color w:val="auto"/>
                <w:w w:val="87"/>
              </w:rPr>
              <w:t>Value</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59"/>
              <w:spacing w:after="0" w:line="163" w:lineRule="exact"/>
              <w:rPr>
                <w:sz w:val="20"/>
                <w:szCs w:val="20"/>
                <w:color w:val="auto"/>
              </w:rPr>
            </w:pPr>
            <w:r>
              <w:rPr>
                <w:rFonts w:ascii="Arial" w:cs="Arial" w:eastAsia="Arial" w:hAnsi="Arial"/>
                <w:sz w:val="12"/>
                <w:szCs w:val="12"/>
                <w:b w:val="1"/>
                <w:bCs w:val="1"/>
                <w:color w:val="auto"/>
                <w:w w:val="87"/>
              </w:rPr>
              <w:t xml:space="preserve">Value </w:t>
            </w:r>
            <w:r>
              <w:rPr>
                <w:rFonts w:ascii="Arial" w:cs="Arial" w:eastAsia="Arial" w:hAnsi="Arial"/>
                <w:sz w:val="15"/>
                <w:szCs w:val="15"/>
                <w:b w:val="1"/>
                <w:bCs w:val="1"/>
                <w:color w:val="auto"/>
                <w:w w:val="87"/>
                <w:vertAlign w:val="superscript"/>
              </w:rPr>
              <w:t>1</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120"/>
              <w:spacing w:after="0"/>
              <w:rPr>
                <w:sz w:val="20"/>
                <w:szCs w:val="20"/>
                <w:color w:val="auto"/>
              </w:rPr>
            </w:pPr>
            <w:r>
              <w:rPr>
                <w:rFonts w:ascii="Arial" w:cs="Arial" w:eastAsia="Arial" w:hAnsi="Arial"/>
                <w:sz w:val="12"/>
                <w:szCs w:val="12"/>
                <w:b w:val="1"/>
                <w:bCs w:val="1"/>
                <w:color w:val="auto"/>
                <w:w w:val="88"/>
              </w:rPr>
              <w:t>Long (Short)</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ind w:left="120"/>
              <w:spacing w:after="0"/>
              <w:rPr>
                <w:sz w:val="20"/>
                <w:szCs w:val="20"/>
                <w:color w:val="auto"/>
              </w:rPr>
            </w:pPr>
            <w:r>
              <w:rPr>
                <w:rFonts w:ascii="Arial" w:cs="Arial" w:eastAsia="Arial" w:hAnsi="Arial"/>
                <w:sz w:val="12"/>
                <w:szCs w:val="12"/>
                <w:b w:val="1"/>
                <w:bCs w:val="1"/>
                <w:color w:val="auto"/>
              </w:rPr>
              <w:t>Basis</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59"/>
              <w:spacing w:after="0"/>
              <w:rPr>
                <w:sz w:val="20"/>
                <w:szCs w:val="20"/>
                <w:color w:val="auto"/>
              </w:rPr>
            </w:pPr>
            <w:r>
              <w:rPr>
                <w:rFonts w:ascii="Arial" w:cs="Arial" w:eastAsia="Arial" w:hAnsi="Arial"/>
                <w:sz w:val="12"/>
                <w:szCs w:val="12"/>
                <w:b w:val="1"/>
                <w:bCs w:val="1"/>
                <w:color w:val="auto"/>
                <w:w w:val="87"/>
              </w:rPr>
              <w:t>Value</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39"/>
              <w:spacing w:after="0" w:line="163" w:lineRule="exact"/>
              <w:rPr>
                <w:sz w:val="20"/>
                <w:szCs w:val="20"/>
                <w:color w:val="auto"/>
              </w:rPr>
            </w:pPr>
            <w:r>
              <w:rPr>
                <w:rFonts w:ascii="Arial" w:cs="Arial" w:eastAsia="Arial" w:hAnsi="Arial"/>
                <w:sz w:val="12"/>
                <w:szCs w:val="12"/>
                <w:b w:val="1"/>
                <w:bCs w:val="1"/>
                <w:color w:val="auto"/>
                <w:w w:val="82"/>
              </w:rPr>
              <w:t xml:space="preserve">Value </w:t>
            </w:r>
            <w:r>
              <w:rPr>
                <w:rFonts w:ascii="Arial" w:cs="Arial" w:eastAsia="Arial" w:hAnsi="Arial"/>
                <w:sz w:val="15"/>
                <w:szCs w:val="15"/>
                <w:b w:val="1"/>
                <w:bCs w:val="1"/>
                <w:color w:val="auto"/>
                <w:w w:val="82"/>
                <w:vertAlign w:val="superscript"/>
              </w:rPr>
              <w:t>1</w:t>
            </w:r>
          </w:p>
        </w:tc>
        <w:tc>
          <w:tcPr>
            <w:tcW w:w="0" w:type="dxa"/>
            <w:vAlign w:val="bottom"/>
          </w:tcPr>
          <w:p>
            <w:pPr>
              <w:spacing w:after="0"/>
              <w:rPr>
                <w:sz w:val="1"/>
                <w:szCs w:val="1"/>
                <w:color w:val="auto"/>
              </w:rPr>
            </w:pPr>
          </w:p>
        </w:tc>
      </w:tr>
      <w:tr>
        <w:trPr>
          <w:trHeight w:val="192"/>
        </w:trPr>
        <w:tc>
          <w:tcPr>
            <w:tcW w:w="2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10 years</w:t>
            </w:r>
          </w:p>
        </w:tc>
        <w:tc>
          <w:tcPr>
            <w:tcW w:w="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(1,500)</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(1,982)</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(1,988)</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(1,000)</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(1,379)</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(1,381)</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w:t>
      </w:r>
    </w:p>
    <w:p>
      <w:pPr>
        <w:spacing w:after="0" w:line="1" w:lineRule="exact"/>
        <w:rPr>
          <w:sz w:val="20"/>
          <w:szCs w:val="20"/>
          <w:color w:val="auto"/>
        </w:rPr>
      </w:pPr>
    </w:p>
    <w:p>
      <w:pPr>
        <w:ind w:left="600" w:hanging="300"/>
        <w:spacing w:after="0" w:line="255" w:lineRule="auto"/>
        <w:tabs>
          <w:tab w:leader="none" w:pos="600" w:val="left"/>
        </w:tabs>
        <w:numPr>
          <w:ilvl w:val="0"/>
          <w:numId w:val="8"/>
        </w:numPr>
        <w:rPr>
          <w:rFonts w:ascii="Arial" w:cs="Arial" w:eastAsia="Arial" w:hAnsi="Arial"/>
          <w:sz w:val="13"/>
          <w:szCs w:val="13"/>
          <w:color w:val="auto"/>
        </w:rPr>
      </w:pPr>
      <w:r>
        <w:rPr>
          <w:rFonts w:ascii="Arial" w:cs="Arial" w:eastAsia="Arial" w:hAnsi="Arial"/>
          <w:sz w:val="13"/>
          <w:szCs w:val="13"/>
          <w:color w:val="auto"/>
        </w:rPr>
        <w:t>Net carrying value represents the difference between the fair market value and the cost basis (or the forward price to be paid/(received) for the underlying U.S. Treasury security) of the U.S. Treasury futures contract as of period-end and is reported in derivative assets/(liabilities), at fair value in our consolidated balance sheets.</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932"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78"/>
        </w:trPr>
        <w:tc>
          <w:tcPr>
            <w:tcW w:w="2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June 30, 2021</w:t>
            </w: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5"/>
          </w:tcPr>
          <w:p>
            <w:pPr>
              <w:ind w:left="120"/>
              <w:spacing w:after="0"/>
              <w:rPr>
                <w:sz w:val="20"/>
                <w:szCs w:val="20"/>
                <w:color w:val="auto"/>
              </w:rPr>
            </w:pPr>
            <w:r>
              <w:rPr>
                <w:rFonts w:ascii="Arial" w:cs="Arial" w:eastAsia="Arial" w:hAnsi="Arial"/>
                <w:sz w:val="13"/>
                <w:szCs w:val="13"/>
                <w:b w:val="1"/>
                <w:bCs w:val="1"/>
                <w:color w:val="auto"/>
              </w:rPr>
              <w:t>December 31, 2020</w:t>
            </w: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0"/>
        </w:trPr>
        <w:tc>
          <w:tcPr>
            <w:tcW w:w="2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gridSpan w:val="2"/>
          </w:tcPr>
          <w:p>
            <w:pPr>
              <w:jc w:val="center"/>
              <w:ind w:right="300"/>
              <w:spacing w:after="0" w:line="110" w:lineRule="exact"/>
              <w:rPr>
                <w:sz w:val="20"/>
                <w:szCs w:val="20"/>
                <w:color w:val="auto"/>
              </w:rPr>
            </w:pPr>
            <w:r>
              <w:rPr>
                <w:rFonts w:ascii="Arial" w:cs="Arial" w:eastAsia="Arial" w:hAnsi="Arial"/>
                <w:sz w:val="12"/>
                <w:szCs w:val="12"/>
                <w:b w:val="1"/>
                <w:bCs w:val="1"/>
                <w:color w:val="auto"/>
                <w:w w:val="87"/>
              </w:rPr>
              <w:t>Notional</w:t>
            </w:r>
          </w:p>
        </w:tc>
        <w:tc>
          <w:tcPr>
            <w:tcW w:w="200" w:type="dxa"/>
            <w:vAlign w:val="bottom"/>
          </w:tcPr>
          <w:p>
            <w:pPr>
              <w:spacing w:after="0"/>
              <w:rPr>
                <w:sz w:val="9"/>
                <w:szCs w:val="9"/>
                <w:color w:val="auto"/>
              </w:rPr>
            </w:pPr>
          </w:p>
        </w:tc>
        <w:tc>
          <w:tcPr>
            <w:tcW w:w="8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Cost</w:t>
            </w:r>
          </w:p>
        </w:tc>
        <w:tc>
          <w:tcPr>
            <w:tcW w:w="260" w:type="dxa"/>
            <w:vAlign w:val="bottom"/>
          </w:tcPr>
          <w:p>
            <w:pPr>
              <w:spacing w:after="0"/>
              <w:rPr>
                <w:sz w:val="9"/>
                <w:szCs w:val="9"/>
                <w:color w:val="auto"/>
              </w:rPr>
            </w:pPr>
          </w:p>
        </w:tc>
        <w:tc>
          <w:tcPr>
            <w:tcW w:w="740" w:type="dxa"/>
            <w:vAlign w:val="bottom"/>
            <w:gridSpan w:val="2"/>
            <w:vMerge w:val="restart"/>
          </w:tcPr>
          <w:p>
            <w:pPr>
              <w:jc w:val="center"/>
              <w:ind w:right="360"/>
              <w:spacing w:after="0"/>
              <w:rPr>
                <w:sz w:val="20"/>
                <w:szCs w:val="20"/>
                <w:color w:val="auto"/>
              </w:rPr>
            </w:pPr>
            <w:r>
              <w:rPr>
                <w:rFonts w:ascii="Arial" w:cs="Arial" w:eastAsia="Arial" w:hAnsi="Arial"/>
                <w:sz w:val="12"/>
                <w:szCs w:val="12"/>
                <w:b w:val="1"/>
                <w:bCs w:val="1"/>
                <w:color w:val="auto"/>
                <w:w w:val="99"/>
              </w:rPr>
              <w:t>Fair</w:t>
            </w:r>
          </w:p>
        </w:tc>
        <w:tc>
          <w:tcPr>
            <w:tcW w:w="100" w:type="dxa"/>
            <w:vAlign w:val="bottom"/>
          </w:tcPr>
          <w:p>
            <w:pPr>
              <w:spacing w:after="0"/>
              <w:rPr>
                <w:sz w:val="9"/>
                <w:szCs w:val="9"/>
                <w:color w:val="auto"/>
              </w:rPr>
            </w:pPr>
          </w:p>
        </w:tc>
        <w:tc>
          <w:tcPr>
            <w:tcW w:w="1020" w:type="dxa"/>
            <w:vAlign w:val="bottom"/>
            <w:gridSpan w:val="2"/>
            <w:vMerge w:val="restart"/>
          </w:tcPr>
          <w:p>
            <w:pPr>
              <w:jc w:val="center"/>
              <w:ind w:right="280"/>
              <w:spacing w:after="0"/>
              <w:rPr>
                <w:sz w:val="20"/>
                <w:szCs w:val="20"/>
                <w:color w:val="auto"/>
              </w:rPr>
            </w:pPr>
            <w:r>
              <w:rPr>
                <w:rFonts w:ascii="Arial" w:cs="Arial" w:eastAsia="Arial" w:hAnsi="Arial"/>
                <w:sz w:val="12"/>
                <w:szCs w:val="12"/>
                <w:b w:val="1"/>
                <w:bCs w:val="1"/>
                <w:color w:val="auto"/>
                <w:w w:val="91"/>
              </w:rPr>
              <w:t>Net Carrying</w:t>
            </w:r>
          </w:p>
        </w:tc>
        <w:tc>
          <w:tcPr>
            <w:tcW w:w="160" w:type="dxa"/>
            <w:vAlign w:val="bottom"/>
          </w:tcPr>
          <w:p>
            <w:pPr>
              <w:spacing w:after="0"/>
              <w:rPr>
                <w:sz w:val="9"/>
                <w:szCs w:val="9"/>
                <w:color w:val="auto"/>
              </w:rPr>
            </w:pPr>
          </w:p>
        </w:tc>
        <w:tc>
          <w:tcPr>
            <w:tcW w:w="1080" w:type="dxa"/>
            <w:vAlign w:val="bottom"/>
            <w:gridSpan w:val="2"/>
          </w:tcPr>
          <w:p>
            <w:pPr>
              <w:jc w:val="center"/>
              <w:ind w:right="300"/>
              <w:spacing w:after="0" w:line="110" w:lineRule="exact"/>
              <w:rPr>
                <w:sz w:val="20"/>
                <w:szCs w:val="20"/>
                <w:color w:val="auto"/>
              </w:rPr>
            </w:pPr>
            <w:r>
              <w:rPr>
                <w:rFonts w:ascii="Arial" w:cs="Arial" w:eastAsia="Arial" w:hAnsi="Arial"/>
                <w:sz w:val="12"/>
                <w:szCs w:val="12"/>
                <w:b w:val="1"/>
                <w:bCs w:val="1"/>
                <w:color w:val="auto"/>
                <w:w w:val="87"/>
              </w:rPr>
              <w:t>Notional</w:t>
            </w:r>
          </w:p>
        </w:tc>
        <w:tc>
          <w:tcPr>
            <w:tcW w:w="220" w:type="dxa"/>
            <w:vAlign w:val="bottom"/>
          </w:tcPr>
          <w:p>
            <w:pPr>
              <w:spacing w:after="0"/>
              <w:rPr>
                <w:sz w:val="9"/>
                <w:szCs w:val="9"/>
                <w:color w:val="auto"/>
              </w:rPr>
            </w:pPr>
          </w:p>
        </w:tc>
        <w:tc>
          <w:tcPr>
            <w:tcW w:w="8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Cost</w:t>
            </w:r>
          </w:p>
        </w:tc>
        <w:tc>
          <w:tcPr>
            <w:tcW w:w="200" w:type="dxa"/>
            <w:vAlign w:val="bottom"/>
          </w:tcPr>
          <w:p>
            <w:pPr>
              <w:spacing w:after="0"/>
              <w:rPr>
                <w:sz w:val="9"/>
                <w:szCs w:val="9"/>
                <w:color w:val="auto"/>
              </w:rPr>
            </w:pPr>
          </w:p>
        </w:tc>
        <w:tc>
          <w:tcPr>
            <w:tcW w:w="840" w:type="dxa"/>
            <w:vAlign w:val="bottom"/>
            <w:gridSpan w:val="2"/>
            <w:vMerge w:val="restart"/>
          </w:tcPr>
          <w:p>
            <w:pPr>
              <w:jc w:val="center"/>
              <w:ind w:right="300"/>
              <w:spacing w:after="0"/>
              <w:rPr>
                <w:sz w:val="20"/>
                <w:szCs w:val="20"/>
                <w:color w:val="auto"/>
              </w:rPr>
            </w:pPr>
            <w:r>
              <w:rPr>
                <w:rFonts w:ascii="Arial" w:cs="Arial" w:eastAsia="Arial" w:hAnsi="Arial"/>
                <w:sz w:val="12"/>
                <w:szCs w:val="12"/>
                <w:b w:val="1"/>
                <w:bCs w:val="1"/>
                <w:color w:val="auto"/>
                <w:w w:val="99"/>
              </w:rPr>
              <w:t>Fair</w:t>
            </w:r>
          </w:p>
        </w:tc>
        <w:tc>
          <w:tcPr>
            <w:tcW w:w="100" w:type="dxa"/>
            <w:vAlign w:val="bottom"/>
          </w:tcPr>
          <w:p>
            <w:pPr>
              <w:spacing w:after="0"/>
              <w:rPr>
                <w:sz w:val="9"/>
                <w:szCs w:val="9"/>
                <w:color w:val="auto"/>
              </w:rPr>
            </w:pPr>
          </w:p>
        </w:tc>
        <w:tc>
          <w:tcPr>
            <w:tcW w:w="840" w:type="dxa"/>
            <w:vAlign w:val="bottom"/>
            <w:vMerge w:val="restart"/>
          </w:tcPr>
          <w:p>
            <w:pPr>
              <w:jc w:val="right"/>
              <w:ind w:right="75"/>
              <w:spacing w:after="0"/>
              <w:rPr>
                <w:sz w:val="20"/>
                <w:szCs w:val="20"/>
                <w:color w:val="auto"/>
              </w:rPr>
            </w:pPr>
            <w:r>
              <w:rPr>
                <w:rFonts w:ascii="Arial" w:cs="Arial" w:eastAsia="Arial" w:hAnsi="Arial"/>
                <w:sz w:val="12"/>
                <w:szCs w:val="12"/>
                <w:b w:val="1"/>
                <w:bCs w:val="1"/>
                <w:color w:val="auto"/>
                <w:w w:val="94"/>
              </w:rPr>
              <w:t>Net Carrying</w:t>
            </w:r>
          </w:p>
        </w:tc>
        <w:tc>
          <w:tcPr>
            <w:tcW w:w="0" w:type="dxa"/>
            <w:vAlign w:val="bottom"/>
          </w:tcPr>
          <w:p>
            <w:pPr>
              <w:spacing w:after="0"/>
              <w:rPr>
                <w:sz w:val="1"/>
                <w:szCs w:val="1"/>
                <w:color w:val="auto"/>
              </w:rPr>
            </w:pPr>
          </w:p>
        </w:tc>
      </w:tr>
      <w:tr>
        <w:trPr>
          <w:trHeight w:val="112"/>
        </w:trPr>
        <w:tc>
          <w:tcPr>
            <w:tcW w:w="25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TBA Securities by Coupon</w:t>
            </w:r>
          </w:p>
        </w:tc>
        <w:tc>
          <w:tcPr>
            <w:tcW w:w="180" w:type="dxa"/>
            <w:vAlign w:val="bottom"/>
          </w:tcPr>
          <w:p>
            <w:pPr>
              <w:spacing w:after="0"/>
              <w:rPr>
                <w:sz w:val="9"/>
                <w:szCs w:val="9"/>
                <w:color w:val="auto"/>
              </w:rPr>
            </w:pPr>
          </w:p>
        </w:tc>
        <w:tc>
          <w:tcPr>
            <w:tcW w:w="1080" w:type="dxa"/>
            <w:vAlign w:val="bottom"/>
            <w:gridSpan w:val="2"/>
          </w:tcPr>
          <w:p>
            <w:pPr>
              <w:jc w:val="center"/>
              <w:ind w:right="280"/>
              <w:spacing w:after="0" w:line="113" w:lineRule="exact"/>
              <w:rPr>
                <w:sz w:val="20"/>
                <w:szCs w:val="20"/>
                <w:color w:val="auto"/>
              </w:rPr>
            </w:pPr>
            <w:r>
              <w:rPr>
                <w:rFonts w:ascii="Arial" w:cs="Arial" w:eastAsia="Arial" w:hAnsi="Arial"/>
                <w:sz w:val="12"/>
                <w:szCs w:val="12"/>
                <w:b w:val="1"/>
                <w:bCs w:val="1"/>
                <w:color w:val="auto"/>
                <w:w w:val="88"/>
              </w:rPr>
              <w:t>Amount</w:t>
            </w:r>
          </w:p>
        </w:tc>
        <w:tc>
          <w:tcPr>
            <w:tcW w:w="20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gridSpan w:val="2"/>
          </w:tcPr>
          <w:p>
            <w:pPr>
              <w:jc w:val="center"/>
              <w:ind w:right="260"/>
              <w:spacing w:after="0" w:line="113" w:lineRule="exact"/>
              <w:rPr>
                <w:sz w:val="20"/>
                <w:szCs w:val="20"/>
                <w:color w:val="auto"/>
              </w:rPr>
            </w:pPr>
            <w:r>
              <w:rPr>
                <w:rFonts w:ascii="Arial" w:cs="Arial" w:eastAsia="Arial" w:hAnsi="Arial"/>
                <w:sz w:val="12"/>
                <w:szCs w:val="12"/>
                <w:b w:val="1"/>
                <w:bCs w:val="1"/>
                <w:color w:val="auto"/>
                <w:w w:val="92"/>
              </w:rPr>
              <w:t>Amount</w:t>
            </w:r>
          </w:p>
        </w:tc>
        <w:tc>
          <w:tcPr>
            <w:tcW w:w="22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5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88"/>
              </w:rPr>
              <w:t>Long (Short)</w:t>
            </w:r>
          </w:p>
        </w:tc>
        <w:tc>
          <w:tcPr>
            <w:tcW w:w="200" w:type="dxa"/>
            <w:vAlign w:val="bottom"/>
          </w:tcPr>
          <w:p>
            <w:pPr>
              <w:spacing w:after="0"/>
              <w:rPr>
                <w:sz w:val="14"/>
                <w:szCs w:val="14"/>
                <w:color w:val="auto"/>
              </w:rPr>
            </w:pP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Basis</w:t>
            </w:r>
          </w:p>
        </w:tc>
        <w:tc>
          <w:tcPr>
            <w:tcW w:w="260" w:type="dxa"/>
            <w:vAlign w:val="bottom"/>
          </w:tcPr>
          <w:p>
            <w:pPr>
              <w:spacing w:after="0"/>
              <w:rPr>
                <w:sz w:val="14"/>
                <w:szCs w:val="14"/>
                <w:color w:val="auto"/>
              </w:rPr>
            </w:pPr>
          </w:p>
        </w:tc>
        <w:tc>
          <w:tcPr>
            <w:tcW w:w="740" w:type="dxa"/>
            <w:vAlign w:val="bottom"/>
            <w:gridSpan w:val="2"/>
          </w:tcPr>
          <w:p>
            <w:pPr>
              <w:jc w:val="center"/>
              <w:ind w:right="380"/>
              <w:spacing w:after="0"/>
              <w:rPr>
                <w:sz w:val="20"/>
                <w:szCs w:val="20"/>
                <w:color w:val="auto"/>
              </w:rPr>
            </w:pPr>
            <w:r>
              <w:rPr>
                <w:rFonts w:ascii="Arial" w:cs="Arial" w:eastAsia="Arial" w:hAnsi="Arial"/>
                <w:sz w:val="12"/>
                <w:szCs w:val="12"/>
                <w:b w:val="1"/>
                <w:bCs w:val="1"/>
                <w:color w:val="auto"/>
                <w:w w:val="87"/>
              </w:rPr>
              <w:t>Value</w:t>
            </w:r>
          </w:p>
        </w:tc>
        <w:tc>
          <w:tcPr>
            <w:tcW w:w="100" w:type="dxa"/>
            <w:vAlign w:val="bottom"/>
          </w:tcPr>
          <w:p>
            <w:pPr>
              <w:spacing w:after="0"/>
              <w:rPr>
                <w:sz w:val="14"/>
                <w:szCs w:val="14"/>
                <w:color w:val="auto"/>
              </w:rPr>
            </w:pPr>
          </w:p>
        </w:tc>
        <w:tc>
          <w:tcPr>
            <w:tcW w:w="1020" w:type="dxa"/>
            <w:vAlign w:val="bottom"/>
            <w:gridSpan w:val="2"/>
          </w:tcPr>
          <w:p>
            <w:pPr>
              <w:jc w:val="center"/>
              <w:ind w:right="280"/>
              <w:spacing w:after="0" w:line="163" w:lineRule="exact"/>
              <w:rPr>
                <w:sz w:val="20"/>
                <w:szCs w:val="20"/>
                <w:color w:val="auto"/>
              </w:rPr>
            </w:pPr>
            <w:r>
              <w:rPr>
                <w:rFonts w:ascii="Arial" w:cs="Arial" w:eastAsia="Arial" w:hAnsi="Arial"/>
                <w:sz w:val="12"/>
                <w:szCs w:val="12"/>
                <w:b w:val="1"/>
                <w:bCs w:val="1"/>
                <w:color w:val="auto"/>
                <w:w w:val="82"/>
              </w:rPr>
              <w:t xml:space="preserve">Value </w:t>
            </w:r>
            <w:r>
              <w:rPr>
                <w:rFonts w:ascii="Arial" w:cs="Arial" w:eastAsia="Arial" w:hAnsi="Arial"/>
                <w:sz w:val="15"/>
                <w:szCs w:val="15"/>
                <w:b w:val="1"/>
                <w:bCs w:val="1"/>
                <w:color w:val="auto"/>
                <w:w w:val="82"/>
                <w:vertAlign w:val="superscript"/>
              </w:rPr>
              <w:t>1</w:t>
            </w:r>
          </w:p>
        </w:tc>
        <w:tc>
          <w:tcPr>
            <w:tcW w:w="16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88"/>
              </w:rPr>
              <w:t>Long (Short)</w:t>
            </w:r>
          </w:p>
        </w:tc>
        <w:tc>
          <w:tcPr>
            <w:tcW w:w="220" w:type="dxa"/>
            <w:vAlign w:val="bottom"/>
          </w:tcPr>
          <w:p>
            <w:pPr>
              <w:spacing w:after="0"/>
              <w:rPr>
                <w:sz w:val="14"/>
                <w:szCs w:val="14"/>
                <w:color w:val="auto"/>
              </w:rPr>
            </w:pP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Basis</w:t>
            </w:r>
          </w:p>
        </w:tc>
        <w:tc>
          <w:tcPr>
            <w:tcW w:w="200" w:type="dxa"/>
            <w:vAlign w:val="bottom"/>
          </w:tcPr>
          <w:p>
            <w:pPr>
              <w:spacing w:after="0"/>
              <w:rPr>
                <w:sz w:val="14"/>
                <w:szCs w:val="14"/>
                <w:color w:val="auto"/>
              </w:rPr>
            </w:pPr>
          </w:p>
        </w:tc>
        <w:tc>
          <w:tcPr>
            <w:tcW w:w="84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87"/>
              </w:rPr>
              <w:t>Value</w:t>
            </w:r>
          </w:p>
        </w:tc>
        <w:tc>
          <w:tcPr>
            <w:tcW w:w="100" w:type="dxa"/>
            <w:vAlign w:val="bottom"/>
          </w:tcPr>
          <w:p>
            <w:pPr>
              <w:spacing w:after="0"/>
              <w:rPr>
                <w:sz w:val="14"/>
                <w:szCs w:val="14"/>
                <w:color w:val="auto"/>
              </w:rPr>
            </w:pPr>
          </w:p>
        </w:tc>
        <w:tc>
          <w:tcPr>
            <w:tcW w:w="840" w:type="dxa"/>
            <w:vAlign w:val="bottom"/>
          </w:tcPr>
          <w:p>
            <w:pPr>
              <w:jc w:val="right"/>
              <w:ind w:right="235"/>
              <w:spacing w:after="0" w:line="163" w:lineRule="exact"/>
              <w:rPr>
                <w:sz w:val="20"/>
                <w:szCs w:val="20"/>
                <w:color w:val="auto"/>
              </w:rPr>
            </w:pPr>
            <w:r>
              <w:rPr>
                <w:rFonts w:ascii="Arial" w:cs="Arial" w:eastAsia="Arial" w:hAnsi="Arial"/>
                <w:sz w:val="12"/>
                <w:szCs w:val="12"/>
                <w:b w:val="1"/>
                <w:bCs w:val="1"/>
                <w:color w:val="auto"/>
              </w:rPr>
              <w:t xml:space="preserve">Value </w:t>
            </w:r>
            <w:r>
              <w:rPr>
                <w:rFonts w:ascii="Arial" w:cs="Arial" w:eastAsia="Arial" w:hAnsi="Arial"/>
                <w:sz w:val="15"/>
                <w:szCs w:val="15"/>
                <w:b w:val="1"/>
                <w:bCs w:val="1"/>
                <w:color w:val="auto"/>
                <w:vertAlign w:val="superscript"/>
              </w:rPr>
              <w:t>1</w:t>
            </w:r>
          </w:p>
        </w:tc>
        <w:tc>
          <w:tcPr>
            <w:tcW w:w="0" w:type="dxa"/>
            <w:vAlign w:val="bottom"/>
          </w:tcPr>
          <w:p>
            <w:pPr>
              <w:spacing w:after="0"/>
              <w:rPr>
                <w:sz w:val="1"/>
                <w:szCs w:val="1"/>
                <w:color w:val="auto"/>
              </w:rPr>
            </w:pPr>
          </w:p>
        </w:tc>
      </w:tr>
      <w:tr>
        <w:trPr>
          <w:trHeight w:val="167"/>
        </w:trPr>
        <w:tc>
          <w:tcPr>
            <w:tcW w:w="2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15-Year TBA securities:</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520" w:type="dxa"/>
            <w:vAlign w:val="bottom"/>
            <w:gridSpan w:val="2"/>
          </w:tcPr>
          <w:p>
            <w:pPr>
              <w:ind w:left="160"/>
              <w:spacing w:after="0"/>
              <w:rPr>
                <w:sz w:val="20"/>
                <w:szCs w:val="20"/>
                <w:color w:val="auto"/>
              </w:rPr>
            </w:pPr>
            <w:r>
              <w:rPr>
                <w:rFonts w:ascii="Arial" w:cs="Arial" w:eastAsia="Arial" w:hAnsi="Arial"/>
                <w:sz w:val="13"/>
                <w:szCs w:val="13"/>
                <w:color w:val="auto"/>
              </w:rPr>
              <w:t>≤ 2.0%</w:t>
            </w:r>
          </w:p>
        </w:tc>
        <w:tc>
          <w:tcPr>
            <w:tcW w:w="180" w:type="dxa"/>
            <w:vAlign w:val="bottom"/>
          </w:tcPr>
          <w:p>
            <w:pPr>
              <w:jc w:val="right"/>
              <w:ind w:right="33"/>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418</w:t>
            </w:r>
          </w:p>
        </w:tc>
        <w:tc>
          <w:tcPr>
            <w:tcW w:w="100" w:type="dxa"/>
            <w:vAlign w:val="bottom"/>
          </w:tcPr>
          <w:p>
            <w:pPr>
              <w:spacing w:after="0"/>
              <w:rPr>
                <w:sz w:val="14"/>
                <w:szCs w:val="14"/>
                <w:color w:val="auto"/>
              </w:rPr>
            </w:pPr>
          </w:p>
        </w:tc>
        <w:tc>
          <w:tcPr>
            <w:tcW w:w="200" w:type="dxa"/>
            <w:vAlign w:val="bottom"/>
          </w:tcPr>
          <w:p>
            <w:pPr>
              <w:jc w:val="right"/>
              <w:ind w:right="53"/>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422</w:t>
            </w:r>
          </w:p>
        </w:tc>
        <w:tc>
          <w:tcPr>
            <w:tcW w:w="100" w:type="dxa"/>
            <w:vAlign w:val="bottom"/>
          </w:tcPr>
          <w:p>
            <w:pPr>
              <w:spacing w:after="0"/>
              <w:rPr>
                <w:sz w:val="14"/>
                <w:szCs w:val="14"/>
                <w:color w:val="auto"/>
              </w:rPr>
            </w:pPr>
          </w:p>
        </w:tc>
        <w:tc>
          <w:tcPr>
            <w:tcW w:w="260" w:type="dxa"/>
            <w:vAlign w:val="bottom"/>
          </w:tcPr>
          <w:p>
            <w:pPr>
              <w:jc w:val="right"/>
              <w:ind w:right="113"/>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423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w:t>
            </w:r>
          </w:p>
        </w:tc>
        <w:tc>
          <w:tcPr>
            <w:tcW w:w="180" w:type="dxa"/>
            <w:vAlign w:val="bottom"/>
          </w:tcPr>
          <w:p>
            <w:pPr>
              <w:spacing w:after="0"/>
              <w:rPr>
                <w:sz w:val="14"/>
                <w:szCs w:val="14"/>
                <w:color w:val="auto"/>
              </w:rPr>
            </w:pPr>
          </w:p>
        </w:tc>
        <w:tc>
          <w:tcPr>
            <w:tcW w:w="160" w:type="dxa"/>
            <w:vAlign w:val="bottom"/>
          </w:tcPr>
          <w:p>
            <w:pPr>
              <w:jc w:val="right"/>
              <w:ind w:right="13"/>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6,540</w:t>
            </w:r>
          </w:p>
        </w:tc>
        <w:tc>
          <w:tcPr>
            <w:tcW w:w="100" w:type="dxa"/>
            <w:vAlign w:val="bottom"/>
          </w:tcPr>
          <w:p>
            <w:pPr>
              <w:spacing w:after="0"/>
              <w:rPr>
                <w:sz w:val="14"/>
                <w:szCs w:val="14"/>
                <w:color w:val="auto"/>
              </w:rPr>
            </w:pPr>
          </w:p>
        </w:tc>
        <w:tc>
          <w:tcPr>
            <w:tcW w:w="220" w:type="dxa"/>
            <w:vAlign w:val="bottom"/>
          </w:tcPr>
          <w:p>
            <w:pPr>
              <w:jc w:val="right"/>
              <w:ind w:right="73"/>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6,708</w:t>
            </w:r>
          </w:p>
        </w:tc>
        <w:tc>
          <w:tcPr>
            <w:tcW w:w="100" w:type="dxa"/>
            <w:vAlign w:val="bottom"/>
          </w:tcPr>
          <w:p>
            <w:pPr>
              <w:spacing w:after="0"/>
              <w:rPr>
                <w:sz w:val="14"/>
                <w:szCs w:val="14"/>
                <w:color w:val="auto"/>
              </w:rPr>
            </w:pPr>
          </w:p>
        </w:tc>
        <w:tc>
          <w:tcPr>
            <w:tcW w:w="200" w:type="dxa"/>
            <w:vAlign w:val="bottom"/>
          </w:tcPr>
          <w:p>
            <w:pPr>
              <w:jc w:val="right"/>
              <w:ind w:right="53"/>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6,771</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63</w:t>
            </w:r>
          </w:p>
        </w:tc>
        <w:tc>
          <w:tcPr>
            <w:tcW w:w="0" w:type="dxa"/>
            <w:vAlign w:val="bottom"/>
          </w:tcPr>
          <w:p>
            <w:pPr>
              <w:spacing w:after="0"/>
              <w:rPr>
                <w:sz w:val="1"/>
                <w:szCs w:val="1"/>
                <w:color w:val="auto"/>
              </w:rPr>
            </w:pPr>
          </w:p>
        </w:tc>
      </w:tr>
      <w:tr>
        <w:trPr>
          <w:trHeight w:val="178"/>
        </w:trPr>
        <w:tc>
          <w:tcPr>
            <w:tcW w:w="24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2.5%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342</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64"/>
        </w:trPr>
        <w:tc>
          <w:tcPr>
            <w:tcW w:w="252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Total 15-Year TBA securities</w:t>
            </w:r>
          </w:p>
        </w:tc>
        <w:tc>
          <w:tcPr>
            <w:tcW w:w="18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746</w:t>
            </w:r>
          </w:p>
        </w:tc>
        <w:tc>
          <w:tcPr>
            <w:tcW w:w="100" w:type="dxa"/>
            <w:vAlign w:val="bottom"/>
            <w:tcBorders>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764</w:t>
            </w:r>
          </w:p>
        </w:tc>
        <w:tc>
          <w:tcPr>
            <w:tcW w:w="100" w:type="dxa"/>
            <w:vAlign w:val="bottom"/>
            <w:tcBorders>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765</w:t>
            </w:r>
          </w:p>
        </w:tc>
        <w:tc>
          <w:tcPr>
            <w:tcW w:w="10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18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6,740</w:t>
            </w:r>
          </w:p>
        </w:tc>
        <w:tc>
          <w:tcPr>
            <w:tcW w:w="10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6,916</w:t>
            </w:r>
          </w:p>
        </w:tc>
        <w:tc>
          <w:tcPr>
            <w:tcW w:w="100" w:type="dxa"/>
            <w:vAlign w:val="bottom"/>
            <w:tcBorders>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6,980</w:t>
            </w:r>
          </w:p>
        </w:tc>
        <w:tc>
          <w:tcPr>
            <w:tcW w:w="10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64</w:t>
            </w:r>
          </w:p>
        </w:tc>
        <w:tc>
          <w:tcPr>
            <w:tcW w:w="0" w:type="dxa"/>
            <w:vAlign w:val="bottom"/>
          </w:tcPr>
          <w:p>
            <w:pPr>
              <w:spacing w:after="0"/>
              <w:rPr>
                <w:sz w:val="1"/>
                <w:szCs w:val="1"/>
                <w:color w:val="auto"/>
              </w:rPr>
            </w:pPr>
          </w:p>
        </w:tc>
      </w:tr>
      <w:tr>
        <w:trPr>
          <w:trHeight w:val="158"/>
        </w:trPr>
        <w:tc>
          <w:tcPr>
            <w:tcW w:w="25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30-Year TBA securities:</w:t>
            </w:r>
          </w:p>
        </w:tc>
        <w:tc>
          <w:tcPr>
            <w:tcW w:w="1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520" w:type="dxa"/>
            <w:vAlign w:val="bottom"/>
            <w:gridSpan w:val="2"/>
          </w:tcPr>
          <w:p>
            <w:pPr>
              <w:ind w:left="160"/>
              <w:spacing w:after="0"/>
              <w:rPr>
                <w:sz w:val="20"/>
                <w:szCs w:val="20"/>
                <w:color w:val="auto"/>
              </w:rPr>
            </w:pPr>
            <w:r>
              <w:rPr>
                <w:rFonts w:ascii="Arial" w:cs="Arial" w:eastAsia="Arial" w:hAnsi="Arial"/>
                <w:sz w:val="13"/>
                <w:szCs w:val="13"/>
                <w:color w:val="auto"/>
              </w:rPr>
              <w:t>≤ 2.0%</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2,551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2,552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2,572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20</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19,805</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20,314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20,480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166</w:t>
            </w:r>
          </w:p>
        </w:tc>
        <w:tc>
          <w:tcPr>
            <w:tcW w:w="0" w:type="dxa"/>
            <w:vAlign w:val="bottom"/>
          </w:tcPr>
          <w:p>
            <w:pPr>
              <w:spacing w:after="0"/>
              <w:rPr>
                <w:sz w:val="1"/>
                <w:szCs w:val="1"/>
                <w:color w:val="auto"/>
              </w:rPr>
            </w:pPr>
          </w:p>
        </w:tc>
      </w:tr>
      <w:tr>
        <w:trPr>
          <w:trHeight w:val="178"/>
        </w:trPr>
        <w:tc>
          <w:tcPr>
            <w:tcW w:w="24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2.5%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20,627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21,227</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21,289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3,167</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3,291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3,335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w:t>
            </w:r>
          </w:p>
        </w:tc>
        <w:tc>
          <w:tcPr>
            <w:tcW w:w="0" w:type="dxa"/>
            <w:vAlign w:val="bottom"/>
          </w:tcPr>
          <w:p>
            <w:pPr>
              <w:spacing w:after="0"/>
              <w:rPr>
                <w:sz w:val="1"/>
                <w:szCs w:val="1"/>
                <w:color w:val="auto"/>
              </w:rPr>
            </w:pPr>
          </w:p>
        </w:tc>
      </w:tr>
      <w:tr>
        <w:trPr>
          <w:trHeight w:val="172"/>
        </w:trPr>
        <w:tc>
          <w:tcPr>
            <w:tcW w:w="2420" w:type="dxa"/>
            <w:vAlign w:val="bottom"/>
          </w:tcPr>
          <w:p>
            <w:pPr>
              <w:ind w:left="160"/>
              <w:spacing w:after="0"/>
              <w:rPr>
                <w:sz w:val="20"/>
                <w:szCs w:val="20"/>
                <w:color w:val="auto"/>
              </w:rPr>
            </w:pPr>
            <w:r>
              <w:rPr>
                <w:rFonts w:ascii="Arial" w:cs="Arial" w:eastAsia="Arial" w:hAnsi="Arial"/>
                <w:sz w:val="13"/>
                <w:szCs w:val="13"/>
                <w:color w:val="auto"/>
              </w:rPr>
              <w:t>3.0%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2,104</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2,195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2,193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528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552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553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78"/>
        </w:trPr>
        <w:tc>
          <w:tcPr>
            <w:tcW w:w="2420" w:type="dxa"/>
            <w:vAlign w:val="bottom"/>
            <w:shd w:val="clear" w:color="auto" w:fill="CCEEFF"/>
          </w:tcPr>
          <w:p>
            <w:pPr>
              <w:ind w:left="160"/>
              <w:spacing w:after="0"/>
              <w:rPr>
                <w:sz w:val="20"/>
                <w:szCs w:val="20"/>
                <w:color w:val="auto"/>
              </w:rPr>
            </w:pPr>
            <w:r>
              <w:rPr>
                <w:rFonts w:ascii="Arial" w:cs="Arial" w:eastAsia="Arial" w:hAnsi="Arial"/>
                <w:sz w:val="13"/>
                <w:szCs w:val="13"/>
                <w:color w:val="auto"/>
              </w:rPr>
              <w:t>3.5%</w:t>
            </w: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539</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569</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567</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124</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131</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131</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4"/>
        </w:trPr>
        <w:tc>
          <w:tcPr>
            <w:tcW w:w="252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Total 30-Year TBA securities, net</w:t>
            </w: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25,821</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26,543</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26,621</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78</w:t>
            </w: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23,624</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24,288</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24,499</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211</w:t>
            </w:r>
          </w:p>
        </w:tc>
        <w:tc>
          <w:tcPr>
            <w:tcW w:w="0" w:type="dxa"/>
            <w:vAlign w:val="bottom"/>
          </w:tcPr>
          <w:p>
            <w:pPr>
              <w:spacing w:after="0"/>
              <w:rPr>
                <w:sz w:val="1"/>
                <w:szCs w:val="1"/>
                <w:color w:val="auto"/>
              </w:rPr>
            </w:pPr>
          </w:p>
        </w:tc>
      </w:tr>
      <w:tr>
        <w:trPr>
          <w:trHeight w:val="196"/>
        </w:trPr>
        <w:tc>
          <w:tcPr>
            <w:tcW w:w="2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Total TBA securities, net</w:t>
            </w:r>
          </w:p>
        </w:tc>
        <w:tc>
          <w:tcPr>
            <w:tcW w:w="1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26,567</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27,307</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27,386</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w:t>
            </w:r>
          </w:p>
        </w:tc>
        <w:tc>
          <w:tcPr>
            <w:tcW w:w="1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30,364</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31,204</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31,479</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275</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w:t>
      </w:r>
    </w:p>
    <w:p>
      <w:pPr>
        <w:spacing w:after="0" w:line="1" w:lineRule="exact"/>
        <w:rPr>
          <w:sz w:val="20"/>
          <w:szCs w:val="20"/>
          <w:color w:val="auto"/>
        </w:rPr>
      </w:pPr>
    </w:p>
    <w:p>
      <w:pPr>
        <w:ind w:left="600" w:hanging="300"/>
        <w:spacing w:after="0" w:line="255" w:lineRule="auto"/>
        <w:tabs>
          <w:tab w:leader="none" w:pos="600" w:val="left"/>
        </w:tabs>
        <w:numPr>
          <w:ilvl w:val="0"/>
          <w:numId w:val="9"/>
        </w:numPr>
        <w:rPr>
          <w:rFonts w:ascii="Arial" w:cs="Arial" w:eastAsia="Arial" w:hAnsi="Arial"/>
          <w:sz w:val="13"/>
          <w:szCs w:val="13"/>
          <w:color w:val="auto"/>
        </w:rPr>
      </w:pPr>
      <w:r>
        <w:rPr>
          <w:rFonts w:ascii="Arial" w:cs="Arial" w:eastAsia="Arial" w:hAnsi="Arial"/>
          <w:sz w:val="13"/>
          <w:szCs w:val="13"/>
          <w:color w:val="auto"/>
        </w:rPr>
        <w:t>Net carrying value represents the difference between the fair market value and the cost basis (or the forward price to be paid/(received) for the underlying Agency security) of the TBA contract as of period-end and is reported in derivative assets/(liabilities), at fair value in our consolidated balance sheets.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Gain (Loss) From Derivative Instruments and Other Securities, Net</w:t>
      </w:r>
    </w:p>
    <w:p>
      <w:pPr>
        <w:spacing w:after="0" w:line="154" w:lineRule="exact"/>
        <w:rPr>
          <w:sz w:val="20"/>
          <w:szCs w:val="20"/>
          <w:color w:val="auto"/>
        </w:rPr>
      </w:pPr>
    </w:p>
    <w:p>
      <w:pPr>
        <w:ind w:firstLine="375"/>
        <w:spacing w:after="0" w:line="263" w:lineRule="auto"/>
        <w:rPr>
          <w:sz w:val="20"/>
          <w:szCs w:val="20"/>
          <w:color w:val="auto"/>
        </w:rPr>
      </w:pPr>
      <w:r>
        <w:rPr>
          <w:rFonts w:ascii="Arial" w:cs="Arial" w:eastAsia="Arial" w:hAnsi="Arial"/>
          <w:sz w:val="17"/>
          <w:szCs w:val="17"/>
          <w:color w:val="auto"/>
        </w:rPr>
        <w:t>The following table summarizes changes in our derivative and other hedge portfolio and their effect on our consolidated statements of comprehensive income for the three and six months ended June 30, 2021 and 2020 (in millions):</w:t>
      </w:r>
    </w:p>
    <w:tbl>
      <w:tblPr>
        <w:tblLayout w:type="fixed"/>
        <w:tblInd w:w="0" w:type="dxa"/>
        <w:tblCellMar>
          <w:top w:w="0" w:type="dxa"/>
          <w:left w:w="0" w:type="dxa"/>
          <w:bottom w:w="0" w:type="dxa"/>
          <w:right w:w="0" w:type="dxa"/>
        </w:tblCellMar>
      </w:tblPr>
      <w:tr>
        <w:trPr>
          <w:trHeight w:val="134"/>
        </w:trPr>
        <w:tc>
          <w:tcPr>
            <w:tcW w:w="3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180" w:type="dxa"/>
            <w:vAlign w:val="bottom"/>
          </w:tcPr>
          <w:p>
            <w:pPr>
              <w:jc w:val="center"/>
              <w:ind w:right="27"/>
              <w:spacing w:after="0" w:line="134" w:lineRule="exact"/>
              <w:rPr>
                <w:sz w:val="20"/>
                <w:szCs w:val="20"/>
                <w:color w:val="auto"/>
              </w:rPr>
            </w:pPr>
            <w:r>
              <w:rPr>
                <w:rFonts w:ascii="Arial" w:cs="Arial" w:eastAsia="Arial" w:hAnsi="Arial"/>
                <w:sz w:val="13"/>
                <w:szCs w:val="13"/>
                <w:b w:val="1"/>
                <w:bCs w:val="1"/>
                <w:color w:val="auto"/>
                <w:w w:val="91"/>
              </w:rPr>
              <w:t>Settlement,</w:t>
            </w: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jc w:val="center"/>
              <w:ind w:right="66"/>
              <w:spacing w:after="0" w:line="134" w:lineRule="exact"/>
              <w:rPr>
                <w:sz w:val="20"/>
                <w:szCs w:val="20"/>
                <w:color w:val="auto"/>
              </w:rPr>
            </w:pPr>
            <w:r>
              <w:rPr>
                <w:rFonts w:ascii="Arial" w:cs="Arial" w:eastAsia="Arial" w:hAnsi="Arial"/>
                <w:sz w:val="13"/>
                <w:szCs w:val="13"/>
                <w:b w:val="1"/>
                <w:bCs w:val="1"/>
                <w:color w:val="auto"/>
                <w:w w:val="92"/>
              </w:rPr>
              <w:t>Gain/(Loss)</w:t>
            </w:r>
          </w:p>
        </w:tc>
        <w:tc>
          <w:tcPr>
            <w:tcW w:w="0" w:type="dxa"/>
            <w:vAlign w:val="bottom"/>
          </w:tcPr>
          <w:p>
            <w:pPr>
              <w:spacing w:after="0"/>
              <w:rPr>
                <w:sz w:val="1"/>
                <w:szCs w:val="1"/>
                <w:color w:val="auto"/>
              </w:rPr>
            </w:pPr>
          </w:p>
        </w:tc>
      </w:tr>
      <w:tr>
        <w:trPr>
          <w:trHeight w:val="125"/>
        </w:trPr>
        <w:tc>
          <w:tcPr>
            <w:tcW w:w="3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80" w:type="dxa"/>
            <w:vAlign w:val="bottom"/>
            <w:vMerge w:val="restart"/>
          </w:tcPr>
          <w:p>
            <w:pPr>
              <w:jc w:val="right"/>
              <w:ind w:right="426"/>
              <w:spacing w:after="0"/>
              <w:rPr>
                <w:sz w:val="20"/>
                <w:szCs w:val="20"/>
                <w:color w:val="auto"/>
              </w:rPr>
            </w:pPr>
            <w:r>
              <w:rPr>
                <w:rFonts w:ascii="Arial" w:cs="Arial" w:eastAsia="Arial" w:hAnsi="Arial"/>
                <w:sz w:val="13"/>
                <w:szCs w:val="13"/>
                <w:b w:val="1"/>
                <w:bCs w:val="1"/>
                <w:color w:val="auto"/>
              </w:rPr>
              <w:t>Beginning</w:t>
            </w:r>
          </w:p>
        </w:tc>
        <w:tc>
          <w:tcPr>
            <w:tcW w:w="1220" w:type="dxa"/>
            <w:vAlign w:val="bottom"/>
          </w:tcPr>
          <w:p>
            <w:pPr>
              <w:spacing w:after="0"/>
              <w:rPr>
                <w:sz w:val="10"/>
                <w:szCs w:val="10"/>
                <w:color w:val="auto"/>
              </w:rPr>
            </w:pPr>
          </w:p>
        </w:tc>
        <w:tc>
          <w:tcPr>
            <w:tcW w:w="1180" w:type="dxa"/>
            <w:vAlign w:val="bottom"/>
          </w:tcPr>
          <w:p>
            <w:pPr>
              <w:jc w:val="center"/>
              <w:ind w:right="7"/>
              <w:spacing w:after="0" w:line="125" w:lineRule="exact"/>
              <w:rPr>
                <w:sz w:val="20"/>
                <w:szCs w:val="20"/>
                <w:color w:val="auto"/>
              </w:rPr>
            </w:pPr>
            <w:r>
              <w:rPr>
                <w:rFonts w:ascii="Arial" w:cs="Arial" w:eastAsia="Arial" w:hAnsi="Arial"/>
                <w:sz w:val="13"/>
                <w:szCs w:val="13"/>
                <w:b w:val="1"/>
                <w:bCs w:val="1"/>
                <w:color w:val="auto"/>
                <w:w w:val="94"/>
              </w:rPr>
              <w:t>Termination,</w:t>
            </w:r>
          </w:p>
        </w:tc>
        <w:tc>
          <w:tcPr>
            <w:tcW w:w="140" w:type="dxa"/>
            <w:vAlign w:val="bottom"/>
          </w:tcPr>
          <w:p>
            <w:pPr>
              <w:spacing w:after="0"/>
              <w:rPr>
                <w:sz w:val="10"/>
                <w:szCs w:val="10"/>
                <w:color w:val="auto"/>
              </w:rPr>
            </w:pPr>
          </w:p>
        </w:tc>
        <w:tc>
          <w:tcPr>
            <w:tcW w:w="128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90"/>
              </w:rPr>
              <w:t>Ending</w:t>
            </w:r>
          </w:p>
        </w:tc>
        <w:tc>
          <w:tcPr>
            <w:tcW w:w="140" w:type="dxa"/>
            <w:vAlign w:val="bottom"/>
          </w:tcPr>
          <w:p>
            <w:pPr>
              <w:spacing w:after="0"/>
              <w:rPr>
                <w:sz w:val="10"/>
                <w:szCs w:val="10"/>
                <w:color w:val="auto"/>
              </w:rPr>
            </w:pPr>
          </w:p>
        </w:tc>
        <w:tc>
          <w:tcPr>
            <w:tcW w:w="1200" w:type="dxa"/>
            <w:vAlign w:val="bottom"/>
          </w:tcPr>
          <w:p>
            <w:pPr>
              <w:jc w:val="center"/>
              <w:ind w:right="66"/>
              <w:spacing w:after="0" w:line="125" w:lineRule="exact"/>
              <w:rPr>
                <w:sz w:val="20"/>
                <w:szCs w:val="20"/>
                <w:color w:val="auto"/>
              </w:rPr>
            </w:pPr>
            <w:r>
              <w:rPr>
                <w:rFonts w:ascii="Arial" w:cs="Arial" w:eastAsia="Arial" w:hAnsi="Arial"/>
                <w:sz w:val="13"/>
                <w:szCs w:val="13"/>
                <w:b w:val="1"/>
                <w:bCs w:val="1"/>
                <w:color w:val="auto"/>
                <w:w w:val="95"/>
              </w:rPr>
              <w:t>on Derivative</w:t>
            </w:r>
          </w:p>
        </w:tc>
        <w:tc>
          <w:tcPr>
            <w:tcW w:w="0" w:type="dxa"/>
            <w:vAlign w:val="bottom"/>
          </w:tcPr>
          <w:p>
            <w:pPr>
              <w:spacing w:after="0"/>
              <w:rPr>
                <w:sz w:val="1"/>
                <w:szCs w:val="1"/>
                <w:color w:val="auto"/>
              </w:rPr>
            </w:pPr>
          </w:p>
        </w:tc>
      </w:tr>
      <w:tr>
        <w:trPr>
          <w:trHeight w:val="125"/>
        </w:trPr>
        <w:tc>
          <w:tcPr>
            <w:tcW w:w="376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Derivative and Other Hedging Instruments</w:t>
            </w:r>
          </w:p>
        </w:tc>
        <w:tc>
          <w:tcPr>
            <w:tcW w:w="10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220" w:type="dxa"/>
            <w:vAlign w:val="bottom"/>
            <w:vMerge w:val="restart"/>
          </w:tcPr>
          <w:p>
            <w:pPr>
              <w:jc w:val="right"/>
              <w:ind w:right="386"/>
              <w:spacing w:after="0"/>
              <w:rPr>
                <w:sz w:val="20"/>
                <w:szCs w:val="20"/>
                <w:color w:val="auto"/>
              </w:rPr>
            </w:pPr>
            <w:r>
              <w:rPr>
                <w:rFonts w:ascii="Arial" w:cs="Arial" w:eastAsia="Arial" w:hAnsi="Arial"/>
                <w:sz w:val="13"/>
                <w:szCs w:val="13"/>
                <w:b w:val="1"/>
                <w:bCs w:val="1"/>
                <w:color w:val="auto"/>
              </w:rPr>
              <w:t>Additions</w:t>
            </w:r>
          </w:p>
        </w:tc>
        <w:tc>
          <w:tcPr>
            <w:tcW w:w="1180" w:type="dxa"/>
            <w:vAlign w:val="bottom"/>
          </w:tcPr>
          <w:p>
            <w:pPr>
              <w:jc w:val="center"/>
              <w:ind w:right="7"/>
              <w:spacing w:after="0" w:line="125" w:lineRule="exact"/>
              <w:rPr>
                <w:sz w:val="20"/>
                <w:szCs w:val="20"/>
                <w:color w:val="auto"/>
              </w:rPr>
            </w:pPr>
            <w:r>
              <w:rPr>
                <w:rFonts w:ascii="Arial" w:cs="Arial" w:eastAsia="Arial" w:hAnsi="Arial"/>
                <w:sz w:val="13"/>
                <w:szCs w:val="13"/>
                <w:b w:val="1"/>
                <w:bCs w:val="1"/>
                <w:color w:val="auto"/>
                <w:w w:val="97"/>
              </w:rPr>
              <w:t>Expiration or</w:t>
            </w:r>
          </w:p>
        </w:tc>
        <w:tc>
          <w:tcPr>
            <w:tcW w:w="14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tcPr>
          <w:p>
            <w:pPr>
              <w:jc w:val="center"/>
              <w:ind w:right="66"/>
              <w:spacing w:after="0" w:line="125" w:lineRule="exact"/>
              <w:rPr>
                <w:sz w:val="20"/>
                <w:szCs w:val="20"/>
                <w:color w:val="auto"/>
              </w:rPr>
            </w:pPr>
            <w:r>
              <w:rPr>
                <w:rFonts w:ascii="Arial" w:cs="Arial" w:eastAsia="Arial" w:hAnsi="Arial"/>
                <w:sz w:val="13"/>
                <w:szCs w:val="13"/>
                <w:b w:val="1"/>
                <w:bCs w:val="1"/>
                <w:color w:val="auto"/>
                <w:w w:val="92"/>
              </w:rPr>
              <w:t>Instruments and</w:t>
            </w:r>
          </w:p>
        </w:tc>
        <w:tc>
          <w:tcPr>
            <w:tcW w:w="0" w:type="dxa"/>
            <w:vAlign w:val="bottom"/>
          </w:tcPr>
          <w:p>
            <w:pPr>
              <w:spacing w:after="0"/>
              <w:rPr>
                <w:sz w:val="1"/>
                <w:szCs w:val="1"/>
                <w:color w:val="auto"/>
              </w:rPr>
            </w:pPr>
          </w:p>
        </w:tc>
      </w:tr>
      <w:tr>
        <w:trPr>
          <w:trHeight w:val="175"/>
        </w:trPr>
        <w:tc>
          <w:tcPr>
            <w:tcW w:w="3760" w:type="dxa"/>
            <w:vAlign w:val="bottom"/>
            <w:vMerge w:val="continue"/>
          </w:tcPr>
          <w:p>
            <w:pPr>
              <w:spacing w:after="0"/>
              <w:rPr>
                <w:sz w:val="15"/>
                <w:szCs w:val="15"/>
                <w:color w:val="auto"/>
              </w:rPr>
            </w:pPr>
          </w:p>
        </w:tc>
        <w:tc>
          <w:tcPr>
            <w:tcW w:w="1020" w:type="dxa"/>
            <w:vAlign w:val="bottom"/>
          </w:tcPr>
          <w:p>
            <w:pPr>
              <w:spacing w:after="0"/>
              <w:rPr>
                <w:sz w:val="15"/>
                <w:szCs w:val="15"/>
                <w:color w:val="auto"/>
              </w:rPr>
            </w:pPr>
          </w:p>
        </w:tc>
        <w:tc>
          <w:tcPr>
            <w:tcW w:w="1280" w:type="dxa"/>
            <w:vAlign w:val="bottom"/>
          </w:tcPr>
          <w:p>
            <w:pPr>
              <w:jc w:val="right"/>
              <w:ind w:right="226"/>
              <w:spacing w:after="0"/>
              <w:rPr>
                <w:sz w:val="20"/>
                <w:szCs w:val="20"/>
                <w:color w:val="auto"/>
              </w:rPr>
            </w:pPr>
            <w:r>
              <w:rPr>
                <w:rFonts w:ascii="Arial" w:cs="Arial" w:eastAsia="Arial" w:hAnsi="Arial"/>
                <w:sz w:val="13"/>
                <w:szCs w:val="13"/>
                <w:b w:val="1"/>
                <w:bCs w:val="1"/>
                <w:color w:val="auto"/>
                <w:w w:val="91"/>
              </w:rPr>
              <w:t>Notional Amount</w:t>
            </w:r>
          </w:p>
        </w:tc>
        <w:tc>
          <w:tcPr>
            <w:tcW w:w="1220" w:type="dxa"/>
            <w:vAlign w:val="bottom"/>
            <w:vMerge w:val="continue"/>
          </w:tcPr>
          <w:p>
            <w:pPr>
              <w:spacing w:after="0"/>
              <w:rPr>
                <w:sz w:val="15"/>
                <w:szCs w:val="15"/>
                <w:color w:val="auto"/>
              </w:rPr>
            </w:pPr>
          </w:p>
        </w:tc>
        <w:tc>
          <w:tcPr>
            <w:tcW w:w="1180" w:type="dxa"/>
            <w:vAlign w:val="bottom"/>
          </w:tcPr>
          <w:p>
            <w:pPr>
              <w:jc w:val="center"/>
              <w:ind w:right="27"/>
              <w:spacing w:after="0"/>
              <w:rPr>
                <w:sz w:val="20"/>
                <w:szCs w:val="20"/>
                <w:color w:val="auto"/>
              </w:rPr>
            </w:pPr>
            <w:r>
              <w:rPr>
                <w:rFonts w:ascii="Arial" w:cs="Arial" w:eastAsia="Arial" w:hAnsi="Arial"/>
                <w:sz w:val="13"/>
                <w:szCs w:val="13"/>
                <w:b w:val="1"/>
                <w:bCs w:val="1"/>
                <w:color w:val="auto"/>
                <w:w w:val="89"/>
              </w:rPr>
              <w:t>Exercise</w:t>
            </w:r>
          </w:p>
        </w:tc>
        <w:tc>
          <w:tcPr>
            <w:tcW w:w="140" w:type="dxa"/>
            <w:vAlign w:val="bottom"/>
          </w:tcPr>
          <w:p>
            <w:pPr>
              <w:spacing w:after="0"/>
              <w:rPr>
                <w:sz w:val="15"/>
                <w:szCs w:val="15"/>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5"/>
              </w:rPr>
              <w:t>Notional Amount</w:t>
            </w:r>
          </w:p>
        </w:tc>
        <w:tc>
          <w:tcPr>
            <w:tcW w:w="1340" w:type="dxa"/>
            <w:vAlign w:val="bottom"/>
            <w:gridSpan w:val="2"/>
          </w:tcPr>
          <w:p>
            <w:pPr>
              <w:ind w:left="40"/>
              <w:spacing w:after="0" w:line="175" w:lineRule="exact"/>
              <w:rPr>
                <w:sz w:val="20"/>
                <w:szCs w:val="20"/>
                <w:color w:val="auto"/>
              </w:rPr>
            </w:pPr>
            <w:r>
              <w:rPr>
                <w:rFonts w:ascii="Arial" w:cs="Arial" w:eastAsia="Arial" w:hAnsi="Arial"/>
                <w:sz w:val="13"/>
                <w:szCs w:val="13"/>
                <w:b w:val="1"/>
                <w:bCs w:val="1"/>
                <w:color w:val="auto"/>
                <w:w w:val="92"/>
              </w:rPr>
              <w:t xml:space="preserve">Other Securities, Net </w:t>
            </w:r>
            <w:r>
              <w:rPr>
                <w:rFonts w:ascii="Arial" w:cs="Arial" w:eastAsia="Arial" w:hAnsi="Arial"/>
                <w:sz w:val="17"/>
                <w:szCs w:val="17"/>
                <w:b w:val="1"/>
                <w:bCs w:val="1"/>
                <w:color w:val="auto"/>
                <w:w w:val="92"/>
                <w:vertAlign w:val="superscript"/>
              </w:rPr>
              <w:t>1</w:t>
            </w:r>
          </w:p>
        </w:tc>
        <w:tc>
          <w:tcPr>
            <w:tcW w:w="0" w:type="dxa"/>
            <w:vAlign w:val="bottom"/>
          </w:tcPr>
          <w:p>
            <w:pPr>
              <w:spacing w:after="0"/>
              <w:rPr>
                <w:sz w:val="1"/>
                <w:szCs w:val="1"/>
                <w:color w:val="auto"/>
              </w:rPr>
            </w:pPr>
          </w:p>
        </w:tc>
      </w:tr>
      <w:tr>
        <w:trPr>
          <w:trHeight w:val="200"/>
        </w:trPr>
        <w:tc>
          <w:tcPr>
            <w:tcW w:w="37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Three months ended June 30, 2021:</w:t>
            </w:r>
          </w:p>
        </w:tc>
        <w:tc>
          <w:tcPr>
            <w:tcW w:w="10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760" w:type="dxa"/>
            <w:vAlign w:val="bottom"/>
          </w:tcPr>
          <w:p>
            <w:pPr>
              <w:ind w:left="20"/>
              <w:spacing w:after="0"/>
              <w:rPr>
                <w:sz w:val="20"/>
                <w:szCs w:val="20"/>
                <w:color w:val="auto"/>
              </w:rPr>
            </w:pPr>
            <w:r>
              <w:rPr>
                <w:rFonts w:ascii="Arial" w:cs="Arial" w:eastAsia="Arial" w:hAnsi="Arial"/>
                <w:sz w:val="15"/>
                <w:szCs w:val="15"/>
                <w:color w:val="auto"/>
              </w:rPr>
              <w:t>TBA securities, net</w:t>
            </w: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186"/>
              <w:spacing w:after="0"/>
              <w:rPr>
                <w:sz w:val="20"/>
                <w:szCs w:val="20"/>
                <w:color w:val="auto"/>
              </w:rPr>
            </w:pPr>
            <w:r>
              <w:rPr>
                <w:rFonts w:ascii="Arial" w:cs="Arial" w:eastAsia="Arial" w:hAnsi="Arial"/>
                <w:sz w:val="15"/>
                <w:szCs w:val="15"/>
                <w:color w:val="auto"/>
              </w:rPr>
              <w:t>24,518</w:t>
            </w:r>
          </w:p>
        </w:tc>
        <w:tc>
          <w:tcPr>
            <w:tcW w:w="1220" w:type="dxa"/>
            <w:vAlign w:val="bottom"/>
          </w:tcPr>
          <w:p>
            <w:pPr>
              <w:jc w:val="right"/>
              <w:ind w:right="126"/>
              <w:spacing w:after="0"/>
              <w:rPr>
                <w:sz w:val="20"/>
                <w:szCs w:val="20"/>
                <w:color w:val="auto"/>
              </w:rPr>
            </w:pPr>
            <w:r>
              <w:rPr>
                <w:rFonts w:ascii="Arial" w:cs="Arial" w:eastAsia="Arial" w:hAnsi="Arial"/>
                <w:sz w:val="15"/>
                <w:szCs w:val="15"/>
                <w:color w:val="auto"/>
              </w:rPr>
              <w:t>94,248</w:t>
            </w:r>
          </w:p>
        </w:tc>
        <w:tc>
          <w:tcPr>
            <w:tcW w:w="1180" w:type="dxa"/>
            <w:vAlign w:val="bottom"/>
          </w:tcPr>
          <w:p>
            <w:pPr>
              <w:jc w:val="right"/>
              <w:ind w:right="7"/>
              <w:spacing w:after="0"/>
              <w:rPr>
                <w:sz w:val="20"/>
                <w:szCs w:val="20"/>
                <w:color w:val="auto"/>
              </w:rPr>
            </w:pPr>
            <w:r>
              <w:rPr>
                <w:rFonts w:ascii="Arial" w:cs="Arial" w:eastAsia="Arial" w:hAnsi="Arial"/>
                <w:sz w:val="15"/>
                <w:szCs w:val="15"/>
                <w:color w:val="auto"/>
              </w:rPr>
              <w:t>(92,199)</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200" w:type="dxa"/>
            <w:vAlign w:val="bottom"/>
            <w:tcBorders>
              <w:right w:val="single" w:sz="8" w:color="auto"/>
            </w:tcBorders>
          </w:tcPr>
          <w:p>
            <w:pPr>
              <w:jc w:val="right"/>
              <w:ind w:right="106"/>
              <w:spacing w:after="0"/>
              <w:rPr>
                <w:sz w:val="20"/>
                <w:szCs w:val="20"/>
                <w:color w:val="auto"/>
              </w:rPr>
            </w:pPr>
            <w:r>
              <w:rPr>
                <w:rFonts w:ascii="Arial" w:cs="Arial" w:eastAsia="Arial" w:hAnsi="Arial"/>
                <w:sz w:val="15"/>
                <w:szCs w:val="15"/>
                <w:color w:val="auto"/>
              </w:rPr>
              <w:t>26,567</w:t>
            </w:r>
          </w:p>
        </w:tc>
        <w:tc>
          <w:tcPr>
            <w:tcW w:w="80" w:type="dxa"/>
            <w:vAlign w:val="bottom"/>
          </w:tcPr>
          <w:p>
            <w:pPr>
              <w:spacing w:after="0"/>
              <w:rPr>
                <w:sz w:val="17"/>
                <w:szCs w:val="17"/>
                <w:color w:val="auto"/>
              </w:rPr>
            </w:pPr>
          </w:p>
        </w:tc>
        <w:tc>
          <w:tcPr>
            <w:tcW w:w="140" w:type="dxa"/>
            <w:vAlign w:val="bottom"/>
          </w:tcPr>
          <w:p>
            <w:pPr>
              <w:ind w:left="20"/>
              <w:spacing w:after="0"/>
              <w:rPr>
                <w:sz w:val="20"/>
                <w:szCs w:val="20"/>
                <w:color w:val="auto"/>
              </w:rPr>
            </w:pPr>
            <w:r>
              <w:rPr>
                <w:rFonts w:ascii="Arial" w:cs="Arial" w:eastAsia="Arial" w:hAnsi="Arial"/>
                <w:sz w:val="15"/>
                <w:szCs w:val="15"/>
                <w:color w:val="auto"/>
              </w:rPr>
              <w:t>$</w:t>
            </w:r>
          </w:p>
        </w:tc>
        <w:tc>
          <w:tcPr>
            <w:tcW w:w="1200" w:type="dxa"/>
            <w:vAlign w:val="bottom"/>
          </w:tcPr>
          <w:p>
            <w:pPr>
              <w:jc w:val="right"/>
              <w:ind w:right="6"/>
              <w:spacing w:after="0"/>
              <w:rPr>
                <w:sz w:val="20"/>
                <w:szCs w:val="20"/>
                <w:color w:val="auto"/>
              </w:rPr>
            </w:pPr>
            <w:r>
              <w:rPr>
                <w:rFonts w:ascii="Arial" w:cs="Arial" w:eastAsia="Arial" w:hAnsi="Arial"/>
                <w:sz w:val="15"/>
                <w:szCs w:val="15"/>
                <w:color w:val="auto"/>
              </w:rPr>
              <w:t>396</w:t>
            </w:r>
          </w:p>
        </w:tc>
        <w:tc>
          <w:tcPr>
            <w:tcW w:w="0" w:type="dxa"/>
            <w:vAlign w:val="bottom"/>
          </w:tcPr>
          <w:p>
            <w:pPr>
              <w:spacing w:after="0"/>
              <w:rPr>
                <w:sz w:val="1"/>
                <w:szCs w:val="1"/>
                <w:color w:val="auto"/>
              </w:rPr>
            </w:pPr>
          </w:p>
        </w:tc>
      </w:tr>
      <w:tr>
        <w:trPr>
          <w:trHeight w:val="203"/>
        </w:trPr>
        <w:tc>
          <w:tcPr>
            <w:tcW w:w="3760" w:type="dxa"/>
            <w:vAlign w:val="bottom"/>
            <w:shd w:val="clear" w:color="auto" w:fill="CCEEFF"/>
          </w:tcPr>
          <w:p>
            <w:pPr>
              <w:ind w:left="20"/>
              <w:spacing w:after="0"/>
              <w:rPr>
                <w:sz w:val="20"/>
                <w:szCs w:val="20"/>
                <w:color w:val="auto"/>
              </w:rPr>
            </w:pPr>
            <w:r>
              <w:rPr>
                <w:rFonts w:ascii="Arial" w:cs="Arial" w:eastAsia="Arial" w:hAnsi="Arial"/>
                <w:sz w:val="15"/>
                <w:szCs w:val="15"/>
                <w:color w:val="auto"/>
              </w:rPr>
              <w:t>Forward settling non-Agency securities</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8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rPr>
              <w:t>—</w:t>
            </w:r>
          </w:p>
        </w:tc>
        <w:tc>
          <w:tcPr>
            <w:tcW w:w="122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300</w:t>
            </w:r>
          </w:p>
        </w:tc>
        <w:tc>
          <w:tcPr>
            <w:tcW w:w="118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0" w:type="dxa"/>
            <w:vAlign w:val="bottom"/>
            <w:tcBorders>
              <w:right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300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7"/>
        </w:trPr>
        <w:tc>
          <w:tcPr>
            <w:tcW w:w="3760" w:type="dxa"/>
            <w:vAlign w:val="bottom"/>
          </w:tcPr>
          <w:p>
            <w:pPr>
              <w:ind w:left="20"/>
              <w:spacing w:after="0"/>
              <w:rPr>
                <w:sz w:val="20"/>
                <w:szCs w:val="20"/>
                <w:color w:val="auto"/>
              </w:rPr>
            </w:pPr>
            <w:r>
              <w:rPr>
                <w:rFonts w:ascii="Arial" w:cs="Arial" w:eastAsia="Arial" w:hAnsi="Arial"/>
                <w:sz w:val="15"/>
                <w:szCs w:val="15"/>
                <w:color w:val="auto"/>
              </w:rPr>
              <w:t>Interest rate swaps - payer</w:t>
            </w: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186"/>
              <w:spacing w:after="0"/>
              <w:rPr>
                <w:sz w:val="20"/>
                <w:szCs w:val="20"/>
                <w:color w:val="auto"/>
              </w:rPr>
            </w:pPr>
            <w:r>
              <w:rPr>
                <w:rFonts w:ascii="Arial" w:cs="Arial" w:eastAsia="Arial" w:hAnsi="Arial"/>
                <w:sz w:val="15"/>
                <w:szCs w:val="15"/>
                <w:color w:val="auto"/>
              </w:rPr>
              <w:t>49,725</w:t>
            </w:r>
          </w:p>
        </w:tc>
        <w:tc>
          <w:tcPr>
            <w:tcW w:w="1220" w:type="dxa"/>
            <w:vAlign w:val="bottom"/>
          </w:tcPr>
          <w:p>
            <w:pPr>
              <w:jc w:val="right"/>
              <w:ind w:right="126"/>
              <w:spacing w:after="0"/>
              <w:rPr>
                <w:sz w:val="20"/>
                <w:szCs w:val="20"/>
                <w:color w:val="auto"/>
              </w:rPr>
            </w:pPr>
            <w:r>
              <w:rPr>
                <w:rFonts w:ascii="Arial" w:cs="Arial" w:eastAsia="Arial" w:hAnsi="Arial"/>
                <w:sz w:val="15"/>
                <w:szCs w:val="15"/>
                <w:color w:val="auto"/>
              </w:rPr>
              <w:t>—</w:t>
            </w:r>
          </w:p>
        </w:tc>
        <w:tc>
          <w:tcPr>
            <w:tcW w:w="1180" w:type="dxa"/>
            <w:vAlign w:val="bottom"/>
          </w:tcPr>
          <w:p>
            <w:pPr>
              <w:jc w:val="right"/>
              <w:ind w:right="47"/>
              <w:spacing w:after="0"/>
              <w:rPr>
                <w:sz w:val="20"/>
                <w:szCs w:val="20"/>
                <w:color w:val="auto"/>
              </w:rPr>
            </w:pPr>
            <w:r>
              <w:rPr>
                <w:rFonts w:ascii="Arial" w:cs="Arial" w:eastAsia="Arial" w:hAnsi="Arial"/>
                <w:sz w:val="15"/>
                <w:szCs w:val="15"/>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200" w:type="dxa"/>
            <w:vAlign w:val="bottom"/>
            <w:tcBorders>
              <w:right w:val="single" w:sz="8" w:color="auto"/>
            </w:tcBorders>
          </w:tcPr>
          <w:p>
            <w:pPr>
              <w:jc w:val="right"/>
              <w:ind w:right="106"/>
              <w:spacing w:after="0"/>
              <w:rPr>
                <w:sz w:val="20"/>
                <w:szCs w:val="20"/>
                <w:color w:val="auto"/>
              </w:rPr>
            </w:pPr>
            <w:r>
              <w:rPr>
                <w:rFonts w:ascii="Arial" w:cs="Arial" w:eastAsia="Arial" w:hAnsi="Arial"/>
                <w:sz w:val="15"/>
                <w:szCs w:val="15"/>
                <w:color w:val="auto"/>
              </w:rPr>
              <w:t>49,725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(400)</w:t>
            </w:r>
          </w:p>
        </w:tc>
        <w:tc>
          <w:tcPr>
            <w:tcW w:w="0" w:type="dxa"/>
            <w:vAlign w:val="bottom"/>
          </w:tcPr>
          <w:p>
            <w:pPr>
              <w:spacing w:after="0"/>
              <w:rPr>
                <w:sz w:val="1"/>
                <w:szCs w:val="1"/>
                <w:color w:val="auto"/>
              </w:rPr>
            </w:pPr>
          </w:p>
        </w:tc>
      </w:tr>
      <w:tr>
        <w:trPr>
          <w:trHeight w:val="203"/>
        </w:trPr>
        <w:tc>
          <w:tcPr>
            <w:tcW w:w="3760" w:type="dxa"/>
            <w:vAlign w:val="bottom"/>
            <w:shd w:val="clear" w:color="auto" w:fill="CCEEFF"/>
          </w:tcPr>
          <w:p>
            <w:pPr>
              <w:ind w:left="20"/>
              <w:spacing w:after="0"/>
              <w:rPr>
                <w:sz w:val="20"/>
                <w:szCs w:val="20"/>
                <w:color w:val="auto"/>
              </w:rPr>
            </w:pPr>
            <w:r>
              <w:rPr>
                <w:rFonts w:ascii="Arial" w:cs="Arial" w:eastAsia="Arial" w:hAnsi="Arial"/>
                <w:sz w:val="15"/>
                <w:szCs w:val="15"/>
                <w:color w:val="auto"/>
              </w:rPr>
              <w:t>Payer swaptions</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8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rPr>
              <w:t>13,150</w:t>
            </w:r>
          </w:p>
        </w:tc>
        <w:tc>
          <w:tcPr>
            <w:tcW w:w="122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w:t>
            </w:r>
          </w:p>
        </w:tc>
        <w:tc>
          <w:tcPr>
            <w:tcW w:w="118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(1,700)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0" w:type="dxa"/>
            <w:vAlign w:val="bottom"/>
            <w:tcBorders>
              <w:right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11,450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(313)</w:t>
            </w:r>
          </w:p>
        </w:tc>
        <w:tc>
          <w:tcPr>
            <w:tcW w:w="0" w:type="dxa"/>
            <w:vAlign w:val="bottom"/>
          </w:tcPr>
          <w:p>
            <w:pPr>
              <w:spacing w:after="0"/>
              <w:rPr>
                <w:sz w:val="1"/>
                <w:szCs w:val="1"/>
                <w:color w:val="auto"/>
              </w:rPr>
            </w:pPr>
          </w:p>
        </w:tc>
      </w:tr>
      <w:tr>
        <w:trPr>
          <w:trHeight w:val="197"/>
        </w:trPr>
        <w:tc>
          <w:tcPr>
            <w:tcW w:w="3760" w:type="dxa"/>
            <w:vAlign w:val="bottom"/>
          </w:tcPr>
          <w:p>
            <w:pPr>
              <w:ind w:left="20"/>
              <w:spacing w:after="0"/>
              <w:rPr>
                <w:sz w:val="20"/>
                <w:szCs w:val="20"/>
                <w:color w:val="auto"/>
              </w:rPr>
            </w:pPr>
            <w:r>
              <w:rPr>
                <w:rFonts w:ascii="Arial" w:cs="Arial" w:eastAsia="Arial" w:hAnsi="Arial"/>
                <w:sz w:val="15"/>
                <w:szCs w:val="15"/>
                <w:color w:val="auto"/>
              </w:rPr>
              <w:t>U.S. Treasury securities - short position</w:t>
            </w: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146"/>
              <w:spacing w:after="0"/>
              <w:rPr>
                <w:sz w:val="20"/>
                <w:szCs w:val="20"/>
                <w:color w:val="auto"/>
              </w:rPr>
            </w:pPr>
            <w:r>
              <w:rPr>
                <w:rFonts w:ascii="Arial" w:cs="Arial" w:eastAsia="Arial" w:hAnsi="Arial"/>
                <w:sz w:val="15"/>
                <w:szCs w:val="15"/>
                <w:color w:val="auto"/>
              </w:rPr>
              <w:t>(15,527)</w:t>
            </w:r>
          </w:p>
        </w:tc>
        <w:tc>
          <w:tcPr>
            <w:tcW w:w="1220" w:type="dxa"/>
            <w:vAlign w:val="bottom"/>
          </w:tcPr>
          <w:p>
            <w:pPr>
              <w:jc w:val="right"/>
              <w:ind w:right="86"/>
              <w:spacing w:after="0"/>
              <w:rPr>
                <w:sz w:val="20"/>
                <w:szCs w:val="20"/>
                <w:color w:val="auto"/>
              </w:rPr>
            </w:pPr>
            <w:r>
              <w:rPr>
                <w:rFonts w:ascii="Arial" w:cs="Arial" w:eastAsia="Arial" w:hAnsi="Arial"/>
                <w:sz w:val="15"/>
                <w:szCs w:val="15"/>
                <w:color w:val="auto"/>
              </w:rPr>
              <w:t>(585)</w:t>
            </w:r>
          </w:p>
        </w:tc>
        <w:tc>
          <w:tcPr>
            <w:tcW w:w="1180" w:type="dxa"/>
            <w:vAlign w:val="bottom"/>
          </w:tcPr>
          <w:p>
            <w:pPr>
              <w:jc w:val="right"/>
              <w:ind w:right="47"/>
              <w:spacing w:after="0"/>
              <w:rPr>
                <w:sz w:val="20"/>
                <w:szCs w:val="20"/>
                <w:color w:val="auto"/>
              </w:rPr>
            </w:pPr>
            <w:r>
              <w:rPr>
                <w:rFonts w:ascii="Arial" w:cs="Arial" w:eastAsia="Arial" w:hAnsi="Arial"/>
                <w:sz w:val="15"/>
                <w:szCs w:val="15"/>
                <w:color w:val="auto"/>
              </w:rPr>
              <w:t>5,219</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200" w:type="dxa"/>
            <w:vAlign w:val="bottom"/>
            <w:tcBorders>
              <w:right w:val="single" w:sz="8" w:color="auto"/>
            </w:tcBorders>
          </w:tcPr>
          <w:p>
            <w:pPr>
              <w:jc w:val="right"/>
              <w:ind w:right="66"/>
              <w:spacing w:after="0"/>
              <w:rPr>
                <w:sz w:val="20"/>
                <w:szCs w:val="20"/>
                <w:color w:val="auto"/>
              </w:rPr>
            </w:pPr>
            <w:r>
              <w:rPr>
                <w:rFonts w:ascii="Arial" w:cs="Arial" w:eastAsia="Arial" w:hAnsi="Arial"/>
                <w:sz w:val="15"/>
                <w:szCs w:val="15"/>
                <w:color w:val="auto"/>
              </w:rPr>
              <w:t>(10,893)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(333)</w:t>
            </w:r>
          </w:p>
        </w:tc>
        <w:tc>
          <w:tcPr>
            <w:tcW w:w="0" w:type="dxa"/>
            <w:vAlign w:val="bottom"/>
          </w:tcPr>
          <w:p>
            <w:pPr>
              <w:spacing w:after="0"/>
              <w:rPr>
                <w:sz w:val="1"/>
                <w:szCs w:val="1"/>
                <w:color w:val="auto"/>
              </w:rPr>
            </w:pPr>
          </w:p>
        </w:tc>
      </w:tr>
      <w:tr>
        <w:trPr>
          <w:trHeight w:val="203"/>
        </w:trPr>
        <w:tc>
          <w:tcPr>
            <w:tcW w:w="3760" w:type="dxa"/>
            <w:vAlign w:val="bottom"/>
            <w:shd w:val="clear" w:color="auto" w:fill="CCEEFF"/>
          </w:tcPr>
          <w:p>
            <w:pPr>
              <w:ind w:left="20"/>
              <w:spacing w:after="0"/>
              <w:rPr>
                <w:sz w:val="20"/>
                <w:szCs w:val="20"/>
                <w:color w:val="auto"/>
              </w:rPr>
            </w:pPr>
            <w:r>
              <w:rPr>
                <w:rFonts w:ascii="Arial" w:cs="Arial" w:eastAsia="Arial" w:hAnsi="Arial"/>
                <w:sz w:val="15"/>
                <w:szCs w:val="15"/>
                <w:color w:val="auto"/>
              </w:rPr>
              <w:t>U.S. Treasury securities - long position</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8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rPr>
              <w:t>—</w:t>
            </w:r>
          </w:p>
        </w:tc>
        <w:tc>
          <w:tcPr>
            <w:tcW w:w="122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1,336</w:t>
            </w:r>
          </w:p>
        </w:tc>
        <w:tc>
          <w:tcPr>
            <w:tcW w:w="118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(939)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0" w:type="dxa"/>
            <w:vAlign w:val="bottom"/>
            <w:tcBorders>
              <w:right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397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97"/>
        </w:trPr>
        <w:tc>
          <w:tcPr>
            <w:tcW w:w="37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U.S. Treasury futures contracts - short position</w:t>
            </w: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w:t>
            </w:r>
          </w:p>
        </w:tc>
        <w:tc>
          <w:tcPr>
            <w:tcW w:w="1280" w:type="dxa"/>
            <w:vAlign w:val="bottom"/>
            <w:tcBorders>
              <w:bottom w:val="single" w:sz="8" w:color="CCEEFF"/>
            </w:tcBorders>
          </w:tcPr>
          <w:p>
            <w:pPr>
              <w:jc w:val="right"/>
              <w:ind w:right="146"/>
              <w:spacing w:after="0"/>
              <w:rPr>
                <w:sz w:val="20"/>
                <w:szCs w:val="20"/>
                <w:color w:val="auto"/>
              </w:rPr>
            </w:pPr>
            <w:r>
              <w:rPr>
                <w:rFonts w:ascii="Arial" w:cs="Arial" w:eastAsia="Arial" w:hAnsi="Arial"/>
                <w:sz w:val="15"/>
                <w:szCs w:val="15"/>
                <w:color w:val="auto"/>
              </w:rPr>
              <w:t>(1,000)</w:t>
            </w:r>
          </w:p>
        </w:tc>
        <w:tc>
          <w:tcPr>
            <w:tcW w:w="1220" w:type="dxa"/>
            <w:vAlign w:val="bottom"/>
            <w:tcBorders>
              <w:bottom w:val="single" w:sz="8" w:color="CCEEFF"/>
            </w:tcBorders>
          </w:tcPr>
          <w:p>
            <w:pPr>
              <w:jc w:val="right"/>
              <w:ind w:right="86"/>
              <w:spacing w:after="0"/>
              <w:rPr>
                <w:sz w:val="20"/>
                <w:szCs w:val="20"/>
                <w:color w:val="auto"/>
              </w:rPr>
            </w:pPr>
            <w:r>
              <w:rPr>
                <w:rFonts w:ascii="Arial" w:cs="Arial" w:eastAsia="Arial" w:hAnsi="Arial"/>
                <w:sz w:val="15"/>
                <w:szCs w:val="15"/>
                <w:color w:val="auto"/>
              </w:rPr>
              <w:t>(2,000)</w:t>
            </w:r>
          </w:p>
        </w:tc>
        <w:tc>
          <w:tcPr>
            <w:tcW w:w="1180" w:type="dxa"/>
            <w:vAlign w:val="bottom"/>
            <w:tcBorders>
              <w:bottom w:val="single" w:sz="8" w:color="CCEEFF"/>
            </w:tcBorders>
          </w:tcPr>
          <w:p>
            <w:pPr>
              <w:jc w:val="right"/>
              <w:ind w:right="47"/>
              <w:spacing w:after="0"/>
              <w:rPr>
                <w:sz w:val="20"/>
                <w:szCs w:val="20"/>
                <w:color w:val="auto"/>
              </w:rPr>
            </w:pPr>
            <w:r>
              <w:rPr>
                <w:rFonts w:ascii="Arial" w:cs="Arial" w:eastAsia="Arial" w:hAnsi="Arial"/>
                <w:sz w:val="15"/>
                <w:szCs w:val="15"/>
                <w:color w:val="auto"/>
              </w:rPr>
              <w:t>1,500</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w:t>
            </w:r>
          </w:p>
        </w:tc>
        <w:tc>
          <w:tcPr>
            <w:tcW w:w="1200" w:type="dxa"/>
            <w:vAlign w:val="bottom"/>
            <w:tcBorders>
              <w:bottom w:val="single" w:sz="8" w:color="CCEEFF"/>
              <w:right w:val="single" w:sz="8" w:color="auto"/>
            </w:tcBorders>
          </w:tcPr>
          <w:p>
            <w:pPr>
              <w:jc w:val="right"/>
              <w:ind w:right="66"/>
              <w:spacing w:after="0"/>
              <w:rPr>
                <w:sz w:val="20"/>
                <w:szCs w:val="20"/>
                <w:color w:val="auto"/>
              </w:rPr>
            </w:pPr>
            <w:r>
              <w:rPr>
                <w:rFonts w:ascii="Arial" w:cs="Arial" w:eastAsia="Arial" w:hAnsi="Arial"/>
                <w:sz w:val="15"/>
                <w:szCs w:val="15"/>
                <w:color w:val="auto"/>
              </w:rPr>
              <w:t>(1,500)</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w:t>
            </w:r>
          </w:p>
        </w:tc>
        <w:tc>
          <w:tcPr>
            <w:tcW w:w="0" w:type="dxa"/>
            <w:vAlign w:val="bottom"/>
          </w:tcPr>
          <w:p>
            <w:pPr>
              <w:spacing w:after="0"/>
              <w:rPr>
                <w:sz w:val="1"/>
                <w:szCs w:val="1"/>
                <w:color w:val="auto"/>
              </w:rPr>
            </w:pPr>
          </w:p>
        </w:tc>
      </w:tr>
      <w:tr>
        <w:trPr>
          <w:trHeight w:val="217"/>
        </w:trPr>
        <w:tc>
          <w:tcPr>
            <w:tcW w:w="37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(680)</w:t>
            </w: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5"/>
                <w:szCs w:val="15"/>
                <w:b w:val="1"/>
                <w:bCs w:val="1"/>
                <w:color w:val="auto"/>
              </w:rPr>
              <w:t>Three months ended June 30, 2020:</w:t>
            </w:r>
          </w:p>
        </w:tc>
        <w:tc>
          <w:tcPr>
            <w:tcW w:w="10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3760" w:type="dxa"/>
            <w:vAlign w:val="bottom"/>
            <w:vMerge w:val="continue"/>
          </w:tcPr>
          <w:p>
            <w:pPr>
              <w:spacing w:after="0"/>
              <w:rPr>
                <w:sz w:val="12"/>
                <w:szCs w:val="12"/>
                <w:color w:val="auto"/>
              </w:rPr>
            </w:pPr>
          </w:p>
        </w:tc>
        <w:tc>
          <w:tcPr>
            <w:tcW w:w="10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760" w:type="dxa"/>
            <w:vAlign w:val="bottom"/>
            <w:shd w:val="clear" w:color="auto" w:fill="CCEEFF"/>
          </w:tcPr>
          <w:p>
            <w:pPr>
              <w:ind w:left="20"/>
              <w:spacing w:after="0"/>
              <w:rPr>
                <w:sz w:val="20"/>
                <w:szCs w:val="20"/>
                <w:color w:val="auto"/>
              </w:rPr>
            </w:pPr>
            <w:r>
              <w:rPr>
                <w:rFonts w:ascii="Arial" w:cs="Arial" w:eastAsia="Arial" w:hAnsi="Arial"/>
                <w:sz w:val="15"/>
                <w:szCs w:val="15"/>
                <w:color w:val="auto"/>
              </w:rPr>
              <w:t>TBA securities, net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8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rPr>
              <w:t>20,279</w:t>
            </w:r>
          </w:p>
        </w:tc>
        <w:tc>
          <w:tcPr>
            <w:tcW w:w="122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75,186</w:t>
            </w:r>
          </w:p>
        </w:tc>
        <w:tc>
          <w:tcPr>
            <w:tcW w:w="118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(75,705)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0" w:type="dxa"/>
            <w:vAlign w:val="bottom"/>
            <w:tcBorders>
              <w:right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19,760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20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220</w:t>
            </w:r>
          </w:p>
        </w:tc>
        <w:tc>
          <w:tcPr>
            <w:tcW w:w="0" w:type="dxa"/>
            <w:vAlign w:val="bottom"/>
          </w:tcPr>
          <w:p>
            <w:pPr>
              <w:spacing w:after="0"/>
              <w:rPr>
                <w:sz w:val="1"/>
                <w:szCs w:val="1"/>
                <w:color w:val="auto"/>
              </w:rPr>
            </w:pPr>
          </w:p>
        </w:tc>
      </w:tr>
      <w:tr>
        <w:trPr>
          <w:trHeight w:val="197"/>
        </w:trPr>
        <w:tc>
          <w:tcPr>
            <w:tcW w:w="3760" w:type="dxa"/>
            <w:vAlign w:val="bottom"/>
          </w:tcPr>
          <w:p>
            <w:pPr>
              <w:ind w:left="20"/>
              <w:spacing w:after="0"/>
              <w:rPr>
                <w:sz w:val="20"/>
                <w:szCs w:val="20"/>
                <w:color w:val="auto"/>
              </w:rPr>
            </w:pPr>
            <w:r>
              <w:rPr>
                <w:rFonts w:ascii="Arial" w:cs="Arial" w:eastAsia="Arial" w:hAnsi="Arial"/>
                <w:sz w:val="15"/>
                <w:szCs w:val="15"/>
                <w:color w:val="auto"/>
              </w:rPr>
              <w:t>Interest rate swaps - payer</w:t>
            </w: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186"/>
              <w:spacing w:after="0"/>
              <w:rPr>
                <w:sz w:val="20"/>
                <w:szCs w:val="20"/>
                <w:color w:val="auto"/>
              </w:rPr>
            </w:pPr>
            <w:r>
              <w:rPr>
                <w:rFonts w:ascii="Arial" w:cs="Arial" w:eastAsia="Arial" w:hAnsi="Arial"/>
                <w:sz w:val="15"/>
                <w:szCs w:val="15"/>
                <w:color w:val="auto"/>
              </w:rPr>
              <w:t>46,475</w:t>
            </w:r>
          </w:p>
        </w:tc>
        <w:tc>
          <w:tcPr>
            <w:tcW w:w="1220" w:type="dxa"/>
            <w:vAlign w:val="bottom"/>
          </w:tcPr>
          <w:p>
            <w:pPr>
              <w:jc w:val="right"/>
              <w:ind w:right="126"/>
              <w:spacing w:after="0"/>
              <w:rPr>
                <w:sz w:val="20"/>
                <w:szCs w:val="20"/>
                <w:color w:val="auto"/>
              </w:rPr>
            </w:pPr>
            <w:r>
              <w:rPr>
                <w:rFonts w:ascii="Arial" w:cs="Arial" w:eastAsia="Arial" w:hAnsi="Arial"/>
                <w:sz w:val="15"/>
                <w:szCs w:val="15"/>
                <w:color w:val="auto"/>
              </w:rPr>
              <w:t>25,750</w:t>
            </w:r>
          </w:p>
        </w:tc>
        <w:tc>
          <w:tcPr>
            <w:tcW w:w="1180" w:type="dxa"/>
            <w:vAlign w:val="bottom"/>
          </w:tcPr>
          <w:p>
            <w:pPr>
              <w:jc w:val="right"/>
              <w:ind w:right="7"/>
              <w:spacing w:after="0"/>
              <w:rPr>
                <w:sz w:val="20"/>
                <w:szCs w:val="20"/>
                <w:color w:val="auto"/>
              </w:rPr>
            </w:pPr>
            <w:r>
              <w:rPr>
                <w:rFonts w:ascii="Arial" w:cs="Arial" w:eastAsia="Arial" w:hAnsi="Arial"/>
                <w:sz w:val="15"/>
                <w:szCs w:val="15"/>
                <w:color w:val="auto"/>
              </w:rPr>
              <w:t>(30,150)</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200" w:type="dxa"/>
            <w:vAlign w:val="bottom"/>
            <w:tcBorders>
              <w:right w:val="single" w:sz="8" w:color="auto"/>
            </w:tcBorders>
          </w:tcPr>
          <w:p>
            <w:pPr>
              <w:jc w:val="right"/>
              <w:ind w:right="106"/>
              <w:spacing w:after="0"/>
              <w:rPr>
                <w:sz w:val="20"/>
                <w:szCs w:val="20"/>
                <w:color w:val="auto"/>
              </w:rPr>
            </w:pPr>
            <w:r>
              <w:rPr>
                <w:rFonts w:ascii="Arial" w:cs="Arial" w:eastAsia="Arial" w:hAnsi="Arial"/>
                <w:sz w:val="15"/>
                <w:szCs w:val="15"/>
                <w:color w:val="auto"/>
              </w:rPr>
              <w:t>42,075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(379)</w:t>
            </w:r>
          </w:p>
        </w:tc>
        <w:tc>
          <w:tcPr>
            <w:tcW w:w="0" w:type="dxa"/>
            <w:vAlign w:val="bottom"/>
          </w:tcPr>
          <w:p>
            <w:pPr>
              <w:spacing w:after="0"/>
              <w:rPr>
                <w:sz w:val="1"/>
                <w:szCs w:val="1"/>
                <w:color w:val="auto"/>
              </w:rPr>
            </w:pPr>
          </w:p>
        </w:tc>
      </w:tr>
      <w:tr>
        <w:trPr>
          <w:trHeight w:val="203"/>
        </w:trPr>
        <w:tc>
          <w:tcPr>
            <w:tcW w:w="3760" w:type="dxa"/>
            <w:vAlign w:val="bottom"/>
            <w:shd w:val="clear" w:color="auto" w:fill="CCEEFF"/>
          </w:tcPr>
          <w:p>
            <w:pPr>
              <w:ind w:left="20"/>
              <w:spacing w:after="0"/>
              <w:rPr>
                <w:sz w:val="20"/>
                <w:szCs w:val="20"/>
                <w:color w:val="auto"/>
              </w:rPr>
            </w:pPr>
            <w:r>
              <w:rPr>
                <w:rFonts w:ascii="Arial" w:cs="Arial" w:eastAsia="Arial" w:hAnsi="Arial"/>
                <w:sz w:val="15"/>
                <w:szCs w:val="15"/>
                <w:color w:val="auto"/>
              </w:rPr>
              <w:t>Payer swaptions</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8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rPr>
              <w:t>9,550</w:t>
            </w:r>
          </w:p>
        </w:tc>
        <w:tc>
          <w:tcPr>
            <w:tcW w:w="122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w:t>
            </w:r>
          </w:p>
        </w:tc>
        <w:tc>
          <w:tcPr>
            <w:tcW w:w="118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(200)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0" w:type="dxa"/>
            <w:vAlign w:val="bottom"/>
            <w:tcBorders>
              <w:right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9,350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w:t>
            </w:r>
          </w:p>
        </w:tc>
        <w:tc>
          <w:tcPr>
            <w:tcW w:w="0" w:type="dxa"/>
            <w:vAlign w:val="bottom"/>
          </w:tcPr>
          <w:p>
            <w:pPr>
              <w:spacing w:after="0"/>
              <w:rPr>
                <w:sz w:val="1"/>
                <w:szCs w:val="1"/>
                <w:color w:val="auto"/>
              </w:rPr>
            </w:pPr>
          </w:p>
        </w:tc>
      </w:tr>
      <w:tr>
        <w:trPr>
          <w:trHeight w:val="197"/>
        </w:trPr>
        <w:tc>
          <w:tcPr>
            <w:tcW w:w="3760" w:type="dxa"/>
            <w:vAlign w:val="bottom"/>
          </w:tcPr>
          <w:p>
            <w:pPr>
              <w:ind w:left="20"/>
              <w:spacing w:after="0"/>
              <w:rPr>
                <w:sz w:val="20"/>
                <w:szCs w:val="20"/>
                <w:color w:val="auto"/>
              </w:rPr>
            </w:pPr>
            <w:r>
              <w:rPr>
                <w:rFonts w:ascii="Arial" w:cs="Arial" w:eastAsia="Arial" w:hAnsi="Arial"/>
                <w:sz w:val="15"/>
                <w:szCs w:val="15"/>
                <w:color w:val="auto"/>
              </w:rPr>
              <w:t>U.S. Treasury securities - short position</w:t>
            </w: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146"/>
              <w:spacing w:after="0"/>
              <w:rPr>
                <w:sz w:val="20"/>
                <w:szCs w:val="20"/>
                <w:color w:val="auto"/>
              </w:rPr>
            </w:pPr>
            <w:r>
              <w:rPr>
                <w:rFonts w:ascii="Arial" w:cs="Arial" w:eastAsia="Arial" w:hAnsi="Arial"/>
                <w:sz w:val="15"/>
                <w:szCs w:val="15"/>
                <w:color w:val="auto"/>
              </w:rPr>
              <w:t>(4,245)</w:t>
            </w:r>
          </w:p>
        </w:tc>
        <w:tc>
          <w:tcPr>
            <w:tcW w:w="1220" w:type="dxa"/>
            <w:vAlign w:val="bottom"/>
          </w:tcPr>
          <w:p>
            <w:pPr>
              <w:jc w:val="right"/>
              <w:ind w:right="86"/>
              <w:spacing w:after="0"/>
              <w:rPr>
                <w:sz w:val="20"/>
                <w:szCs w:val="20"/>
                <w:color w:val="auto"/>
              </w:rPr>
            </w:pPr>
            <w:r>
              <w:rPr>
                <w:rFonts w:ascii="Arial" w:cs="Arial" w:eastAsia="Arial" w:hAnsi="Arial"/>
                <w:sz w:val="15"/>
                <w:szCs w:val="15"/>
                <w:color w:val="auto"/>
              </w:rPr>
              <w:t>(4,187)</w:t>
            </w:r>
          </w:p>
        </w:tc>
        <w:tc>
          <w:tcPr>
            <w:tcW w:w="1180" w:type="dxa"/>
            <w:vAlign w:val="bottom"/>
          </w:tcPr>
          <w:p>
            <w:pPr>
              <w:jc w:val="right"/>
              <w:ind w:right="47"/>
              <w:spacing w:after="0"/>
              <w:rPr>
                <w:sz w:val="20"/>
                <w:szCs w:val="20"/>
                <w:color w:val="auto"/>
              </w:rPr>
            </w:pPr>
            <w:r>
              <w:rPr>
                <w:rFonts w:ascii="Arial" w:cs="Arial" w:eastAsia="Arial" w:hAnsi="Arial"/>
                <w:sz w:val="15"/>
                <w:szCs w:val="15"/>
                <w:color w:val="auto"/>
              </w:rPr>
              <w:t>1,185</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200" w:type="dxa"/>
            <w:vAlign w:val="bottom"/>
            <w:tcBorders>
              <w:right w:val="single" w:sz="8" w:color="auto"/>
            </w:tcBorders>
          </w:tcPr>
          <w:p>
            <w:pPr>
              <w:jc w:val="right"/>
              <w:ind w:right="66"/>
              <w:spacing w:after="0"/>
              <w:rPr>
                <w:sz w:val="20"/>
                <w:szCs w:val="20"/>
                <w:color w:val="auto"/>
              </w:rPr>
            </w:pPr>
            <w:r>
              <w:rPr>
                <w:rFonts w:ascii="Arial" w:cs="Arial" w:eastAsia="Arial" w:hAnsi="Arial"/>
                <w:sz w:val="15"/>
                <w:szCs w:val="15"/>
                <w:color w:val="auto"/>
              </w:rPr>
              <w:t>(7,247)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(60)</w:t>
            </w:r>
          </w:p>
        </w:tc>
        <w:tc>
          <w:tcPr>
            <w:tcW w:w="0" w:type="dxa"/>
            <w:vAlign w:val="bottom"/>
          </w:tcPr>
          <w:p>
            <w:pPr>
              <w:spacing w:after="0"/>
              <w:rPr>
                <w:sz w:val="1"/>
                <w:szCs w:val="1"/>
                <w:color w:val="auto"/>
              </w:rPr>
            </w:pPr>
          </w:p>
        </w:tc>
      </w:tr>
      <w:tr>
        <w:trPr>
          <w:trHeight w:val="203"/>
        </w:trPr>
        <w:tc>
          <w:tcPr>
            <w:tcW w:w="3760" w:type="dxa"/>
            <w:vAlign w:val="bottom"/>
            <w:shd w:val="clear" w:color="auto" w:fill="CCEEFF"/>
          </w:tcPr>
          <w:p>
            <w:pPr>
              <w:ind w:left="20"/>
              <w:spacing w:after="0"/>
              <w:rPr>
                <w:sz w:val="20"/>
                <w:szCs w:val="20"/>
                <w:color w:val="auto"/>
              </w:rPr>
            </w:pPr>
            <w:r>
              <w:rPr>
                <w:rFonts w:ascii="Arial" w:cs="Arial" w:eastAsia="Arial" w:hAnsi="Arial"/>
                <w:sz w:val="15"/>
                <w:szCs w:val="15"/>
                <w:color w:val="auto"/>
              </w:rPr>
              <w:t>U.S. Treasury securities - long position</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8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rPr>
              <w:t>3,569</w:t>
            </w:r>
          </w:p>
        </w:tc>
        <w:tc>
          <w:tcPr>
            <w:tcW w:w="122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550</w:t>
            </w:r>
          </w:p>
        </w:tc>
        <w:tc>
          <w:tcPr>
            <w:tcW w:w="118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(2,987)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0" w:type="dxa"/>
            <w:vAlign w:val="bottom"/>
            <w:tcBorders>
              <w:right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color w:val="auto"/>
              </w:rPr>
              <w:t>1,132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197"/>
        </w:trPr>
        <w:tc>
          <w:tcPr>
            <w:tcW w:w="37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U.S. Treasury futures contracts - short position</w:t>
            </w:r>
          </w:p>
        </w:tc>
        <w:tc>
          <w:tcPr>
            <w:tcW w:w="102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w:t>
            </w:r>
          </w:p>
        </w:tc>
        <w:tc>
          <w:tcPr>
            <w:tcW w:w="1280" w:type="dxa"/>
            <w:vAlign w:val="bottom"/>
            <w:tcBorders>
              <w:bottom w:val="single" w:sz="8" w:color="CCEEFF"/>
            </w:tcBorders>
          </w:tcPr>
          <w:p>
            <w:pPr>
              <w:jc w:val="right"/>
              <w:ind w:right="146"/>
              <w:spacing w:after="0"/>
              <w:rPr>
                <w:sz w:val="20"/>
                <w:szCs w:val="20"/>
                <w:color w:val="auto"/>
              </w:rPr>
            </w:pPr>
            <w:r>
              <w:rPr>
                <w:rFonts w:ascii="Arial" w:cs="Arial" w:eastAsia="Arial" w:hAnsi="Arial"/>
                <w:sz w:val="15"/>
                <w:szCs w:val="15"/>
                <w:color w:val="auto"/>
              </w:rPr>
              <w:t>(1,000)</w:t>
            </w:r>
          </w:p>
        </w:tc>
        <w:tc>
          <w:tcPr>
            <w:tcW w:w="1220" w:type="dxa"/>
            <w:vAlign w:val="bottom"/>
            <w:tcBorders>
              <w:bottom w:val="single" w:sz="8" w:color="CCEEFF"/>
            </w:tcBorders>
          </w:tcPr>
          <w:p>
            <w:pPr>
              <w:jc w:val="right"/>
              <w:ind w:right="86"/>
              <w:spacing w:after="0"/>
              <w:rPr>
                <w:sz w:val="20"/>
                <w:szCs w:val="20"/>
                <w:color w:val="auto"/>
              </w:rPr>
            </w:pPr>
            <w:r>
              <w:rPr>
                <w:rFonts w:ascii="Arial" w:cs="Arial" w:eastAsia="Arial" w:hAnsi="Arial"/>
                <w:sz w:val="15"/>
                <w:szCs w:val="15"/>
                <w:color w:val="auto"/>
              </w:rPr>
              <w:t>(1,000)</w:t>
            </w:r>
          </w:p>
        </w:tc>
        <w:tc>
          <w:tcPr>
            <w:tcW w:w="1180" w:type="dxa"/>
            <w:vAlign w:val="bottom"/>
            <w:tcBorders>
              <w:bottom w:val="single" w:sz="8" w:color="CCEEFF"/>
            </w:tcBorders>
          </w:tcPr>
          <w:p>
            <w:pPr>
              <w:jc w:val="right"/>
              <w:ind w:right="47"/>
              <w:spacing w:after="0"/>
              <w:rPr>
                <w:sz w:val="20"/>
                <w:szCs w:val="20"/>
                <w:color w:val="auto"/>
              </w:rPr>
            </w:pPr>
            <w:r>
              <w:rPr>
                <w:rFonts w:ascii="Arial" w:cs="Arial" w:eastAsia="Arial" w:hAnsi="Arial"/>
                <w:sz w:val="15"/>
                <w:szCs w:val="15"/>
                <w:color w:val="auto"/>
              </w:rPr>
              <w:t>1,000</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rPr>
              <w:t>$</w:t>
            </w:r>
          </w:p>
        </w:tc>
        <w:tc>
          <w:tcPr>
            <w:tcW w:w="1200" w:type="dxa"/>
            <w:vAlign w:val="bottom"/>
            <w:tcBorders>
              <w:bottom w:val="single" w:sz="8" w:color="CCEEFF"/>
              <w:right w:val="single" w:sz="8" w:color="auto"/>
            </w:tcBorders>
          </w:tcPr>
          <w:p>
            <w:pPr>
              <w:jc w:val="right"/>
              <w:ind w:right="66"/>
              <w:spacing w:after="0"/>
              <w:rPr>
                <w:sz w:val="20"/>
                <w:szCs w:val="20"/>
                <w:color w:val="auto"/>
              </w:rPr>
            </w:pPr>
            <w:r>
              <w:rPr>
                <w:rFonts w:ascii="Arial" w:cs="Arial" w:eastAsia="Arial" w:hAnsi="Arial"/>
                <w:sz w:val="15"/>
                <w:szCs w:val="15"/>
                <w:color w:val="auto"/>
              </w:rPr>
              <w:t>(1,000)</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w:t>
            </w:r>
          </w:p>
        </w:tc>
        <w:tc>
          <w:tcPr>
            <w:tcW w:w="0" w:type="dxa"/>
            <w:vAlign w:val="bottom"/>
          </w:tcPr>
          <w:p>
            <w:pPr>
              <w:spacing w:after="0"/>
              <w:rPr>
                <w:sz w:val="1"/>
                <w:szCs w:val="1"/>
                <w:color w:val="auto"/>
              </w:rPr>
            </w:pPr>
          </w:p>
        </w:tc>
      </w:tr>
      <w:tr>
        <w:trPr>
          <w:trHeight w:val="217"/>
        </w:trPr>
        <w:tc>
          <w:tcPr>
            <w:tcW w:w="37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(237)</w:t>
            </w: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00"/>
        </w:trPr>
        <w:tc>
          <w:tcPr>
            <w:tcW w:w="376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Six months ended June 30, 2021:</w:t>
            </w:r>
          </w:p>
        </w:tc>
        <w:tc>
          <w:tcPr>
            <w:tcW w:w="1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760" w:type="dxa"/>
            <w:vAlign w:val="bottom"/>
          </w:tcPr>
          <w:p>
            <w:pPr>
              <w:ind w:left="20"/>
              <w:spacing w:after="0"/>
              <w:rPr>
                <w:sz w:val="20"/>
                <w:szCs w:val="20"/>
                <w:color w:val="auto"/>
              </w:rPr>
            </w:pPr>
            <w:r>
              <w:rPr>
                <w:rFonts w:ascii="Arial" w:cs="Arial" w:eastAsia="Arial" w:hAnsi="Arial"/>
                <w:sz w:val="15"/>
                <w:szCs w:val="15"/>
                <w:color w:val="auto"/>
              </w:rPr>
              <w:t>TBA securities, net</w:t>
            </w:r>
          </w:p>
        </w:tc>
        <w:tc>
          <w:tcPr>
            <w:tcW w:w="1300" w:type="dxa"/>
            <w:vAlign w:val="bottom"/>
          </w:tcPr>
          <w:p>
            <w:pPr>
              <w:jc w:val="right"/>
              <w:ind w:right="205"/>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345"/>
              <w:spacing w:after="0"/>
              <w:rPr>
                <w:sz w:val="20"/>
                <w:szCs w:val="20"/>
                <w:color w:val="auto"/>
              </w:rPr>
            </w:pPr>
            <w:r>
              <w:rPr>
                <w:rFonts w:ascii="Arial" w:cs="Arial" w:eastAsia="Arial" w:hAnsi="Arial"/>
                <w:sz w:val="15"/>
                <w:szCs w:val="15"/>
                <w:color w:val="auto"/>
              </w:rPr>
              <w:t>30,364</w:t>
            </w:r>
          </w:p>
        </w:tc>
        <w:tc>
          <w:tcPr>
            <w:tcW w:w="1240" w:type="dxa"/>
            <w:vAlign w:val="bottom"/>
          </w:tcPr>
          <w:p>
            <w:pPr>
              <w:jc w:val="right"/>
              <w:ind w:right="305"/>
              <w:spacing w:after="0"/>
              <w:rPr>
                <w:sz w:val="20"/>
                <w:szCs w:val="20"/>
                <w:color w:val="auto"/>
              </w:rPr>
            </w:pPr>
            <w:r>
              <w:rPr>
                <w:rFonts w:ascii="Arial" w:cs="Arial" w:eastAsia="Arial" w:hAnsi="Arial"/>
                <w:sz w:val="15"/>
                <w:szCs w:val="15"/>
                <w:color w:val="auto"/>
              </w:rPr>
              <w:t>187,584</w:t>
            </w:r>
          </w:p>
        </w:tc>
        <w:tc>
          <w:tcPr>
            <w:tcW w:w="1000" w:type="dxa"/>
            <w:vAlign w:val="bottom"/>
          </w:tcPr>
          <w:p>
            <w:pPr>
              <w:jc w:val="right"/>
              <w:ind w:right="5"/>
              <w:spacing w:after="0"/>
              <w:rPr>
                <w:sz w:val="20"/>
                <w:szCs w:val="20"/>
                <w:color w:val="auto"/>
              </w:rPr>
            </w:pPr>
            <w:r>
              <w:rPr>
                <w:rFonts w:ascii="Arial" w:cs="Arial" w:eastAsia="Arial" w:hAnsi="Arial"/>
                <w:sz w:val="15"/>
                <w:szCs w:val="15"/>
                <w:color w:val="auto"/>
              </w:rPr>
              <w:t>(191,381)</w:t>
            </w:r>
          </w:p>
        </w:tc>
        <w:tc>
          <w:tcPr>
            <w:tcW w:w="420" w:type="dxa"/>
            <w:vAlign w:val="bottom"/>
          </w:tcPr>
          <w:p>
            <w:pPr>
              <w:jc w:val="right"/>
              <w:ind w:right="205"/>
              <w:spacing w:after="0"/>
              <w:rPr>
                <w:sz w:val="20"/>
                <w:szCs w:val="20"/>
                <w:color w:val="auto"/>
              </w:rPr>
            </w:pPr>
            <w:r>
              <w:rPr>
                <w:rFonts w:ascii="Arial" w:cs="Arial" w:eastAsia="Arial" w:hAnsi="Arial"/>
                <w:sz w:val="15"/>
                <w:szCs w:val="15"/>
                <w:color w:val="auto"/>
              </w:rPr>
              <w:t>$</w:t>
            </w:r>
          </w:p>
        </w:tc>
        <w:tc>
          <w:tcPr>
            <w:tcW w:w="920" w:type="dxa"/>
            <w:vAlign w:val="bottom"/>
            <w:tcBorders>
              <w:right w:val="single" w:sz="8" w:color="auto"/>
            </w:tcBorders>
          </w:tcPr>
          <w:p>
            <w:pPr>
              <w:jc w:val="right"/>
              <w:ind w:right="105"/>
              <w:spacing w:after="0"/>
              <w:rPr>
                <w:sz w:val="20"/>
                <w:szCs w:val="20"/>
                <w:color w:val="auto"/>
              </w:rPr>
            </w:pPr>
            <w:r>
              <w:rPr>
                <w:rFonts w:ascii="Arial" w:cs="Arial" w:eastAsia="Arial" w:hAnsi="Arial"/>
                <w:sz w:val="15"/>
                <w:szCs w:val="15"/>
                <w:color w:val="auto"/>
              </w:rPr>
              <w:t>26,567</w:t>
            </w:r>
          </w:p>
        </w:tc>
        <w:tc>
          <w:tcPr>
            <w:tcW w:w="80" w:type="dxa"/>
            <w:vAlign w:val="bottom"/>
          </w:tcPr>
          <w:p>
            <w:pPr>
              <w:spacing w:after="0"/>
              <w:rPr>
                <w:sz w:val="17"/>
                <w:szCs w:val="17"/>
                <w:color w:val="auto"/>
              </w:rPr>
            </w:pPr>
          </w:p>
        </w:tc>
        <w:tc>
          <w:tcPr>
            <w:tcW w:w="480" w:type="dxa"/>
            <w:vAlign w:val="bottom"/>
          </w:tcPr>
          <w:p>
            <w:pPr>
              <w:jc w:val="right"/>
              <w:ind w:right="305"/>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(530)</w:t>
            </w:r>
          </w:p>
        </w:tc>
        <w:tc>
          <w:tcPr>
            <w:tcW w:w="0" w:type="dxa"/>
            <w:vAlign w:val="bottom"/>
          </w:tcPr>
          <w:p>
            <w:pPr>
              <w:spacing w:after="0"/>
              <w:rPr>
                <w:sz w:val="1"/>
                <w:szCs w:val="1"/>
                <w:color w:val="auto"/>
              </w:rPr>
            </w:pPr>
          </w:p>
        </w:tc>
      </w:tr>
      <w:tr>
        <w:trPr>
          <w:trHeight w:val="203"/>
        </w:trPr>
        <w:tc>
          <w:tcPr>
            <w:tcW w:w="3760" w:type="dxa"/>
            <w:vAlign w:val="bottom"/>
            <w:shd w:val="clear" w:color="auto" w:fill="CCEEFF"/>
          </w:tcPr>
          <w:p>
            <w:pPr>
              <w:ind w:left="20"/>
              <w:spacing w:after="0"/>
              <w:rPr>
                <w:sz w:val="20"/>
                <w:szCs w:val="20"/>
                <w:color w:val="auto"/>
              </w:rPr>
            </w:pPr>
            <w:r>
              <w:rPr>
                <w:rFonts w:ascii="Arial" w:cs="Arial" w:eastAsia="Arial" w:hAnsi="Arial"/>
                <w:sz w:val="15"/>
                <w:szCs w:val="15"/>
                <w:color w:val="auto"/>
              </w:rPr>
              <w:t>Forward settling non-Agency securities</w:t>
            </w:r>
          </w:p>
        </w:tc>
        <w:tc>
          <w:tcPr>
            <w:tcW w:w="130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rPr>
              <w:t>$</w:t>
            </w:r>
          </w:p>
        </w:tc>
        <w:tc>
          <w:tcPr>
            <w:tcW w:w="1160" w:type="dxa"/>
            <w:vAlign w:val="bottom"/>
            <w:shd w:val="clear" w:color="auto" w:fill="CCEEFF"/>
          </w:tcPr>
          <w:p>
            <w:pPr>
              <w:jc w:val="right"/>
              <w:ind w:right="345"/>
              <w:spacing w:after="0"/>
              <w:rPr>
                <w:sz w:val="20"/>
                <w:szCs w:val="20"/>
                <w:color w:val="auto"/>
              </w:rPr>
            </w:pPr>
            <w:r>
              <w:rPr>
                <w:rFonts w:ascii="Arial" w:cs="Arial" w:eastAsia="Arial" w:hAnsi="Arial"/>
                <w:sz w:val="15"/>
                <w:szCs w:val="15"/>
                <w:color w:val="auto"/>
              </w:rPr>
              <w:t>—</w:t>
            </w:r>
          </w:p>
        </w:tc>
        <w:tc>
          <w:tcPr>
            <w:tcW w:w="1240" w:type="dxa"/>
            <w:vAlign w:val="bottom"/>
            <w:shd w:val="clear" w:color="auto" w:fill="CCEEFF"/>
          </w:tcPr>
          <w:p>
            <w:pPr>
              <w:jc w:val="right"/>
              <w:ind w:right="305"/>
              <w:spacing w:after="0"/>
              <w:rPr>
                <w:sz w:val="20"/>
                <w:szCs w:val="20"/>
                <w:color w:val="auto"/>
              </w:rPr>
            </w:pPr>
            <w:r>
              <w:rPr>
                <w:rFonts w:ascii="Arial" w:cs="Arial" w:eastAsia="Arial" w:hAnsi="Arial"/>
                <w:sz w:val="15"/>
                <w:szCs w:val="15"/>
                <w:color w:val="auto"/>
              </w:rPr>
              <w:t>300</w:t>
            </w:r>
          </w:p>
        </w:tc>
        <w:tc>
          <w:tcPr>
            <w:tcW w:w="10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rPr>
              <w:t>—</w:t>
            </w:r>
          </w:p>
        </w:tc>
        <w:tc>
          <w:tcPr>
            <w:tcW w:w="42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rPr>
              <w:t>$</w:t>
            </w:r>
          </w:p>
        </w:tc>
        <w:tc>
          <w:tcPr>
            <w:tcW w:w="920" w:type="dxa"/>
            <w:vAlign w:val="bottom"/>
            <w:tcBorders>
              <w:right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rPr>
              <w:t>300</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7"/>
        </w:trPr>
        <w:tc>
          <w:tcPr>
            <w:tcW w:w="3760" w:type="dxa"/>
            <w:vAlign w:val="bottom"/>
          </w:tcPr>
          <w:p>
            <w:pPr>
              <w:ind w:left="20"/>
              <w:spacing w:after="0"/>
              <w:rPr>
                <w:sz w:val="20"/>
                <w:szCs w:val="20"/>
                <w:color w:val="auto"/>
              </w:rPr>
            </w:pPr>
            <w:r>
              <w:rPr>
                <w:rFonts w:ascii="Arial" w:cs="Arial" w:eastAsia="Arial" w:hAnsi="Arial"/>
                <w:sz w:val="15"/>
                <w:szCs w:val="15"/>
                <w:color w:val="auto"/>
              </w:rPr>
              <w:t>Interest rate swaps - payer</w:t>
            </w:r>
          </w:p>
        </w:tc>
        <w:tc>
          <w:tcPr>
            <w:tcW w:w="1300" w:type="dxa"/>
            <w:vAlign w:val="bottom"/>
          </w:tcPr>
          <w:p>
            <w:pPr>
              <w:jc w:val="right"/>
              <w:ind w:right="205"/>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345"/>
              <w:spacing w:after="0"/>
              <w:rPr>
                <w:sz w:val="20"/>
                <w:szCs w:val="20"/>
                <w:color w:val="auto"/>
              </w:rPr>
            </w:pPr>
            <w:r>
              <w:rPr>
                <w:rFonts w:ascii="Arial" w:cs="Arial" w:eastAsia="Arial" w:hAnsi="Arial"/>
                <w:sz w:val="15"/>
                <w:szCs w:val="15"/>
                <w:color w:val="auto"/>
              </w:rPr>
              <w:t>43,225</w:t>
            </w:r>
          </w:p>
        </w:tc>
        <w:tc>
          <w:tcPr>
            <w:tcW w:w="1240" w:type="dxa"/>
            <w:vAlign w:val="bottom"/>
          </w:tcPr>
          <w:p>
            <w:pPr>
              <w:jc w:val="right"/>
              <w:ind w:right="305"/>
              <w:spacing w:after="0"/>
              <w:rPr>
                <w:sz w:val="20"/>
                <w:szCs w:val="20"/>
                <w:color w:val="auto"/>
              </w:rPr>
            </w:pPr>
            <w:r>
              <w:rPr>
                <w:rFonts w:ascii="Arial" w:cs="Arial" w:eastAsia="Arial" w:hAnsi="Arial"/>
                <w:sz w:val="15"/>
                <w:szCs w:val="15"/>
                <w:color w:val="auto"/>
              </w:rPr>
              <w:t>7,000</w:t>
            </w:r>
          </w:p>
        </w:tc>
        <w:tc>
          <w:tcPr>
            <w:tcW w:w="1000" w:type="dxa"/>
            <w:vAlign w:val="bottom"/>
          </w:tcPr>
          <w:p>
            <w:pPr>
              <w:jc w:val="right"/>
              <w:ind w:right="5"/>
              <w:spacing w:after="0"/>
              <w:rPr>
                <w:sz w:val="20"/>
                <w:szCs w:val="20"/>
                <w:color w:val="auto"/>
              </w:rPr>
            </w:pPr>
            <w:r>
              <w:rPr>
                <w:rFonts w:ascii="Arial" w:cs="Arial" w:eastAsia="Arial" w:hAnsi="Arial"/>
                <w:sz w:val="15"/>
                <w:szCs w:val="15"/>
                <w:color w:val="auto"/>
              </w:rPr>
              <w:t>(500)</w:t>
            </w:r>
          </w:p>
        </w:tc>
        <w:tc>
          <w:tcPr>
            <w:tcW w:w="420" w:type="dxa"/>
            <w:vAlign w:val="bottom"/>
          </w:tcPr>
          <w:p>
            <w:pPr>
              <w:jc w:val="right"/>
              <w:ind w:right="205"/>
              <w:spacing w:after="0"/>
              <w:rPr>
                <w:sz w:val="20"/>
                <w:szCs w:val="20"/>
                <w:color w:val="auto"/>
              </w:rPr>
            </w:pPr>
            <w:r>
              <w:rPr>
                <w:rFonts w:ascii="Arial" w:cs="Arial" w:eastAsia="Arial" w:hAnsi="Arial"/>
                <w:sz w:val="15"/>
                <w:szCs w:val="15"/>
                <w:color w:val="auto"/>
              </w:rPr>
              <w:t>$</w:t>
            </w:r>
          </w:p>
        </w:tc>
        <w:tc>
          <w:tcPr>
            <w:tcW w:w="920" w:type="dxa"/>
            <w:vAlign w:val="bottom"/>
            <w:tcBorders>
              <w:right w:val="single" w:sz="8" w:color="auto"/>
            </w:tcBorders>
          </w:tcPr>
          <w:p>
            <w:pPr>
              <w:jc w:val="right"/>
              <w:ind w:right="105"/>
              <w:spacing w:after="0"/>
              <w:rPr>
                <w:sz w:val="20"/>
                <w:szCs w:val="20"/>
                <w:color w:val="auto"/>
              </w:rPr>
            </w:pPr>
            <w:r>
              <w:rPr>
                <w:rFonts w:ascii="Arial" w:cs="Arial" w:eastAsia="Arial" w:hAnsi="Arial"/>
                <w:sz w:val="15"/>
                <w:szCs w:val="15"/>
                <w:color w:val="auto"/>
              </w:rPr>
              <w:t>49,725</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jc w:val="right"/>
              <w:ind w:right="5"/>
              <w:spacing w:after="0"/>
              <w:rPr>
                <w:sz w:val="20"/>
                <w:szCs w:val="20"/>
                <w:color w:val="auto"/>
              </w:rPr>
            </w:pPr>
            <w:r>
              <w:rPr>
                <w:rFonts w:ascii="Arial" w:cs="Arial" w:eastAsia="Arial" w:hAnsi="Arial"/>
                <w:sz w:val="15"/>
                <w:szCs w:val="15"/>
                <w:color w:val="auto"/>
              </w:rPr>
              <w:t>724</w:t>
            </w:r>
          </w:p>
        </w:tc>
        <w:tc>
          <w:tcPr>
            <w:tcW w:w="0" w:type="dxa"/>
            <w:vAlign w:val="bottom"/>
          </w:tcPr>
          <w:p>
            <w:pPr>
              <w:spacing w:after="0"/>
              <w:rPr>
                <w:sz w:val="1"/>
                <w:szCs w:val="1"/>
                <w:color w:val="auto"/>
              </w:rPr>
            </w:pPr>
          </w:p>
        </w:tc>
      </w:tr>
      <w:tr>
        <w:trPr>
          <w:trHeight w:val="203"/>
        </w:trPr>
        <w:tc>
          <w:tcPr>
            <w:tcW w:w="3760" w:type="dxa"/>
            <w:vAlign w:val="bottom"/>
            <w:shd w:val="clear" w:color="auto" w:fill="CCEEFF"/>
          </w:tcPr>
          <w:p>
            <w:pPr>
              <w:ind w:left="20"/>
              <w:spacing w:after="0"/>
              <w:rPr>
                <w:sz w:val="20"/>
                <w:szCs w:val="20"/>
                <w:color w:val="auto"/>
              </w:rPr>
            </w:pPr>
            <w:r>
              <w:rPr>
                <w:rFonts w:ascii="Arial" w:cs="Arial" w:eastAsia="Arial" w:hAnsi="Arial"/>
                <w:sz w:val="15"/>
                <w:szCs w:val="15"/>
                <w:color w:val="auto"/>
              </w:rPr>
              <w:t>Payer swaptions</w:t>
            </w:r>
          </w:p>
        </w:tc>
        <w:tc>
          <w:tcPr>
            <w:tcW w:w="130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rPr>
              <w:t>$</w:t>
            </w:r>
          </w:p>
        </w:tc>
        <w:tc>
          <w:tcPr>
            <w:tcW w:w="1160" w:type="dxa"/>
            <w:vAlign w:val="bottom"/>
            <w:shd w:val="clear" w:color="auto" w:fill="CCEEFF"/>
          </w:tcPr>
          <w:p>
            <w:pPr>
              <w:jc w:val="right"/>
              <w:ind w:right="345"/>
              <w:spacing w:after="0"/>
              <w:rPr>
                <w:sz w:val="20"/>
                <w:szCs w:val="20"/>
                <w:color w:val="auto"/>
              </w:rPr>
            </w:pPr>
            <w:r>
              <w:rPr>
                <w:rFonts w:ascii="Arial" w:cs="Arial" w:eastAsia="Arial" w:hAnsi="Arial"/>
                <w:sz w:val="15"/>
                <w:szCs w:val="15"/>
                <w:color w:val="auto"/>
              </w:rPr>
              <w:t>10,400</w:t>
            </w:r>
          </w:p>
        </w:tc>
        <w:tc>
          <w:tcPr>
            <w:tcW w:w="1240" w:type="dxa"/>
            <w:vAlign w:val="bottom"/>
            <w:shd w:val="clear" w:color="auto" w:fill="CCEEFF"/>
          </w:tcPr>
          <w:p>
            <w:pPr>
              <w:jc w:val="right"/>
              <w:ind w:right="305"/>
              <w:spacing w:after="0"/>
              <w:rPr>
                <w:sz w:val="20"/>
                <w:szCs w:val="20"/>
                <w:color w:val="auto"/>
              </w:rPr>
            </w:pPr>
            <w:r>
              <w:rPr>
                <w:rFonts w:ascii="Arial" w:cs="Arial" w:eastAsia="Arial" w:hAnsi="Arial"/>
                <w:sz w:val="15"/>
                <w:szCs w:val="15"/>
                <w:color w:val="auto"/>
              </w:rPr>
              <w:t>4,250</w:t>
            </w:r>
          </w:p>
        </w:tc>
        <w:tc>
          <w:tcPr>
            <w:tcW w:w="10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(3,200)</w:t>
            </w:r>
          </w:p>
        </w:tc>
        <w:tc>
          <w:tcPr>
            <w:tcW w:w="42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rPr>
              <w:t>$</w:t>
            </w:r>
          </w:p>
        </w:tc>
        <w:tc>
          <w:tcPr>
            <w:tcW w:w="920" w:type="dxa"/>
            <w:vAlign w:val="bottom"/>
            <w:tcBorders>
              <w:right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rPr>
              <w:t>11,450</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74</w:t>
            </w:r>
          </w:p>
        </w:tc>
        <w:tc>
          <w:tcPr>
            <w:tcW w:w="0" w:type="dxa"/>
            <w:vAlign w:val="bottom"/>
          </w:tcPr>
          <w:p>
            <w:pPr>
              <w:spacing w:after="0"/>
              <w:rPr>
                <w:sz w:val="1"/>
                <w:szCs w:val="1"/>
                <w:color w:val="auto"/>
              </w:rPr>
            </w:pPr>
          </w:p>
        </w:tc>
      </w:tr>
      <w:tr>
        <w:trPr>
          <w:trHeight w:val="197"/>
        </w:trPr>
        <w:tc>
          <w:tcPr>
            <w:tcW w:w="3760" w:type="dxa"/>
            <w:vAlign w:val="bottom"/>
          </w:tcPr>
          <w:p>
            <w:pPr>
              <w:ind w:left="20"/>
              <w:spacing w:after="0"/>
              <w:rPr>
                <w:sz w:val="20"/>
                <w:szCs w:val="20"/>
                <w:color w:val="auto"/>
              </w:rPr>
            </w:pPr>
            <w:r>
              <w:rPr>
                <w:rFonts w:ascii="Arial" w:cs="Arial" w:eastAsia="Arial" w:hAnsi="Arial"/>
                <w:sz w:val="15"/>
                <w:szCs w:val="15"/>
                <w:color w:val="auto"/>
              </w:rPr>
              <w:t>U.S. Treasury securities - short position</w:t>
            </w:r>
          </w:p>
        </w:tc>
        <w:tc>
          <w:tcPr>
            <w:tcW w:w="1300" w:type="dxa"/>
            <w:vAlign w:val="bottom"/>
          </w:tcPr>
          <w:p>
            <w:pPr>
              <w:jc w:val="right"/>
              <w:ind w:right="205"/>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305"/>
              <w:spacing w:after="0"/>
              <w:rPr>
                <w:sz w:val="20"/>
                <w:szCs w:val="20"/>
                <w:color w:val="auto"/>
              </w:rPr>
            </w:pPr>
            <w:r>
              <w:rPr>
                <w:rFonts w:ascii="Arial" w:cs="Arial" w:eastAsia="Arial" w:hAnsi="Arial"/>
                <w:sz w:val="15"/>
                <w:szCs w:val="15"/>
                <w:color w:val="auto"/>
              </w:rPr>
              <w:t>(11,287)</w:t>
            </w:r>
          </w:p>
        </w:tc>
        <w:tc>
          <w:tcPr>
            <w:tcW w:w="1240" w:type="dxa"/>
            <w:vAlign w:val="bottom"/>
          </w:tcPr>
          <w:p>
            <w:pPr>
              <w:jc w:val="right"/>
              <w:ind w:right="265"/>
              <w:spacing w:after="0"/>
              <w:rPr>
                <w:sz w:val="20"/>
                <w:szCs w:val="20"/>
                <w:color w:val="auto"/>
              </w:rPr>
            </w:pPr>
            <w:r>
              <w:rPr>
                <w:rFonts w:ascii="Arial" w:cs="Arial" w:eastAsia="Arial" w:hAnsi="Arial"/>
                <w:sz w:val="15"/>
                <w:szCs w:val="15"/>
                <w:color w:val="auto"/>
              </w:rPr>
              <w:t>(7,846)</w:t>
            </w:r>
          </w:p>
        </w:tc>
        <w:tc>
          <w:tcPr>
            <w:tcW w:w="1000" w:type="dxa"/>
            <w:vAlign w:val="bottom"/>
          </w:tcPr>
          <w:p>
            <w:pPr>
              <w:jc w:val="right"/>
              <w:ind w:right="45"/>
              <w:spacing w:after="0"/>
              <w:rPr>
                <w:sz w:val="20"/>
                <w:szCs w:val="20"/>
                <w:color w:val="auto"/>
              </w:rPr>
            </w:pPr>
            <w:r>
              <w:rPr>
                <w:rFonts w:ascii="Arial" w:cs="Arial" w:eastAsia="Arial" w:hAnsi="Arial"/>
                <w:sz w:val="15"/>
                <w:szCs w:val="15"/>
                <w:color w:val="auto"/>
              </w:rPr>
              <w:t>8,240</w:t>
            </w:r>
          </w:p>
        </w:tc>
        <w:tc>
          <w:tcPr>
            <w:tcW w:w="420" w:type="dxa"/>
            <w:vAlign w:val="bottom"/>
          </w:tcPr>
          <w:p>
            <w:pPr>
              <w:jc w:val="right"/>
              <w:ind w:right="205"/>
              <w:spacing w:after="0"/>
              <w:rPr>
                <w:sz w:val="20"/>
                <w:szCs w:val="20"/>
                <w:color w:val="auto"/>
              </w:rPr>
            </w:pPr>
            <w:r>
              <w:rPr>
                <w:rFonts w:ascii="Arial" w:cs="Arial" w:eastAsia="Arial" w:hAnsi="Arial"/>
                <w:sz w:val="15"/>
                <w:szCs w:val="15"/>
                <w:color w:val="auto"/>
              </w:rPr>
              <w:t>$</w:t>
            </w:r>
          </w:p>
        </w:tc>
        <w:tc>
          <w:tcPr>
            <w:tcW w:w="920" w:type="dxa"/>
            <w:vAlign w:val="bottom"/>
            <w:tcBorders>
              <w:right w:val="single" w:sz="8" w:color="auto"/>
            </w:tcBorders>
          </w:tcPr>
          <w:p>
            <w:pPr>
              <w:jc w:val="right"/>
              <w:ind w:right="65"/>
              <w:spacing w:after="0"/>
              <w:rPr>
                <w:sz w:val="20"/>
                <w:szCs w:val="20"/>
                <w:color w:val="auto"/>
              </w:rPr>
            </w:pPr>
            <w:r>
              <w:rPr>
                <w:rFonts w:ascii="Arial" w:cs="Arial" w:eastAsia="Arial" w:hAnsi="Arial"/>
                <w:sz w:val="15"/>
                <w:szCs w:val="15"/>
                <w:color w:val="auto"/>
              </w:rPr>
              <w:t>(10,893)</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jc w:val="right"/>
              <w:ind w:right="5"/>
              <w:spacing w:after="0"/>
              <w:rPr>
                <w:sz w:val="20"/>
                <w:szCs w:val="20"/>
                <w:color w:val="auto"/>
              </w:rPr>
            </w:pPr>
            <w:r>
              <w:rPr>
                <w:rFonts w:ascii="Arial" w:cs="Arial" w:eastAsia="Arial" w:hAnsi="Arial"/>
                <w:sz w:val="15"/>
                <w:szCs w:val="15"/>
                <w:color w:val="auto"/>
              </w:rPr>
              <w:t>474</w:t>
            </w:r>
          </w:p>
        </w:tc>
        <w:tc>
          <w:tcPr>
            <w:tcW w:w="0" w:type="dxa"/>
            <w:vAlign w:val="bottom"/>
          </w:tcPr>
          <w:p>
            <w:pPr>
              <w:spacing w:after="0"/>
              <w:rPr>
                <w:sz w:val="1"/>
                <w:szCs w:val="1"/>
                <w:color w:val="auto"/>
              </w:rPr>
            </w:pPr>
          </w:p>
        </w:tc>
      </w:tr>
      <w:tr>
        <w:trPr>
          <w:trHeight w:val="203"/>
        </w:trPr>
        <w:tc>
          <w:tcPr>
            <w:tcW w:w="3760" w:type="dxa"/>
            <w:vAlign w:val="bottom"/>
            <w:shd w:val="clear" w:color="auto" w:fill="CCEEFF"/>
          </w:tcPr>
          <w:p>
            <w:pPr>
              <w:ind w:left="20"/>
              <w:spacing w:after="0"/>
              <w:rPr>
                <w:sz w:val="20"/>
                <w:szCs w:val="20"/>
                <w:color w:val="auto"/>
              </w:rPr>
            </w:pPr>
            <w:r>
              <w:rPr>
                <w:rFonts w:ascii="Arial" w:cs="Arial" w:eastAsia="Arial" w:hAnsi="Arial"/>
                <w:sz w:val="15"/>
                <w:szCs w:val="15"/>
                <w:color w:val="auto"/>
              </w:rPr>
              <w:t>U.S. Treasury securities - long position</w:t>
            </w:r>
          </w:p>
        </w:tc>
        <w:tc>
          <w:tcPr>
            <w:tcW w:w="130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rPr>
              <w:t>$</w:t>
            </w:r>
          </w:p>
        </w:tc>
        <w:tc>
          <w:tcPr>
            <w:tcW w:w="1160" w:type="dxa"/>
            <w:vAlign w:val="bottom"/>
            <w:shd w:val="clear" w:color="auto" w:fill="CCEEFF"/>
          </w:tcPr>
          <w:p>
            <w:pPr>
              <w:jc w:val="right"/>
              <w:ind w:right="345"/>
              <w:spacing w:after="0"/>
              <w:rPr>
                <w:sz w:val="20"/>
                <w:szCs w:val="20"/>
                <w:color w:val="auto"/>
              </w:rPr>
            </w:pPr>
            <w:r>
              <w:rPr>
                <w:rFonts w:ascii="Arial" w:cs="Arial" w:eastAsia="Arial" w:hAnsi="Arial"/>
                <w:sz w:val="15"/>
                <w:szCs w:val="15"/>
                <w:color w:val="auto"/>
              </w:rPr>
              <w:t>—</w:t>
            </w:r>
          </w:p>
        </w:tc>
        <w:tc>
          <w:tcPr>
            <w:tcW w:w="1240" w:type="dxa"/>
            <w:vAlign w:val="bottom"/>
            <w:shd w:val="clear" w:color="auto" w:fill="CCEEFF"/>
          </w:tcPr>
          <w:p>
            <w:pPr>
              <w:jc w:val="right"/>
              <w:ind w:right="305"/>
              <w:spacing w:after="0"/>
              <w:rPr>
                <w:sz w:val="20"/>
                <w:szCs w:val="20"/>
                <w:color w:val="auto"/>
              </w:rPr>
            </w:pPr>
            <w:r>
              <w:rPr>
                <w:rFonts w:ascii="Arial" w:cs="Arial" w:eastAsia="Arial" w:hAnsi="Arial"/>
                <w:sz w:val="15"/>
                <w:szCs w:val="15"/>
                <w:color w:val="auto"/>
              </w:rPr>
              <w:t>2,651</w:t>
            </w:r>
          </w:p>
        </w:tc>
        <w:tc>
          <w:tcPr>
            <w:tcW w:w="10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(2,254)</w:t>
            </w:r>
          </w:p>
        </w:tc>
        <w:tc>
          <w:tcPr>
            <w:tcW w:w="42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rPr>
              <w:t>$</w:t>
            </w:r>
          </w:p>
        </w:tc>
        <w:tc>
          <w:tcPr>
            <w:tcW w:w="920" w:type="dxa"/>
            <w:vAlign w:val="bottom"/>
            <w:tcBorders>
              <w:right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rPr>
              <w:t>397</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w:t>
            </w:r>
          </w:p>
        </w:tc>
        <w:tc>
          <w:tcPr>
            <w:tcW w:w="0" w:type="dxa"/>
            <w:vAlign w:val="bottom"/>
          </w:tcPr>
          <w:p>
            <w:pPr>
              <w:spacing w:after="0"/>
              <w:rPr>
                <w:sz w:val="1"/>
                <w:szCs w:val="1"/>
                <w:color w:val="auto"/>
              </w:rPr>
            </w:pPr>
          </w:p>
        </w:tc>
      </w:tr>
      <w:tr>
        <w:trPr>
          <w:trHeight w:val="197"/>
        </w:trPr>
        <w:tc>
          <w:tcPr>
            <w:tcW w:w="37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U.S. Treasury futures contracts - short position</w:t>
            </w:r>
          </w:p>
        </w:tc>
        <w:tc>
          <w:tcPr>
            <w:tcW w:w="1300" w:type="dxa"/>
            <w:vAlign w:val="bottom"/>
            <w:tcBorders>
              <w:bottom w:val="single" w:sz="8" w:color="CCEEFF"/>
            </w:tcBorders>
          </w:tcPr>
          <w:p>
            <w:pPr>
              <w:jc w:val="right"/>
              <w:ind w:right="205"/>
              <w:spacing w:after="0"/>
              <w:rPr>
                <w:sz w:val="20"/>
                <w:szCs w:val="20"/>
                <w:color w:val="auto"/>
              </w:rPr>
            </w:pPr>
            <w:r>
              <w:rPr>
                <w:rFonts w:ascii="Arial" w:cs="Arial" w:eastAsia="Arial" w:hAnsi="Arial"/>
                <w:sz w:val="15"/>
                <w:szCs w:val="15"/>
                <w:color w:val="auto"/>
              </w:rPr>
              <w:t>$</w:t>
            </w:r>
          </w:p>
        </w:tc>
        <w:tc>
          <w:tcPr>
            <w:tcW w:w="1160" w:type="dxa"/>
            <w:vAlign w:val="bottom"/>
            <w:tcBorders>
              <w:bottom w:val="single" w:sz="8" w:color="CCEEFF"/>
            </w:tcBorders>
          </w:tcPr>
          <w:p>
            <w:pPr>
              <w:jc w:val="right"/>
              <w:ind w:right="305"/>
              <w:spacing w:after="0"/>
              <w:rPr>
                <w:sz w:val="20"/>
                <w:szCs w:val="20"/>
                <w:color w:val="auto"/>
              </w:rPr>
            </w:pPr>
            <w:r>
              <w:rPr>
                <w:rFonts w:ascii="Arial" w:cs="Arial" w:eastAsia="Arial" w:hAnsi="Arial"/>
                <w:sz w:val="15"/>
                <w:szCs w:val="15"/>
                <w:color w:val="auto"/>
              </w:rPr>
              <w:t>(1,000)</w:t>
            </w:r>
          </w:p>
        </w:tc>
        <w:tc>
          <w:tcPr>
            <w:tcW w:w="1240" w:type="dxa"/>
            <w:vAlign w:val="bottom"/>
            <w:tcBorders>
              <w:bottom w:val="single" w:sz="8" w:color="CCEEFF"/>
            </w:tcBorders>
          </w:tcPr>
          <w:p>
            <w:pPr>
              <w:jc w:val="right"/>
              <w:ind w:right="265"/>
              <w:spacing w:after="0"/>
              <w:rPr>
                <w:sz w:val="20"/>
                <w:szCs w:val="20"/>
                <w:color w:val="auto"/>
              </w:rPr>
            </w:pPr>
            <w:r>
              <w:rPr>
                <w:rFonts w:ascii="Arial" w:cs="Arial" w:eastAsia="Arial" w:hAnsi="Arial"/>
                <w:sz w:val="15"/>
                <w:szCs w:val="15"/>
                <w:color w:val="auto"/>
              </w:rPr>
              <w:t>(3,000)</w:t>
            </w:r>
          </w:p>
        </w:tc>
        <w:tc>
          <w:tcPr>
            <w:tcW w:w="1000" w:type="dxa"/>
            <w:vAlign w:val="bottom"/>
            <w:tcBorders>
              <w:bottom w:val="single" w:sz="8" w:color="CCEEFF"/>
            </w:tcBorders>
          </w:tcPr>
          <w:p>
            <w:pPr>
              <w:jc w:val="right"/>
              <w:ind w:right="45"/>
              <w:spacing w:after="0"/>
              <w:rPr>
                <w:sz w:val="20"/>
                <w:szCs w:val="20"/>
                <w:color w:val="auto"/>
              </w:rPr>
            </w:pPr>
            <w:r>
              <w:rPr>
                <w:rFonts w:ascii="Arial" w:cs="Arial" w:eastAsia="Arial" w:hAnsi="Arial"/>
                <w:sz w:val="15"/>
                <w:szCs w:val="15"/>
                <w:color w:val="auto"/>
              </w:rPr>
              <w:t>2,500</w:t>
            </w:r>
          </w:p>
        </w:tc>
        <w:tc>
          <w:tcPr>
            <w:tcW w:w="420" w:type="dxa"/>
            <w:vAlign w:val="bottom"/>
            <w:tcBorders>
              <w:bottom w:val="single" w:sz="8" w:color="CCEEFF"/>
            </w:tcBorders>
          </w:tcPr>
          <w:p>
            <w:pPr>
              <w:jc w:val="right"/>
              <w:ind w:right="205"/>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CCEEFF"/>
              <w:right w:val="single" w:sz="8" w:color="auto"/>
            </w:tcBorders>
          </w:tcPr>
          <w:p>
            <w:pPr>
              <w:jc w:val="right"/>
              <w:ind w:right="65"/>
              <w:spacing w:after="0"/>
              <w:rPr>
                <w:sz w:val="20"/>
                <w:szCs w:val="20"/>
                <w:color w:val="auto"/>
              </w:rPr>
            </w:pPr>
            <w:r>
              <w:rPr>
                <w:rFonts w:ascii="Arial" w:cs="Arial" w:eastAsia="Arial" w:hAnsi="Arial"/>
                <w:sz w:val="15"/>
                <w:szCs w:val="15"/>
                <w:color w:val="auto"/>
              </w:rPr>
              <w:t>(1,500)</w:t>
            </w:r>
          </w:p>
        </w:tc>
        <w:tc>
          <w:tcPr>
            <w:tcW w:w="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rPr>
              <w:t>32</w:t>
            </w:r>
          </w:p>
        </w:tc>
        <w:tc>
          <w:tcPr>
            <w:tcW w:w="0" w:type="dxa"/>
            <w:vAlign w:val="bottom"/>
          </w:tcPr>
          <w:p>
            <w:pPr>
              <w:spacing w:after="0"/>
              <w:rPr>
                <w:sz w:val="1"/>
                <w:szCs w:val="1"/>
                <w:color w:val="auto"/>
              </w:rPr>
            </w:pPr>
          </w:p>
        </w:tc>
      </w:tr>
      <w:tr>
        <w:trPr>
          <w:trHeight w:val="217"/>
        </w:trPr>
        <w:tc>
          <w:tcPr>
            <w:tcW w:w="376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305"/>
              <w:spacing w:after="0"/>
              <w:rPr>
                <w:sz w:val="20"/>
                <w:szCs w:val="20"/>
                <w:color w:val="auto"/>
              </w:rPr>
            </w:pPr>
            <w:r>
              <w:rPr>
                <w:rFonts w:ascii="Arial" w:cs="Arial" w:eastAsia="Arial" w:hAnsi="Arial"/>
                <w:sz w:val="15"/>
                <w:szCs w:val="15"/>
                <w:color w:val="auto"/>
                <w:w w:val="95"/>
              </w:rPr>
              <w:t>$</w:t>
            </w:r>
          </w:p>
        </w:tc>
        <w:tc>
          <w:tcPr>
            <w:tcW w:w="8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rPr>
              <w:t>763</w:t>
            </w: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5"/>
                <w:szCs w:val="15"/>
                <w:b w:val="1"/>
                <w:bCs w:val="1"/>
                <w:color w:val="auto"/>
              </w:rPr>
              <w:t>Six months ended June 30, 2020:</w:t>
            </w:r>
          </w:p>
        </w:tc>
        <w:tc>
          <w:tcPr>
            <w:tcW w:w="13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3760" w:type="dxa"/>
            <w:vAlign w:val="bottom"/>
            <w:vMerge w:val="continue"/>
          </w:tcPr>
          <w:p>
            <w:pPr>
              <w:spacing w:after="0"/>
              <w:rPr>
                <w:sz w:val="12"/>
                <w:szCs w:val="12"/>
                <w:color w:val="auto"/>
              </w:rPr>
            </w:pPr>
          </w:p>
        </w:tc>
        <w:tc>
          <w:tcPr>
            <w:tcW w:w="13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760" w:type="dxa"/>
            <w:vAlign w:val="bottom"/>
            <w:shd w:val="clear" w:color="auto" w:fill="CCEEFF"/>
          </w:tcPr>
          <w:p>
            <w:pPr>
              <w:ind w:left="20"/>
              <w:spacing w:after="0"/>
              <w:rPr>
                <w:sz w:val="20"/>
                <w:szCs w:val="20"/>
                <w:color w:val="auto"/>
              </w:rPr>
            </w:pPr>
            <w:r>
              <w:rPr>
                <w:rFonts w:ascii="Arial" w:cs="Arial" w:eastAsia="Arial" w:hAnsi="Arial"/>
                <w:sz w:val="15"/>
                <w:szCs w:val="15"/>
                <w:color w:val="auto"/>
              </w:rPr>
              <w:t>TBA securities, net</w:t>
            </w:r>
          </w:p>
        </w:tc>
        <w:tc>
          <w:tcPr>
            <w:tcW w:w="130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rPr>
              <w:t>$</w:t>
            </w:r>
          </w:p>
        </w:tc>
        <w:tc>
          <w:tcPr>
            <w:tcW w:w="1160" w:type="dxa"/>
            <w:vAlign w:val="bottom"/>
            <w:shd w:val="clear" w:color="auto" w:fill="CCEEFF"/>
          </w:tcPr>
          <w:p>
            <w:pPr>
              <w:jc w:val="right"/>
              <w:ind w:right="345"/>
              <w:spacing w:after="0"/>
              <w:rPr>
                <w:sz w:val="20"/>
                <w:szCs w:val="20"/>
                <w:color w:val="auto"/>
              </w:rPr>
            </w:pPr>
            <w:r>
              <w:rPr>
                <w:rFonts w:ascii="Arial" w:cs="Arial" w:eastAsia="Arial" w:hAnsi="Arial"/>
                <w:sz w:val="15"/>
                <w:szCs w:val="15"/>
                <w:color w:val="auto"/>
              </w:rPr>
              <w:t>7,322</w:t>
            </w:r>
          </w:p>
        </w:tc>
        <w:tc>
          <w:tcPr>
            <w:tcW w:w="1240" w:type="dxa"/>
            <w:vAlign w:val="bottom"/>
            <w:shd w:val="clear" w:color="auto" w:fill="CCEEFF"/>
          </w:tcPr>
          <w:p>
            <w:pPr>
              <w:jc w:val="right"/>
              <w:ind w:right="305"/>
              <w:spacing w:after="0"/>
              <w:rPr>
                <w:sz w:val="20"/>
                <w:szCs w:val="20"/>
                <w:color w:val="auto"/>
              </w:rPr>
            </w:pPr>
            <w:r>
              <w:rPr>
                <w:rFonts w:ascii="Arial" w:cs="Arial" w:eastAsia="Arial" w:hAnsi="Arial"/>
                <w:sz w:val="15"/>
                <w:szCs w:val="15"/>
                <w:color w:val="auto"/>
              </w:rPr>
              <w:t>112,936</w:t>
            </w:r>
          </w:p>
        </w:tc>
        <w:tc>
          <w:tcPr>
            <w:tcW w:w="10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(100,498)</w:t>
            </w:r>
          </w:p>
        </w:tc>
        <w:tc>
          <w:tcPr>
            <w:tcW w:w="42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rPr>
              <w:t>$</w:t>
            </w:r>
          </w:p>
        </w:tc>
        <w:tc>
          <w:tcPr>
            <w:tcW w:w="920" w:type="dxa"/>
            <w:vAlign w:val="bottom"/>
            <w:tcBorders>
              <w:right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rPr>
              <w:t>19,760</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305"/>
              <w:spacing w:after="0"/>
              <w:rPr>
                <w:sz w:val="20"/>
                <w:szCs w:val="20"/>
                <w:color w:val="auto"/>
              </w:rPr>
            </w:pPr>
            <w:r>
              <w:rPr>
                <w:rFonts w:ascii="Arial" w:cs="Arial" w:eastAsia="Arial" w:hAnsi="Arial"/>
                <w:sz w:val="15"/>
                <w:szCs w:val="15"/>
                <w:color w:val="auto"/>
                <w:w w:val="95"/>
              </w:rPr>
              <w:t>$</w:t>
            </w:r>
          </w:p>
        </w:tc>
        <w:tc>
          <w:tcPr>
            <w:tcW w:w="8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913</w:t>
            </w:r>
          </w:p>
        </w:tc>
        <w:tc>
          <w:tcPr>
            <w:tcW w:w="0" w:type="dxa"/>
            <w:vAlign w:val="bottom"/>
          </w:tcPr>
          <w:p>
            <w:pPr>
              <w:spacing w:after="0"/>
              <w:rPr>
                <w:sz w:val="1"/>
                <w:szCs w:val="1"/>
                <w:color w:val="auto"/>
              </w:rPr>
            </w:pPr>
          </w:p>
        </w:tc>
      </w:tr>
      <w:tr>
        <w:trPr>
          <w:trHeight w:val="197"/>
        </w:trPr>
        <w:tc>
          <w:tcPr>
            <w:tcW w:w="3760" w:type="dxa"/>
            <w:vAlign w:val="bottom"/>
          </w:tcPr>
          <w:p>
            <w:pPr>
              <w:ind w:left="20"/>
              <w:spacing w:after="0"/>
              <w:rPr>
                <w:sz w:val="20"/>
                <w:szCs w:val="20"/>
                <w:color w:val="auto"/>
              </w:rPr>
            </w:pPr>
            <w:r>
              <w:rPr>
                <w:rFonts w:ascii="Arial" w:cs="Arial" w:eastAsia="Arial" w:hAnsi="Arial"/>
                <w:sz w:val="15"/>
                <w:szCs w:val="15"/>
                <w:color w:val="auto"/>
              </w:rPr>
              <w:t>Interest rate swaps - payer</w:t>
            </w:r>
          </w:p>
        </w:tc>
        <w:tc>
          <w:tcPr>
            <w:tcW w:w="1300" w:type="dxa"/>
            <w:vAlign w:val="bottom"/>
          </w:tcPr>
          <w:p>
            <w:pPr>
              <w:jc w:val="right"/>
              <w:ind w:right="205"/>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345"/>
              <w:spacing w:after="0"/>
              <w:rPr>
                <w:sz w:val="20"/>
                <w:szCs w:val="20"/>
                <w:color w:val="auto"/>
              </w:rPr>
            </w:pPr>
            <w:r>
              <w:rPr>
                <w:rFonts w:ascii="Arial" w:cs="Arial" w:eastAsia="Arial" w:hAnsi="Arial"/>
                <w:sz w:val="15"/>
                <w:szCs w:val="15"/>
                <w:color w:val="auto"/>
              </w:rPr>
              <w:t>79,075</w:t>
            </w:r>
          </w:p>
        </w:tc>
        <w:tc>
          <w:tcPr>
            <w:tcW w:w="1240" w:type="dxa"/>
            <w:vAlign w:val="bottom"/>
          </w:tcPr>
          <w:p>
            <w:pPr>
              <w:jc w:val="right"/>
              <w:ind w:right="305"/>
              <w:spacing w:after="0"/>
              <w:rPr>
                <w:sz w:val="20"/>
                <w:szCs w:val="20"/>
                <w:color w:val="auto"/>
              </w:rPr>
            </w:pPr>
            <w:r>
              <w:rPr>
                <w:rFonts w:ascii="Arial" w:cs="Arial" w:eastAsia="Arial" w:hAnsi="Arial"/>
                <w:sz w:val="15"/>
                <w:szCs w:val="15"/>
                <w:color w:val="auto"/>
              </w:rPr>
              <w:t>75,725</w:t>
            </w:r>
          </w:p>
        </w:tc>
        <w:tc>
          <w:tcPr>
            <w:tcW w:w="1000" w:type="dxa"/>
            <w:vAlign w:val="bottom"/>
          </w:tcPr>
          <w:p>
            <w:pPr>
              <w:jc w:val="right"/>
              <w:ind w:right="5"/>
              <w:spacing w:after="0"/>
              <w:rPr>
                <w:sz w:val="20"/>
                <w:szCs w:val="20"/>
                <w:color w:val="auto"/>
              </w:rPr>
            </w:pPr>
            <w:r>
              <w:rPr>
                <w:rFonts w:ascii="Arial" w:cs="Arial" w:eastAsia="Arial" w:hAnsi="Arial"/>
                <w:sz w:val="15"/>
                <w:szCs w:val="15"/>
                <w:color w:val="auto"/>
              </w:rPr>
              <w:t>(112,725)</w:t>
            </w:r>
          </w:p>
        </w:tc>
        <w:tc>
          <w:tcPr>
            <w:tcW w:w="420" w:type="dxa"/>
            <w:vAlign w:val="bottom"/>
          </w:tcPr>
          <w:p>
            <w:pPr>
              <w:jc w:val="right"/>
              <w:ind w:right="205"/>
              <w:spacing w:after="0"/>
              <w:rPr>
                <w:sz w:val="20"/>
                <w:szCs w:val="20"/>
                <w:color w:val="auto"/>
              </w:rPr>
            </w:pPr>
            <w:r>
              <w:rPr>
                <w:rFonts w:ascii="Arial" w:cs="Arial" w:eastAsia="Arial" w:hAnsi="Arial"/>
                <w:sz w:val="15"/>
                <w:szCs w:val="15"/>
                <w:color w:val="auto"/>
              </w:rPr>
              <w:t>$</w:t>
            </w:r>
          </w:p>
        </w:tc>
        <w:tc>
          <w:tcPr>
            <w:tcW w:w="920" w:type="dxa"/>
            <w:vAlign w:val="bottom"/>
            <w:tcBorders>
              <w:right w:val="single" w:sz="8" w:color="auto"/>
            </w:tcBorders>
          </w:tcPr>
          <w:p>
            <w:pPr>
              <w:jc w:val="right"/>
              <w:ind w:right="105"/>
              <w:spacing w:after="0"/>
              <w:rPr>
                <w:sz w:val="20"/>
                <w:szCs w:val="20"/>
                <w:color w:val="auto"/>
              </w:rPr>
            </w:pPr>
            <w:r>
              <w:rPr>
                <w:rFonts w:ascii="Arial" w:cs="Arial" w:eastAsia="Arial" w:hAnsi="Arial"/>
                <w:sz w:val="15"/>
                <w:szCs w:val="15"/>
                <w:color w:val="auto"/>
              </w:rPr>
              <w:t>42,075</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(3,174)</w:t>
            </w:r>
          </w:p>
        </w:tc>
        <w:tc>
          <w:tcPr>
            <w:tcW w:w="0" w:type="dxa"/>
            <w:vAlign w:val="bottom"/>
          </w:tcPr>
          <w:p>
            <w:pPr>
              <w:spacing w:after="0"/>
              <w:rPr>
                <w:sz w:val="1"/>
                <w:szCs w:val="1"/>
                <w:color w:val="auto"/>
              </w:rPr>
            </w:pPr>
          </w:p>
        </w:tc>
      </w:tr>
      <w:tr>
        <w:trPr>
          <w:trHeight w:val="203"/>
        </w:trPr>
        <w:tc>
          <w:tcPr>
            <w:tcW w:w="3760" w:type="dxa"/>
            <w:vAlign w:val="bottom"/>
            <w:shd w:val="clear" w:color="auto" w:fill="CCEEFF"/>
          </w:tcPr>
          <w:p>
            <w:pPr>
              <w:ind w:left="20"/>
              <w:spacing w:after="0"/>
              <w:rPr>
                <w:sz w:val="20"/>
                <w:szCs w:val="20"/>
                <w:color w:val="auto"/>
              </w:rPr>
            </w:pPr>
            <w:r>
              <w:rPr>
                <w:rFonts w:ascii="Arial" w:cs="Arial" w:eastAsia="Arial" w:hAnsi="Arial"/>
                <w:sz w:val="15"/>
                <w:szCs w:val="15"/>
                <w:color w:val="auto"/>
              </w:rPr>
              <w:t>Payer swaptions</w:t>
            </w:r>
          </w:p>
        </w:tc>
        <w:tc>
          <w:tcPr>
            <w:tcW w:w="130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rPr>
              <w:t>$</w:t>
            </w:r>
          </w:p>
        </w:tc>
        <w:tc>
          <w:tcPr>
            <w:tcW w:w="1160" w:type="dxa"/>
            <w:vAlign w:val="bottom"/>
            <w:shd w:val="clear" w:color="auto" w:fill="CCEEFF"/>
          </w:tcPr>
          <w:p>
            <w:pPr>
              <w:jc w:val="right"/>
              <w:ind w:right="345"/>
              <w:spacing w:after="0"/>
              <w:rPr>
                <w:sz w:val="20"/>
                <w:szCs w:val="20"/>
                <w:color w:val="auto"/>
              </w:rPr>
            </w:pPr>
            <w:r>
              <w:rPr>
                <w:rFonts w:ascii="Arial" w:cs="Arial" w:eastAsia="Arial" w:hAnsi="Arial"/>
                <w:sz w:val="15"/>
                <w:szCs w:val="15"/>
                <w:color w:val="auto"/>
              </w:rPr>
              <w:t>8,850</w:t>
            </w:r>
          </w:p>
        </w:tc>
        <w:tc>
          <w:tcPr>
            <w:tcW w:w="1240" w:type="dxa"/>
            <w:vAlign w:val="bottom"/>
            <w:shd w:val="clear" w:color="auto" w:fill="CCEEFF"/>
          </w:tcPr>
          <w:p>
            <w:pPr>
              <w:jc w:val="right"/>
              <w:ind w:right="305"/>
              <w:spacing w:after="0"/>
              <w:rPr>
                <w:sz w:val="20"/>
                <w:szCs w:val="20"/>
                <w:color w:val="auto"/>
              </w:rPr>
            </w:pPr>
            <w:r>
              <w:rPr>
                <w:rFonts w:ascii="Arial" w:cs="Arial" w:eastAsia="Arial" w:hAnsi="Arial"/>
                <w:sz w:val="15"/>
                <w:szCs w:val="15"/>
                <w:color w:val="auto"/>
              </w:rPr>
              <w:t>2,000</w:t>
            </w:r>
          </w:p>
        </w:tc>
        <w:tc>
          <w:tcPr>
            <w:tcW w:w="10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(1,500)</w:t>
            </w:r>
          </w:p>
        </w:tc>
        <w:tc>
          <w:tcPr>
            <w:tcW w:w="42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rPr>
              <w:t>$</w:t>
            </w:r>
          </w:p>
        </w:tc>
        <w:tc>
          <w:tcPr>
            <w:tcW w:w="920" w:type="dxa"/>
            <w:vAlign w:val="bottom"/>
            <w:tcBorders>
              <w:right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rPr>
              <w:t>9,350</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(148)</w:t>
            </w:r>
          </w:p>
        </w:tc>
        <w:tc>
          <w:tcPr>
            <w:tcW w:w="0" w:type="dxa"/>
            <w:vAlign w:val="bottom"/>
          </w:tcPr>
          <w:p>
            <w:pPr>
              <w:spacing w:after="0"/>
              <w:rPr>
                <w:sz w:val="1"/>
                <w:szCs w:val="1"/>
                <w:color w:val="auto"/>
              </w:rPr>
            </w:pPr>
          </w:p>
        </w:tc>
      </w:tr>
      <w:tr>
        <w:trPr>
          <w:trHeight w:val="197"/>
        </w:trPr>
        <w:tc>
          <w:tcPr>
            <w:tcW w:w="3760" w:type="dxa"/>
            <w:vAlign w:val="bottom"/>
          </w:tcPr>
          <w:p>
            <w:pPr>
              <w:ind w:left="20"/>
              <w:spacing w:after="0"/>
              <w:rPr>
                <w:sz w:val="20"/>
                <w:szCs w:val="20"/>
                <w:color w:val="auto"/>
              </w:rPr>
            </w:pPr>
            <w:r>
              <w:rPr>
                <w:rFonts w:ascii="Arial" w:cs="Arial" w:eastAsia="Arial" w:hAnsi="Arial"/>
                <w:sz w:val="15"/>
                <w:szCs w:val="15"/>
                <w:color w:val="auto"/>
              </w:rPr>
              <w:t>U.S. Treasury securities - short position</w:t>
            </w:r>
          </w:p>
        </w:tc>
        <w:tc>
          <w:tcPr>
            <w:tcW w:w="1300" w:type="dxa"/>
            <w:vAlign w:val="bottom"/>
          </w:tcPr>
          <w:p>
            <w:pPr>
              <w:jc w:val="right"/>
              <w:ind w:right="205"/>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305"/>
              <w:spacing w:after="0"/>
              <w:rPr>
                <w:sz w:val="20"/>
                <w:szCs w:val="20"/>
                <w:color w:val="auto"/>
              </w:rPr>
            </w:pPr>
            <w:r>
              <w:rPr>
                <w:rFonts w:ascii="Arial" w:cs="Arial" w:eastAsia="Arial" w:hAnsi="Arial"/>
                <w:sz w:val="15"/>
                <w:szCs w:val="15"/>
                <w:color w:val="auto"/>
              </w:rPr>
              <w:t>(9,224)</w:t>
            </w:r>
          </w:p>
        </w:tc>
        <w:tc>
          <w:tcPr>
            <w:tcW w:w="1240" w:type="dxa"/>
            <w:vAlign w:val="bottom"/>
          </w:tcPr>
          <w:p>
            <w:pPr>
              <w:jc w:val="right"/>
              <w:ind w:right="265"/>
              <w:spacing w:after="0"/>
              <w:rPr>
                <w:sz w:val="20"/>
                <w:szCs w:val="20"/>
                <w:color w:val="auto"/>
              </w:rPr>
            </w:pPr>
            <w:r>
              <w:rPr>
                <w:rFonts w:ascii="Arial" w:cs="Arial" w:eastAsia="Arial" w:hAnsi="Arial"/>
                <w:sz w:val="15"/>
                <w:szCs w:val="15"/>
                <w:color w:val="auto"/>
              </w:rPr>
              <w:t>(10,232)</w:t>
            </w:r>
          </w:p>
        </w:tc>
        <w:tc>
          <w:tcPr>
            <w:tcW w:w="1000" w:type="dxa"/>
            <w:vAlign w:val="bottom"/>
          </w:tcPr>
          <w:p>
            <w:pPr>
              <w:jc w:val="right"/>
              <w:ind w:right="45"/>
              <w:spacing w:after="0"/>
              <w:rPr>
                <w:sz w:val="20"/>
                <w:szCs w:val="20"/>
                <w:color w:val="auto"/>
              </w:rPr>
            </w:pPr>
            <w:r>
              <w:rPr>
                <w:rFonts w:ascii="Arial" w:cs="Arial" w:eastAsia="Arial" w:hAnsi="Arial"/>
                <w:sz w:val="15"/>
                <w:szCs w:val="15"/>
                <w:color w:val="auto"/>
              </w:rPr>
              <w:t>12,209</w:t>
            </w:r>
          </w:p>
        </w:tc>
        <w:tc>
          <w:tcPr>
            <w:tcW w:w="420" w:type="dxa"/>
            <w:vAlign w:val="bottom"/>
          </w:tcPr>
          <w:p>
            <w:pPr>
              <w:jc w:val="right"/>
              <w:ind w:right="205"/>
              <w:spacing w:after="0"/>
              <w:rPr>
                <w:sz w:val="20"/>
                <w:szCs w:val="20"/>
                <w:color w:val="auto"/>
              </w:rPr>
            </w:pPr>
            <w:r>
              <w:rPr>
                <w:rFonts w:ascii="Arial" w:cs="Arial" w:eastAsia="Arial" w:hAnsi="Arial"/>
                <w:sz w:val="15"/>
                <w:szCs w:val="15"/>
                <w:color w:val="auto"/>
              </w:rPr>
              <w:t>$</w:t>
            </w:r>
          </w:p>
        </w:tc>
        <w:tc>
          <w:tcPr>
            <w:tcW w:w="920" w:type="dxa"/>
            <w:vAlign w:val="bottom"/>
            <w:tcBorders>
              <w:right w:val="single" w:sz="8" w:color="auto"/>
            </w:tcBorders>
          </w:tcPr>
          <w:p>
            <w:pPr>
              <w:jc w:val="right"/>
              <w:ind w:right="65"/>
              <w:spacing w:after="0"/>
              <w:rPr>
                <w:sz w:val="20"/>
                <w:szCs w:val="20"/>
                <w:color w:val="auto"/>
              </w:rPr>
            </w:pPr>
            <w:r>
              <w:rPr>
                <w:rFonts w:ascii="Arial" w:cs="Arial" w:eastAsia="Arial" w:hAnsi="Arial"/>
                <w:sz w:val="15"/>
                <w:szCs w:val="15"/>
                <w:color w:val="auto"/>
              </w:rPr>
              <w:t>(7,247)</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(997)</w:t>
            </w:r>
          </w:p>
        </w:tc>
        <w:tc>
          <w:tcPr>
            <w:tcW w:w="0" w:type="dxa"/>
            <w:vAlign w:val="bottom"/>
          </w:tcPr>
          <w:p>
            <w:pPr>
              <w:spacing w:after="0"/>
              <w:rPr>
                <w:sz w:val="1"/>
                <w:szCs w:val="1"/>
                <w:color w:val="auto"/>
              </w:rPr>
            </w:pPr>
          </w:p>
        </w:tc>
      </w:tr>
      <w:tr>
        <w:trPr>
          <w:trHeight w:val="203"/>
        </w:trPr>
        <w:tc>
          <w:tcPr>
            <w:tcW w:w="3760" w:type="dxa"/>
            <w:vAlign w:val="bottom"/>
            <w:shd w:val="clear" w:color="auto" w:fill="CCEEFF"/>
          </w:tcPr>
          <w:p>
            <w:pPr>
              <w:ind w:left="20"/>
              <w:spacing w:after="0"/>
              <w:rPr>
                <w:sz w:val="20"/>
                <w:szCs w:val="20"/>
                <w:color w:val="auto"/>
              </w:rPr>
            </w:pPr>
            <w:r>
              <w:rPr>
                <w:rFonts w:ascii="Arial" w:cs="Arial" w:eastAsia="Arial" w:hAnsi="Arial"/>
                <w:sz w:val="15"/>
                <w:szCs w:val="15"/>
                <w:color w:val="auto"/>
              </w:rPr>
              <w:t>U.S. Treasury securities - long position</w:t>
            </w:r>
          </w:p>
        </w:tc>
        <w:tc>
          <w:tcPr>
            <w:tcW w:w="130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rPr>
              <w:t>$</w:t>
            </w:r>
          </w:p>
        </w:tc>
        <w:tc>
          <w:tcPr>
            <w:tcW w:w="1160" w:type="dxa"/>
            <w:vAlign w:val="bottom"/>
            <w:shd w:val="clear" w:color="auto" w:fill="CCEEFF"/>
          </w:tcPr>
          <w:p>
            <w:pPr>
              <w:jc w:val="right"/>
              <w:ind w:right="345"/>
              <w:spacing w:after="0"/>
              <w:rPr>
                <w:sz w:val="20"/>
                <w:szCs w:val="20"/>
                <w:color w:val="auto"/>
              </w:rPr>
            </w:pPr>
            <w:r>
              <w:rPr>
                <w:rFonts w:ascii="Arial" w:cs="Arial" w:eastAsia="Arial" w:hAnsi="Arial"/>
                <w:sz w:val="15"/>
                <w:szCs w:val="15"/>
                <w:color w:val="auto"/>
              </w:rPr>
              <w:t>95</w:t>
            </w:r>
          </w:p>
        </w:tc>
        <w:tc>
          <w:tcPr>
            <w:tcW w:w="1240" w:type="dxa"/>
            <w:vAlign w:val="bottom"/>
            <w:shd w:val="clear" w:color="auto" w:fill="CCEEFF"/>
          </w:tcPr>
          <w:p>
            <w:pPr>
              <w:jc w:val="right"/>
              <w:ind w:right="305"/>
              <w:spacing w:after="0"/>
              <w:rPr>
                <w:sz w:val="20"/>
                <w:szCs w:val="20"/>
                <w:color w:val="auto"/>
              </w:rPr>
            </w:pPr>
            <w:r>
              <w:rPr>
                <w:rFonts w:ascii="Arial" w:cs="Arial" w:eastAsia="Arial" w:hAnsi="Arial"/>
                <w:sz w:val="15"/>
                <w:szCs w:val="15"/>
                <w:color w:val="auto"/>
              </w:rPr>
              <w:t>7,011</w:t>
            </w:r>
          </w:p>
        </w:tc>
        <w:tc>
          <w:tcPr>
            <w:tcW w:w="100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(5,974)</w:t>
            </w:r>
          </w:p>
        </w:tc>
        <w:tc>
          <w:tcPr>
            <w:tcW w:w="42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rPr>
              <w:t>$</w:t>
            </w:r>
          </w:p>
        </w:tc>
        <w:tc>
          <w:tcPr>
            <w:tcW w:w="920" w:type="dxa"/>
            <w:vAlign w:val="bottom"/>
            <w:tcBorders>
              <w:right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rPr>
              <w:t>1,132</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101</w:t>
            </w:r>
          </w:p>
        </w:tc>
        <w:tc>
          <w:tcPr>
            <w:tcW w:w="0" w:type="dxa"/>
            <w:vAlign w:val="bottom"/>
          </w:tcPr>
          <w:p>
            <w:pPr>
              <w:spacing w:after="0"/>
              <w:rPr>
                <w:sz w:val="1"/>
                <w:szCs w:val="1"/>
                <w:color w:val="auto"/>
              </w:rPr>
            </w:pPr>
          </w:p>
        </w:tc>
      </w:tr>
      <w:tr>
        <w:trPr>
          <w:trHeight w:val="197"/>
        </w:trPr>
        <w:tc>
          <w:tcPr>
            <w:tcW w:w="37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U.S. Treasury futures contracts - short position</w:t>
            </w:r>
          </w:p>
        </w:tc>
        <w:tc>
          <w:tcPr>
            <w:tcW w:w="1300" w:type="dxa"/>
            <w:vAlign w:val="bottom"/>
            <w:tcBorders>
              <w:bottom w:val="single" w:sz="8" w:color="CCEEFF"/>
            </w:tcBorders>
          </w:tcPr>
          <w:p>
            <w:pPr>
              <w:jc w:val="right"/>
              <w:ind w:right="205"/>
              <w:spacing w:after="0"/>
              <w:rPr>
                <w:sz w:val="20"/>
                <w:szCs w:val="20"/>
                <w:color w:val="auto"/>
              </w:rPr>
            </w:pPr>
            <w:r>
              <w:rPr>
                <w:rFonts w:ascii="Arial" w:cs="Arial" w:eastAsia="Arial" w:hAnsi="Arial"/>
                <w:sz w:val="15"/>
                <w:szCs w:val="15"/>
                <w:color w:val="auto"/>
              </w:rPr>
              <w:t>$</w:t>
            </w:r>
          </w:p>
        </w:tc>
        <w:tc>
          <w:tcPr>
            <w:tcW w:w="1160" w:type="dxa"/>
            <w:vAlign w:val="bottom"/>
            <w:tcBorders>
              <w:bottom w:val="single" w:sz="8" w:color="CCEEFF"/>
            </w:tcBorders>
          </w:tcPr>
          <w:p>
            <w:pPr>
              <w:jc w:val="right"/>
              <w:ind w:right="305"/>
              <w:spacing w:after="0"/>
              <w:rPr>
                <w:sz w:val="20"/>
                <w:szCs w:val="20"/>
                <w:color w:val="auto"/>
              </w:rPr>
            </w:pPr>
            <w:r>
              <w:rPr>
                <w:rFonts w:ascii="Arial" w:cs="Arial" w:eastAsia="Arial" w:hAnsi="Arial"/>
                <w:sz w:val="15"/>
                <w:szCs w:val="15"/>
                <w:color w:val="auto"/>
              </w:rPr>
              <w:t>(1,000)</w:t>
            </w:r>
          </w:p>
        </w:tc>
        <w:tc>
          <w:tcPr>
            <w:tcW w:w="1240" w:type="dxa"/>
            <w:vAlign w:val="bottom"/>
            <w:tcBorders>
              <w:bottom w:val="single" w:sz="8" w:color="CCEEFF"/>
            </w:tcBorders>
          </w:tcPr>
          <w:p>
            <w:pPr>
              <w:jc w:val="right"/>
              <w:ind w:right="265"/>
              <w:spacing w:after="0"/>
              <w:rPr>
                <w:sz w:val="20"/>
                <w:szCs w:val="20"/>
                <w:color w:val="auto"/>
              </w:rPr>
            </w:pPr>
            <w:r>
              <w:rPr>
                <w:rFonts w:ascii="Arial" w:cs="Arial" w:eastAsia="Arial" w:hAnsi="Arial"/>
                <w:sz w:val="15"/>
                <w:szCs w:val="15"/>
                <w:color w:val="auto"/>
              </w:rPr>
              <w:t>(2,000)</w:t>
            </w:r>
          </w:p>
        </w:tc>
        <w:tc>
          <w:tcPr>
            <w:tcW w:w="1000" w:type="dxa"/>
            <w:vAlign w:val="bottom"/>
            <w:tcBorders>
              <w:bottom w:val="single" w:sz="8" w:color="CCEEFF"/>
            </w:tcBorders>
          </w:tcPr>
          <w:p>
            <w:pPr>
              <w:jc w:val="right"/>
              <w:ind w:right="45"/>
              <w:spacing w:after="0"/>
              <w:rPr>
                <w:sz w:val="20"/>
                <w:szCs w:val="20"/>
                <w:color w:val="auto"/>
              </w:rPr>
            </w:pPr>
            <w:r>
              <w:rPr>
                <w:rFonts w:ascii="Arial" w:cs="Arial" w:eastAsia="Arial" w:hAnsi="Arial"/>
                <w:sz w:val="15"/>
                <w:szCs w:val="15"/>
                <w:color w:val="auto"/>
              </w:rPr>
              <w:t>2,000</w:t>
            </w:r>
          </w:p>
        </w:tc>
        <w:tc>
          <w:tcPr>
            <w:tcW w:w="420" w:type="dxa"/>
            <w:vAlign w:val="bottom"/>
            <w:tcBorders>
              <w:bottom w:val="single" w:sz="8" w:color="CCEEFF"/>
            </w:tcBorders>
          </w:tcPr>
          <w:p>
            <w:pPr>
              <w:jc w:val="right"/>
              <w:ind w:right="205"/>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CCEEFF"/>
              <w:right w:val="single" w:sz="8" w:color="auto"/>
            </w:tcBorders>
          </w:tcPr>
          <w:p>
            <w:pPr>
              <w:jc w:val="right"/>
              <w:ind w:right="65"/>
              <w:spacing w:after="0"/>
              <w:rPr>
                <w:sz w:val="20"/>
                <w:szCs w:val="20"/>
                <w:color w:val="auto"/>
              </w:rPr>
            </w:pPr>
            <w:r>
              <w:rPr>
                <w:rFonts w:ascii="Arial" w:cs="Arial" w:eastAsia="Arial" w:hAnsi="Arial"/>
                <w:sz w:val="15"/>
                <w:szCs w:val="15"/>
                <w:color w:val="auto"/>
              </w:rPr>
              <w:t>(1,000)</w:t>
            </w:r>
          </w:p>
        </w:tc>
        <w:tc>
          <w:tcPr>
            <w:tcW w:w="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(112)</w:t>
            </w:r>
          </w:p>
        </w:tc>
        <w:tc>
          <w:tcPr>
            <w:tcW w:w="0" w:type="dxa"/>
            <w:vAlign w:val="bottom"/>
          </w:tcPr>
          <w:p>
            <w:pPr>
              <w:spacing w:after="0"/>
              <w:rPr>
                <w:sz w:val="1"/>
                <w:szCs w:val="1"/>
                <w:color w:val="auto"/>
              </w:rPr>
            </w:pPr>
          </w:p>
        </w:tc>
      </w:tr>
      <w:tr>
        <w:trPr>
          <w:trHeight w:val="217"/>
        </w:trPr>
        <w:tc>
          <w:tcPr>
            <w:tcW w:w="376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right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305"/>
              <w:spacing w:after="0"/>
              <w:rPr>
                <w:sz w:val="20"/>
                <w:szCs w:val="20"/>
                <w:color w:val="auto"/>
              </w:rPr>
            </w:pPr>
            <w:r>
              <w:rPr>
                <w:rFonts w:ascii="Arial" w:cs="Arial" w:eastAsia="Arial" w:hAnsi="Arial"/>
                <w:sz w:val="15"/>
                <w:szCs w:val="15"/>
                <w:color w:val="auto"/>
                <w:w w:val="9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(3,417)</w:t>
            </w: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w:t>
      </w:r>
    </w:p>
    <w:p>
      <w:pPr>
        <w:spacing w:after="0" w:line="1" w:lineRule="exact"/>
        <w:rPr>
          <w:sz w:val="20"/>
          <w:szCs w:val="20"/>
          <w:color w:val="auto"/>
        </w:rPr>
      </w:pPr>
    </w:p>
    <w:p>
      <w:pPr>
        <w:ind w:left="600" w:hanging="300"/>
        <w:spacing w:after="0" w:line="255" w:lineRule="auto"/>
        <w:tabs>
          <w:tab w:leader="none" w:pos="6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Amounts exclude other miscellaneous gains and losses recognized in gain (loss) on derivative instruments and other securities, net in our consolidated statements of comprehensive income. Amounts for the three and six months ended June 30, 2020 exclude $146 million of losses on debt extinguishment (see Note 4).</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6. Pledged Assets</w:t>
      </w:r>
    </w:p>
    <w:p>
      <w:pPr>
        <w:spacing w:after="0" w:line="158" w:lineRule="exact"/>
        <w:rPr>
          <w:sz w:val="20"/>
          <w:szCs w:val="20"/>
          <w:color w:val="auto"/>
        </w:rPr>
      </w:pPr>
    </w:p>
    <w:p>
      <w:pPr>
        <w:jc w:val="both"/>
        <w:ind w:firstLine="375"/>
        <w:spacing w:after="0" w:line="286" w:lineRule="auto"/>
        <w:rPr>
          <w:sz w:val="20"/>
          <w:szCs w:val="20"/>
          <w:color w:val="auto"/>
        </w:rPr>
      </w:pPr>
      <w:r>
        <w:rPr>
          <w:rFonts w:ascii="Arial" w:cs="Arial" w:eastAsia="Arial" w:hAnsi="Arial"/>
          <w:sz w:val="15"/>
          <w:szCs w:val="15"/>
          <w:color w:val="auto"/>
        </w:rPr>
        <w:t>Our funding agreements require us to fully collateralize our obligations under the agreements based upon our counterparties' collateral requirements and their determination of the fair value of the securities pledged as collateral, which fluctuates with changes in interest rates, credit quality and liquidity conditions within the investment banking, mortgage finance and real estate industries. Our derivative contracts similarly require us to fully collateralize our obligations under such agreements, which will vary over time based on similar factors as well as our counterparties' determination of the value of the derivative contract. We are typically required to post initial margin upon execution of derivative transactions, such as under our interest rate swap agreements and TBA contracts, and subsequently post or receive variation margin based on daily fluctuations in fair value. Our brokerage and custody agreements and the clearing organizations utilized by our wholly-owned captive broker-dealer subsidiary, Bethesda Securities, LLC, also require that we post minimum daily clearing deposits. If we breach our collateral requirements, we will be required to fully settle our obligations under the agreements, which could include a forced liquidation of our pledged collateral.</w:t>
      </w:r>
    </w:p>
    <w:p>
      <w:pPr>
        <w:spacing w:after="0" w:line="105" w:lineRule="exact"/>
        <w:rPr>
          <w:sz w:val="20"/>
          <w:szCs w:val="20"/>
          <w:color w:val="auto"/>
        </w:rPr>
      </w:pPr>
    </w:p>
    <w:p>
      <w:pPr>
        <w:jc w:val="both"/>
        <w:ind w:firstLine="375"/>
        <w:spacing w:after="0" w:line="284" w:lineRule="auto"/>
        <w:rPr>
          <w:sz w:val="20"/>
          <w:szCs w:val="20"/>
          <w:color w:val="auto"/>
        </w:rPr>
      </w:pPr>
      <w:r>
        <w:rPr>
          <w:rFonts w:ascii="Arial" w:cs="Arial" w:eastAsia="Arial" w:hAnsi="Arial"/>
          <w:sz w:val="15"/>
          <w:szCs w:val="15"/>
          <w:color w:val="auto"/>
        </w:rPr>
        <w:t>Our counterparties also apply a "haircut" to our pledged collateral, which means our collateral is valued at slightly less than market value and limits the amount we can borrow against our securities. This haircut reflects the underlying risk of the specific collateral and protects our counterparty against a change in its value. Our agreements do not specify the haircut; rather, haircuts are determined on an individual transaction basis. Consequently, our funding agreements and derivative contracts expose us to credit risk relating to potential losses that could be recognized if our counterparties fail to perform their obligations under such agreements. We minimize this risk by limiting our counterparties to major financial institutions with acceptable credit ratings or to registered clearinghouses and U.S. government agencies, and we monitor our positions with individual counterparties. In the event of a default by a counterparty, we may have difficulty obtaining our assets pledged as collateral to such counterparty and may not receive payments as and when due to us under the terms of our derivative agreements. In the case of centrally cleared instruments, we could be exposed to credit risk if the central clearing agency or a clearing member defaults on its respective obligation to perform under the contract. However, we believe that the risk is minimal due to the clearing exchanges' initial and daily mark-to-market margin requirements, clearinghouse guarantee funds and other resources that are available in the event of a clearing member default.</w:t>
      </w:r>
    </w:p>
    <w:p>
      <w:pPr>
        <w:spacing w:after="0" w:line="109" w:lineRule="exact"/>
        <w:rPr>
          <w:sz w:val="20"/>
          <w:szCs w:val="20"/>
          <w:color w:val="auto"/>
        </w:rPr>
      </w:pPr>
    </w:p>
    <w:p>
      <w:pPr>
        <w:jc w:val="both"/>
        <w:ind w:firstLine="375"/>
        <w:spacing w:after="0" w:line="306" w:lineRule="auto"/>
        <w:rPr>
          <w:sz w:val="20"/>
          <w:szCs w:val="20"/>
          <w:color w:val="auto"/>
        </w:rPr>
      </w:pPr>
      <w:r>
        <w:rPr>
          <w:rFonts w:ascii="Arial" w:cs="Arial" w:eastAsia="Arial" w:hAnsi="Arial"/>
          <w:sz w:val="15"/>
          <w:szCs w:val="15"/>
          <w:color w:val="auto"/>
        </w:rPr>
        <w:t>As of June 30, 2021, our maximum amount at risk with any counterparty related to our repurchase agreements, excluding the Fixed Income Clearing Corporation, was less than 2% of our tangible stockholders' equity (or the excess/shortfall of the value of collateral pledged/received over our repurchase agreement liabilities/reverse repurchase agreement receivables). As of June 30, 2021, approximately 8% of our tangible stockholder's equity was at risk with the Fixed Income Clearing Corporation.</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9" w:name="page20"/>
    <w:bookmarkEnd w:id="19"/>
    <w:p>
      <w:pPr>
        <w:spacing w:after="0"/>
        <w:rPr>
          <w:sz w:val="20"/>
          <w:szCs w:val="20"/>
          <w:color w:val="auto"/>
        </w:rPr>
      </w:pPr>
      <w:r>
        <w:rPr>
          <w:rFonts w:ascii="Arial" w:cs="Arial" w:eastAsia="Arial" w:hAnsi="Arial"/>
          <w:sz w:val="17"/>
          <w:szCs w:val="17"/>
          <w:b w:val="1"/>
          <w:bCs w:val="1"/>
          <w:i w:val="1"/>
          <w:iCs w:val="1"/>
          <w:color w:val="auto"/>
        </w:rPr>
        <w:t>Assets Pledged to Counterparties</w:t>
      </w:r>
    </w:p>
    <w:p>
      <w:pPr>
        <w:spacing w:after="0" w:line="154" w:lineRule="exact"/>
        <w:rPr>
          <w:sz w:val="20"/>
          <w:szCs w:val="20"/>
          <w:color w:val="auto"/>
        </w:rPr>
      </w:pPr>
    </w:p>
    <w:p>
      <w:pPr>
        <w:ind w:firstLine="412"/>
        <w:spacing w:after="0" w:line="263" w:lineRule="auto"/>
        <w:rPr>
          <w:sz w:val="20"/>
          <w:szCs w:val="20"/>
          <w:color w:val="auto"/>
        </w:rPr>
      </w:pPr>
      <w:r>
        <w:rPr>
          <w:rFonts w:ascii="Arial" w:cs="Arial" w:eastAsia="Arial" w:hAnsi="Arial"/>
          <w:sz w:val="17"/>
          <w:szCs w:val="17"/>
          <w:color w:val="auto"/>
        </w:rPr>
        <w:t>The following tables summarize our assets pledged as collateral under our funding, derivative and brokerage and clearing agreements by type, including securities pledged related to securities sold but not yet settled, as of June 30, 2021 and December 31, 2020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4"/>
          </w:tcPr>
          <w:p>
            <w:pPr>
              <w:spacing w:after="0"/>
              <w:rPr>
                <w:sz w:val="20"/>
                <w:szCs w:val="20"/>
                <w:color w:val="auto"/>
              </w:rPr>
            </w:pPr>
            <w:r>
              <w:rPr>
                <w:rFonts w:ascii="Arial" w:cs="Arial" w:eastAsia="Arial" w:hAnsi="Arial"/>
                <w:sz w:val="13"/>
                <w:szCs w:val="13"/>
                <w:b w:val="1"/>
                <w:bCs w:val="1"/>
                <w:color w:val="auto"/>
              </w:rPr>
              <w:t>June 30, 2021</w:t>
            </w: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2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w w:val="91"/>
              </w:rPr>
              <w:t>Debt of Consolidated</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auto"/>
                <w:w w:val="96"/>
              </w:rPr>
              <w:t>Derivative</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2"/>
          </w:tcPr>
          <w:p>
            <w:pPr>
              <w:jc w:val="center"/>
              <w:ind w:right="120"/>
              <w:spacing w:after="0" w:line="123" w:lineRule="exact"/>
              <w:rPr>
                <w:sz w:val="20"/>
                <w:szCs w:val="20"/>
                <w:color w:val="auto"/>
              </w:rPr>
            </w:pPr>
            <w:r>
              <w:rPr>
                <w:rFonts w:ascii="Arial" w:cs="Arial" w:eastAsia="Arial" w:hAnsi="Arial"/>
                <w:sz w:val="13"/>
                <w:szCs w:val="13"/>
                <w:b w:val="1"/>
                <w:bCs w:val="1"/>
                <w:color w:val="auto"/>
                <w:w w:val="94"/>
              </w:rPr>
              <w:t>Brokerage and</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28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 xml:space="preserve">Assets Pledged to Counterparties </w:t>
            </w:r>
            <w:r>
              <w:rPr>
                <w:rFonts w:ascii="Arial" w:cs="Arial" w:eastAsia="Arial" w:hAnsi="Arial"/>
                <w:sz w:val="17"/>
                <w:szCs w:val="17"/>
                <w:b w:val="1"/>
                <w:bCs w:val="1"/>
                <w:color w:val="auto"/>
                <w:vertAlign w:val="superscript"/>
              </w:rPr>
              <w:t>1</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2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w w:val="89"/>
              </w:rPr>
              <w:t xml:space="preserve">Repurchase Agreements </w:t>
            </w:r>
            <w:r>
              <w:rPr>
                <w:rFonts w:ascii="Arial" w:cs="Arial" w:eastAsia="Arial" w:hAnsi="Arial"/>
                <w:sz w:val="17"/>
                <w:szCs w:val="17"/>
                <w:b w:val="1"/>
                <w:bCs w:val="1"/>
                <w:color w:val="auto"/>
                <w:w w:val="89"/>
                <w:vertAlign w:val="superscript"/>
              </w:rPr>
              <w:t>2</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2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2"/>
          </w:tcPr>
          <w:p>
            <w:pPr>
              <w:jc w:val="center"/>
              <w:ind w:right="120"/>
              <w:spacing w:after="0" w:line="125" w:lineRule="exact"/>
              <w:rPr>
                <w:sz w:val="20"/>
                <w:szCs w:val="20"/>
                <w:color w:val="auto"/>
              </w:rPr>
            </w:pPr>
            <w:r>
              <w:rPr>
                <w:rFonts w:ascii="Arial" w:cs="Arial" w:eastAsia="Arial" w:hAnsi="Arial"/>
                <w:sz w:val="13"/>
                <w:szCs w:val="13"/>
                <w:b w:val="1"/>
                <w:bCs w:val="1"/>
                <w:color w:val="auto"/>
                <w:w w:val="96"/>
              </w:rPr>
              <w:t>Clearing</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gridSpan w:val="2"/>
            <w:vMerge w:val="restart"/>
          </w:tcPr>
          <w:p>
            <w:pPr>
              <w:ind w:left="20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280" w:type="dxa"/>
            <w:vAlign w:val="bottom"/>
            <w:tcBorders>
              <w:bottom w:val="single" w:sz="8" w:color="auto"/>
            </w:tcBorders>
            <w:gridSpan w:val="2"/>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520" w:type="dxa"/>
            <w:vAlign w:val="bottom"/>
            <w:tcBorders>
              <w:bottom w:val="single" w:sz="8" w:color="auto"/>
            </w:tcBorders>
            <w:gridSpan w:val="3"/>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3"/>
                <w:szCs w:val="13"/>
                <w:b w:val="1"/>
                <w:bCs w:val="1"/>
                <w:color w:val="auto"/>
                <w:w w:val="99"/>
              </w:rPr>
              <w:t>VIEs</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3"/>
                <w:szCs w:val="13"/>
                <w:b w:val="1"/>
                <w:bCs w:val="1"/>
                <w:color w:val="auto"/>
                <w:w w:val="90"/>
              </w:rPr>
              <w:t>Agreements</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center"/>
              <w:ind w:right="120"/>
              <w:spacing w:after="0" w:line="175" w:lineRule="exact"/>
              <w:rPr>
                <w:sz w:val="20"/>
                <w:szCs w:val="20"/>
                <w:color w:val="auto"/>
              </w:rPr>
            </w:pPr>
            <w:r>
              <w:rPr>
                <w:rFonts w:ascii="Arial" w:cs="Arial" w:eastAsia="Arial" w:hAnsi="Arial"/>
                <w:sz w:val="13"/>
                <w:szCs w:val="13"/>
                <w:b w:val="1"/>
                <w:bCs w:val="1"/>
                <w:color w:val="auto"/>
                <w:w w:val="86"/>
              </w:rPr>
              <w:t xml:space="preserve">Agreements </w:t>
            </w:r>
            <w:r>
              <w:rPr>
                <w:rFonts w:ascii="Arial" w:cs="Arial" w:eastAsia="Arial" w:hAnsi="Arial"/>
                <w:sz w:val="17"/>
                <w:szCs w:val="17"/>
                <w:b w:val="1"/>
                <w:bCs w:val="1"/>
                <w:color w:val="auto"/>
                <w:w w:val="86"/>
                <w:vertAlign w:val="superscript"/>
              </w:rPr>
              <w:t>3</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Agency RMBS - fair value</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49,044</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245</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483</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404</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50,176</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280" w:type="dxa"/>
            <w:vAlign w:val="bottom"/>
            <w:gridSpan w:val="2"/>
          </w:tcPr>
          <w:p>
            <w:pPr>
              <w:ind w:left="20"/>
              <w:spacing w:after="0"/>
              <w:rPr>
                <w:sz w:val="20"/>
                <w:szCs w:val="20"/>
                <w:color w:val="auto"/>
              </w:rPr>
            </w:pPr>
            <w:r>
              <w:rPr>
                <w:rFonts w:ascii="Arial" w:cs="Arial" w:eastAsia="Arial" w:hAnsi="Arial"/>
                <w:sz w:val="13"/>
                <w:szCs w:val="13"/>
                <w:color w:val="auto"/>
              </w:rPr>
              <w:t>CRT - fair value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502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502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2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Non-Agency - fair value</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377</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377</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280" w:type="dxa"/>
            <w:vAlign w:val="bottom"/>
            <w:gridSpan w:val="2"/>
          </w:tcPr>
          <w:p>
            <w:pPr>
              <w:ind w:left="20"/>
              <w:spacing w:after="0"/>
              <w:rPr>
                <w:sz w:val="20"/>
                <w:szCs w:val="20"/>
                <w:color w:val="auto"/>
              </w:rPr>
            </w:pPr>
            <w:r>
              <w:rPr>
                <w:rFonts w:ascii="Arial" w:cs="Arial" w:eastAsia="Arial" w:hAnsi="Arial"/>
                <w:sz w:val="13"/>
                <w:szCs w:val="13"/>
                <w:color w:val="auto"/>
              </w:rPr>
              <w:t>U.S. Treasury securities - fair value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733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272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1,005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2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Accrued interest on pledged securities</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28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Restricted cash</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604</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623</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6"/>
                <w:szCs w:val="16"/>
                <w:color w:val="auto"/>
              </w:rPr>
            </w:pPr>
          </w:p>
        </w:tc>
        <w:tc>
          <w:tcPr>
            <w:tcW w:w="42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3"/>
                <w:szCs w:val="13"/>
                <w:color w:val="auto"/>
              </w:rPr>
              <w:t>Total</w:t>
            </w: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50,803</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246</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1,088</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677</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52,814</w:t>
            </w:r>
          </w:p>
        </w:tc>
        <w:tc>
          <w:tcPr>
            <w:tcW w:w="2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20" w:type="dxa"/>
            <w:vAlign w:val="bottom"/>
          </w:tcPr>
          <w:p>
            <w:pPr>
              <w:spacing w:after="0"/>
              <w:rPr>
                <w:sz w:val="23"/>
                <w:szCs w:val="23"/>
                <w:color w:val="auto"/>
              </w:rPr>
            </w:pPr>
          </w:p>
        </w:tc>
        <w:tc>
          <w:tcPr>
            <w:tcW w:w="4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2340" w:type="dxa"/>
            <w:vAlign w:val="bottom"/>
            <w:tcBorders>
              <w:bottom w:val="single" w:sz="8" w:color="auto"/>
            </w:tcBorders>
            <w:gridSpan w:val="7"/>
          </w:tcPr>
          <w:p>
            <w:pPr>
              <w:ind w:left="940"/>
              <w:spacing w:after="0"/>
              <w:rPr>
                <w:sz w:val="20"/>
                <w:szCs w:val="20"/>
                <w:color w:val="auto"/>
              </w:rPr>
            </w:pPr>
            <w:r>
              <w:rPr>
                <w:rFonts w:ascii="Arial" w:cs="Arial" w:eastAsia="Arial" w:hAnsi="Arial"/>
                <w:sz w:val="13"/>
                <w:szCs w:val="13"/>
                <w:b w:val="1"/>
                <w:bCs w:val="1"/>
                <w:color w:val="auto"/>
              </w:rPr>
              <w:t>December 31, 2020</w:t>
            </w:r>
          </w:p>
        </w:tc>
        <w:tc>
          <w:tcPr>
            <w:tcW w:w="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2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w w:val="96"/>
              </w:rPr>
              <w:t>Debt of Consolidated</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3"/>
              </w:rPr>
              <w:t>Derivative</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2"/>
          </w:tcPr>
          <w:p>
            <w:pPr>
              <w:jc w:val="center"/>
              <w:ind w:right="180"/>
              <w:spacing w:after="0" w:line="123" w:lineRule="exact"/>
              <w:rPr>
                <w:sz w:val="20"/>
                <w:szCs w:val="20"/>
                <w:color w:val="auto"/>
              </w:rPr>
            </w:pPr>
            <w:r>
              <w:rPr>
                <w:rFonts w:ascii="Arial" w:cs="Arial" w:eastAsia="Arial" w:hAnsi="Arial"/>
                <w:sz w:val="13"/>
                <w:szCs w:val="13"/>
                <w:b w:val="1"/>
                <w:bCs w:val="1"/>
                <w:color w:val="auto"/>
                <w:w w:val="92"/>
              </w:rPr>
              <w:t>Brokerage and</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430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 xml:space="preserve">Assets Pledged to Counterparties </w:t>
            </w:r>
            <w:r>
              <w:rPr>
                <w:rFonts w:ascii="Arial" w:cs="Arial" w:eastAsia="Arial" w:hAnsi="Arial"/>
                <w:sz w:val="17"/>
                <w:szCs w:val="17"/>
                <w:b w:val="1"/>
                <w:bCs w:val="1"/>
                <w:color w:val="auto"/>
                <w:vertAlign w:val="superscript"/>
              </w:rPr>
              <w:t>1</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520" w:type="dxa"/>
            <w:vAlign w:val="bottom"/>
            <w:gridSpan w:val="3"/>
            <w:vMerge w:val="restart"/>
          </w:tcPr>
          <w:p>
            <w:pPr>
              <w:spacing w:after="0"/>
              <w:rPr>
                <w:sz w:val="20"/>
                <w:szCs w:val="20"/>
                <w:color w:val="auto"/>
              </w:rPr>
            </w:pPr>
            <w:r>
              <w:rPr>
                <w:rFonts w:ascii="Arial" w:cs="Arial" w:eastAsia="Arial" w:hAnsi="Arial"/>
                <w:sz w:val="13"/>
                <w:szCs w:val="13"/>
                <w:b w:val="1"/>
                <w:bCs w:val="1"/>
                <w:color w:val="auto"/>
                <w:w w:val="91"/>
              </w:rPr>
              <w:t xml:space="preserve">Repurchase Agreements </w:t>
            </w:r>
            <w:r>
              <w:rPr>
                <w:rFonts w:ascii="Arial" w:cs="Arial" w:eastAsia="Arial" w:hAnsi="Arial"/>
                <w:sz w:val="17"/>
                <w:szCs w:val="17"/>
                <w:b w:val="1"/>
                <w:bCs w:val="1"/>
                <w:color w:val="auto"/>
                <w:w w:val="91"/>
                <w:vertAlign w:val="superscript"/>
              </w:rPr>
              <w:t>2</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2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2"/>
          </w:tcPr>
          <w:p>
            <w:pPr>
              <w:jc w:val="center"/>
              <w:ind w:right="160"/>
              <w:spacing w:after="0" w:line="125" w:lineRule="exact"/>
              <w:rPr>
                <w:sz w:val="20"/>
                <w:szCs w:val="20"/>
                <w:color w:val="auto"/>
              </w:rPr>
            </w:pPr>
            <w:r>
              <w:rPr>
                <w:rFonts w:ascii="Arial" w:cs="Arial" w:eastAsia="Arial" w:hAnsi="Arial"/>
                <w:sz w:val="13"/>
                <w:szCs w:val="13"/>
                <w:b w:val="1"/>
                <w:bCs w:val="1"/>
                <w:color w:val="auto"/>
                <w:w w:val="96"/>
              </w:rPr>
              <w:t>Clearing</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gridSpan w:val="2"/>
            <w:vMerge w:val="restart"/>
          </w:tcPr>
          <w:p>
            <w:pPr>
              <w:ind w:left="18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5"/>
        </w:trPr>
        <w:tc>
          <w:tcPr>
            <w:tcW w:w="430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2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gridSpan w:val="2"/>
          </w:tcPr>
          <w:p>
            <w:pPr>
              <w:ind w:left="220"/>
              <w:spacing w:after="0"/>
              <w:rPr>
                <w:sz w:val="20"/>
                <w:szCs w:val="20"/>
                <w:color w:val="auto"/>
              </w:rPr>
            </w:pPr>
            <w:r>
              <w:rPr>
                <w:rFonts w:ascii="Arial" w:cs="Arial" w:eastAsia="Arial" w:hAnsi="Arial"/>
                <w:sz w:val="13"/>
                <w:szCs w:val="13"/>
                <w:b w:val="1"/>
                <w:bCs w:val="1"/>
                <w:color w:val="auto"/>
              </w:rPr>
              <w:t>VIEs</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0"/>
              </w:rPr>
              <w:t>Agreements</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right="180"/>
              <w:spacing w:after="0" w:line="175" w:lineRule="exact"/>
              <w:rPr>
                <w:sz w:val="20"/>
                <w:szCs w:val="20"/>
                <w:color w:val="auto"/>
              </w:rPr>
            </w:pPr>
            <w:r>
              <w:rPr>
                <w:rFonts w:ascii="Arial" w:cs="Arial" w:eastAsia="Arial" w:hAnsi="Arial"/>
                <w:sz w:val="13"/>
                <w:szCs w:val="13"/>
                <w:b w:val="1"/>
                <w:bCs w:val="1"/>
                <w:color w:val="auto"/>
                <w:w w:val="89"/>
              </w:rPr>
              <w:t xml:space="preserve">Agreements </w:t>
            </w:r>
            <w:r>
              <w:rPr>
                <w:rFonts w:ascii="Arial" w:cs="Arial" w:eastAsia="Arial" w:hAnsi="Arial"/>
                <w:sz w:val="17"/>
                <w:szCs w:val="17"/>
                <w:b w:val="1"/>
                <w:bCs w:val="1"/>
                <w:color w:val="auto"/>
                <w:w w:val="89"/>
                <w:vertAlign w:val="superscript"/>
              </w:rPr>
              <w:t>3</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428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3"/>
                <w:szCs w:val="13"/>
                <w:color w:val="auto"/>
              </w:rPr>
              <w:t>Agency RMBS - fair value</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3"/>
                <w:szCs w:val="13"/>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53,401</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gridSpan w:val="2"/>
            <w:shd w:val="clear" w:color="auto" w:fill="CCEEFF"/>
          </w:tcPr>
          <w:p>
            <w:pPr>
              <w:jc w:val="right"/>
              <w:ind w:right="153"/>
              <w:spacing w:after="0"/>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295</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3"/>
                <w:szCs w:val="13"/>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365</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258</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gridSpan w:val="2"/>
            <w:shd w:val="clear" w:color="auto" w:fill="CCEEFF"/>
          </w:tcPr>
          <w:p>
            <w:pPr>
              <w:jc w:val="right"/>
              <w:ind w:right="113"/>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54,319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300" w:type="dxa"/>
            <w:vAlign w:val="bottom"/>
            <w:gridSpan w:val="3"/>
          </w:tcPr>
          <w:p>
            <w:pPr>
              <w:ind w:left="20"/>
              <w:spacing w:after="0"/>
              <w:rPr>
                <w:sz w:val="20"/>
                <w:szCs w:val="20"/>
                <w:color w:val="auto"/>
              </w:rPr>
            </w:pPr>
            <w:r>
              <w:rPr>
                <w:rFonts w:ascii="Arial" w:cs="Arial" w:eastAsia="Arial" w:hAnsi="Arial"/>
                <w:sz w:val="13"/>
                <w:szCs w:val="13"/>
                <w:color w:val="auto"/>
              </w:rPr>
              <w:t>CRT - fair value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455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455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430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Non-Agency - fair value</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458</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4300" w:type="dxa"/>
            <w:vAlign w:val="bottom"/>
            <w:gridSpan w:val="3"/>
          </w:tcPr>
          <w:p>
            <w:pPr>
              <w:ind w:left="20"/>
              <w:spacing w:after="0"/>
              <w:rPr>
                <w:sz w:val="20"/>
                <w:szCs w:val="20"/>
                <w:color w:val="auto"/>
              </w:rPr>
            </w:pPr>
            <w:r>
              <w:rPr>
                <w:rFonts w:ascii="Arial" w:cs="Arial" w:eastAsia="Arial" w:hAnsi="Arial"/>
                <w:sz w:val="13"/>
                <w:szCs w:val="13"/>
                <w:color w:val="auto"/>
              </w:rPr>
              <w:t>Accrued interest on pledged securities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147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150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430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Restricted cash</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417</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890</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80" w:type="dxa"/>
            <w:vAlign w:val="bottom"/>
            <w:gridSpan w:val="2"/>
          </w:tcPr>
          <w:p>
            <w:pPr>
              <w:ind w:left="140"/>
              <w:spacing w:after="0"/>
              <w:rPr>
                <w:sz w:val="20"/>
                <w:szCs w:val="20"/>
                <w:color w:val="auto"/>
              </w:rPr>
            </w:pPr>
            <w:r>
              <w:rPr>
                <w:rFonts w:ascii="Arial" w:cs="Arial" w:eastAsia="Arial" w:hAnsi="Arial"/>
                <w:sz w:val="13"/>
                <w:szCs w:val="13"/>
                <w:color w:val="auto"/>
              </w:rPr>
              <w:t>Total</w:t>
            </w:r>
          </w:p>
        </w:tc>
        <w:tc>
          <w:tcPr>
            <w:tcW w:w="80" w:type="dxa"/>
            <w:vAlign w:val="bottom"/>
          </w:tcPr>
          <w:p>
            <w:pPr>
              <w:spacing w:after="0"/>
              <w:rPr>
                <w:sz w:val="14"/>
                <w:szCs w:val="14"/>
                <w:color w:val="auto"/>
              </w:rPr>
            </w:pPr>
          </w:p>
        </w:tc>
        <w:tc>
          <w:tcPr>
            <w:tcW w:w="60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3"/>
                <w:szCs w:val="13"/>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54,878</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Borders>
              <w:top w:val="single" w:sz="8" w:color="auto"/>
              <w:bottom w:val="single" w:sz="8" w:color="auto"/>
            </w:tcBorders>
            <w:gridSpan w:val="2"/>
          </w:tcPr>
          <w:p>
            <w:pPr>
              <w:jc w:val="right"/>
              <w:ind w:right="153"/>
              <w:spacing w:after="0"/>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296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3"/>
                <w:szCs w:val="13"/>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1,256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259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top w:val="single" w:sz="8" w:color="auto"/>
              <w:bottom w:val="single" w:sz="8" w:color="auto"/>
            </w:tcBorders>
            <w:gridSpan w:val="2"/>
          </w:tcPr>
          <w:p>
            <w:pPr>
              <w:jc w:val="right"/>
              <w:ind w:right="113"/>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56,689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w:t>
      </w:r>
    </w:p>
    <w:p>
      <w:pPr>
        <w:spacing w:after="0" w:line="1" w:lineRule="exact"/>
        <w:rPr>
          <w:sz w:val="20"/>
          <w:szCs w:val="20"/>
          <w:color w:val="auto"/>
        </w:rPr>
      </w:pPr>
    </w:p>
    <w:p>
      <w:pPr>
        <w:ind w:left="600" w:hanging="300"/>
        <w:spacing w:after="0"/>
        <w:tabs>
          <w:tab w:leader="none" w:pos="6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Includes repledged assets received as collateral from counterparties and securities sold but not yet settled.</w:t>
      </w:r>
    </w:p>
    <w:p>
      <w:pPr>
        <w:ind w:left="600" w:hanging="300"/>
        <w:spacing w:after="0"/>
        <w:tabs>
          <w:tab w:leader="none" w:pos="600" w:val="left"/>
        </w:tabs>
        <w:numPr>
          <w:ilvl w:val="0"/>
          <w:numId w:val="11"/>
        </w:numPr>
        <w:rPr>
          <w:rFonts w:ascii="Arial" w:cs="Arial" w:eastAsia="Arial" w:hAnsi="Arial"/>
          <w:sz w:val="12"/>
          <w:szCs w:val="12"/>
          <w:color w:val="auto"/>
        </w:rPr>
      </w:pPr>
      <w:r>
        <w:rPr>
          <w:rFonts w:ascii="Arial" w:cs="Arial" w:eastAsia="Arial" w:hAnsi="Arial"/>
          <w:sz w:val="12"/>
          <w:szCs w:val="12"/>
          <w:color w:val="auto"/>
        </w:rPr>
        <w:t>Includes $98 million and $119 million of retained interests in our consolidated VIEs pledged as collateral under repurchase agreements as of June 30, 2021 and December 31, 2020, respectively.</w:t>
      </w:r>
    </w:p>
    <w:p>
      <w:pPr>
        <w:spacing w:after="0" w:line="11" w:lineRule="exact"/>
        <w:rPr>
          <w:rFonts w:ascii="Arial" w:cs="Arial" w:eastAsia="Arial" w:hAnsi="Arial"/>
          <w:sz w:val="12"/>
          <w:szCs w:val="12"/>
          <w:color w:val="auto"/>
        </w:rPr>
      </w:pPr>
    </w:p>
    <w:p>
      <w:pPr>
        <w:ind w:left="600" w:hanging="300"/>
        <w:spacing w:after="0"/>
        <w:tabs>
          <w:tab w:leader="none" w:pos="6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Includes margin for TBAs cleared through prime brokers and other clearing deposits.</w:t>
      </w:r>
    </w:p>
    <w:p>
      <w:pPr>
        <w:spacing w:after="0" w:line="144" w:lineRule="exact"/>
        <w:rPr>
          <w:sz w:val="20"/>
          <w:szCs w:val="20"/>
          <w:color w:val="auto"/>
        </w:rPr>
      </w:pPr>
    </w:p>
    <w:p>
      <w:pPr>
        <w:jc w:val="both"/>
        <w:ind w:firstLine="412"/>
        <w:spacing w:after="0" w:line="255" w:lineRule="auto"/>
        <w:rPr>
          <w:sz w:val="20"/>
          <w:szCs w:val="20"/>
          <w:color w:val="auto"/>
        </w:rPr>
      </w:pPr>
      <w:r>
        <w:rPr>
          <w:rFonts w:ascii="Arial" w:cs="Arial" w:eastAsia="Arial" w:hAnsi="Arial"/>
          <w:sz w:val="17"/>
          <w:szCs w:val="17"/>
          <w:color w:val="auto"/>
        </w:rPr>
        <w:t>The following table summarizes our securities pledged as collateral under our repurchase agreements by the remaining maturity of our borrowings, including securities pledged related to sold but not yet settled securities, as of June 30, 2021 and December 31, 2020 (in millions). For the corresponding borrowings associated with the following amounts and the interest rates thereon, refer to Note 4</w:t>
      </w:r>
      <w:r>
        <w:rPr>
          <w:rFonts w:ascii="Arial" w:cs="Arial" w:eastAsia="Arial" w:hAnsi="Arial"/>
          <w:sz w:val="17"/>
          <w:szCs w:val="17"/>
          <w:i w:val="1"/>
          <w:iCs w:val="1"/>
          <w:color w:val="auto"/>
        </w:rPr>
        <w:t>.</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June 30, 2021</w:t>
            </w: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4"/>
          </w:tcPr>
          <w:p>
            <w:pPr>
              <w:ind w:left="20"/>
              <w:spacing w:after="0"/>
              <w:rPr>
                <w:sz w:val="20"/>
                <w:szCs w:val="20"/>
                <w:color w:val="auto"/>
              </w:rPr>
            </w:pPr>
            <w:r>
              <w:rPr>
                <w:rFonts w:ascii="Arial" w:cs="Arial" w:eastAsia="Arial" w:hAnsi="Arial"/>
                <w:sz w:val="13"/>
                <w:szCs w:val="13"/>
                <w:b w:val="1"/>
                <w:bCs w:val="1"/>
                <w:color w:val="auto"/>
              </w:rPr>
              <w:t>December 31, 2020</w:t>
            </w: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3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94"/>
              </w:rPr>
              <w:t>Amortized</w:t>
            </w:r>
          </w:p>
        </w:tc>
        <w:tc>
          <w:tcPr>
            <w:tcW w:w="140" w:type="dxa"/>
            <w:vAlign w:val="bottom"/>
          </w:tcPr>
          <w:p>
            <w:pPr>
              <w:spacing w:after="0"/>
              <w:rPr>
                <w:sz w:val="10"/>
                <w:szCs w:val="10"/>
                <w:color w:val="auto"/>
              </w:rPr>
            </w:pPr>
          </w:p>
        </w:tc>
        <w:tc>
          <w:tcPr>
            <w:tcW w:w="900" w:type="dxa"/>
            <w:vAlign w:val="bottom"/>
          </w:tcPr>
          <w:p>
            <w:pPr>
              <w:jc w:val="center"/>
              <w:ind w:right="73"/>
              <w:spacing w:after="0" w:line="123" w:lineRule="exact"/>
              <w:rPr>
                <w:sz w:val="20"/>
                <w:szCs w:val="20"/>
                <w:color w:val="auto"/>
              </w:rPr>
            </w:pPr>
            <w:r>
              <w:rPr>
                <w:rFonts w:ascii="Arial" w:cs="Arial" w:eastAsia="Arial" w:hAnsi="Arial"/>
                <w:sz w:val="13"/>
                <w:szCs w:val="13"/>
                <w:b w:val="1"/>
                <w:bCs w:val="1"/>
                <w:color w:val="auto"/>
                <w:w w:val="92"/>
              </w:rPr>
              <w:t>Accrued</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94"/>
              </w:rPr>
              <w:t>Amortized</w:t>
            </w:r>
          </w:p>
        </w:tc>
        <w:tc>
          <w:tcPr>
            <w:tcW w:w="140" w:type="dxa"/>
            <w:vAlign w:val="bottom"/>
          </w:tcPr>
          <w:p>
            <w:pPr>
              <w:spacing w:after="0"/>
              <w:rPr>
                <w:sz w:val="10"/>
                <w:szCs w:val="10"/>
                <w:color w:val="auto"/>
              </w:rPr>
            </w:pPr>
          </w:p>
        </w:tc>
        <w:tc>
          <w:tcPr>
            <w:tcW w:w="900" w:type="dxa"/>
            <w:vAlign w:val="bottom"/>
          </w:tcPr>
          <w:p>
            <w:pPr>
              <w:jc w:val="center"/>
              <w:ind w:right="73"/>
              <w:spacing w:after="0" w:line="123" w:lineRule="exact"/>
              <w:rPr>
                <w:sz w:val="20"/>
                <w:szCs w:val="20"/>
                <w:color w:val="auto"/>
              </w:rPr>
            </w:pPr>
            <w:r>
              <w:rPr>
                <w:rFonts w:ascii="Arial" w:cs="Arial" w:eastAsia="Arial" w:hAnsi="Arial"/>
                <w:sz w:val="13"/>
                <w:szCs w:val="13"/>
                <w:b w:val="1"/>
                <w:bCs w:val="1"/>
                <w:color w:val="auto"/>
                <w:w w:val="92"/>
              </w:rPr>
              <w:t>Accrued</w:t>
            </w:r>
          </w:p>
        </w:tc>
        <w:tc>
          <w:tcPr>
            <w:tcW w:w="0" w:type="dxa"/>
            <w:vAlign w:val="bottom"/>
          </w:tcPr>
          <w:p>
            <w:pPr>
              <w:spacing w:after="0"/>
              <w:rPr>
                <w:sz w:val="1"/>
                <w:szCs w:val="1"/>
                <w:color w:val="auto"/>
              </w:rPr>
            </w:pPr>
          </w:p>
        </w:tc>
      </w:tr>
      <w:tr>
        <w:trPr>
          <w:trHeight w:val="125"/>
        </w:trPr>
        <w:tc>
          <w:tcPr>
            <w:tcW w:w="398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Securities Pledged by Remaining Maturity of Repurchase</w:t>
            </w:r>
          </w:p>
        </w:tc>
        <w:tc>
          <w:tcPr>
            <w:tcW w:w="140" w:type="dxa"/>
            <w:vAlign w:val="bottom"/>
          </w:tcPr>
          <w:p>
            <w:pPr>
              <w:spacing w:after="0"/>
              <w:rPr>
                <w:sz w:val="10"/>
                <w:szCs w:val="10"/>
                <w:color w:val="auto"/>
              </w:rPr>
            </w:pPr>
          </w:p>
        </w:tc>
        <w:tc>
          <w:tcPr>
            <w:tcW w:w="112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4"/>
              </w:rPr>
              <w:t>Fair Value of</w:t>
            </w:r>
          </w:p>
        </w:tc>
        <w:tc>
          <w:tcPr>
            <w:tcW w:w="10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2"/>
          </w:tcPr>
          <w:p>
            <w:pPr>
              <w:jc w:val="center"/>
              <w:ind w:right="240"/>
              <w:spacing w:after="0" w:line="125" w:lineRule="exact"/>
              <w:rPr>
                <w:sz w:val="20"/>
                <w:szCs w:val="20"/>
                <w:color w:val="auto"/>
              </w:rPr>
            </w:pPr>
            <w:r>
              <w:rPr>
                <w:rFonts w:ascii="Arial" w:cs="Arial" w:eastAsia="Arial" w:hAnsi="Arial"/>
                <w:sz w:val="13"/>
                <w:szCs w:val="13"/>
                <w:b w:val="1"/>
                <w:bCs w:val="1"/>
                <w:color w:val="auto"/>
                <w:w w:val="90"/>
              </w:rPr>
              <w:t>Interest on</w:t>
            </w:r>
          </w:p>
        </w:tc>
        <w:tc>
          <w:tcPr>
            <w:tcW w:w="100" w:type="dxa"/>
            <w:vAlign w:val="bottom"/>
          </w:tcPr>
          <w:p>
            <w:pPr>
              <w:spacing w:after="0"/>
              <w:rPr>
                <w:sz w:val="10"/>
                <w:szCs w:val="10"/>
                <w:color w:val="auto"/>
              </w:rPr>
            </w:pPr>
          </w:p>
        </w:tc>
        <w:tc>
          <w:tcPr>
            <w:tcW w:w="1140" w:type="dxa"/>
            <w:vAlign w:val="bottom"/>
            <w:vMerge w:val="restart"/>
          </w:tcPr>
          <w:p>
            <w:pPr>
              <w:jc w:val="right"/>
              <w:ind w:right="173"/>
              <w:spacing w:after="0"/>
              <w:rPr>
                <w:sz w:val="20"/>
                <w:szCs w:val="20"/>
                <w:color w:val="auto"/>
              </w:rPr>
            </w:pPr>
            <w:r>
              <w:rPr>
                <w:rFonts w:ascii="Arial" w:cs="Arial" w:eastAsia="Arial" w:hAnsi="Arial"/>
                <w:sz w:val="13"/>
                <w:szCs w:val="13"/>
                <w:b w:val="1"/>
                <w:bCs w:val="1"/>
                <w:color w:val="auto"/>
              </w:rPr>
              <w:t>Fair Value of</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jc w:val="center"/>
              <w:ind w:right="73"/>
              <w:spacing w:after="0" w:line="125" w:lineRule="exact"/>
              <w:rPr>
                <w:sz w:val="20"/>
                <w:szCs w:val="20"/>
                <w:color w:val="auto"/>
              </w:rPr>
            </w:pPr>
            <w:r>
              <w:rPr>
                <w:rFonts w:ascii="Arial" w:cs="Arial" w:eastAsia="Arial" w:hAnsi="Arial"/>
                <w:sz w:val="13"/>
                <w:szCs w:val="13"/>
                <w:b w:val="1"/>
                <w:bCs w:val="1"/>
                <w:color w:val="auto"/>
                <w:w w:val="90"/>
              </w:rPr>
              <w:t>Interest on</w:t>
            </w:r>
          </w:p>
        </w:tc>
        <w:tc>
          <w:tcPr>
            <w:tcW w:w="0" w:type="dxa"/>
            <w:vAlign w:val="bottom"/>
          </w:tcPr>
          <w:p>
            <w:pPr>
              <w:spacing w:after="0"/>
              <w:rPr>
                <w:sz w:val="1"/>
                <w:szCs w:val="1"/>
                <w:color w:val="auto"/>
              </w:rPr>
            </w:pPr>
          </w:p>
        </w:tc>
      </w:tr>
      <w:tr>
        <w:trPr>
          <w:trHeight w:val="125"/>
        </w:trPr>
        <w:tc>
          <w:tcPr>
            <w:tcW w:w="39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tcPr>
          <w:p>
            <w:pPr>
              <w:jc w:val="center"/>
              <w:ind w:right="200"/>
              <w:spacing w:after="0" w:line="125" w:lineRule="exact"/>
              <w:rPr>
                <w:sz w:val="20"/>
                <w:szCs w:val="20"/>
                <w:color w:val="auto"/>
              </w:rPr>
            </w:pPr>
            <w:r>
              <w:rPr>
                <w:rFonts w:ascii="Arial" w:cs="Arial" w:eastAsia="Arial" w:hAnsi="Arial"/>
                <w:sz w:val="13"/>
                <w:szCs w:val="13"/>
                <w:b w:val="1"/>
                <w:bCs w:val="1"/>
                <w:color w:val="auto"/>
                <w:w w:val="89"/>
              </w:rPr>
              <w:t>Cost of</w:t>
            </w:r>
          </w:p>
        </w:tc>
        <w:tc>
          <w:tcPr>
            <w:tcW w:w="140" w:type="dxa"/>
            <w:vAlign w:val="bottom"/>
          </w:tcPr>
          <w:p>
            <w:pPr>
              <w:spacing w:after="0"/>
              <w:rPr>
                <w:sz w:val="10"/>
                <w:szCs w:val="10"/>
                <w:color w:val="auto"/>
              </w:rPr>
            </w:pPr>
          </w:p>
        </w:tc>
        <w:tc>
          <w:tcPr>
            <w:tcW w:w="1000" w:type="dxa"/>
            <w:vAlign w:val="bottom"/>
            <w:gridSpan w:val="2"/>
          </w:tcPr>
          <w:p>
            <w:pPr>
              <w:jc w:val="center"/>
              <w:ind w:right="240"/>
              <w:spacing w:after="0" w:line="125" w:lineRule="exact"/>
              <w:rPr>
                <w:sz w:val="20"/>
                <w:szCs w:val="20"/>
                <w:color w:val="auto"/>
              </w:rPr>
            </w:pPr>
            <w:r>
              <w:rPr>
                <w:rFonts w:ascii="Arial" w:cs="Arial" w:eastAsia="Arial" w:hAnsi="Arial"/>
                <w:sz w:val="13"/>
                <w:szCs w:val="13"/>
                <w:b w:val="1"/>
                <w:bCs w:val="1"/>
                <w:color w:val="auto"/>
                <w:w w:val="86"/>
              </w:rPr>
              <w:t>Pledged</w:t>
            </w:r>
          </w:p>
        </w:tc>
        <w:tc>
          <w:tcPr>
            <w:tcW w:w="10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gridSpan w:val="2"/>
          </w:tcPr>
          <w:p>
            <w:pPr>
              <w:jc w:val="center"/>
              <w:ind w:right="280"/>
              <w:spacing w:after="0" w:line="125" w:lineRule="exact"/>
              <w:rPr>
                <w:sz w:val="20"/>
                <w:szCs w:val="20"/>
                <w:color w:val="auto"/>
              </w:rPr>
            </w:pPr>
            <w:r>
              <w:rPr>
                <w:rFonts w:ascii="Arial" w:cs="Arial" w:eastAsia="Arial" w:hAnsi="Arial"/>
                <w:sz w:val="13"/>
                <w:szCs w:val="13"/>
                <w:b w:val="1"/>
                <w:bCs w:val="1"/>
                <w:color w:val="auto"/>
                <w:w w:val="89"/>
              </w:rPr>
              <w:t>Cost of</w:t>
            </w:r>
          </w:p>
        </w:tc>
        <w:tc>
          <w:tcPr>
            <w:tcW w:w="140" w:type="dxa"/>
            <w:vAlign w:val="bottom"/>
          </w:tcPr>
          <w:p>
            <w:pPr>
              <w:spacing w:after="0"/>
              <w:rPr>
                <w:sz w:val="10"/>
                <w:szCs w:val="10"/>
                <w:color w:val="auto"/>
              </w:rPr>
            </w:pPr>
          </w:p>
        </w:tc>
        <w:tc>
          <w:tcPr>
            <w:tcW w:w="900" w:type="dxa"/>
            <w:vAlign w:val="bottom"/>
          </w:tcPr>
          <w:p>
            <w:pPr>
              <w:jc w:val="center"/>
              <w:ind w:right="73"/>
              <w:spacing w:after="0" w:line="125" w:lineRule="exact"/>
              <w:rPr>
                <w:sz w:val="20"/>
                <w:szCs w:val="20"/>
                <w:color w:val="auto"/>
              </w:rPr>
            </w:pPr>
            <w:r>
              <w:rPr>
                <w:rFonts w:ascii="Arial" w:cs="Arial" w:eastAsia="Arial" w:hAnsi="Arial"/>
                <w:sz w:val="13"/>
                <w:szCs w:val="13"/>
                <w:b w:val="1"/>
                <w:bCs w:val="1"/>
                <w:color w:val="auto"/>
                <w:w w:val="86"/>
              </w:rPr>
              <w:t>Pledged</w:t>
            </w:r>
          </w:p>
        </w:tc>
        <w:tc>
          <w:tcPr>
            <w:tcW w:w="0" w:type="dxa"/>
            <w:vAlign w:val="bottom"/>
          </w:tcPr>
          <w:p>
            <w:pPr>
              <w:spacing w:after="0"/>
              <w:rPr>
                <w:sz w:val="1"/>
                <w:szCs w:val="1"/>
                <w:color w:val="auto"/>
              </w:rPr>
            </w:pPr>
          </w:p>
        </w:tc>
      </w:tr>
      <w:tr>
        <w:trPr>
          <w:trHeight w:val="175"/>
        </w:trPr>
        <w:tc>
          <w:tcPr>
            <w:tcW w:w="3980" w:type="dxa"/>
            <w:vAlign w:val="bottom"/>
            <w:gridSpan w:val="2"/>
          </w:tcPr>
          <w:p>
            <w:pPr>
              <w:ind w:left="20"/>
              <w:spacing w:after="0" w:line="175" w:lineRule="exact"/>
              <w:rPr>
                <w:sz w:val="20"/>
                <w:szCs w:val="20"/>
                <w:color w:val="auto"/>
              </w:rPr>
            </w:pPr>
            <w:r>
              <w:rPr>
                <w:rFonts w:ascii="Arial" w:cs="Arial" w:eastAsia="Arial" w:hAnsi="Arial"/>
                <w:sz w:val="13"/>
                <w:szCs w:val="13"/>
                <w:b w:val="1"/>
                <w:bCs w:val="1"/>
                <w:color w:val="auto"/>
              </w:rPr>
              <w:t xml:space="preserve">Agreements </w:t>
            </w:r>
            <w:r>
              <w:rPr>
                <w:rFonts w:ascii="Arial" w:cs="Arial" w:eastAsia="Arial" w:hAnsi="Arial"/>
                <w:sz w:val="17"/>
                <w:szCs w:val="17"/>
                <w:b w:val="1"/>
                <w:bCs w:val="1"/>
                <w:color w:val="auto"/>
                <w:vertAlign w:val="superscript"/>
              </w:rPr>
              <w:t>1,2</w:t>
            </w:r>
          </w:p>
        </w:tc>
        <w:tc>
          <w:tcPr>
            <w:tcW w:w="126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89"/>
              </w:rPr>
              <w:t>Pledged Securities</w:t>
            </w:r>
          </w:p>
        </w:tc>
        <w:tc>
          <w:tcPr>
            <w:tcW w:w="122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89"/>
              </w:rPr>
              <w:t>Pledged Securities</w:t>
            </w:r>
          </w:p>
        </w:tc>
        <w:tc>
          <w:tcPr>
            <w:tcW w:w="14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Securities</w:t>
            </w:r>
          </w:p>
        </w:tc>
        <w:tc>
          <w:tcPr>
            <w:tcW w:w="100" w:type="dxa"/>
            <w:vAlign w:val="bottom"/>
          </w:tcPr>
          <w:p>
            <w:pPr>
              <w:spacing w:after="0"/>
              <w:rPr>
                <w:sz w:val="15"/>
                <w:szCs w:val="15"/>
                <w:color w:val="auto"/>
              </w:rPr>
            </w:pPr>
          </w:p>
        </w:tc>
        <w:tc>
          <w:tcPr>
            <w:tcW w:w="1140" w:type="dxa"/>
            <w:vAlign w:val="bottom"/>
          </w:tcPr>
          <w:p>
            <w:pPr>
              <w:jc w:val="right"/>
              <w:ind w:right="33"/>
              <w:spacing w:after="0"/>
              <w:rPr>
                <w:sz w:val="20"/>
                <w:szCs w:val="20"/>
                <w:color w:val="auto"/>
              </w:rPr>
            </w:pPr>
            <w:r>
              <w:rPr>
                <w:rFonts w:ascii="Arial" w:cs="Arial" w:eastAsia="Arial" w:hAnsi="Arial"/>
                <w:sz w:val="13"/>
                <w:szCs w:val="13"/>
                <w:b w:val="1"/>
                <w:bCs w:val="1"/>
                <w:color w:val="auto"/>
                <w:w w:val="87"/>
              </w:rPr>
              <w:t>Pledged Securities</w:t>
            </w:r>
          </w:p>
        </w:tc>
        <w:tc>
          <w:tcPr>
            <w:tcW w:w="100" w:type="dxa"/>
            <w:vAlign w:val="bottom"/>
          </w:tcPr>
          <w:p>
            <w:pPr>
              <w:spacing w:after="0"/>
              <w:rPr>
                <w:sz w:val="15"/>
                <w:szCs w:val="15"/>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89"/>
              </w:rPr>
              <w:t>Pledged Securities</w:t>
            </w:r>
          </w:p>
        </w:tc>
        <w:tc>
          <w:tcPr>
            <w:tcW w:w="140" w:type="dxa"/>
            <w:vAlign w:val="bottom"/>
          </w:tcPr>
          <w:p>
            <w:pPr>
              <w:spacing w:after="0"/>
              <w:rPr>
                <w:sz w:val="15"/>
                <w:szCs w:val="15"/>
                <w:color w:val="auto"/>
              </w:rPr>
            </w:pPr>
          </w:p>
        </w:tc>
        <w:tc>
          <w:tcPr>
            <w:tcW w:w="900" w:type="dxa"/>
            <w:vAlign w:val="bottom"/>
          </w:tcPr>
          <w:p>
            <w:pPr>
              <w:jc w:val="center"/>
              <w:ind w:right="73"/>
              <w:spacing w:after="0"/>
              <w:rPr>
                <w:sz w:val="20"/>
                <w:szCs w:val="20"/>
                <w:color w:val="auto"/>
              </w:rPr>
            </w:pPr>
            <w:r>
              <w:rPr>
                <w:rFonts w:ascii="Arial" w:cs="Arial" w:eastAsia="Arial" w:hAnsi="Arial"/>
                <w:sz w:val="13"/>
                <w:szCs w:val="13"/>
                <w:b w:val="1"/>
                <w:bCs w:val="1"/>
                <w:color w:val="auto"/>
                <w:w w:val="90"/>
              </w:rPr>
              <w:t>Securities</w:t>
            </w:r>
          </w:p>
        </w:tc>
        <w:tc>
          <w:tcPr>
            <w:tcW w:w="0" w:type="dxa"/>
            <w:vAlign w:val="bottom"/>
          </w:tcPr>
          <w:p>
            <w:pPr>
              <w:spacing w:after="0"/>
              <w:rPr>
                <w:sz w:val="1"/>
                <w:szCs w:val="1"/>
                <w:color w:val="auto"/>
              </w:rPr>
            </w:pPr>
          </w:p>
        </w:tc>
      </w:tr>
      <w:tr>
        <w:trPr>
          <w:trHeight w:val="167"/>
        </w:trPr>
        <w:tc>
          <w:tcPr>
            <w:tcW w:w="388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3"/>
                <w:szCs w:val="13"/>
                <w:color w:val="auto"/>
              </w:rPr>
              <w:t>≤ 30 days</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31,779</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30,818</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84</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29,674</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28,208</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82</w:t>
            </w:r>
          </w:p>
        </w:tc>
        <w:tc>
          <w:tcPr>
            <w:tcW w:w="0" w:type="dxa"/>
            <w:vAlign w:val="bottom"/>
          </w:tcPr>
          <w:p>
            <w:pPr>
              <w:spacing w:after="0"/>
              <w:rPr>
                <w:sz w:val="1"/>
                <w:szCs w:val="1"/>
                <w:color w:val="auto"/>
              </w:rPr>
            </w:pPr>
          </w:p>
        </w:tc>
      </w:tr>
      <w:tr>
        <w:trPr>
          <w:trHeight w:val="172"/>
        </w:trPr>
        <w:tc>
          <w:tcPr>
            <w:tcW w:w="3980" w:type="dxa"/>
            <w:vAlign w:val="bottom"/>
            <w:gridSpan w:val="2"/>
          </w:tcPr>
          <w:p>
            <w:pPr>
              <w:ind w:left="80"/>
              <w:spacing w:after="0"/>
              <w:rPr>
                <w:sz w:val="20"/>
                <w:szCs w:val="20"/>
                <w:color w:val="auto"/>
              </w:rPr>
            </w:pPr>
            <w:r>
              <w:rPr>
                <w:rFonts w:ascii="Arial" w:cs="Arial" w:eastAsia="Arial" w:hAnsi="Arial"/>
                <w:sz w:val="13"/>
                <w:szCs w:val="13"/>
                <w:color w:val="auto"/>
              </w:rPr>
              <w:t>&gt; 30 and ≤ 60 days</w:t>
            </w:r>
          </w:p>
        </w:tc>
        <w:tc>
          <w:tcPr>
            <w:tcW w:w="1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3,124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3,002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8,438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8,013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178"/>
        </w:trPr>
        <w:tc>
          <w:tcPr>
            <w:tcW w:w="398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&gt; 60 and ≤ 90 days</w:t>
            </w: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5,788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5,641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5,782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5,495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72"/>
        </w:trPr>
        <w:tc>
          <w:tcPr>
            <w:tcW w:w="3980" w:type="dxa"/>
            <w:vAlign w:val="bottom"/>
            <w:tcBorders>
              <w:bottom w:val="single" w:sz="8" w:color="CCEEFF"/>
            </w:tcBorders>
            <w:gridSpan w:val="2"/>
          </w:tcPr>
          <w:p>
            <w:pPr>
              <w:ind w:left="80"/>
              <w:spacing w:after="0"/>
              <w:rPr>
                <w:sz w:val="20"/>
                <w:szCs w:val="20"/>
                <w:color w:val="auto"/>
              </w:rPr>
            </w:pPr>
            <w:r>
              <w:rPr>
                <w:rFonts w:ascii="Arial" w:cs="Arial" w:eastAsia="Arial" w:hAnsi="Arial"/>
                <w:sz w:val="13"/>
                <w:szCs w:val="13"/>
                <w:color w:val="auto"/>
              </w:rPr>
              <w:t>&gt; 90 days</w:t>
            </w: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9,628</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9,542</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10,420</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10,068</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w:t>
            </w:r>
          </w:p>
        </w:tc>
        <w:tc>
          <w:tcPr>
            <w:tcW w:w="0" w:type="dxa"/>
            <w:vAlign w:val="bottom"/>
          </w:tcPr>
          <w:p>
            <w:pPr>
              <w:spacing w:after="0"/>
              <w:rPr>
                <w:sz w:val="1"/>
                <w:szCs w:val="1"/>
                <w:color w:val="auto"/>
              </w:rPr>
            </w:pPr>
          </w:p>
        </w:tc>
      </w:tr>
      <w:tr>
        <w:trPr>
          <w:trHeight w:val="196"/>
        </w:trPr>
        <w:tc>
          <w:tcPr>
            <w:tcW w:w="39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3"/>
                <w:szCs w:val="13"/>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50,319</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49,003</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128</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54,314</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51,784</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147</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w:t>
      </w:r>
    </w:p>
    <w:p>
      <w:pPr>
        <w:spacing w:after="0" w:line="1" w:lineRule="exact"/>
        <w:rPr>
          <w:sz w:val="20"/>
          <w:szCs w:val="20"/>
          <w:color w:val="auto"/>
        </w:rPr>
      </w:pPr>
    </w:p>
    <w:p>
      <w:pPr>
        <w:ind w:left="600" w:hanging="300"/>
        <w:spacing w:after="0"/>
        <w:tabs>
          <w:tab w:leader="none" w:pos="600" w:val="left"/>
        </w:tabs>
        <w:numPr>
          <w:ilvl w:val="0"/>
          <w:numId w:val="12"/>
        </w:numPr>
        <w:rPr>
          <w:rFonts w:ascii="Arial" w:cs="Arial" w:eastAsia="Arial" w:hAnsi="Arial"/>
          <w:sz w:val="12"/>
          <w:szCs w:val="12"/>
          <w:color w:val="auto"/>
        </w:rPr>
      </w:pPr>
      <w:r>
        <w:rPr>
          <w:rFonts w:ascii="Arial" w:cs="Arial" w:eastAsia="Arial" w:hAnsi="Arial"/>
          <w:sz w:val="12"/>
          <w:szCs w:val="12"/>
          <w:color w:val="auto"/>
        </w:rPr>
        <w:t>Includes $98 million and $119 million of retained interests in our consolidated VIEs pledged as collateral under repurchase agreements as of June 30, 2021 and December 31, 2020, respectively.</w:t>
      </w:r>
    </w:p>
    <w:p>
      <w:pPr>
        <w:spacing w:after="0" w:line="11" w:lineRule="exact"/>
        <w:rPr>
          <w:rFonts w:ascii="Arial" w:cs="Arial" w:eastAsia="Arial" w:hAnsi="Arial"/>
          <w:sz w:val="12"/>
          <w:szCs w:val="12"/>
          <w:color w:val="auto"/>
        </w:rPr>
      </w:pPr>
    </w:p>
    <w:p>
      <w:pPr>
        <w:ind w:left="600" w:hanging="300"/>
        <w:spacing w:after="0"/>
        <w:tabs>
          <w:tab w:leader="none" w:pos="600" w:val="left"/>
        </w:tabs>
        <w:numPr>
          <w:ilvl w:val="0"/>
          <w:numId w:val="12"/>
        </w:numPr>
        <w:rPr>
          <w:rFonts w:ascii="Arial" w:cs="Arial" w:eastAsia="Arial" w:hAnsi="Arial"/>
          <w:sz w:val="13"/>
          <w:szCs w:val="13"/>
          <w:color w:val="auto"/>
        </w:rPr>
      </w:pPr>
      <w:r>
        <w:rPr>
          <w:rFonts w:ascii="Arial" w:cs="Arial" w:eastAsia="Arial" w:hAnsi="Arial"/>
          <w:sz w:val="13"/>
          <w:szCs w:val="13"/>
          <w:color w:val="auto"/>
        </w:rPr>
        <w:t>Excludes $0.6 billion of repledged U.S. Treasury securities received as collateral from counterparties as of June 30, 2021.</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Assets Pledged from Counterparties</w:t>
      </w:r>
    </w:p>
    <w:p>
      <w:pPr>
        <w:spacing w:after="0" w:line="154" w:lineRule="exact"/>
        <w:rPr>
          <w:sz w:val="20"/>
          <w:szCs w:val="20"/>
          <w:color w:val="auto"/>
        </w:rPr>
      </w:pPr>
    </w:p>
    <w:p>
      <w:pPr>
        <w:ind w:firstLine="375"/>
        <w:spacing w:after="0" w:line="266" w:lineRule="auto"/>
        <w:rPr>
          <w:sz w:val="20"/>
          <w:szCs w:val="20"/>
          <w:color w:val="auto"/>
        </w:rPr>
      </w:pPr>
      <w:r>
        <w:rPr>
          <w:rFonts w:ascii="Arial" w:cs="Arial" w:eastAsia="Arial" w:hAnsi="Arial"/>
          <w:sz w:val="17"/>
          <w:szCs w:val="17"/>
          <w:color w:val="auto"/>
        </w:rPr>
        <w:t>As of June 30, 2021 and December 31, 2020, we had assets pledged to us from counterparties as collateral under our reverse repurchase and derivative agreements summarized in the tables below (in millions).</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78"/>
        </w:trPr>
        <w:tc>
          <w:tcPr>
            <w:tcW w:w="2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4"/>
          </w:tcPr>
          <w:p>
            <w:pPr>
              <w:jc w:val="right"/>
              <w:ind w:right="633"/>
              <w:spacing w:after="0"/>
              <w:rPr>
                <w:sz w:val="20"/>
                <w:szCs w:val="20"/>
                <w:color w:val="auto"/>
              </w:rPr>
            </w:pPr>
            <w:r>
              <w:rPr>
                <w:rFonts w:ascii="Arial" w:cs="Arial" w:eastAsia="Arial" w:hAnsi="Arial"/>
                <w:sz w:val="13"/>
                <w:szCs w:val="13"/>
                <w:b w:val="1"/>
                <w:bCs w:val="1"/>
                <w:color w:val="auto"/>
              </w:rPr>
              <w:t>June 30, 2021</w:t>
            </w:r>
          </w:p>
        </w:tc>
        <w:tc>
          <w:tcPr>
            <w:tcW w:w="3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4"/>
          </w:tcPr>
          <w:p>
            <w:pPr>
              <w:jc w:val="right"/>
              <w:ind w:right="493"/>
              <w:spacing w:after="0"/>
              <w:rPr>
                <w:sz w:val="20"/>
                <w:szCs w:val="20"/>
                <w:color w:val="auto"/>
              </w:rPr>
            </w:pPr>
            <w:r>
              <w:rPr>
                <w:rFonts w:ascii="Arial" w:cs="Arial" w:eastAsia="Arial" w:hAnsi="Arial"/>
                <w:sz w:val="13"/>
                <w:szCs w:val="13"/>
                <w:b w:val="1"/>
                <w:bCs w:val="1"/>
                <w:color w:val="auto"/>
              </w:rPr>
              <w:t>December 31, 2020</w:t>
            </w:r>
          </w:p>
        </w:tc>
        <w:tc>
          <w:tcPr>
            <w:tcW w:w="3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tcPr>
          <w:p>
            <w:pPr>
              <w:jc w:val="center"/>
              <w:ind w:right="220"/>
              <w:spacing w:after="0" w:line="123" w:lineRule="exact"/>
              <w:rPr>
                <w:sz w:val="20"/>
                <w:szCs w:val="20"/>
                <w:color w:val="auto"/>
              </w:rPr>
            </w:pPr>
            <w:r>
              <w:rPr>
                <w:rFonts w:ascii="Arial" w:cs="Arial" w:eastAsia="Arial" w:hAnsi="Arial"/>
                <w:sz w:val="13"/>
                <w:szCs w:val="13"/>
                <w:b w:val="1"/>
                <w:bCs w:val="1"/>
                <w:color w:val="auto"/>
                <w:w w:val="86"/>
              </w:rPr>
              <w:t>Reverse</w:t>
            </w:r>
          </w:p>
        </w:tc>
        <w:tc>
          <w:tcPr>
            <w:tcW w:w="140" w:type="dxa"/>
            <w:vAlign w:val="bottom"/>
          </w:tcPr>
          <w:p>
            <w:pPr>
              <w:spacing w:after="0"/>
              <w:rPr>
                <w:sz w:val="10"/>
                <w:szCs w:val="10"/>
                <w:color w:val="auto"/>
              </w:rPr>
            </w:pPr>
          </w:p>
        </w:tc>
        <w:tc>
          <w:tcPr>
            <w:tcW w:w="100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6"/>
              </w:rPr>
              <w:t>Derivative</w:t>
            </w:r>
          </w:p>
        </w:tc>
        <w:tc>
          <w:tcPr>
            <w:tcW w:w="120" w:type="dxa"/>
            <w:vAlign w:val="bottom"/>
          </w:tcPr>
          <w:p>
            <w:pPr>
              <w:spacing w:after="0"/>
              <w:rPr>
                <w:sz w:val="10"/>
                <w:szCs w:val="10"/>
                <w:color w:val="auto"/>
              </w:rPr>
            </w:pPr>
          </w:p>
        </w:tc>
        <w:tc>
          <w:tcPr>
            <w:tcW w:w="920" w:type="dxa"/>
            <w:vAlign w:val="bottom"/>
            <w:vMerge w:val="restart"/>
          </w:tcPr>
          <w:p>
            <w:pPr>
              <w:jc w:val="right"/>
              <w:ind w:right="133"/>
              <w:spacing w:after="0"/>
              <w:rPr>
                <w:sz w:val="20"/>
                <w:szCs w:val="20"/>
                <w:color w:val="auto"/>
              </w:rPr>
            </w:pPr>
            <w:r>
              <w:rPr>
                <w:rFonts w:ascii="Arial" w:cs="Arial" w:eastAsia="Arial" w:hAnsi="Arial"/>
                <w:sz w:val="13"/>
                <w:szCs w:val="13"/>
                <w:b w:val="1"/>
                <w:bCs w:val="1"/>
                <w:color w:val="auto"/>
                <w:w w:val="94"/>
              </w:rPr>
              <w:t>Repurchase</w:t>
            </w:r>
          </w:p>
        </w:tc>
        <w:tc>
          <w:tcPr>
            <w:tcW w:w="3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tcPr>
          <w:p>
            <w:pPr>
              <w:jc w:val="center"/>
              <w:ind w:right="220"/>
              <w:spacing w:after="0" w:line="123" w:lineRule="exact"/>
              <w:rPr>
                <w:sz w:val="20"/>
                <w:szCs w:val="20"/>
                <w:color w:val="auto"/>
              </w:rPr>
            </w:pPr>
            <w:r>
              <w:rPr>
                <w:rFonts w:ascii="Arial" w:cs="Arial" w:eastAsia="Arial" w:hAnsi="Arial"/>
                <w:sz w:val="13"/>
                <w:szCs w:val="13"/>
                <w:b w:val="1"/>
                <w:bCs w:val="1"/>
                <w:color w:val="auto"/>
                <w:w w:val="86"/>
              </w:rPr>
              <w:t>Reverse</w:t>
            </w:r>
          </w:p>
        </w:tc>
        <w:tc>
          <w:tcPr>
            <w:tcW w:w="140" w:type="dxa"/>
            <w:vAlign w:val="bottom"/>
          </w:tcPr>
          <w:p>
            <w:pPr>
              <w:spacing w:after="0"/>
              <w:rPr>
                <w:sz w:val="10"/>
                <w:szCs w:val="10"/>
                <w:color w:val="auto"/>
              </w:rPr>
            </w:pPr>
          </w:p>
        </w:tc>
        <w:tc>
          <w:tcPr>
            <w:tcW w:w="100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6"/>
              </w:rPr>
              <w:t>Derivative</w:t>
            </w:r>
          </w:p>
        </w:tc>
        <w:tc>
          <w:tcPr>
            <w:tcW w:w="120" w:type="dxa"/>
            <w:vAlign w:val="bottom"/>
          </w:tcPr>
          <w:p>
            <w:pPr>
              <w:spacing w:after="0"/>
              <w:rPr>
                <w:sz w:val="10"/>
                <w:szCs w:val="10"/>
                <w:color w:val="auto"/>
              </w:rPr>
            </w:pPr>
          </w:p>
        </w:tc>
        <w:tc>
          <w:tcPr>
            <w:tcW w:w="920" w:type="dxa"/>
            <w:vAlign w:val="bottom"/>
            <w:vMerge w:val="restart"/>
          </w:tcPr>
          <w:p>
            <w:pPr>
              <w:jc w:val="right"/>
              <w:ind w:right="133"/>
              <w:spacing w:after="0"/>
              <w:rPr>
                <w:sz w:val="20"/>
                <w:szCs w:val="20"/>
                <w:color w:val="auto"/>
              </w:rPr>
            </w:pPr>
            <w:r>
              <w:rPr>
                <w:rFonts w:ascii="Arial" w:cs="Arial" w:eastAsia="Arial" w:hAnsi="Arial"/>
                <w:sz w:val="13"/>
                <w:szCs w:val="13"/>
                <w:b w:val="1"/>
                <w:bCs w:val="1"/>
                <w:color w:val="auto"/>
                <w:w w:val="94"/>
              </w:rPr>
              <w:t>Repurchase</w:t>
            </w:r>
          </w:p>
        </w:tc>
        <w:tc>
          <w:tcPr>
            <w:tcW w:w="3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3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Assets Pledged to AGNC</w:t>
            </w:r>
          </w:p>
        </w:tc>
        <w:tc>
          <w:tcPr>
            <w:tcW w:w="140" w:type="dxa"/>
            <w:vAlign w:val="bottom"/>
          </w:tcPr>
          <w:p>
            <w:pPr>
              <w:spacing w:after="0"/>
              <w:rPr>
                <w:sz w:val="10"/>
                <w:szCs w:val="10"/>
                <w:color w:val="auto"/>
              </w:rPr>
            </w:pPr>
          </w:p>
        </w:tc>
        <w:tc>
          <w:tcPr>
            <w:tcW w:w="980" w:type="dxa"/>
            <w:vAlign w:val="bottom"/>
            <w:gridSpan w:val="2"/>
          </w:tcPr>
          <w:p>
            <w:pPr>
              <w:jc w:val="center"/>
              <w:ind w:right="220"/>
              <w:spacing w:after="0" w:line="125" w:lineRule="exact"/>
              <w:rPr>
                <w:sz w:val="20"/>
                <w:szCs w:val="20"/>
                <w:color w:val="auto"/>
              </w:rPr>
            </w:pPr>
            <w:r>
              <w:rPr>
                <w:rFonts w:ascii="Arial" w:cs="Arial" w:eastAsia="Arial" w:hAnsi="Arial"/>
                <w:sz w:val="13"/>
                <w:szCs w:val="13"/>
                <w:b w:val="1"/>
                <w:bCs w:val="1"/>
                <w:color w:val="auto"/>
                <w:w w:val="91"/>
              </w:rPr>
              <w:t>Repurchase</w:t>
            </w:r>
          </w:p>
        </w:tc>
        <w:tc>
          <w:tcPr>
            <w:tcW w:w="14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900" w:type="dxa"/>
            <w:vAlign w:val="bottom"/>
            <w:gridSpan w:val="2"/>
            <w:vMerge w:val="restart"/>
          </w:tcPr>
          <w:p>
            <w:pPr>
              <w:ind w:left="140"/>
              <w:spacing w:after="0"/>
              <w:rPr>
                <w:sz w:val="20"/>
                <w:szCs w:val="20"/>
                <w:color w:val="auto"/>
              </w:rPr>
            </w:pPr>
            <w:r>
              <w:rPr>
                <w:rFonts w:ascii="Arial" w:cs="Arial" w:eastAsia="Arial" w:hAnsi="Arial"/>
                <w:sz w:val="13"/>
                <w:szCs w:val="13"/>
                <w:b w:val="1"/>
                <w:bCs w:val="1"/>
                <w:color w:val="auto"/>
              </w:rPr>
              <w:t>Total</w:t>
            </w:r>
          </w:p>
        </w:tc>
        <w:tc>
          <w:tcPr>
            <w:tcW w:w="140" w:type="dxa"/>
            <w:vAlign w:val="bottom"/>
          </w:tcPr>
          <w:p>
            <w:pPr>
              <w:spacing w:after="0"/>
              <w:rPr>
                <w:sz w:val="10"/>
                <w:szCs w:val="10"/>
                <w:color w:val="auto"/>
              </w:rPr>
            </w:pPr>
          </w:p>
        </w:tc>
        <w:tc>
          <w:tcPr>
            <w:tcW w:w="980" w:type="dxa"/>
            <w:vAlign w:val="bottom"/>
            <w:gridSpan w:val="2"/>
          </w:tcPr>
          <w:p>
            <w:pPr>
              <w:jc w:val="center"/>
              <w:ind w:right="220"/>
              <w:spacing w:after="0" w:line="125" w:lineRule="exact"/>
              <w:rPr>
                <w:sz w:val="20"/>
                <w:szCs w:val="20"/>
                <w:color w:val="auto"/>
              </w:rPr>
            </w:pPr>
            <w:r>
              <w:rPr>
                <w:rFonts w:ascii="Arial" w:cs="Arial" w:eastAsia="Arial" w:hAnsi="Arial"/>
                <w:sz w:val="13"/>
                <w:szCs w:val="13"/>
                <w:b w:val="1"/>
                <w:bCs w:val="1"/>
                <w:color w:val="auto"/>
                <w:w w:val="91"/>
              </w:rPr>
              <w:t>Repurchase</w:t>
            </w:r>
          </w:p>
        </w:tc>
        <w:tc>
          <w:tcPr>
            <w:tcW w:w="14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vMerge w:val="restart"/>
          </w:tcPr>
          <w:p>
            <w:pPr>
              <w:jc w:val="right"/>
              <w:ind w:right="293"/>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4"/>
        </w:trPr>
        <w:tc>
          <w:tcPr>
            <w:tcW w:w="23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Agreements</w:t>
            </w:r>
          </w:p>
        </w:tc>
        <w:tc>
          <w:tcPr>
            <w:tcW w:w="14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Agreements</w:t>
            </w:r>
          </w:p>
        </w:tc>
        <w:tc>
          <w:tcPr>
            <w:tcW w:w="120" w:type="dxa"/>
            <w:vAlign w:val="bottom"/>
          </w:tcPr>
          <w:p>
            <w:pPr>
              <w:spacing w:after="0"/>
              <w:rPr>
                <w:sz w:val="15"/>
                <w:szCs w:val="15"/>
                <w:color w:val="auto"/>
              </w:rPr>
            </w:pPr>
          </w:p>
        </w:tc>
        <w:tc>
          <w:tcPr>
            <w:tcW w:w="920" w:type="dxa"/>
            <w:vAlign w:val="bottom"/>
          </w:tcPr>
          <w:p>
            <w:pPr>
              <w:jc w:val="right"/>
              <w:ind w:right="133"/>
              <w:spacing w:after="0"/>
              <w:rPr>
                <w:sz w:val="20"/>
                <w:szCs w:val="20"/>
                <w:color w:val="auto"/>
              </w:rPr>
            </w:pPr>
            <w:r>
              <w:rPr>
                <w:rFonts w:ascii="Arial" w:cs="Arial" w:eastAsia="Arial" w:hAnsi="Arial"/>
                <w:sz w:val="13"/>
                <w:szCs w:val="13"/>
                <w:b w:val="1"/>
                <w:bCs w:val="1"/>
                <w:color w:val="auto"/>
                <w:w w:val="93"/>
              </w:rPr>
              <w:t>Agreements</w:t>
            </w:r>
          </w:p>
        </w:tc>
        <w:tc>
          <w:tcPr>
            <w:tcW w:w="30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Agreements</w:t>
            </w:r>
          </w:p>
        </w:tc>
        <w:tc>
          <w:tcPr>
            <w:tcW w:w="140" w:type="dxa"/>
            <w:vAlign w:val="bottom"/>
          </w:tcPr>
          <w:p>
            <w:pPr>
              <w:spacing w:after="0"/>
              <w:rPr>
                <w:sz w:val="15"/>
                <w:szCs w:val="15"/>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Agreements</w:t>
            </w:r>
          </w:p>
        </w:tc>
        <w:tc>
          <w:tcPr>
            <w:tcW w:w="120" w:type="dxa"/>
            <w:vAlign w:val="bottom"/>
          </w:tcPr>
          <w:p>
            <w:pPr>
              <w:spacing w:after="0"/>
              <w:rPr>
                <w:sz w:val="15"/>
                <w:szCs w:val="15"/>
                <w:color w:val="auto"/>
              </w:rPr>
            </w:pPr>
          </w:p>
        </w:tc>
        <w:tc>
          <w:tcPr>
            <w:tcW w:w="920" w:type="dxa"/>
            <w:vAlign w:val="bottom"/>
          </w:tcPr>
          <w:p>
            <w:pPr>
              <w:jc w:val="right"/>
              <w:ind w:right="133"/>
              <w:spacing w:after="0"/>
              <w:rPr>
                <w:sz w:val="20"/>
                <w:szCs w:val="20"/>
                <w:color w:val="auto"/>
              </w:rPr>
            </w:pPr>
            <w:r>
              <w:rPr>
                <w:rFonts w:ascii="Arial" w:cs="Arial" w:eastAsia="Arial" w:hAnsi="Arial"/>
                <w:sz w:val="13"/>
                <w:szCs w:val="13"/>
                <w:b w:val="1"/>
                <w:bCs w:val="1"/>
                <w:color w:val="auto"/>
                <w:w w:val="93"/>
              </w:rPr>
              <w:t>Agreements</w:t>
            </w:r>
          </w:p>
        </w:tc>
        <w:tc>
          <w:tcPr>
            <w:tcW w:w="3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220" w:type="dxa"/>
            <w:vAlign w:val="bottom"/>
            <w:tcBorders>
              <w:top w:val="single" w:sz="8" w:color="auto"/>
            </w:tcBorders>
            <w:shd w:val="clear" w:color="auto" w:fill="CCEEFF"/>
          </w:tcPr>
          <w:p>
            <w:pPr>
              <w:ind w:left="20"/>
              <w:spacing w:after="0" w:line="169" w:lineRule="exact"/>
              <w:rPr>
                <w:sz w:val="20"/>
                <w:szCs w:val="20"/>
                <w:color w:val="auto"/>
              </w:rPr>
            </w:pPr>
            <w:r>
              <w:rPr>
                <w:rFonts w:ascii="Arial" w:cs="Arial" w:eastAsia="Arial" w:hAnsi="Arial"/>
                <w:sz w:val="13"/>
                <w:szCs w:val="13"/>
                <w:color w:val="auto"/>
              </w:rPr>
              <w:t xml:space="preserve">U.S. Treasury securities - fair value </w:t>
            </w:r>
            <w:r>
              <w:rPr>
                <w:rFonts w:ascii="Arial" w:cs="Arial" w:eastAsia="Arial" w:hAnsi="Arial"/>
                <w:sz w:val="17"/>
                <w:szCs w:val="17"/>
                <w:b w:val="1"/>
                <w:bCs w:val="1"/>
                <w:color w:val="auto"/>
                <w:vertAlign w:val="superscript"/>
              </w:rPr>
              <w:t>1</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13,023</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13</w:t>
            </w:r>
          </w:p>
        </w:tc>
        <w:tc>
          <w:tcPr>
            <w:tcW w:w="30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13,036</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11,727</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tcBorders>
              <w:top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13</w:t>
            </w:r>
          </w:p>
        </w:tc>
        <w:tc>
          <w:tcPr>
            <w:tcW w:w="30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11,740</w:t>
            </w:r>
          </w:p>
        </w:tc>
        <w:tc>
          <w:tcPr>
            <w:tcW w:w="0" w:type="dxa"/>
            <w:vAlign w:val="bottom"/>
          </w:tcPr>
          <w:p>
            <w:pPr>
              <w:spacing w:after="0"/>
              <w:rPr>
                <w:sz w:val="1"/>
                <w:szCs w:val="1"/>
                <w:color w:val="auto"/>
              </w:rPr>
            </w:pPr>
          </w:p>
        </w:tc>
      </w:tr>
      <w:tr>
        <w:trPr>
          <w:trHeight w:val="172"/>
        </w:trPr>
        <w:tc>
          <w:tcPr>
            <w:tcW w:w="2320" w:type="dxa"/>
            <w:vAlign w:val="bottom"/>
            <w:gridSpan w:val="2"/>
          </w:tcPr>
          <w:p>
            <w:pPr>
              <w:ind w:left="20"/>
              <w:spacing w:after="0"/>
              <w:rPr>
                <w:sz w:val="20"/>
                <w:szCs w:val="20"/>
                <w:color w:val="auto"/>
              </w:rPr>
            </w:pPr>
            <w:r>
              <w:rPr>
                <w:rFonts w:ascii="Arial" w:cs="Arial" w:eastAsia="Arial" w:hAnsi="Arial"/>
                <w:sz w:val="13"/>
                <w:szCs w:val="13"/>
                <w:color w:val="auto"/>
              </w:rPr>
              <w:t>Cash</w:t>
            </w:r>
          </w:p>
        </w:tc>
        <w:tc>
          <w:tcPr>
            <w:tcW w:w="14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314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ind w:right="13"/>
              <w:spacing w:after="0"/>
              <w:rPr>
                <w:sz w:val="20"/>
                <w:szCs w:val="20"/>
                <w:color w:val="auto"/>
              </w:rPr>
            </w:pPr>
            <w:r>
              <w:rPr>
                <w:rFonts w:ascii="Arial" w:cs="Arial" w:eastAsia="Arial" w:hAnsi="Arial"/>
                <w:sz w:val="13"/>
                <w:szCs w:val="13"/>
                <w:color w:val="auto"/>
              </w:rPr>
              <w:t>1</w:t>
            </w: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315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107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ind w:right="13"/>
              <w:spacing w:after="0"/>
              <w:rPr>
                <w:sz w:val="20"/>
                <w:szCs w:val="20"/>
                <w:color w:val="auto"/>
              </w:rPr>
            </w:pPr>
            <w:r>
              <w:rPr>
                <w:rFonts w:ascii="Arial" w:cs="Arial" w:eastAsia="Arial" w:hAnsi="Arial"/>
                <w:sz w:val="13"/>
                <w:szCs w:val="13"/>
                <w:color w:val="auto"/>
              </w:rPr>
              <w:t>3</w:t>
            </w:r>
          </w:p>
        </w:tc>
        <w:tc>
          <w:tcPr>
            <w:tcW w:w="3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110</w:t>
            </w:r>
          </w:p>
        </w:tc>
        <w:tc>
          <w:tcPr>
            <w:tcW w:w="0" w:type="dxa"/>
            <w:vAlign w:val="bottom"/>
          </w:tcPr>
          <w:p>
            <w:pPr>
              <w:spacing w:after="0"/>
              <w:rPr>
                <w:sz w:val="1"/>
                <w:szCs w:val="1"/>
                <w:color w:val="auto"/>
              </w:rPr>
            </w:pPr>
          </w:p>
        </w:tc>
      </w:tr>
      <w:tr>
        <w:trPr>
          <w:trHeight w:val="196"/>
        </w:trPr>
        <w:tc>
          <w:tcPr>
            <w:tcW w:w="2320" w:type="dxa"/>
            <w:vAlign w:val="bottom"/>
            <w:tcBorders>
              <w:top w:val="single" w:sz="8" w:color="CCEEFF"/>
              <w:bottom w:val="single" w:sz="8" w:color="CCEEFF"/>
            </w:tcBorders>
            <w:gridSpan w:val="2"/>
            <w:shd w:val="clear" w:color="auto" w:fill="CCEEFF"/>
          </w:tcPr>
          <w:p>
            <w:pPr>
              <w:ind w:left="160"/>
              <w:spacing w:after="0" w:line="171" w:lineRule="exact"/>
              <w:rPr>
                <w:sz w:val="20"/>
                <w:szCs w:val="20"/>
                <w:color w:val="auto"/>
              </w:rPr>
            </w:pPr>
            <w:r>
              <w:rPr>
                <w:rFonts w:ascii="Arial" w:cs="Arial" w:eastAsia="Arial" w:hAnsi="Arial"/>
                <w:sz w:val="15"/>
                <w:szCs w:val="15"/>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13,023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14</w:t>
            </w:r>
          </w:p>
        </w:tc>
        <w:tc>
          <w:tcPr>
            <w:tcW w:w="30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13,351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11,727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16</w:t>
            </w:r>
          </w:p>
        </w:tc>
        <w:tc>
          <w:tcPr>
            <w:tcW w:w="30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11,850</w:t>
            </w:r>
          </w:p>
        </w:tc>
        <w:tc>
          <w:tcPr>
            <w:tcW w:w="0" w:type="dxa"/>
            <w:vAlign w:val="bottom"/>
          </w:tcPr>
          <w:p>
            <w:pPr>
              <w:spacing w:after="0"/>
              <w:rPr>
                <w:sz w:val="1"/>
                <w:szCs w:val="1"/>
                <w:color w:val="auto"/>
              </w:rPr>
            </w:pP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w:t>
      </w:r>
    </w:p>
    <w:p>
      <w:pPr>
        <w:spacing w:after="0" w:line="1" w:lineRule="exact"/>
        <w:rPr>
          <w:sz w:val="20"/>
          <w:szCs w:val="20"/>
          <w:color w:val="auto"/>
        </w:rPr>
      </w:pPr>
    </w:p>
    <w:p>
      <w:pPr>
        <w:ind w:left="600" w:hanging="300"/>
        <w:spacing w:after="0" w:line="255" w:lineRule="auto"/>
        <w:tabs>
          <w:tab w:leader="none" w:pos="600" w:val="left"/>
        </w:tabs>
        <w:numPr>
          <w:ilvl w:val="0"/>
          <w:numId w:val="13"/>
        </w:numPr>
        <w:rPr>
          <w:rFonts w:ascii="Arial" w:cs="Arial" w:eastAsia="Arial" w:hAnsi="Arial"/>
          <w:sz w:val="13"/>
          <w:szCs w:val="13"/>
          <w:color w:val="auto"/>
        </w:rPr>
      </w:pPr>
      <w:r>
        <w:rPr>
          <w:rFonts w:ascii="Arial" w:cs="Arial" w:eastAsia="Arial" w:hAnsi="Arial"/>
          <w:sz w:val="13"/>
          <w:szCs w:val="13"/>
          <w:color w:val="auto"/>
        </w:rPr>
        <w:t>As of June 30, 2021, $0.6 billion of U.S. Treasury securities received from counterparties were repledged as collateral. As of June 30, 2021 and December 31, 2020, $10.9 billion and $11.7 billion, respectively, of U.S. Treasury securities received from counterparties were used to cover short sales of U.S. Treasury securities.</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Offsetting Assets and Liabilities</w:t>
      </w:r>
    </w:p>
    <w:p>
      <w:pPr>
        <w:spacing w:after="0" w:line="154" w:lineRule="exact"/>
        <w:rPr>
          <w:sz w:val="20"/>
          <w:szCs w:val="20"/>
          <w:color w:val="auto"/>
        </w:rPr>
      </w:pPr>
    </w:p>
    <w:p>
      <w:pPr>
        <w:jc w:val="both"/>
        <w:ind w:firstLine="412"/>
        <w:spacing w:after="0" w:line="296" w:lineRule="auto"/>
        <w:rPr>
          <w:sz w:val="20"/>
          <w:szCs w:val="20"/>
          <w:color w:val="auto"/>
        </w:rPr>
      </w:pPr>
      <w:r>
        <w:rPr>
          <w:rFonts w:ascii="Arial" w:cs="Arial" w:eastAsia="Arial" w:hAnsi="Arial"/>
          <w:sz w:val="15"/>
          <w:szCs w:val="15"/>
          <w:color w:val="auto"/>
        </w:rPr>
        <w:t>Certain of our repurchase agreements and derivative transactions are governed by underlying agreements that generally provide for a right of setoff under master netting arrangements (or similar agreements), including in the event of default or in the event of bankruptcy of either party to the transactions. We present our assets and liabilities subject to such arrangements on a gross basis in our consolidated balance sheets. The following tables present information about our assets and liabilities that are subject to master netting arrangements and can potentially be offset on our consolidated balance sheets as of June 30, 2021 and December 31, 2020 (in millions):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740" w:type="dxa"/>
            <w:vAlign w:val="bottom"/>
            <w:tcBorders>
              <w:bottom w:val="single" w:sz="8" w:color="auto"/>
            </w:tcBorders>
            <w:gridSpan w:val="8"/>
          </w:tcPr>
          <w:p>
            <w:pPr>
              <w:jc w:val="right"/>
              <w:ind w:right="93"/>
              <w:spacing w:after="0"/>
              <w:rPr>
                <w:sz w:val="20"/>
                <w:szCs w:val="20"/>
                <w:color w:val="auto"/>
              </w:rPr>
            </w:pPr>
            <w:r>
              <w:rPr>
                <w:rFonts w:ascii="Arial" w:cs="Arial" w:eastAsia="Arial" w:hAnsi="Arial"/>
                <w:sz w:val="13"/>
                <w:szCs w:val="13"/>
                <w:b w:val="1"/>
                <w:bCs w:val="1"/>
                <w:color w:val="auto"/>
                <w:w w:val="92"/>
              </w:rPr>
              <w:t>Offsetting of Financial and Derivative Assets</w:t>
            </w: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4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300" w:type="dxa"/>
            <w:vAlign w:val="bottom"/>
            <w:gridSpan w:val="5"/>
          </w:tcPr>
          <w:p>
            <w:pPr>
              <w:jc w:val="center"/>
              <w:ind w:right="240"/>
              <w:spacing w:after="0"/>
              <w:rPr>
                <w:sz w:val="20"/>
                <w:szCs w:val="20"/>
                <w:color w:val="auto"/>
              </w:rPr>
            </w:pPr>
            <w:r>
              <w:rPr>
                <w:rFonts w:ascii="Arial" w:cs="Arial" w:eastAsia="Arial" w:hAnsi="Arial"/>
                <w:sz w:val="13"/>
                <w:szCs w:val="13"/>
                <w:b w:val="1"/>
                <w:bCs w:val="1"/>
                <w:color w:val="auto"/>
                <w:w w:val="91"/>
              </w:rPr>
              <w:t>Gross Amounts Not Offset</w:t>
            </w: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4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60" w:type="dxa"/>
            <w:vAlign w:val="bottom"/>
            <w:gridSpan w:val="3"/>
          </w:tcPr>
          <w:p>
            <w:pPr>
              <w:jc w:val="center"/>
              <w:ind w:left="713"/>
              <w:spacing w:after="0" w:line="125" w:lineRule="exact"/>
              <w:rPr>
                <w:sz w:val="20"/>
                <w:szCs w:val="20"/>
                <w:color w:val="auto"/>
              </w:rPr>
            </w:pPr>
            <w:r>
              <w:rPr>
                <w:rFonts w:ascii="Arial" w:cs="Arial" w:eastAsia="Arial" w:hAnsi="Arial"/>
                <w:sz w:val="13"/>
                <w:szCs w:val="13"/>
                <w:b w:val="1"/>
                <w:bCs w:val="1"/>
                <w:color w:val="auto"/>
                <w:w w:val="92"/>
              </w:rPr>
              <w:t>in the</w:t>
            </w: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4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2"/>
              </w:rPr>
              <w:t>Net Amounts of</w:t>
            </w:r>
          </w:p>
        </w:tc>
        <w:tc>
          <w:tcPr>
            <w:tcW w:w="160" w:type="dxa"/>
            <w:vAlign w:val="bottom"/>
          </w:tcPr>
          <w:p>
            <w:pPr>
              <w:spacing w:after="0"/>
              <w:rPr>
                <w:sz w:val="15"/>
                <w:szCs w:val="15"/>
                <w:color w:val="auto"/>
              </w:rPr>
            </w:pPr>
          </w:p>
        </w:tc>
        <w:tc>
          <w:tcPr>
            <w:tcW w:w="2300" w:type="dxa"/>
            <w:vAlign w:val="bottom"/>
            <w:gridSpan w:val="5"/>
          </w:tcPr>
          <w:p>
            <w:pPr>
              <w:jc w:val="center"/>
              <w:ind w:right="260"/>
              <w:spacing w:after="0"/>
              <w:rPr>
                <w:sz w:val="20"/>
                <w:szCs w:val="20"/>
                <w:color w:val="auto"/>
              </w:rPr>
            </w:pPr>
            <w:r>
              <w:rPr>
                <w:rFonts w:ascii="Arial" w:cs="Arial" w:eastAsia="Arial" w:hAnsi="Arial"/>
                <w:sz w:val="13"/>
                <w:szCs w:val="13"/>
                <w:b w:val="1"/>
                <w:bCs w:val="1"/>
                <w:color w:val="auto"/>
                <w:w w:val="90"/>
              </w:rPr>
              <w:t>Consolidated Balance Sheets</w:t>
            </w: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4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gridSpan w:val="3"/>
            <w:vMerge w:val="restart"/>
          </w:tcPr>
          <w:p>
            <w:pPr>
              <w:jc w:val="center"/>
              <w:ind w:right="100"/>
              <w:spacing w:after="0"/>
              <w:rPr>
                <w:sz w:val="20"/>
                <w:szCs w:val="20"/>
                <w:color w:val="auto"/>
              </w:rPr>
            </w:pPr>
            <w:r>
              <w:rPr>
                <w:rFonts w:ascii="Arial" w:cs="Arial" w:eastAsia="Arial" w:hAnsi="Arial"/>
                <w:sz w:val="13"/>
                <w:szCs w:val="13"/>
                <w:b w:val="1"/>
                <w:bCs w:val="1"/>
                <w:color w:val="auto"/>
                <w:w w:val="90"/>
              </w:rPr>
              <w:t>Gross Amounts</w:t>
            </w:r>
          </w:p>
        </w:tc>
        <w:tc>
          <w:tcPr>
            <w:tcW w:w="100" w:type="dxa"/>
            <w:vAlign w:val="bottom"/>
          </w:tcPr>
          <w:p>
            <w:pPr>
              <w:spacing w:after="0"/>
              <w:rPr>
                <w:sz w:val="9"/>
                <w:szCs w:val="9"/>
                <w:color w:val="auto"/>
              </w:rPr>
            </w:pPr>
          </w:p>
        </w:tc>
        <w:tc>
          <w:tcPr>
            <w:tcW w:w="1000" w:type="dxa"/>
            <w:vAlign w:val="bottom"/>
          </w:tcPr>
          <w:p>
            <w:pPr>
              <w:jc w:val="center"/>
              <w:ind w:right="54"/>
              <w:spacing w:after="0" w:line="105" w:lineRule="exact"/>
              <w:rPr>
                <w:sz w:val="20"/>
                <w:szCs w:val="20"/>
                <w:color w:val="auto"/>
              </w:rPr>
            </w:pPr>
            <w:r>
              <w:rPr>
                <w:rFonts w:ascii="Arial" w:cs="Arial" w:eastAsia="Arial" w:hAnsi="Arial"/>
                <w:sz w:val="12"/>
                <w:szCs w:val="12"/>
                <w:b w:val="1"/>
                <w:bCs w:val="1"/>
                <w:color w:val="auto"/>
                <w:w w:val="97"/>
              </w:rPr>
              <w:t>Gross Amounts</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40" w:type="dxa"/>
            <w:vAlign w:val="bottom"/>
            <w:gridSpan w:val="2"/>
          </w:tcPr>
          <w:p>
            <w:pPr>
              <w:jc w:val="center"/>
              <w:ind w:right="160"/>
              <w:spacing w:after="0" w:line="105" w:lineRule="exact"/>
              <w:rPr>
                <w:sz w:val="20"/>
                <w:szCs w:val="20"/>
                <w:color w:val="auto"/>
              </w:rPr>
            </w:pPr>
            <w:r>
              <w:rPr>
                <w:rFonts w:ascii="Arial" w:cs="Arial" w:eastAsia="Arial" w:hAnsi="Arial"/>
                <w:sz w:val="12"/>
                <w:szCs w:val="12"/>
                <w:b w:val="1"/>
                <w:bCs w:val="1"/>
                <w:color w:val="auto"/>
                <w:w w:val="93"/>
              </w:rPr>
              <w:t>Assets Presented</w:t>
            </w:r>
          </w:p>
        </w:tc>
        <w:tc>
          <w:tcPr>
            <w:tcW w:w="16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4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jc w:val="center"/>
              <w:ind w:right="34"/>
              <w:spacing w:after="0" w:line="125" w:lineRule="exact"/>
              <w:rPr>
                <w:sz w:val="20"/>
                <w:szCs w:val="20"/>
                <w:color w:val="auto"/>
              </w:rPr>
            </w:pPr>
            <w:r>
              <w:rPr>
                <w:rFonts w:ascii="Arial" w:cs="Arial" w:eastAsia="Arial" w:hAnsi="Arial"/>
                <w:sz w:val="13"/>
                <w:szCs w:val="13"/>
                <w:b w:val="1"/>
                <w:bCs w:val="1"/>
                <w:color w:val="auto"/>
                <w:w w:val="92"/>
              </w:rPr>
              <w:t>Offset in the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gridSpan w:val="2"/>
          </w:tcPr>
          <w:p>
            <w:pPr>
              <w:jc w:val="center"/>
              <w:ind w:right="180"/>
              <w:spacing w:after="0" w:line="125" w:lineRule="exact"/>
              <w:rPr>
                <w:sz w:val="20"/>
                <w:szCs w:val="20"/>
                <w:color w:val="auto"/>
              </w:rPr>
            </w:pPr>
            <w:r>
              <w:rPr>
                <w:rFonts w:ascii="Arial" w:cs="Arial" w:eastAsia="Arial" w:hAnsi="Arial"/>
                <w:sz w:val="13"/>
                <w:szCs w:val="13"/>
                <w:b w:val="1"/>
                <w:bCs w:val="1"/>
                <w:color w:val="auto"/>
                <w:w w:val="92"/>
              </w:rPr>
              <w:t>in the</w:t>
            </w:r>
          </w:p>
        </w:tc>
        <w:tc>
          <w:tcPr>
            <w:tcW w:w="160" w:type="dxa"/>
            <w:vAlign w:val="bottom"/>
          </w:tcPr>
          <w:p>
            <w:pPr>
              <w:spacing w:after="0"/>
              <w:rPr>
                <w:sz w:val="10"/>
                <w:szCs w:val="10"/>
                <w:color w:val="auto"/>
              </w:rPr>
            </w:pPr>
          </w:p>
        </w:tc>
        <w:tc>
          <w:tcPr>
            <w:tcW w:w="108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95"/>
              </w:rPr>
              <w:t>Financial</w:t>
            </w:r>
          </w:p>
        </w:tc>
        <w:tc>
          <w:tcPr>
            <w:tcW w:w="180" w:type="dxa"/>
            <w:vAlign w:val="bottom"/>
          </w:tcPr>
          <w:p>
            <w:pPr>
              <w:spacing w:after="0"/>
              <w:rPr>
                <w:sz w:val="10"/>
                <w:szCs w:val="10"/>
                <w:color w:val="auto"/>
              </w:rPr>
            </w:pPr>
          </w:p>
        </w:tc>
        <w:tc>
          <w:tcPr>
            <w:tcW w:w="104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Collateral</w:t>
            </w: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4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gridSpan w:val="2"/>
          </w:tcPr>
          <w:p>
            <w:pPr>
              <w:jc w:val="center"/>
              <w:ind w:right="200"/>
              <w:spacing w:after="0" w:line="125" w:lineRule="exact"/>
              <w:rPr>
                <w:sz w:val="20"/>
                <w:szCs w:val="20"/>
                <w:color w:val="auto"/>
              </w:rPr>
            </w:pPr>
            <w:r>
              <w:rPr>
                <w:rFonts w:ascii="Arial" w:cs="Arial" w:eastAsia="Arial" w:hAnsi="Arial"/>
                <w:sz w:val="13"/>
                <w:szCs w:val="13"/>
                <w:b w:val="1"/>
                <w:bCs w:val="1"/>
                <w:color w:val="auto"/>
                <w:w w:val="87"/>
              </w:rPr>
              <w:t>of Recognized</w:t>
            </w:r>
          </w:p>
        </w:tc>
        <w:tc>
          <w:tcPr>
            <w:tcW w:w="100" w:type="dxa"/>
            <w:vAlign w:val="bottom"/>
          </w:tcPr>
          <w:p>
            <w:pPr>
              <w:spacing w:after="0"/>
              <w:rPr>
                <w:sz w:val="10"/>
                <w:szCs w:val="10"/>
                <w:color w:val="auto"/>
              </w:rPr>
            </w:pPr>
          </w:p>
        </w:tc>
        <w:tc>
          <w:tcPr>
            <w:tcW w:w="1000" w:type="dxa"/>
            <w:vAlign w:val="bottom"/>
          </w:tcPr>
          <w:p>
            <w:pPr>
              <w:jc w:val="center"/>
              <w:ind w:right="34"/>
              <w:spacing w:after="0" w:line="125" w:lineRule="exact"/>
              <w:rPr>
                <w:sz w:val="20"/>
                <w:szCs w:val="20"/>
                <w:color w:val="auto"/>
              </w:rPr>
            </w:pPr>
            <w:r>
              <w:rPr>
                <w:rFonts w:ascii="Arial" w:cs="Arial" w:eastAsia="Arial" w:hAnsi="Arial"/>
                <w:sz w:val="13"/>
                <w:szCs w:val="13"/>
                <w:b w:val="1"/>
                <w:bCs w:val="1"/>
                <w:color w:val="auto"/>
                <w:w w:val="89"/>
              </w:rPr>
              <w:t>Consolidated</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gridSpan w:val="2"/>
          </w:tcPr>
          <w:p>
            <w:pPr>
              <w:jc w:val="center"/>
              <w:ind w:right="160"/>
              <w:spacing w:after="0" w:line="125" w:lineRule="exact"/>
              <w:rPr>
                <w:sz w:val="20"/>
                <w:szCs w:val="20"/>
                <w:color w:val="auto"/>
              </w:rPr>
            </w:pPr>
            <w:r>
              <w:rPr>
                <w:rFonts w:ascii="Arial" w:cs="Arial" w:eastAsia="Arial" w:hAnsi="Arial"/>
                <w:sz w:val="13"/>
                <w:szCs w:val="13"/>
                <w:b w:val="1"/>
                <w:bCs w:val="1"/>
                <w:color w:val="auto"/>
                <w:w w:val="89"/>
              </w:rPr>
              <w:t>Consolidated</w:t>
            </w:r>
          </w:p>
        </w:tc>
        <w:tc>
          <w:tcPr>
            <w:tcW w:w="16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vMerge w:val="restart"/>
          </w:tcPr>
          <w:p>
            <w:pPr>
              <w:jc w:val="right"/>
              <w:ind w:right="113"/>
              <w:spacing w:after="0"/>
              <w:rPr>
                <w:sz w:val="20"/>
                <w:szCs w:val="20"/>
                <w:color w:val="auto"/>
              </w:rPr>
            </w:pPr>
            <w:r>
              <w:rPr>
                <w:rFonts w:ascii="Arial" w:cs="Arial" w:eastAsia="Arial" w:hAnsi="Arial"/>
                <w:sz w:val="13"/>
                <w:szCs w:val="13"/>
                <w:b w:val="1"/>
                <w:bCs w:val="1"/>
                <w:color w:val="auto"/>
                <w:w w:val="97"/>
              </w:rPr>
              <w:t>Net Amount</w:t>
            </w:r>
          </w:p>
        </w:tc>
        <w:tc>
          <w:tcPr>
            <w:tcW w:w="0" w:type="dxa"/>
            <w:vAlign w:val="bottom"/>
          </w:tcPr>
          <w:p>
            <w:pPr>
              <w:spacing w:after="0"/>
              <w:rPr>
                <w:sz w:val="1"/>
                <w:szCs w:val="1"/>
                <w:color w:val="auto"/>
              </w:rPr>
            </w:pPr>
          </w:p>
        </w:tc>
      </w:tr>
      <w:tr>
        <w:trPr>
          <w:trHeight w:val="175"/>
        </w:trPr>
        <w:tc>
          <w:tcPr>
            <w:tcW w:w="4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79"/>
              </w:rPr>
              <w:t>Assets</w:t>
            </w:r>
          </w:p>
        </w:tc>
        <w:tc>
          <w:tcPr>
            <w:tcW w:w="100" w:type="dxa"/>
            <w:vAlign w:val="bottom"/>
          </w:tcPr>
          <w:p>
            <w:pPr>
              <w:spacing w:after="0"/>
              <w:rPr>
                <w:sz w:val="15"/>
                <w:szCs w:val="15"/>
                <w:color w:val="auto"/>
              </w:rPr>
            </w:pPr>
          </w:p>
        </w:tc>
        <w:tc>
          <w:tcPr>
            <w:tcW w:w="1000" w:type="dxa"/>
            <w:vAlign w:val="bottom"/>
          </w:tcPr>
          <w:p>
            <w:pPr>
              <w:jc w:val="center"/>
              <w:ind w:right="34"/>
              <w:spacing w:after="0"/>
              <w:rPr>
                <w:sz w:val="20"/>
                <w:szCs w:val="20"/>
                <w:color w:val="auto"/>
              </w:rPr>
            </w:pPr>
            <w:r>
              <w:rPr>
                <w:rFonts w:ascii="Arial" w:cs="Arial" w:eastAsia="Arial" w:hAnsi="Arial"/>
                <w:sz w:val="13"/>
                <w:szCs w:val="13"/>
                <w:b w:val="1"/>
                <w:bCs w:val="1"/>
                <w:color w:val="auto"/>
                <w:w w:val="89"/>
              </w:rPr>
              <w:t>Balance Sheets</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7"/>
              </w:rPr>
              <w:t>Balance Sheets</w:t>
            </w:r>
          </w:p>
        </w:tc>
        <w:tc>
          <w:tcPr>
            <w:tcW w:w="160" w:type="dxa"/>
            <w:vAlign w:val="bottom"/>
          </w:tcPr>
          <w:p>
            <w:pPr>
              <w:spacing w:after="0"/>
              <w:rPr>
                <w:sz w:val="15"/>
                <w:szCs w:val="15"/>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4"/>
              </w:rPr>
              <w:t>Instruments</w:t>
            </w:r>
          </w:p>
        </w:tc>
        <w:tc>
          <w:tcPr>
            <w:tcW w:w="180" w:type="dxa"/>
            <w:vAlign w:val="bottom"/>
          </w:tcPr>
          <w:p>
            <w:pPr>
              <w:spacing w:after="0"/>
              <w:rPr>
                <w:sz w:val="15"/>
                <w:szCs w:val="15"/>
                <w:color w:val="auto"/>
              </w:rPr>
            </w:pPr>
          </w:p>
        </w:tc>
        <w:tc>
          <w:tcPr>
            <w:tcW w:w="1040" w:type="dxa"/>
            <w:vAlign w:val="bottom"/>
            <w:gridSpan w:val="2"/>
          </w:tcPr>
          <w:p>
            <w:pPr>
              <w:ind w:left="80"/>
              <w:spacing w:after="0" w:line="175" w:lineRule="exact"/>
              <w:rPr>
                <w:sz w:val="20"/>
                <w:szCs w:val="20"/>
                <w:color w:val="auto"/>
              </w:rPr>
            </w:pPr>
            <w:r>
              <w:rPr>
                <w:rFonts w:ascii="Arial" w:cs="Arial" w:eastAsia="Arial" w:hAnsi="Arial"/>
                <w:sz w:val="13"/>
                <w:szCs w:val="13"/>
                <w:b w:val="1"/>
                <w:bCs w:val="1"/>
                <w:color w:val="auto"/>
              </w:rPr>
              <w:t xml:space="preserve">Received </w:t>
            </w:r>
            <w:r>
              <w:rPr>
                <w:rFonts w:ascii="Arial" w:cs="Arial" w:eastAsia="Arial" w:hAnsi="Arial"/>
                <w:sz w:val="17"/>
                <w:szCs w:val="17"/>
                <w:b w:val="1"/>
                <w:bCs w:val="1"/>
                <w:color w:val="auto"/>
                <w:vertAlign w:val="superscript"/>
              </w:rPr>
              <w:t>2</w:t>
            </w:r>
          </w:p>
        </w:tc>
        <w:tc>
          <w:tcPr>
            <w:tcW w:w="14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40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June 30, 2021</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120" w:type="dxa"/>
            <w:vAlign w:val="bottom"/>
            <w:gridSpan w:val="2"/>
          </w:tcPr>
          <w:p>
            <w:pPr>
              <w:ind w:left="120"/>
              <w:spacing w:after="0" w:line="175" w:lineRule="exact"/>
              <w:rPr>
                <w:sz w:val="20"/>
                <w:szCs w:val="20"/>
                <w:color w:val="auto"/>
              </w:rPr>
            </w:pPr>
            <w:r>
              <w:rPr>
                <w:rFonts w:ascii="Arial" w:cs="Arial" w:eastAsia="Arial" w:hAnsi="Arial"/>
                <w:sz w:val="13"/>
                <w:szCs w:val="13"/>
                <w:color w:val="auto"/>
              </w:rPr>
              <w:t xml:space="preserve">Interest rate swap and swaption agreements, at fair value </w:t>
            </w:r>
            <w:r>
              <w:rPr>
                <w:rFonts w:ascii="Arial" w:cs="Arial" w:eastAsia="Arial" w:hAnsi="Arial"/>
                <w:sz w:val="17"/>
                <w:szCs w:val="17"/>
                <w:color w:val="auto"/>
                <w:vertAlign w:val="superscript"/>
              </w:rPr>
              <w:t>1</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294</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Pr>
          <w:p>
            <w:pPr>
              <w:ind w:left="820"/>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294</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08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33"/>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(293)</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75"/>
        </w:trPr>
        <w:tc>
          <w:tcPr>
            <w:tcW w:w="41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TBA securities, at fair value</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ind w:left="8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7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w:t>
            </w:r>
          </w:p>
        </w:tc>
        <w:tc>
          <w:tcPr>
            <w:tcW w:w="0" w:type="dxa"/>
            <w:vAlign w:val="bottom"/>
          </w:tcPr>
          <w:p>
            <w:pPr>
              <w:spacing w:after="0"/>
              <w:rPr>
                <w:sz w:val="1"/>
                <w:szCs w:val="1"/>
                <w:color w:val="auto"/>
              </w:rPr>
            </w:pPr>
          </w:p>
        </w:tc>
      </w:tr>
      <w:tr>
        <w:trPr>
          <w:trHeight w:val="172"/>
        </w:trPr>
        <w:tc>
          <w:tcPr>
            <w:tcW w:w="4120" w:type="dxa"/>
            <w:vAlign w:val="bottom"/>
            <w:tcBorders>
              <w:bottom w:val="single" w:sz="8" w:color="CCEEFF"/>
            </w:tcBorders>
            <w:gridSpan w:val="2"/>
          </w:tcPr>
          <w:p>
            <w:pPr>
              <w:ind w:left="120"/>
              <w:spacing w:after="0"/>
              <w:rPr>
                <w:sz w:val="20"/>
                <w:szCs w:val="20"/>
                <w:color w:val="auto"/>
              </w:rPr>
            </w:pPr>
            <w:r>
              <w:rPr>
                <w:rFonts w:ascii="Arial" w:cs="Arial" w:eastAsia="Arial" w:hAnsi="Arial"/>
                <w:sz w:val="13"/>
                <w:szCs w:val="13"/>
                <w:color w:val="auto"/>
              </w:rPr>
              <w:t>Receivable under reverse repurchase agreements</w:t>
            </w: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11,979</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ind w:left="82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11,979</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(7,216)</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(4,763)</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6"/>
        </w:trPr>
        <w:tc>
          <w:tcPr>
            <w:tcW w:w="41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3"/>
                <w:szCs w:val="13"/>
                <w:color w:val="auto"/>
              </w:rPr>
              <w:t>Total</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12,360</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12,360</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(7,224)</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(5,056)</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80</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4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December 31, 2020</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120" w:type="dxa"/>
            <w:vAlign w:val="bottom"/>
            <w:gridSpan w:val="2"/>
          </w:tcPr>
          <w:p>
            <w:pPr>
              <w:ind w:left="120"/>
              <w:spacing w:after="0" w:line="175" w:lineRule="exact"/>
              <w:rPr>
                <w:sz w:val="20"/>
                <w:szCs w:val="20"/>
                <w:color w:val="auto"/>
              </w:rPr>
            </w:pPr>
            <w:r>
              <w:rPr>
                <w:rFonts w:ascii="Arial" w:cs="Arial" w:eastAsia="Arial" w:hAnsi="Arial"/>
                <w:sz w:val="13"/>
                <w:szCs w:val="13"/>
                <w:color w:val="auto"/>
              </w:rPr>
              <w:t xml:space="preserve">Interest rate swap and swaption agreements, at fair value </w:t>
            </w:r>
            <w:r>
              <w:rPr>
                <w:rFonts w:ascii="Arial" w:cs="Arial" w:eastAsia="Arial" w:hAnsi="Arial"/>
                <w:sz w:val="17"/>
                <w:szCs w:val="17"/>
                <w:color w:val="auto"/>
                <w:vertAlign w:val="superscript"/>
              </w:rPr>
              <w:t>1</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116</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Pr>
          <w:p>
            <w:pPr>
              <w:ind w:left="820"/>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116</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08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33"/>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(105)</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75"/>
        </w:trPr>
        <w:tc>
          <w:tcPr>
            <w:tcW w:w="412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TBA securities, at fair value</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ind w:left="8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7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275</w:t>
            </w:r>
          </w:p>
        </w:tc>
        <w:tc>
          <w:tcPr>
            <w:tcW w:w="0" w:type="dxa"/>
            <w:vAlign w:val="bottom"/>
          </w:tcPr>
          <w:p>
            <w:pPr>
              <w:spacing w:after="0"/>
              <w:rPr>
                <w:sz w:val="1"/>
                <w:szCs w:val="1"/>
                <w:color w:val="auto"/>
              </w:rPr>
            </w:pPr>
          </w:p>
        </w:tc>
      </w:tr>
      <w:tr>
        <w:trPr>
          <w:trHeight w:val="172"/>
        </w:trPr>
        <w:tc>
          <w:tcPr>
            <w:tcW w:w="4120" w:type="dxa"/>
            <w:vAlign w:val="bottom"/>
            <w:tcBorders>
              <w:bottom w:val="single" w:sz="8" w:color="CCEEFF"/>
            </w:tcBorders>
            <w:gridSpan w:val="2"/>
          </w:tcPr>
          <w:p>
            <w:pPr>
              <w:ind w:left="120"/>
              <w:spacing w:after="0"/>
              <w:rPr>
                <w:sz w:val="20"/>
                <w:szCs w:val="20"/>
                <w:color w:val="auto"/>
              </w:rPr>
            </w:pPr>
            <w:r>
              <w:rPr>
                <w:rFonts w:ascii="Arial" w:cs="Arial" w:eastAsia="Arial" w:hAnsi="Arial"/>
                <w:sz w:val="13"/>
                <w:szCs w:val="13"/>
                <w:color w:val="auto"/>
              </w:rPr>
              <w:t>Receivable under reverse repurchase agreements</w:t>
            </w: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11,748</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ind w:left="82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11,748</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(6,522)</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(5,223)</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96"/>
        </w:trPr>
        <w:tc>
          <w:tcPr>
            <w:tcW w:w="41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3"/>
                <w:szCs w:val="13"/>
                <w:color w:val="auto"/>
              </w:rPr>
              <w:t>Total</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12,139</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12,139</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(6,522)</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w w:val="82"/>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(5,328)</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289</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6280"/>
        <w:spacing w:after="0"/>
        <w:rPr>
          <w:sz w:val="20"/>
          <w:szCs w:val="20"/>
          <w:color w:val="auto"/>
        </w:rPr>
      </w:pPr>
      <w:r>
        <w:rPr>
          <w:rFonts w:ascii="Arial" w:cs="Arial" w:eastAsia="Arial" w:hAnsi="Arial"/>
          <w:sz w:val="13"/>
          <w:szCs w:val="13"/>
          <w:b w:val="1"/>
          <w:bCs w:val="1"/>
          <w:color w:val="auto"/>
        </w:rPr>
        <w:t>Offsetting of Financial and Derivative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2602865</wp:posOffset>
            </wp:positionH>
            <wp:positionV relativeFrom="paragraph">
              <wp:posOffset>20955</wp:posOffset>
            </wp:positionV>
            <wp:extent cx="4515485"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515485" cy="762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0"/>
        <w:spacing w:after="0"/>
        <w:rPr>
          <w:sz w:val="20"/>
          <w:szCs w:val="20"/>
          <w:color w:val="auto"/>
        </w:rPr>
      </w:pPr>
      <w:r>
        <w:rPr>
          <w:rFonts w:ascii="Arial" w:cs="Arial" w:eastAsia="Arial" w:hAnsi="Arial"/>
          <w:sz w:val="13"/>
          <w:szCs w:val="13"/>
          <w:b w:val="1"/>
          <w:bCs w:val="1"/>
          <w:color w:val="auto"/>
        </w:rPr>
        <w:t>June 30, 2021</w:t>
      </w:r>
    </w:p>
    <w:p>
      <w:pPr>
        <w:spacing w:after="0" w:line="29" w:lineRule="exact"/>
        <w:rPr>
          <w:sz w:val="20"/>
          <w:szCs w:val="20"/>
          <w:color w:val="auto"/>
        </w:rPr>
      </w:pPr>
    </w:p>
    <w:p>
      <w:pPr>
        <w:ind w:left="180"/>
        <w:spacing w:after="0"/>
        <w:rPr>
          <w:sz w:val="20"/>
          <w:szCs w:val="20"/>
          <w:color w:val="auto"/>
        </w:rPr>
      </w:pPr>
      <w:r>
        <w:rPr>
          <w:rFonts w:ascii="Arial" w:cs="Arial" w:eastAsia="Arial" w:hAnsi="Arial"/>
          <w:sz w:val="12"/>
          <w:szCs w:val="12"/>
          <w:color w:val="auto"/>
        </w:rPr>
        <w:t>TBA securities, at fair value</w:t>
      </w:r>
    </w:p>
    <w:p>
      <w:pPr>
        <w:spacing w:after="0" w:line="37" w:lineRule="exact"/>
        <w:rPr>
          <w:sz w:val="20"/>
          <w:szCs w:val="20"/>
          <w:color w:val="auto"/>
        </w:rPr>
      </w:pPr>
    </w:p>
    <w:p>
      <w:pPr>
        <w:ind w:left="180"/>
        <w:spacing w:after="0"/>
        <w:rPr>
          <w:sz w:val="20"/>
          <w:szCs w:val="20"/>
          <w:color w:val="auto"/>
        </w:rPr>
      </w:pPr>
      <w:r>
        <w:rPr>
          <w:rFonts w:ascii="Arial" w:cs="Arial" w:eastAsia="Arial" w:hAnsi="Arial"/>
          <w:sz w:val="13"/>
          <w:szCs w:val="13"/>
          <w:color w:val="auto"/>
        </w:rPr>
        <w:t>Repurchase agreements</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3"/>
          <w:szCs w:val="13"/>
          <w:color w:val="auto"/>
        </w:rPr>
        <w:t>Total</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80" w:type="dxa"/>
            <w:vAlign w:val="bottom"/>
            <w:gridSpan w:val="5"/>
          </w:tcPr>
          <w:p>
            <w:pPr>
              <w:jc w:val="center"/>
              <w:ind w:right="240"/>
              <w:spacing w:after="0"/>
              <w:rPr>
                <w:sz w:val="20"/>
                <w:szCs w:val="20"/>
                <w:color w:val="auto"/>
              </w:rPr>
            </w:pPr>
            <w:r>
              <w:rPr>
                <w:rFonts w:ascii="Arial" w:cs="Arial" w:eastAsia="Arial" w:hAnsi="Arial"/>
                <w:sz w:val="13"/>
                <w:szCs w:val="13"/>
                <w:b w:val="1"/>
                <w:bCs w:val="1"/>
                <w:color w:val="auto"/>
                <w:w w:val="92"/>
              </w:rPr>
              <w:t>Gross Amounts Not Offset</w:t>
            </w: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80" w:type="dxa"/>
            <w:vAlign w:val="bottom"/>
            <w:gridSpan w:val="3"/>
          </w:tcPr>
          <w:p>
            <w:pPr>
              <w:jc w:val="center"/>
              <w:ind w:left="593"/>
              <w:spacing w:after="0" w:line="125" w:lineRule="exact"/>
              <w:rPr>
                <w:sz w:val="20"/>
                <w:szCs w:val="20"/>
                <w:color w:val="auto"/>
              </w:rPr>
            </w:pPr>
            <w:r>
              <w:rPr>
                <w:rFonts w:ascii="Arial" w:cs="Arial" w:eastAsia="Arial" w:hAnsi="Arial"/>
                <w:sz w:val="13"/>
                <w:szCs w:val="13"/>
                <w:b w:val="1"/>
                <w:bCs w:val="1"/>
                <w:color w:val="auto"/>
                <w:w w:val="92"/>
              </w:rPr>
              <w:t>in the</w:t>
            </w: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2"/>
              </w:rPr>
              <w:t>Net Amounts of</w:t>
            </w:r>
          </w:p>
        </w:tc>
        <w:tc>
          <w:tcPr>
            <w:tcW w:w="140" w:type="dxa"/>
            <w:vAlign w:val="bottom"/>
          </w:tcPr>
          <w:p>
            <w:pPr>
              <w:spacing w:after="0"/>
              <w:rPr>
                <w:sz w:val="15"/>
                <w:szCs w:val="15"/>
                <w:color w:val="auto"/>
              </w:rPr>
            </w:pPr>
          </w:p>
        </w:tc>
        <w:tc>
          <w:tcPr>
            <w:tcW w:w="2280" w:type="dxa"/>
            <w:vAlign w:val="bottom"/>
            <w:gridSpan w:val="5"/>
          </w:tcPr>
          <w:p>
            <w:pPr>
              <w:jc w:val="center"/>
              <w:ind w:right="240"/>
              <w:spacing w:after="0"/>
              <w:rPr>
                <w:sz w:val="20"/>
                <w:szCs w:val="20"/>
                <w:color w:val="auto"/>
              </w:rPr>
            </w:pPr>
            <w:r>
              <w:rPr>
                <w:rFonts w:ascii="Arial" w:cs="Arial" w:eastAsia="Arial" w:hAnsi="Arial"/>
                <w:sz w:val="13"/>
                <w:szCs w:val="13"/>
                <w:b w:val="1"/>
                <w:bCs w:val="1"/>
                <w:color w:val="auto"/>
                <w:w w:val="90"/>
              </w:rPr>
              <w:t>Consolidated Balance Sheets</w:t>
            </w: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1100" w:type="dxa"/>
            <w:vAlign w:val="bottom"/>
            <w:gridSpan w:val="3"/>
            <w:vMerge w:val="restart"/>
          </w:tcPr>
          <w:p>
            <w:pPr>
              <w:jc w:val="center"/>
              <w:ind w:right="100"/>
              <w:spacing w:after="0"/>
              <w:rPr>
                <w:sz w:val="20"/>
                <w:szCs w:val="20"/>
                <w:color w:val="auto"/>
              </w:rPr>
            </w:pPr>
            <w:r>
              <w:rPr>
                <w:rFonts w:ascii="Arial" w:cs="Arial" w:eastAsia="Arial" w:hAnsi="Arial"/>
                <w:sz w:val="13"/>
                <w:szCs w:val="13"/>
                <w:b w:val="1"/>
                <w:bCs w:val="1"/>
                <w:color w:val="auto"/>
                <w:w w:val="90"/>
              </w:rPr>
              <w:t>Gross Amounts</w:t>
            </w:r>
          </w:p>
        </w:tc>
        <w:tc>
          <w:tcPr>
            <w:tcW w:w="120" w:type="dxa"/>
            <w:vAlign w:val="bottom"/>
          </w:tcPr>
          <w:p>
            <w:pPr>
              <w:spacing w:after="0"/>
              <w:rPr>
                <w:sz w:val="9"/>
                <w:szCs w:val="9"/>
                <w:color w:val="auto"/>
              </w:rPr>
            </w:pPr>
          </w:p>
        </w:tc>
        <w:tc>
          <w:tcPr>
            <w:tcW w:w="1180" w:type="dxa"/>
            <w:vAlign w:val="bottom"/>
            <w:gridSpan w:val="2"/>
          </w:tcPr>
          <w:p>
            <w:pPr>
              <w:jc w:val="center"/>
              <w:ind w:right="220"/>
              <w:spacing w:after="0" w:line="105" w:lineRule="exact"/>
              <w:rPr>
                <w:sz w:val="20"/>
                <w:szCs w:val="20"/>
                <w:color w:val="auto"/>
              </w:rPr>
            </w:pPr>
            <w:r>
              <w:rPr>
                <w:rFonts w:ascii="Arial" w:cs="Arial" w:eastAsia="Arial" w:hAnsi="Arial"/>
                <w:sz w:val="12"/>
                <w:szCs w:val="12"/>
                <w:b w:val="1"/>
                <w:bCs w:val="1"/>
                <w:color w:val="auto"/>
                <w:w w:val="97"/>
              </w:rPr>
              <w:t>Gross Amounts</w:t>
            </w:r>
          </w:p>
        </w:tc>
        <w:tc>
          <w:tcPr>
            <w:tcW w:w="80" w:type="dxa"/>
            <w:vAlign w:val="bottom"/>
          </w:tcPr>
          <w:p>
            <w:pPr>
              <w:spacing w:after="0"/>
              <w:rPr>
                <w:sz w:val="9"/>
                <w:szCs w:val="9"/>
                <w:color w:val="auto"/>
              </w:rPr>
            </w:pPr>
          </w:p>
        </w:tc>
        <w:tc>
          <w:tcPr>
            <w:tcW w:w="1140" w:type="dxa"/>
            <w:vAlign w:val="bottom"/>
            <w:gridSpan w:val="2"/>
          </w:tcPr>
          <w:p>
            <w:pPr>
              <w:jc w:val="center"/>
              <w:ind w:right="180"/>
              <w:spacing w:after="0" w:line="105" w:lineRule="exact"/>
              <w:rPr>
                <w:sz w:val="20"/>
                <w:szCs w:val="20"/>
                <w:color w:val="auto"/>
              </w:rPr>
            </w:pPr>
            <w:r>
              <w:rPr>
                <w:rFonts w:ascii="Arial" w:cs="Arial" w:eastAsia="Arial" w:hAnsi="Arial"/>
                <w:sz w:val="12"/>
                <w:szCs w:val="12"/>
                <w:b w:val="1"/>
                <w:bCs w:val="1"/>
                <w:color w:val="auto"/>
              </w:rPr>
              <w:t>Liabilities</w:t>
            </w:r>
          </w:p>
        </w:tc>
        <w:tc>
          <w:tcPr>
            <w:tcW w:w="14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110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tcPr>
          <w:p>
            <w:pPr>
              <w:jc w:val="center"/>
              <w:ind w:right="240"/>
              <w:spacing w:after="0" w:line="125" w:lineRule="exact"/>
              <w:rPr>
                <w:sz w:val="20"/>
                <w:szCs w:val="20"/>
                <w:color w:val="auto"/>
              </w:rPr>
            </w:pPr>
            <w:r>
              <w:rPr>
                <w:rFonts w:ascii="Arial" w:cs="Arial" w:eastAsia="Arial" w:hAnsi="Arial"/>
                <w:sz w:val="13"/>
                <w:szCs w:val="13"/>
                <w:b w:val="1"/>
                <w:bCs w:val="1"/>
                <w:color w:val="auto"/>
                <w:w w:val="92"/>
              </w:rPr>
              <w:t>Offset in the</w:t>
            </w:r>
          </w:p>
        </w:tc>
        <w:tc>
          <w:tcPr>
            <w:tcW w:w="80" w:type="dxa"/>
            <w:vAlign w:val="bottom"/>
          </w:tcPr>
          <w:p>
            <w:pPr>
              <w:spacing w:after="0"/>
              <w:rPr>
                <w:sz w:val="10"/>
                <w:szCs w:val="10"/>
                <w:color w:val="auto"/>
              </w:rPr>
            </w:pPr>
          </w:p>
        </w:tc>
        <w:tc>
          <w:tcPr>
            <w:tcW w:w="1140" w:type="dxa"/>
            <w:vAlign w:val="bottom"/>
            <w:gridSpan w:val="2"/>
          </w:tcPr>
          <w:p>
            <w:pPr>
              <w:jc w:val="center"/>
              <w:ind w:right="180"/>
              <w:spacing w:after="0" w:line="125" w:lineRule="exact"/>
              <w:rPr>
                <w:sz w:val="20"/>
                <w:szCs w:val="20"/>
                <w:color w:val="auto"/>
              </w:rPr>
            </w:pPr>
            <w:r>
              <w:rPr>
                <w:rFonts w:ascii="Arial" w:cs="Arial" w:eastAsia="Arial" w:hAnsi="Arial"/>
                <w:sz w:val="13"/>
                <w:szCs w:val="13"/>
                <w:b w:val="1"/>
                <w:bCs w:val="1"/>
                <w:color w:val="auto"/>
                <w:w w:val="90"/>
              </w:rPr>
              <w:t>Presented in the</w:t>
            </w:r>
          </w:p>
        </w:tc>
        <w:tc>
          <w:tcPr>
            <w:tcW w:w="1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9"/>
              </w:rPr>
              <w:t>of Recognized</w:t>
            </w:r>
          </w:p>
        </w:tc>
        <w:tc>
          <w:tcPr>
            <w:tcW w:w="120" w:type="dxa"/>
            <w:vAlign w:val="bottom"/>
          </w:tcPr>
          <w:p>
            <w:pPr>
              <w:spacing w:after="0"/>
              <w:rPr>
                <w:sz w:val="15"/>
                <w:szCs w:val="15"/>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Consolidated</w:t>
            </w:r>
          </w:p>
        </w:tc>
        <w:tc>
          <w:tcPr>
            <w:tcW w:w="80" w:type="dxa"/>
            <w:vAlign w:val="bottom"/>
          </w:tcPr>
          <w:p>
            <w:pPr>
              <w:spacing w:after="0"/>
              <w:rPr>
                <w:sz w:val="15"/>
                <w:szCs w:val="15"/>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9"/>
              </w:rPr>
              <w:t>Consolidated</w:t>
            </w:r>
          </w:p>
        </w:tc>
        <w:tc>
          <w:tcPr>
            <w:tcW w:w="140" w:type="dxa"/>
            <w:vAlign w:val="bottom"/>
          </w:tcPr>
          <w:p>
            <w:pPr>
              <w:spacing w:after="0"/>
              <w:rPr>
                <w:sz w:val="15"/>
                <w:szCs w:val="15"/>
                <w:color w:val="auto"/>
              </w:rPr>
            </w:pPr>
          </w:p>
        </w:tc>
        <w:tc>
          <w:tcPr>
            <w:tcW w:w="1020" w:type="dxa"/>
            <w:vAlign w:val="bottom"/>
            <w:gridSpan w:val="2"/>
          </w:tcPr>
          <w:p>
            <w:pPr>
              <w:ind w:left="120"/>
              <w:spacing w:after="0"/>
              <w:rPr>
                <w:sz w:val="20"/>
                <w:szCs w:val="20"/>
                <w:color w:val="auto"/>
              </w:rPr>
            </w:pPr>
            <w:r>
              <w:rPr>
                <w:rFonts w:ascii="Arial" w:cs="Arial" w:eastAsia="Arial" w:hAnsi="Arial"/>
                <w:sz w:val="13"/>
                <w:szCs w:val="13"/>
                <w:b w:val="1"/>
                <w:bCs w:val="1"/>
                <w:color w:val="auto"/>
              </w:rPr>
              <w:t>Financial</w:t>
            </w:r>
          </w:p>
        </w:tc>
        <w:tc>
          <w:tcPr>
            <w:tcW w:w="1260" w:type="dxa"/>
            <w:vAlign w:val="bottom"/>
            <w:gridSpan w:val="3"/>
          </w:tcPr>
          <w:p>
            <w:pPr>
              <w:jc w:val="right"/>
              <w:ind w:right="160"/>
              <w:spacing w:after="0"/>
              <w:rPr>
                <w:sz w:val="20"/>
                <w:szCs w:val="20"/>
                <w:color w:val="auto"/>
              </w:rPr>
            </w:pPr>
            <w:r>
              <w:rPr>
                <w:rFonts w:ascii="Arial" w:cs="Arial" w:eastAsia="Arial" w:hAnsi="Arial"/>
                <w:sz w:val="13"/>
                <w:szCs w:val="13"/>
                <w:b w:val="1"/>
                <w:bCs w:val="1"/>
                <w:color w:val="auto"/>
                <w:w w:val="95"/>
              </w:rPr>
              <w:t>Collateral Pledged</w:t>
            </w:r>
          </w:p>
        </w:tc>
        <w:tc>
          <w:tcPr>
            <w:tcW w:w="140" w:type="dxa"/>
            <w:vAlign w:val="bottom"/>
          </w:tcPr>
          <w:p>
            <w:pPr>
              <w:spacing w:after="0"/>
              <w:rPr>
                <w:sz w:val="15"/>
                <w:szCs w:val="15"/>
                <w:color w:val="auto"/>
              </w:rPr>
            </w:pPr>
          </w:p>
        </w:tc>
        <w:tc>
          <w:tcPr>
            <w:tcW w:w="940" w:type="dxa"/>
            <w:vAlign w:val="bottom"/>
            <w:vMerge w:val="restart"/>
          </w:tcPr>
          <w:p>
            <w:pPr>
              <w:jc w:val="right"/>
              <w:ind w:right="133"/>
              <w:spacing w:after="0"/>
              <w:rPr>
                <w:sz w:val="20"/>
                <w:szCs w:val="20"/>
                <w:color w:val="auto"/>
              </w:rPr>
            </w:pPr>
            <w:r>
              <w:rPr>
                <w:rFonts w:ascii="Arial" w:cs="Arial" w:eastAsia="Arial" w:hAnsi="Arial"/>
                <w:sz w:val="13"/>
                <w:szCs w:val="13"/>
                <w:b w:val="1"/>
                <w:bCs w:val="1"/>
                <w:color w:val="auto"/>
                <w:w w:val="97"/>
              </w:rPr>
              <w:t>Net Amount</w:t>
            </w:r>
          </w:p>
        </w:tc>
        <w:tc>
          <w:tcPr>
            <w:tcW w:w="0" w:type="dxa"/>
            <w:vAlign w:val="bottom"/>
          </w:tcPr>
          <w:p>
            <w:pPr>
              <w:spacing w:after="0"/>
              <w:rPr>
                <w:sz w:val="1"/>
                <w:szCs w:val="1"/>
                <w:color w:val="auto"/>
              </w:rPr>
            </w:pPr>
          </w:p>
        </w:tc>
      </w:tr>
      <w:tr>
        <w:trPr>
          <w:trHeight w:val="125"/>
        </w:trPr>
        <w:tc>
          <w:tcPr>
            <w:tcW w:w="8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center"/>
              <w:ind w:right="33"/>
              <w:spacing w:after="0" w:line="125" w:lineRule="exact"/>
              <w:rPr>
                <w:sz w:val="20"/>
                <w:szCs w:val="20"/>
                <w:color w:val="auto"/>
              </w:rPr>
            </w:pPr>
            <w:r>
              <w:rPr>
                <w:rFonts w:ascii="Arial" w:cs="Arial" w:eastAsia="Arial" w:hAnsi="Arial"/>
                <w:sz w:val="13"/>
                <w:szCs w:val="13"/>
                <w:b w:val="1"/>
                <w:bCs w:val="1"/>
                <w:color w:val="auto"/>
                <w:w w:val="96"/>
              </w:rPr>
              <w:t>Liabilities</w:t>
            </w:r>
          </w:p>
        </w:tc>
        <w:tc>
          <w:tcPr>
            <w:tcW w:w="1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jc w:val="center"/>
              <w:ind w:right="74"/>
              <w:spacing w:after="0" w:line="125" w:lineRule="exact"/>
              <w:rPr>
                <w:sz w:val="20"/>
                <w:szCs w:val="20"/>
                <w:color w:val="auto"/>
              </w:rPr>
            </w:pPr>
            <w:r>
              <w:rPr>
                <w:rFonts w:ascii="Arial" w:cs="Arial" w:eastAsia="Arial" w:hAnsi="Arial"/>
                <w:sz w:val="13"/>
                <w:szCs w:val="13"/>
                <w:b w:val="1"/>
                <w:bCs w:val="1"/>
                <w:color w:val="auto"/>
                <w:w w:val="89"/>
              </w:rPr>
              <w:t>Balance Sheets</w:t>
            </w:r>
          </w:p>
        </w:tc>
        <w:tc>
          <w:tcPr>
            <w:tcW w:w="1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center"/>
              <w:ind w:right="14"/>
              <w:spacing w:after="0" w:line="125" w:lineRule="exact"/>
              <w:rPr>
                <w:sz w:val="20"/>
                <w:szCs w:val="20"/>
                <w:color w:val="auto"/>
              </w:rPr>
            </w:pPr>
            <w:r>
              <w:rPr>
                <w:rFonts w:ascii="Arial" w:cs="Arial" w:eastAsia="Arial" w:hAnsi="Arial"/>
                <w:sz w:val="13"/>
                <w:szCs w:val="13"/>
                <w:b w:val="1"/>
                <w:bCs w:val="1"/>
                <w:color w:val="auto"/>
                <w:w w:val="87"/>
              </w:rPr>
              <w:t>Balance Sheets</w:t>
            </w:r>
          </w:p>
        </w:tc>
        <w:tc>
          <w:tcPr>
            <w:tcW w:w="1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113"/>
              <w:spacing w:after="0" w:line="125" w:lineRule="exact"/>
              <w:rPr>
                <w:sz w:val="20"/>
                <w:szCs w:val="20"/>
                <w:color w:val="auto"/>
              </w:rPr>
            </w:pPr>
            <w:r>
              <w:rPr>
                <w:rFonts w:ascii="Arial" w:cs="Arial" w:eastAsia="Arial" w:hAnsi="Arial"/>
                <w:sz w:val="13"/>
                <w:szCs w:val="13"/>
                <w:b w:val="1"/>
                <w:bCs w:val="1"/>
                <w:color w:val="auto"/>
                <w:w w:val="96"/>
              </w:rPr>
              <w:t>Instruments</w:t>
            </w:r>
          </w:p>
        </w:tc>
        <w:tc>
          <w:tcPr>
            <w:tcW w:w="10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jc w:val="right"/>
              <w:ind w:right="499"/>
              <w:spacing w:after="0"/>
              <w:rPr>
                <w:sz w:val="20"/>
                <w:szCs w:val="20"/>
                <w:color w:val="auto"/>
              </w:rPr>
            </w:pPr>
            <w:r>
              <w:rPr>
                <w:rFonts w:ascii="Arial" w:cs="Arial" w:eastAsia="Arial" w:hAnsi="Arial"/>
                <w:sz w:val="9"/>
                <w:szCs w:val="9"/>
                <w:b w:val="1"/>
                <w:bCs w:val="1"/>
                <w:color w:val="auto"/>
              </w:rPr>
              <w:t>2</w:t>
            </w:r>
          </w:p>
        </w:tc>
        <w:tc>
          <w:tcPr>
            <w:tcW w:w="1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32"/>
        </w:trPr>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tcPr>
          <w:p>
            <w:pPr>
              <w:ind w:left="88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Pr>
          <w:p>
            <w:pPr>
              <w:jc w:val="right"/>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24"/>
                <w:szCs w:val="24"/>
                <w:color w:val="auto"/>
              </w:rPr>
            </w:pPr>
          </w:p>
        </w:tc>
        <w:tc>
          <w:tcPr>
            <w:tcW w:w="360" w:type="dxa"/>
            <w:vAlign w:val="bottom"/>
          </w:tcPr>
          <w:p>
            <w:pPr>
              <w:jc w:val="right"/>
              <w:ind w:right="213"/>
              <w:spacing w:after="0"/>
              <w:rPr>
                <w:sz w:val="20"/>
                <w:szCs w:val="20"/>
                <w:color w:val="auto"/>
              </w:rPr>
            </w:pPr>
            <w:r>
              <w:rPr>
                <w:rFonts w:ascii="Arial" w:cs="Arial" w:eastAsia="Arial" w:hAnsi="Arial"/>
                <w:sz w:val="13"/>
                <w:szCs w:val="13"/>
                <w:color w:val="auto"/>
                <w:w w:val="82"/>
              </w:rPr>
              <w:t>$</w:t>
            </w: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0"/>
        </w:trPr>
        <w:tc>
          <w:tcPr>
            <w:tcW w:w="8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48,737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ind w:left="8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48,737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(7,216)</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(41,520)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ind w:right="13"/>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69"/>
        </w:trPr>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48,745</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tcBorders>
              <w:top w:val="single" w:sz="8" w:color="auto"/>
              <w:bottom w:val="single" w:sz="8" w:color="auto"/>
            </w:tcBorders>
          </w:tcPr>
          <w:p>
            <w:pPr>
              <w:ind w:left="8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48,745</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(7,224)</w:t>
            </w:r>
          </w:p>
        </w:tc>
        <w:tc>
          <w:tcPr>
            <w:tcW w:w="100" w:type="dxa"/>
            <w:vAlign w:val="bottom"/>
          </w:tcPr>
          <w:p>
            <w:pPr>
              <w:spacing w:after="0"/>
              <w:rPr>
                <w:sz w:val="14"/>
                <w:szCs w:val="14"/>
                <w:color w:val="auto"/>
              </w:rPr>
            </w:pPr>
          </w:p>
        </w:tc>
        <w:tc>
          <w:tcPr>
            <w:tcW w:w="36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(41,520)</w:t>
            </w: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21"/>
        </w:trPr>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-2571115</wp:posOffset>
            </wp:positionH>
            <wp:positionV relativeFrom="paragraph">
              <wp:posOffset>-260985</wp:posOffset>
            </wp:positionV>
            <wp:extent cx="7087235" cy="1111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87235" cy="111125"/>
                    </a:xfrm>
                    <a:prstGeom prst="rect">
                      <a:avLst/>
                    </a:prstGeom>
                    <a:noFill/>
                  </pic:spPr>
                </pic:pic>
              </a:graphicData>
            </a:graphic>
          </wp:anchor>
        </w:drawing>
        <w:drawing>
          <wp:anchor simplePos="0" relativeHeight="251657728" behindDoc="1" locked="0" layoutInCell="0" allowOverlap="1">
            <wp:simplePos x="0" y="0"/>
            <wp:positionH relativeFrom="column">
              <wp:posOffset>-2571115</wp:posOffset>
            </wp:positionH>
            <wp:positionV relativeFrom="paragraph">
              <wp:posOffset>-491490</wp:posOffset>
            </wp:positionV>
            <wp:extent cx="7087235" cy="1187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87235" cy="11874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380" w:space="720"/>
            <w:col w:w="7140"/>
          </w:cols>
          <w:pgMar w:left="320" w:top="869" w:right="339" w:bottom="1440" w:gutter="0" w:footer="0" w:header="0"/>
          <w:type w:val="continuous"/>
        </w:sectPr>
      </w:pPr>
    </w:p>
    <w:tbl>
      <w:tblPr>
        <w:tblLayout w:type="fixed"/>
        <w:tblInd w:w="40" w:type="dxa"/>
        <w:tblCellMar>
          <w:top w:w="0" w:type="dxa"/>
          <w:left w:w="0" w:type="dxa"/>
          <w:bottom w:w="0" w:type="dxa"/>
          <w:right w:w="0" w:type="dxa"/>
        </w:tblCellMar>
      </w:tblPr>
      <w:tr>
        <w:trPr>
          <w:trHeight w:val="155"/>
        </w:trPr>
        <w:tc>
          <w:tcPr>
            <w:tcW w:w="40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r>
      <w:tr>
        <w:trPr>
          <w:trHeight w:val="174"/>
        </w:trPr>
        <w:tc>
          <w:tcPr>
            <w:tcW w:w="4060" w:type="dxa"/>
            <w:vAlign w:val="bottom"/>
          </w:tcPr>
          <w:p>
            <w:pPr>
              <w:ind w:left="20"/>
              <w:spacing w:after="0"/>
              <w:rPr>
                <w:sz w:val="20"/>
                <w:szCs w:val="20"/>
                <w:color w:val="auto"/>
              </w:rPr>
            </w:pPr>
            <w:r>
              <w:rPr>
                <w:rFonts w:ascii="Arial" w:cs="Arial" w:eastAsia="Arial" w:hAnsi="Arial"/>
                <w:sz w:val="13"/>
                <w:szCs w:val="13"/>
                <w:b w:val="1"/>
                <w:bCs w:val="1"/>
                <w:color w:val="auto"/>
              </w:rPr>
              <w:t>December 31, 2020</w:t>
            </w: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76"/>
        </w:trPr>
        <w:tc>
          <w:tcPr>
            <w:tcW w:w="406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Repurchase agreements</w:t>
            </w:r>
          </w:p>
        </w:tc>
        <w:tc>
          <w:tcPr>
            <w:tcW w:w="32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52,366</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393"/>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jc w:val="right"/>
              <w:ind w:right="233"/>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52,366</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13"/>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(6,522)</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33"/>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(45,844)</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33"/>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ind w:left="400"/>
              <w:spacing w:after="0"/>
              <w:rPr>
                <w:sz w:val="20"/>
                <w:szCs w:val="20"/>
                <w:color w:val="auto"/>
              </w:rPr>
            </w:pPr>
            <w:r>
              <w:rPr>
                <w:rFonts w:ascii="Arial" w:cs="Arial" w:eastAsia="Arial" w:hAnsi="Arial"/>
                <w:sz w:val="13"/>
                <w:szCs w:val="13"/>
                <w:color w:val="auto"/>
              </w:rPr>
              <w:t>—</w:t>
            </w:r>
          </w:p>
        </w:tc>
      </w:tr>
      <w:tr>
        <w:trPr>
          <w:trHeight w:val="167"/>
        </w:trPr>
        <w:tc>
          <w:tcPr>
            <w:tcW w:w="4060" w:type="dxa"/>
            <w:vAlign w:val="bottom"/>
          </w:tcPr>
          <w:p>
            <w:pPr>
              <w:ind w:left="240"/>
              <w:spacing w:after="0"/>
              <w:rPr>
                <w:sz w:val="20"/>
                <w:szCs w:val="20"/>
                <w:color w:val="auto"/>
              </w:rPr>
            </w:pPr>
            <w:r>
              <w:rPr>
                <w:rFonts w:ascii="Arial" w:cs="Arial" w:eastAsia="Arial" w:hAnsi="Arial"/>
                <w:sz w:val="13"/>
                <w:szCs w:val="13"/>
                <w:color w:val="auto"/>
              </w:rPr>
              <w:t>Total</w:t>
            </w:r>
          </w:p>
        </w:tc>
        <w:tc>
          <w:tcPr>
            <w:tcW w:w="320" w:type="dxa"/>
            <w:vAlign w:val="bottom"/>
            <w:tcBorders>
              <w:top w:val="single" w:sz="8" w:color="auto"/>
              <w:bottom w:val="single" w:sz="8" w:color="auto"/>
            </w:tcBorders>
          </w:tcPr>
          <w:p>
            <w:pPr>
              <w:jc w:val="right"/>
              <w:ind w:right="173"/>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52,366</w:t>
            </w:r>
          </w:p>
        </w:tc>
        <w:tc>
          <w:tcPr>
            <w:tcW w:w="100" w:type="dxa"/>
            <w:vAlign w:val="bottom"/>
          </w:tcPr>
          <w:p>
            <w:pPr>
              <w:spacing w:after="0"/>
              <w:rPr>
                <w:sz w:val="14"/>
                <w:szCs w:val="14"/>
                <w:color w:val="auto"/>
              </w:rPr>
            </w:pPr>
          </w:p>
        </w:tc>
        <w:tc>
          <w:tcPr>
            <w:tcW w:w="54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38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52,366</w:t>
            </w:r>
          </w:p>
        </w:tc>
        <w:tc>
          <w:tcPr>
            <w:tcW w:w="100" w:type="dxa"/>
            <w:vAlign w:val="bottom"/>
          </w:tcPr>
          <w:p>
            <w:pPr>
              <w:spacing w:after="0"/>
              <w:rPr>
                <w:sz w:val="14"/>
                <w:szCs w:val="14"/>
                <w:color w:val="auto"/>
              </w:rPr>
            </w:pPr>
          </w:p>
        </w:tc>
        <w:tc>
          <w:tcPr>
            <w:tcW w:w="36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(6,522)</w:t>
            </w:r>
          </w:p>
        </w:tc>
        <w:tc>
          <w:tcPr>
            <w:tcW w:w="100" w:type="dxa"/>
            <w:vAlign w:val="bottom"/>
          </w:tcPr>
          <w:p>
            <w:pPr>
              <w:spacing w:after="0"/>
              <w:rPr>
                <w:sz w:val="14"/>
                <w:szCs w:val="14"/>
                <w:color w:val="auto"/>
              </w:rPr>
            </w:pPr>
          </w:p>
        </w:tc>
        <w:tc>
          <w:tcPr>
            <w:tcW w:w="380" w:type="dxa"/>
            <w:vAlign w:val="bottom"/>
            <w:tcBorders>
              <w:top w:val="single" w:sz="8" w:color="auto"/>
              <w:bottom w:val="single" w:sz="8" w:color="auto"/>
            </w:tcBorders>
          </w:tcPr>
          <w:p>
            <w:pPr>
              <w:jc w:val="right"/>
              <w:ind w:right="233"/>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(45,844)</w:t>
            </w:r>
          </w:p>
        </w:tc>
        <w:tc>
          <w:tcPr>
            <w:tcW w:w="100" w:type="dxa"/>
            <w:vAlign w:val="bottom"/>
          </w:tcPr>
          <w:p>
            <w:pPr>
              <w:spacing w:after="0"/>
              <w:rPr>
                <w:sz w:val="14"/>
                <w:szCs w:val="14"/>
                <w:color w:val="auto"/>
              </w:rPr>
            </w:pPr>
          </w:p>
        </w:tc>
        <w:tc>
          <w:tcPr>
            <w:tcW w:w="48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3"/>
                <w:szCs w:val="13"/>
                <w:color w:val="auto"/>
              </w:rPr>
              <w:t>—</w:t>
            </w:r>
          </w:p>
        </w:tc>
      </w:tr>
      <w:tr>
        <w:trPr>
          <w:trHeight w:val="20"/>
        </w:trPr>
        <w:tc>
          <w:tcPr>
            <w:tcW w:w="4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w:t>
      </w:r>
    </w:p>
    <w:p>
      <w:pPr>
        <w:spacing w:after="0" w:line="1" w:lineRule="exact"/>
        <w:rPr>
          <w:sz w:val="20"/>
          <w:szCs w:val="20"/>
          <w:color w:val="auto"/>
        </w:rPr>
      </w:pPr>
    </w:p>
    <w:p>
      <w:pPr>
        <w:ind w:left="600" w:right="240" w:hanging="300"/>
        <w:spacing w:after="0" w:line="255" w:lineRule="auto"/>
        <w:tabs>
          <w:tab w:leader="none" w:pos="6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Reported under derivative assets / liabilities, at fair value in the accompanying consolidated balance sheets. Refer to Note 5 for a reconciliation of derivative assets / liabilities, at fair value to their sub-components.</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type w:val="continuous"/>
        </w:sectPr>
      </w:pPr>
    </w:p>
    <w:bookmarkStart w:id="21" w:name="page22"/>
    <w:bookmarkEnd w:id="21"/>
    <w:p>
      <w:pPr>
        <w:ind w:left="600" w:hanging="300"/>
        <w:spacing w:after="0" w:line="271" w:lineRule="auto"/>
        <w:tabs>
          <w:tab w:leader="none" w:pos="600" w:val="left"/>
        </w:tabs>
        <w:numPr>
          <w:ilvl w:val="0"/>
          <w:numId w:val="15"/>
        </w:numPr>
        <w:rPr>
          <w:rFonts w:ascii="Arial" w:cs="Arial" w:eastAsia="Arial" w:hAnsi="Arial"/>
          <w:sz w:val="13"/>
          <w:szCs w:val="13"/>
          <w:color w:val="auto"/>
        </w:rPr>
      </w:pPr>
      <w:r>
        <w:rPr>
          <w:rFonts w:ascii="Arial" w:cs="Arial" w:eastAsia="Arial" w:hAnsi="Arial"/>
          <w:sz w:val="13"/>
          <w:szCs w:val="13"/>
          <w:color w:val="auto"/>
        </w:rPr>
        <w:t>Includes cash and securities pledged / received as collateral, at fair value. Amounts include repledged collateral. Amounts presented are limited to collateral pledged sufficient to reduce the net amount to zero for individual counterparties, as applicable.</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7. Fair Value Measurements</w:t>
      </w:r>
    </w:p>
    <w:p>
      <w:pPr>
        <w:spacing w:after="0" w:line="158" w:lineRule="exact"/>
        <w:rPr>
          <w:sz w:val="20"/>
          <w:szCs w:val="20"/>
          <w:color w:val="auto"/>
        </w:rPr>
      </w:pPr>
    </w:p>
    <w:p>
      <w:pPr>
        <w:jc w:val="both"/>
        <w:ind w:firstLine="412"/>
        <w:spacing w:after="0" w:line="255" w:lineRule="auto"/>
        <w:rPr>
          <w:sz w:val="20"/>
          <w:szCs w:val="20"/>
          <w:color w:val="auto"/>
        </w:rPr>
      </w:pPr>
      <w:r>
        <w:rPr>
          <w:rFonts w:ascii="Arial" w:cs="Arial" w:eastAsia="Arial" w:hAnsi="Arial"/>
          <w:sz w:val="17"/>
          <w:szCs w:val="17"/>
          <w:color w:val="auto"/>
        </w:rPr>
        <w:t>The following table provides a summary of our assets and liabilities that are measured at fair value on a recurring basis, as of June 30, 2021 and December 31, 2020, based on their categorization within the valuation hierarchy (in millions). There were no transfers between valuation hierarchy levels during the periods presented in our accompanying consolidated statements of comprehensive income.</w:t>
      </w:r>
    </w:p>
    <w:p>
      <w:pPr>
        <w:spacing w:after="0" w:line="94" w:lineRule="exact"/>
        <w:rPr>
          <w:sz w:val="20"/>
          <w:szCs w:val="20"/>
          <w:color w:val="auto"/>
        </w:rPr>
      </w:pPr>
    </w:p>
    <w:tbl>
      <w:tblPr>
        <w:tblLayout w:type="fixed"/>
        <w:tblInd w:w="20" w:type="dxa"/>
        <w:tblCellMar>
          <w:top w:w="0" w:type="dxa"/>
          <w:left w:w="0" w:type="dxa"/>
          <w:bottom w:w="0" w:type="dxa"/>
          <w:right w:w="0" w:type="dxa"/>
        </w:tblCellMar>
      </w:tblPr>
      <w:tr>
        <w:trPr>
          <w:trHeight w:val="178"/>
        </w:trPr>
        <w:tc>
          <w:tcPr>
            <w:tcW w:w="46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3"/>
                <w:szCs w:val="13"/>
                <w:b w:val="1"/>
                <w:bCs w:val="1"/>
                <w:color w:val="auto"/>
                <w:w w:val="92"/>
              </w:rPr>
              <w:t>June 30, 2021</w:t>
            </w: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92"/>
              </w:rPr>
              <w:t>December 31, 2020</w:t>
            </w: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tcPr>
          <w:p>
            <w:pPr>
              <w:ind w:left="100"/>
              <w:spacing w:after="0"/>
              <w:rPr>
                <w:sz w:val="20"/>
                <w:szCs w:val="20"/>
                <w:color w:val="auto"/>
              </w:rPr>
            </w:pPr>
            <w:r>
              <w:rPr>
                <w:rFonts w:ascii="Arial" w:cs="Arial" w:eastAsia="Arial" w:hAnsi="Arial"/>
                <w:sz w:val="13"/>
                <w:szCs w:val="13"/>
                <w:b w:val="1"/>
                <w:bCs w:val="1"/>
                <w:color w:val="auto"/>
              </w:rPr>
              <w:t>Level 1</w:t>
            </w:r>
          </w:p>
        </w:tc>
        <w:tc>
          <w:tcPr>
            <w:tcW w:w="8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5"/>
              </w:rPr>
              <w:t>Level 2</w:t>
            </w:r>
          </w:p>
        </w:tc>
        <w:tc>
          <w:tcPr>
            <w:tcW w:w="180" w:type="dxa"/>
            <w:vAlign w:val="bottom"/>
          </w:tcPr>
          <w:p>
            <w:pPr>
              <w:spacing w:after="0"/>
              <w:rPr>
                <w:sz w:val="14"/>
                <w:szCs w:val="14"/>
                <w:color w:val="auto"/>
              </w:rPr>
            </w:pPr>
          </w:p>
        </w:tc>
        <w:tc>
          <w:tcPr>
            <w:tcW w:w="800" w:type="dxa"/>
            <w:vAlign w:val="bottom"/>
          </w:tcPr>
          <w:p>
            <w:pPr>
              <w:ind w:left="100"/>
              <w:spacing w:after="0"/>
              <w:rPr>
                <w:sz w:val="20"/>
                <w:szCs w:val="20"/>
                <w:color w:val="auto"/>
              </w:rPr>
            </w:pPr>
            <w:r>
              <w:rPr>
                <w:rFonts w:ascii="Arial" w:cs="Arial" w:eastAsia="Arial" w:hAnsi="Arial"/>
                <w:sz w:val="13"/>
                <w:szCs w:val="13"/>
                <w:b w:val="1"/>
                <w:bCs w:val="1"/>
                <w:color w:val="auto"/>
              </w:rPr>
              <w:t>Level 3</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ind w:right="213"/>
              <w:spacing w:after="0"/>
              <w:rPr>
                <w:sz w:val="20"/>
                <w:szCs w:val="20"/>
                <w:color w:val="auto"/>
              </w:rPr>
            </w:pPr>
            <w:r>
              <w:rPr>
                <w:rFonts w:ascii="Arial" w:cs="Arial" w:eastAsia="Arial" w:hAnsi="Arial"/>
                <w:sz w:val="13"/>
                <w:szCs w:val="13"/>
                <w:b w:val="1"/>
                <w:bCs w:val="1"/>
                <w:color w:val="auto"/>
              </w:rPr>
              <w:t>Level 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0"/>
              </w:rPr>
              <w:t>Level 2</w:t>
            </w:r>
          </w:p>
        </w:tc>
        <w:tc>
          <w:tcPr>
            <w:tcW w:w="180" w:type="dxa"/>
            <w:vAlign w:val="bottom"/>
          </w:tcPr>
          <w:p>
            <w:pPr>
              <w:spacing w:after="0"/>
              <w:rPr>
                <w:sz w:val="14"/>
                <w:szCs w:val="14"/>
                <w:color w:val="auto"/>
              </w:rPr>
            </w:pPr>
          </w:p>
        </w:tc>
        <w:tc>
          <w:tcPr>
            <w:tcW w:w="800" w:type="dxa"/>
            <w:vAlign w:val="bottom"/>
          </w:tcPr>
          <w:p>
            <w:pPr>
              <w:ind w:left="100"/>
              <w:spacing w:after="0"/>
              <w:rPr>
                <w:sz w:val="20"/>
                <w:szCs w:val="20"/>
                <w:color w:val="auto"/>
              </w:rPr>
            </w:pPr>
            <w:r>
              <w:rPr>
                <w:rFonts w:ascii="Arial" w:cs="Arial" w:eastAsia="Arial" w:hAnsi="Arial"/>
                <w:sz w:val="13"/>
                <w:szCs w:val="13"/>
                <w:b w:val="1"/>
                <w:bCs w:val="1"/>
                <w:color w:val="auto"/>
              </w:rPr>
              <w:t>Level 3</w:t>
            </w:r>
          </w:p>
        </w:tc>
        <w:tc>
          <w:tcPr>
            <w:tcW w:w="0" w:type="dxa"/>
            <w:vAlign w:val="bottom"/>
          </w:tcPr>
          <w:p>
            <w:pPr>
              <w:spacing w:after="0"/>
              <w:rPr>
                <w:sz w:val="1"/>
                <w:szCs w:val="1"/>
                <w:color w:val="auto"/>
              </w:rPr>
            </w:pPr>
          </w:p>
        </w:tc>
      </w:tr>
      <w:tr>
        <w:trPr>
          <w:trHeight w:val="156"/>
        </w:trPr>
        <w:tc>
          <w:tcPr>
            <w:tcW w:w="4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Assets:</w:t>
            </w:r>
          </w:p>
        </w:tc>
        <w:tc>
          <w:tcPr>
            <w:tcW w:w="20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4660" w:type="dxa"/>
            <w:vAlign w:val="bottom"/>
          </w:tcPr>
          <w:p>
            <w:pPr>
              <w:ind w:left="180"/>
              <w:spacing w:after="0"/>
              <w:rPr>
                <w:sz w:val="20"/>
                <w:szCs w:val="20"/>
                <w:color w:val="auto"/>
              </w:rPr>
            </w:pPr>
            <w:r>
              <w:rPr>
                <w:rFonts w:ascii="Arial" w:cs="Arial" w:eastAsia="Arial" w:hAnsi="Arial"/>
                <w:sz w:val="13"/>
                <w:szCs w:val="13"/>
                <w:color w:val="auto"/>
              </w:rPr>
              <w:t>Agency securities</w:t>
            </w:r>
          </w:p>
        </w:tc>
        <w:tc>
          <w:tcPr>
            <w:tcW w:w="200" w:type="dxa"/>
            <w:vAlign w:val="bottom"/>
          </w:tcPr>
          <w:p>
            <w:pPr>
              <w:jc w:val="right"/>
              <w:ind w:right="53"/>
              <w:spacing w:after="0"/>
              <w:rPr>
                <w:sz w:val="20"/>
                <w:szCs w:val="20"/>
                <w:color w:val="auto"/>
              </w:rPr>
            </w:pPr>
            <w:r>
              <w:rPr>
                <w:rFonts w:ascii="Arial" w:cs="Arial" w:eastAsia="Arial" w:hAnsi="Arial"/>
                <w:sz w:val="13"/>
                <w:szCs w:val="13"/>
                <w:color w:val="auto"/>
                <w:w w:val="82"/>
              </w:rPr>
              <w:t>$</w:t>
            </w: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57,896</w:t>
            </w:r>
          </w:p>
        </w:tc>
        <w:tc>
          <w:tcPr>
            <w:tcW w:w="100" w:type="dxa"/>
            <w:vAlign w:val="bottom"/>
          </w:tcPr>
          <w:p>
            <w:pPr>
              <w:spacing w:after="0"/>
              <w:rPr>
                <w:sz w:val="14"/>
                <w:szCs w:val="14"/>
                <w:color w:val="auto"/>
              </w:rPr>
            </w:pPr>
          </w:p>
        </w:tc>
        <w:tc>
          <w:tcPr>
            <w:tcW w:w="180" w:type="dxa"/>
            <w:vAlign w:val="bottom"/>
          </w:tcPr>
          <w:p>
            <w:pPr>
              <w:jc w:val="right"/>
              <w:ind w:right="33"/>
              <w:spacing w:after="0"/>
              <w:rPr>
                <w:sz w:val="20"/>
                <w:szCs w:val="20"/>
                <w:color w:val="auto"/>
              </w:rPr>
            </w:pPr>
            <w:r>
              <w:rPr>
                <w:rFonts w:ascii="Arial" w:cs="Arial" w:eastAsia="Arial" w:hAnsi="Arial"/>
                <w:sz w:val="13"/>
                <w:szCs w:val="13"/>
                <w:color w:val="auto"/>
                <w:w w:val="82"/>
              </w:rPr>
              <w:t>$</w:t>
            </w:r>
          </w:p>
        </w:tc>
        <w:tc>
          <w:tcPr>
            <w:tcW w:w="102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33"/>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gridSpan w:val="2"/>
          </w:tcPr>
          <w:p>
            <w:pPr>
              <w:jc w:val="right"/>
              <w:ind w:right="33"/>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64,836</w:t>
            </w:r>
          </w:p>
        </w:tc>
        <w:tc>
          <w:tcPr>
            <w:tcW w:w="100" w:type="dxa"/>
            <w:vAlign w:val="bottom"/>
          </w:tcPr>
          <w:p>
            <w:pPr>
              <w:spacing w:after="0"/>
              <w:rPr>
                <w:sz w:val="14"/>
                <w:szCs w:val="14"/>
                <w:color w:val="auto"/>
              </w:rPr>
            </w:pPr>
          </w:p>
        </w:tc>
        <w:tc>
          <w:tcPr>
            <w:tcW w:w="180" w:type="dxa"/>
            <w:vAlign w:val="bottom"/>
          </w:tcPr>
          <w:p>
            <w:pPr>
              <w:jc w:val="right"/>
              <w:ind w:right="33"/>
              <w:spacing w:after="0"/>
              <w:rPr>
                <w:sz w:val="20"/>
                <w:szCs w:val="20"/>
                <w:color w:val="auto"/>
              </w:rPr>
            </w:pPr>
            <w:r>
              <w:rPr>
                <w:rFonts w:ascii="Arial" w:cs="Arial" w:eastAsia="Arial" w:hAnsi="Arial"/>
                <w:sz w:val="13"/>
                <w:szCs w:val="13"/>
                <w:color w:val="auto"/>
                <w:w w:val="82"/>
              </w:rPr>
              <w:t>$</w:t>
            </w:r>
          </w:p>
        </w:tc>
        <w:tc>
          <w:tcPr>
            <w:tcW w:w="800" w:type="dxa"/>
            <w:vAlign w:val="bottom"/>
          </w:tcPr>
          <w:p>
            <w:pPr>
              <w:ind w:left="6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8"/>
        </w:trPr>
        <w:tc>
          <w:tcPr>
            <w:tcW w:w="46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Agency securities transferred to consolidated VIEs</w:t>
            </w:r>
          </w:p>
        </w:tc>
        <w:tc>
          <w:tcPr>
            <w:tcW w:w="2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4660" w:type="dxa"/>
            <w:vAlign w:val="bottom"/>
          </w:tcPr>
          <w:p>
            <w:pPr>
              <w:ind w:left="180"/>
              <w:spacing w:after="0"/>
              <w:rPr>
                <w:sz w:val="20"/>
                <w:szCs w:val="20"/>
                <w:color w:val="auto"/>
              </w:rPr>
            </w:pPr>
            <w:r>
              <w:rPr>
                <w:rFonts w:ascii="Arial" w:cs="Arial" w:eastAsia="Arial" w:hAnsi="Arial"/>
                <w:sz w:val="13"/>
                <w:szCs w:val="13"/>
                <w:color w:val="auto"/>
              </w:rPr>
              <w:t>Credit risk transfer securities</w:t>
            </w:r>
          </w:p>
        </w:tc>
        <w:tc>
          <w:tcPr>
            <w:tcW w:w="20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1,105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737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ind w:left="6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8"/>
        </w:trPr>
        <w:tc>
          <w:tcPr>
            <w:tcW w:w="46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Non-Agency securities</w:t>
            </w:r>
          </w:p>
        </w:tc>
        <w:tc>
          <w:tcPr>
            <w:tcW w:w="2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553</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546</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4660" w:type="dxa"/>
            <w:vAlign w:val="bottom"/>
          </w:tcPr>
          <w:p>
            <w:pPr>
              <w:ind w:left="180"/>
              <w:spacing w:after="0"/>
              <w:rPr>
                <w:sz w:val="20"/>
                <w:szCs w:val="20"/>
                <w:color w:val="auto"/>
              </w:rPr>
            </w:pPr>
            <w:r>
              <w:rPr>
                <w:rFonts w:ascii="Arial" w:cs="Arial" w:eastAsia="Arial" w:hAnsi="Arial"/>
                <w:sz w:val="13"/>
                <w:szCs w:val="13"/>
                <w:color w:val="auto"/>
              </w:rPr>
              <w:t>U.S. Treasury securities</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397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02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00" w:type="dxa"/>
            <w:vAlign w:val="bottom"/>
          </w:tcPr>
          <w:p>
            <w:pPr>
              <w:ind w:left="6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8"/>
        </w:trPr>
        <w:tc>
          <w:tcPr>
            <w:tcW w:w="46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Interest rate swaps</w:t>
            </w:r>
          </w:p>
        </w:tc>
        <w:tc>
          <w:tcPr>
            <w:tcW w:w="2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4660" w:type="dxa"/>
            <w:vAlign w:val="bottom"/>
          </w:tcPr>
          <w:p>
            <w:pPr>
              <w:ind w:left="180"/>
              <w:spacing w:after="0"/>
              <w:rPr>
                <w:sz w:val="20"/>
                <w:szCs w:val="20"/>
                <w:color w:val="auto"/>
              </w:rPr>
            </w:pPr>
            <w:r>
              <w:rPr>
                <w:rFonts w:ascii="Arial" w:cs="Arial" w:eastAsia="Arial" w:hAnsi="Arial"/>
                <w:sz w:val="13"/>
                <w:szCs w:val="13"/>
                <w:color w:val="auto"/>
              </w:rPr>
              <w:t>Swaptions</w:t>
            </w:r>
          </w:p>
        </w:tc>
        <w:tc>
          <w:tcPr>
            <w:tcW w:w="20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294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116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ind w:left="6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8"/>
        </w:trPr>
        <w:tc>
          <w:tcPr>
            <w:tcW w:w="46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TBA securities</w:t>
            </w:r>
          </w:p>
        </w:tc>
        <w:tc>
          <w:tcPr>
            <w:tcW w:w="2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7"/>
        </w:trPr>
        <w:tc>
          <w:tcPr>
            <w:tcW w:w="4660" w:type="dxa"/>
            <w:vAlign w:val="bottom"/>
          </w:tcPr>
          <w:p>
            <w:pPr>
              <w:ind w:left="20"/>
              <w:spacing w:after="0"/>
              <w:rPr>
                <w:sz w:val="20"/>
                <w:szCs w:val="20"/>
                <w:color w:val="auto"/>
              </w:rPr>
            </w:pPr>
            <w:r>
              <w:rPr>
                <w:rFonts w:ascii="Arial" w:cs="Arial" w:eastAsia="Arial" w:hAnsi="Arial"/>
                <w:sz w:val="13"/>
                <w:szCs w:val="13"/>
                <w:color w:val="auto"/>
              </w:rPr>
              <w:t>Total</w:t>
            </w:r>
          </w:p>
        </w:tc>
        <w:tc>
          <w:tcPr>
            <w:tcW w:w="20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397</w:t>
            </w: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60,180</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66,805</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4660" w:type="dxa"/>
            <w:vAlign w:val="bottom"/>
            <w:shd w:val="clear" w:color="auto" w:fill="CCEEFF"/>
          </w:tcPr>
          <w:p>
            <w:pPr>
              <w:ind w:left="20"/>
              <w:spacing w:after="0" w:line="140" w:lineRule="exact"/>
              <w:rPr>
                <w:sz w:val="20"/>
                <w:szCs w:val="20"/>
                <w:color w:val="auto"/>
              </w:rPr>
            </w:pPr>
            <w:r>
              <w:rPr>
                <w:rFonts w:ascii="Arial" w:cs="Arial" w:eastAsia="Arial" w:hAnsi="Arial"/>
                <w:sz w:val="13"/>
                <w:szCs w:val="13"/>
                <w:color w:val="auto"/>
              </w:rPr>
              <w:t>Liabilities:</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660" w:type="dxa"/>
            <w:vAlign w:val="bottom"/>
          </w:tcPr>
          <w:p>
            <w:pPr>
              <w:ind w:left="180"/>
              <w:spacing w:after="0"/>
              <w:rPr>
                <w:sz w:val="20"/>
                <w:szCs w:val="20"/>
                <w:color w:val="auto"/>
              </w:rPr>
            </w:pPr>
            <w:r>
              <w:rPr>
                <w:rFonts w:ascii="Arial" w:cs="Arial" w:eastAsia="Arial" w:hAnsi="Arial"/>
                <w:sz w:val="13"/>
                <w:szCs w:val="13"/>
                <w:color w:val="auto"/>
              </w:rPr>
              <w:t>Debt of consolidated VIEs</w:t>
            </w:r>
          </w:p>
        </w:tc>
        <w:tc>
          <w:tcPr>
            <w:tcW w:w="200" w:type="dxa"/>
            <w:vAlign w:val="bottom"/>
          </w:tcPr>
          <w:p>
            <w:pPr>
              <w:jc w:val="right"/>
              <w:ind w:right="53"/>
              <w:spacing w:after="0"/>
              <w:rPr>
                <w:sz w:val="20"/>
                <w:szCs w:val="20"/>
                <w:color w:val="auto"/>
              </w:rPr>
            </w:pPr>
            <w:r>
              <w:rPr>
                <w:rFonts w:ascii="Arial" w:cs="Arial" w:eastAsia="Arial" w:hAnsi="Arial"/>
                <w:sz w:val="13"/>
                <w:szCs w:val="13"/>
                <w:color w:val="auto"/>
                <w:w w:val="82"/>
              </w:rPr>
              <w:t>$</w:t>
            </w: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148</w:t>
            </w:r>
          </w:p>
        </w:tc>
        <w:tc>
          <w:tcPr>
            <w:tcW w:w="100" w:type="dxa"/>
            <w:vAlign w:val="bottom"/>
          </w:tcPr>
          <w:p>
            <w:pPr>
              <w:spacing w:after="0"/>
              <w:rPr>
                <w:sz w:val="14"/>
                <w:szCs w:val="14"/>
                <w:color w:val="auto"/>
              </w:rPr>
            </w:pPr>
          </w:p>
        </w:tc>
        <w:tc>
          <w:tcPr>
            <w:tcW w:w="180" w:type="dxa"/>
            <w:vAlign w:val="bottom"/>
          </w:tcPr>
          <w:p>
            <w:pPr>
              <w:jc w:val="right"/>
              <w:ind w:right="33"/>
              <w:spacing w:after="0"/>
              <w:rPr>
                <w:sz w:val="20"/>
                <w:szCs w:val="20"/>
                <w:color w:val="auto"/>
              </w:rPr>
            </w:pPr>
            <w:r>
              <w:rPr>
                <w:rFonts w:ascii="Arial" w:cs="Arial" w:eastAsia="Arial" w:hAnsi="Arial"/>
                <w:sz w:val="13"/>
                <w:szCs w:val="13"/>
                <w:color w:val="auto"/>
                <w:w w:val="82"/>
              </w:rPr>
              <w:t>$</w:t>
            </w:r>
          </w:p>
        </w:tc>
        <w:tc>
          <w:tcPr>
            <w:tcW w:w="102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33"/>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gridSpan w:val="2"/>
          </w:tcPr>
          <w:p>
            <w:pPr>
              <w:jc w:val="right"/>
              <w:ind w:right="33"/>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177</w:t>
            </w:r>
          </w:p>
        </w:tc>
        <w:tc>
          <w:tcPr>
            <w:tcW w:w="100" w:type="dxa"/>
            <w:vAlign w:val="bottom"/>
          </w:tcPr>
          <w:p>
            <w:pPr>
              <w:spacing w:after="0"/>
              <w:rPr>
                <w:sz w:val="14"/>
                <w:szCs w:val="14"/>
                <w:color w:val="auto"/>
              </w:rPr>
            </w:pPr>
          </w:p>
        </w:tc>
        <w:tc>
          <w:tcPr>
            <w:tcW w:w="180" w:type="dxa"/>
            <w:vAlign w:val="bottom"/>
          </w:tcPr>
          <w:p>
            <w:pPr>
              <w:jc w:val="right"/>
              <w:ind w:right="33"/>
              <w:spacing w:after="0"/>
              <w:rPr>
                <w:sz w:val="20"/>
                <w:szCs w:val="20"/>
                <w:color w:val="auto"/>
              </w:rPr>
            </w:pPr>
            <w:r>
              <w:rPr>
                <w:rFonts w:ascii="Arial" w:cs="Arial" w:eastAsia="Arial" w:hAnsi="Arial"/>
                <w:sz w:val="13"/>
                <w:szCs w:val="13"/>
                <w:color w:val="auto"/>
                <w:w w:val="82"/>
              </w:rPr>
              <w:t>$</w:t>
            </w:r>
          </w:p>
        </w:tc>
        <w:tc>
          <w:tcPr>
            <w:tcW w:w="800" w:type="dxa"/>
            <w:vAlign w:val="bottom"/>
          </w:tcPr>
          <w:p>
            <w:pPr>
              <w:ind w:left="6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8"/>
        </w:trPr>
        <w:tc>
          <w:tcPr>
            <w:tcW w:w="4660" w:type="dxa"/>
            <w:vAlign w:val="bottom"/>
            <w:shd w:val="clear" w:color="auto" w:fill="CCEEFF"/>
          </w:tcPr>
          <w:p>
            <w:pPr>
              <w:ind w:left="180"/>
              <w:spacing w:after="0" w:line="128" w:lineRule="exact"/>
              <w:rPr>
                <w:sz w:val="20"/>
                <w:szCs w:val="20"/>
                <w:color w:val="auto"/>
              </w:rPr>
            </w:pPr>
            <w:r>
              <w:rPr>
                <w:rFonts w:ascii="Arial" w:cs="Arial" w:eastAsia="Arial" w:hAnsi="Arial"/>
                <w:sz w:val="13"/>
                <w:szCs w:val="13"/>
                <w:color w:val="auto"/>
                <w:w w:val="96"/>
              </w:rPr>
              <w:t>Obligation to return U.S. Treasury securities borrowed under reverse repurchase</w:t>
            </w:r>
          </w:p>
        </w:tc>
        <w:tc>
          <w:tcPr>
            <w:tcW w:w="2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10,920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1020" w:type="dxa"/>
            <w:vAlign w:val="bottom"/>
            <w:gridSpan w:val="2"/>
            <w:vMerge w:val="restart"/>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11,727</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46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agreements</w:t>
            </w:r>
          </w:p>
        </w:tc>
        <w:tc>
          <w:tcPr>
            <w:tcW w:w="20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4660" w:type="dxa"/>
            <w:vAlign w:val="bottom"/>
          </w:tcPr>
          <w:p>
            <w:pPr>
              <w:ind w:left="180"/>
              <w:spacing w:after="0"/>
              <w:rPr>
                <w:sz w:val="20"/>
                <w:szCs w:val="20"/>
                <w:color w:val="auto"/>
              </w:rPr>
            </w:pPr>
            <w:r>
              <w:rPr>
                <w:rFonts w:ascii="Arial" w:cs="Arial" w:eastAsia="Arial" w:hAnsi="Arial"/>
                <w:sz w:val="13"/>
                <w:szCs w:val="13"/>
                <w:color w:val="auto"/>
              </w:rPr>
              <w:t>Interest rate swaps</w:t>
            </w:r>
          </w:p>
        </w:tc>
        <w:tc>
          <w:tcPr>
            <w:tcW w:w="20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02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00" w:type="dxa"/>
            <w:vAlign w:val="bottom"/>
          </w:tcPr>
          <w:p>
            <w:pPr>
              <w:ind w:left="6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8"/>
        </w:trPr>
        <w:tc>
          <w:tcPr>
            <w:tcW w:w="4660" w:type="dxa"/>
            <w:vAlign w:val="bottom"/>
            <w:shd w:val="clear" w:color="auto" w:fill="CCEEFF"/>
          </w:tcPr>
          <w:p>
            <w:pPr>
              <w:ind w:left="180"/>
              <w:spacing w:after="0"/>
              <w:rPr>
                <w:sz w:val="20"/>
                <w:szCs w:val="20"/>
                <w:color w:val="auto"/>
              </w:rPr>
            </w:pPr>
            <w:r>
              <w:rPr>
                <w:rFonts w:ascii="Arial" w:cs="Arial" w:eastAsia="Arial" w:hAnsi="Arial"/>
                <w:sz w:val="13"/>
                <w:szCs w:val="13"/>
                <w:color w:val="auto"/>
              </w:rPr>
              <w:t>TBA securities</w:t>
            </w:r>
          </w:p>
        </w:tc>
        <w:tc>
          <w:tcPr>
            <w:tcW w:w="2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4660" w:type="dxa"/>
            <w:vAlign w:val="bottom"/>
          </w:tcPr>
          <w:p>
            <w:pPr>
              <w:ind w:left="180"/>
              <w:spacing w:after="0"/>
              <w:rPr>
                <w:sz w:val="20"/>
                <w:szCs w:val="20"/>
                <w:color w:val="auto"/>
              </w:rPr>
            </w:pPr>
            <w:r>
              <w:rPr>
                <w:rFonts w:ascii="Arial" w:cs="Arial" w:eastAsia="Arial" w:hAnsi="Arial"/>
                <w:sz w:val="13"/>
                <w:szCs w:val="13"/>
                <w:color w:val="auto"/>
              </w:rPr>
              <w:t>U.S. Treasury futures</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020" w:type="dxa"/>
            <w:vAlign w:val="bottom"/>
            <w:gridSpan w:val="2"/>
          </w:tcPr>
          <w:p>
            <w:pPr>
              <w:ind w:left="6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800" w:type="dxa"/>
            <w:vAlign w:val="bottom"/>
          </w:tcPr>
          <w:p>
            <w:pPr>
              <w:ind w:left="6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6"/>
        </w:trPr>
        <w:tc>
          <w:tcPr>
            <w:tcW w:w="4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20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10,926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11,729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177</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shd w:val="clear" w:color="auto" w:fill="CCEEFF"/>
          </w:tcPr>
          <w:p>
            <w:pPr>
              <w:ind w:left="6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8" w:lineRule="exact"/>
        <w:rPr>
          <w:sz w:val="20"/>
          <w:szCs w:val="20"/>
          <w:color w:val="auto"/>
        </w:rPr>
      </w:pPr>
    </w:p>
    <w:p>
      <w:pPr>
        <w:jc w:val="both"/>
        <w:ind w:firstLine="412"/>
        <w:spacing w:after="0" w:line="296" w:lineRule="auto"/>
        <w:rPr>
          <w:sz w:val="20"/>
          <w:szCs w:val="20"/>
          <w:color w:val="auto"/>
        </w:rPr>
      </w:pPr>
      <w:r>
        <w:rPr>
          <w:rFonts w:ascii="Arial" w:cs="Arial" w:eastAsia="Arial" w:hAnsi="Arial"/>
          <w:sz w:val="15"/>
          <w:szCs w:val="15"/>
          <w:color w:val="auto"/>
        </w:rPr>
        <w:t>Excluded from the table above are financial instruments presented in our consolidated financial statements at cost. The fair value of our repurchase agreements approximated cost as of June 30, 2021 and December 31, 2020, as the rates on our outstanding repurchase agreements largely corresponded to prevailing rates observed in the repo market. The fair value of cash and cash equivalents, restricted cash, receivables and other payables were determined to approximate cost as of June 30, 2021 and December 31, 2020 due to their short duration. We estimate the fair value of these instruments carried at cost using "Level 1" or "Level 2" inputs.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8. Net Income (Loss) Per Common Share</w:t>
      </w:r>
    </w:p>
    <w:p>
      <w:pPr>
        <w:spacing w:after="0" w:line="233" w:lineRule="exact"/>
        <w:rPr>
          <w:sz w:val="20"/>
          <w:szCs w:val="20"/>
          <w:color w:val="auto"/>
        </w:rPr>
      </w:pPr>
    </w:p>
    <w:p>
      <w:pPr>
        <w:jc w:val="both"/>
        <w:ind w:firstLine="375"/>
        <w:spacing w:after="0" w:line="268" w:lineRule="auto"/>
        <w:rPr>
          <w:sz w:val="20"/>
          <w:szCs w:val="20"/>
          <w:color w:val="auto"/>
        </w:rPr>
      </w:pPr>
      <w:r>
        <w:rPr>
          <w:rFonts w:ascii="Arial" w:cs="Arial" w:eastAsia="Arial" w:hAnsi="Arial"/>
          <w:sz w:val="16"/>
          <w:szCs w:val="16"/>
          <w:color w:val="auto"/>
        </w:rPr>
        <w:t>Basic net income (loss) per common share is computed by dividing (i) net income (loss) available (attributable) to common stockholders by (ii) the sum of our weighted-average number of common shares outstanding and the weighted-average number of vested but not yet issued time and performance-based restricted stock units ("RSUs") outstanding for the period granted under our long-term incentive program to employees and non-employee Board of Directors. Diluted net income (loss) per common share assumes the issuance of all potential common stock equivalents unless the effect is to reduce a loss or increase the income per common share. Our potential common stock equivalents consist of unvested time and performance-based RSUs. The following table presents the computations of basic and diluted net income (loss) per common share for the periods indicated (shares and dollars in millions):</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836"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78"/>
        </w:trPr>
        <w:tc>
          <w:tcPr>
            <w:tcW w:w="7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gridSpan w:val="5"/>
          </w:tcPr>
          <w:p>
            <w:pPr>
              <w:spacing w:after="0"/>
              <w:rPr>
                <w:sz w:val="20"/>
                <w:szCs w:val="20"/>
                <w:color w:val="auto"/>
              </w:rPr>
            </w:pPr>
            <w:r>
              <w:rPr>
                <w:rFonts w:ascii="Arial" w:cs="Arial" w:eastAsia="Arial" w:hAnsi="Arial"/>
                <w:sz w:val="13"/>
                <w:szCs w:val="13"/>
                <w:b w:val="1"/>
                <w:bCs w:val="1"/>
                <w:color w:val="auto"/>
              </w:rPr>
              <w:t>Three Months Ended June 30,</w:t>
            </w:r>
          </w:p>
        </w:tc>
        <w:tc>
          <w:tcPr>
            <w:tcW w:w="140" w:type="dxa"/>
            <w:vAlign w:val="bottom"/>
          </w:tcPr>
          <w:p>
            <w:pPr>
              <w:spacing w:after="0"/>
              <w:rPr>
                <w:sz w:val="15"/>
                <w:szCs w:val="15"/>
                <w:color w:val="auto"/>
              </w:rPr>
            </w:pPr>
          </w:p>
        </w:tc>
        <w:tc>
          <w:tcPr>
            <w:tcW w:w="1780" w:type="dxa"/>
            <w:vAlign w:val="bottom"/>
            <w:gridSpan w:val="4"/>
          </w:tcPr>
          <w:p>
            <w:pPr>
              <w:jc w:val="right"/>
              <w:ind w:right="113"/>
              <w:spacing w:after="0"/>
              <w:rPr>
                <w:sz w:val="20"/>
                <w:szCs w:val="20"/>
                <w:color w:val="auto"/>
              </w:rPr>
            </w:pPr>
            <w:r>
              <w:rPr>
                <w:rFonts w:ascii="Arial" w:cs="Arial" w:eastAsia="Arial" w:hAnsi="Arial"/>
                <w:sz w:val="13"/>
                <w:szCs w:val="13"/>
                <w:b w:val="1"/>
                <w:bCs w:val="1"/>
                <w:color w:val="auto"/>
                <w:w w:val="93"/>
              </w:rPr>
              <w:t>Six Months Ended June 30,</w:t>
            </w:r>
          </w:p>
        </w:tc>
      </w:tr>
      <w:tr>
        <w:trPr>
          <w:trHeight w:val="171"/>
        </w:trPr>
        <w:tc>
          <w:tcPr>
            <w:tcW w:w="732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253"/>
              <w:spacing w:after="0"/>
              <w:rPr>
                <w:sz w:val="20"/>
                <w:szCs w:val="20"/>
                <w:color w:val="auto"/>
              </w:rPr>
            </w:pPr>
            <w:r>
              <w:rPr>
                <w:rFonts w:ascii="Arial" w:cs="Arial" w:eastAsia="Arial" w:hAnsi="Arial"/>
                <w:sz w:val="13"/>
                <w:szCs w:val="13"/>
                <w:b w:val="1"/>
                <w:bCs w:val="1"/>
                <w:color w:val="auto"/>
              </w:rPr>
              <w:t>2021</w:t>
            </w:r>
          </w:p>
        </w:tc>
        <w:tc>
          <w:tcPr>
            <w:tcW w:w="80" w:type="dxa"/>
            <w:vAlign w:val="bottom"/>
            <w:tcBorders>
              <w:top w:val="single" w:sz="8" w:color="auto"/>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253"/>
              <w:spacing w:after="0"/>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253"/>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top w:val="single" w:sz="8" w:color="auto"/>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ind w:right="253"/>
              <w:spacing w:after="0"/>
              <w:rPr>
                <w:sz w:val="20"/>
                <w:szCs w:val="20"/>
                <w:color w:val="auto"/>
              </w:rPr>
            </w:pPr>
            <w:r>
              <w:rPr>
                <w:rFonts w:ascii="Arial" w:cs="Arial" w:eastAsia="Arial" w:hAnsi="Arial"/>
                <w:sz w:val="13"/>
                <w:szCs w:val="13"/>
                <w:b w:val="1"/>
                <w:bCs w:val="1"/>
                <w:color w:val="auto"/>
              </w:rPr>
              <w:t>2020</w:t>
            </w:r>
          </w:p>
        </w:tc>
      </w:tr>
      <w:tr>
        <w:trPr>
          <w:trHeight w:val="169"/>
        </w:trPr>
        <w:tc>
          <w:tcPr>
            <w:tcW w:w="7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Weighted average number of common shares issued and outstanding</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524.9</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559.1</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528.7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553.3</w:t>
            </w:r>
          </w:p>
        </w:tc>
      </w:tr>
      <w:tr>
        <w:trPr>
          <w:trHeight w:val="172"/>
        </w:trPr>
        <w:tc>
          <w:tcPr>
            <w:tcW w:w="73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Weighted average number of fully vested restricted stock units outstanding</w:t>
            </w: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w:t>
            </w:r>
          </w:p>
        </w:tc>
        <w:tc>
          <w:tcPr>
            <w:tcW w:w="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0.9</w:t>
            </w:r>
          </w:p>
        </w:tc>
      </w:tr>
      <w:tr>
        <w:trPr>
          <w:trHeight w:val="171"/>
        </w:trPr>
        <w:tc>
          <w:tcPr>
            <w:tcW w:w="7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Weighted average number of common shares outstanding - basic</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526.6</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560.3</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530.1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554.2</w:t>
            </w:r>
          </w:p>
        </w:tc>
      </w:tr>
      <w:tr>
        <w:trPr>
          <w:trHeight w:val="172"/>
        </w:trPr>
        <w:tc>
          <w:tcPr>
            <w:tcW w:w="7320" w:type="dxa"/>
            <w:vAlign w:val="bottom"/>
          </w:tcPr>
          <w:p>
            <w:pPr>
              <w:ind w:left="20"/>
              <w:spacing w:after="0"/>
              <w:rPr>
                <w:sz w:val="20"/>
                <w:szCs w:val="20"/>
                <w:color w:val="auto"/>
              </w:rPr>
            </w:pPr>
            <w:r>
              <w:rPr>
                <w:rFonts w:ascii="Arial" w:cs="Arial" w:eastAsia="Arial" w:hAnsi="Arial"/>
                <w:sz w:val="13"/>
                <w:szCs w:val="13"/>
                <w:color w:val="auto"/>
              </w:rPr>
              <w:t>Weighted average number of dilutive unvested restricted stock units outstanding</w:t>
            </w:r>
          </w:p>
        </w:tc>
        <w:tc>
          <w:tcPr>
            <w:tcW w:w="10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0.5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96"/>
        </w:trPr>
        <w:tc>
          <w:tcPr>
            <w:tcW w:w="7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Weighted average number of common shares outstanding - diluted</w:t>
            </w: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526.6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spacing w:after="0"/>
              <w:rPr>
                <w:sz w:val="16"/>
                <w:szCs w:val="16"/>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560.8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531.9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spacing w:after="0"/>
              <w:rPr>
                <w:sz w:val="16"/>
                <w:szCs w:val="16"/>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554.2</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145"/>
        </w:trPr>
        <w:tc>
          <w:tcPr>
            <w:tcW w:w="7320" w:type="dxa"/>
            <w:vAlign w:val="bottom"/>
          </w:tcPr>
          <w:p>
            <w:pPr>
              <w:ind w:left="20"/>
              <w:spacing w:after="0" w:line="145" w:lineRule="exact"/>
              <w:rPr>
                <w:sz w:val="20"/>
                <w:szCs w:val="20"/>
                <w:color w:val="auto"/>
              </w:rPr>
            </w:pPr>
            <w:r>
              <w:rPr>
                <w:rFonts w:ascii="Arial" w:cs="Arial" w:eastAsia="Arial" w:hAnsi="Arial"/>
                <w:sz w:val="13"/>
                <w:szCs w:val="13"/>
                <w:color w:val="auto"/>
              </w:rPr>
              <w:t>Net income (loss) available (attributable) to common stockholders</w:t>
            </w:r>
          </w:p>
        </w:tc>
        <w:tc>
          <w:tcPr>
            <w:tcW w:w="10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3"/>
                <w:szCs w:val="13"/>
                <w:color w:val="auto"/>
              </w:rPr>
              <w:t>(436)</w:t>
            </w:r>
          </w:p>
        </w:tc>
        <w:tc>
          <w:tcPr>
            <w:tcW w:w="80" w:type="dxa"/>
            <w:vAlign w:val="bottom"/>
          </w:tcPr>
          <w:p>
            <w:pPr>
              <w:spacing w:after="0"/>
              <w:rPr>
                <w:sz w:val="12"/>
                <w:szCs w:val="12"/>
                <w:color w:val="auto"/>
              </w:rPr>
            </w:pPr>
          </w:p>
        </w:tc>
        <w:tc>
          <w:tcPr>
            <w:tcW w:w="200" w:type="dxa"/>
            <w:vAlign w:val="bottom"/>
            <w:tcBorders>
              <w:bottom w:val="single" w:sz="8" w:color="auto"/>
            </w:tcBorders>
          </w:tcPr>
          <w:p>
            <w:pPr>
              <w:jc w:val="right"/>
              <w:ind w:right="53"/>
              <w:spacing w:after="0" w:line="145" w:lineRule="exact"/>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3"/>
                <w:szCs w:val="13"/>
                <w:color w:val="auto"/>
              </w:rPr>
              <w:t>693</w:t>
            </w:r>
          </w:p>
        </w:tc>
        <w:tc>
          <w:tcPr>
            <w:tcW w:w="80" w:type="dxa"/>
            <w:vAlign w:val="bottom"/>
          </w:tcPr>
          <w:p>
            <w:pPr>
              <w:spacing w:after="0"/>
              <w:rPr>
                <w:sz w:val="12"/>
                <w:szCs w:val="12"/>
                <w:color w:val="auto"/>
              </w:rPr>
            </w:pPr>
          </w:p>
        </w:tc>
        <w:tc>
          <w:tcPr>
            <w:tcW w:w="14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3"/>
                <w:szCs w:val="13"/>
                <w:color w:val="auto"/>
              </w:rPr>
              <w:t>514</w:t>
            </w:r>
          </w:p>
        </w:tc>
        <w:tc>
          <w:tcPr>
            <w:tcW w:w="100" w:type="dxa"/>
            <w:vAlign w:val="bottom"/>
          </w:tcPr>
          <w:p>
            <w:pPr>
              <w:spacing w:after="0"/>
              <w:rPr>
                <w:sz w:val="12"/>
                <w:szCs w:val="12"/>
                <w:color w:val="auto"/>
              </w:rPr>
            </w:pPr>
          </w:p>
        </w:tc>
        <w:tc>
          <w:tcPr>
            <w:tcW w:w="200" w:type="dxa"/>
            <w:vAlign w:val="bottom"/>
            <w:tcBorders>
              <w:bottom w:val="single" w:sz="8" w:color="auto"/>
            </w:tcBorders>
          </w:tcPr>
          <w:p>
            <w:pPr>
              <w:jc w:val="right"/>
              <w:ind w:right="53"/>
              <w:spacing w:after="0" w:line="145" w:lineRule="exact"/>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3"/>
                <w:szCs w:val="13"/>
                <w:color w:val="auto"/>
              </w:rPr>
              <w:t>(1,749)</w:t>
            </w:r>
          </w:p>
        </w:tc>
      </w:tr>
      <w:tr>
        <w:trPr>
          <w:trHeight w:val="20"/>
        </w:trPr>
        <w:tc>
          <w:tcPr>
            <w:tcW w:w="7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90"/>
        </w:trPr>
        <w:tc>
          <w:tcPr>
            <w:tcW w:w="7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income (loss) per common share - basic</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(0.83)</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1.24</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0.97</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(3.16)</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145"/>
        </w:trPr>
        <w:tc>
          <w:tcPr>
            <w:tcW w:w="7320" w:type="dxa"/>
            <w:vAlign w:val="bottom"/>
          </w:tcPr>
          <w:p>
            <w:pPr>
              <w:ind w:left="20"/>
              <w:spacing w:after="0" w:line="145" w:lineRule="exact"/>
              <w:rPr>
                <w:sz w:val="20"/>
                <w:szCs w:val="20"/>
                <w:color w:val="auto"/>
              </w:rPr>
            </w:pPr>
            <w:r>
              <w:rPr>
                <w:rFonts w:ascii="Arial" w:cs="Arial" w:eastAsia="Arial" w:hAnsi="Arial"/>
                <w:sz w:val="13"/>
                <w:szCs w:val="13"/>
                <w:color w:val="auto"/>
              </w:rPr>
              <w:t>Net income (loss) per common share - diluted</w:t>
            </w:r>
          </w:p>
        </w:tc>
        <w:tc>
          <w:tcPr>
            <w:tcW w:w="10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3"/>
                <w:szCs w:val="13"/>
                <w:color w:val="auto"/>
              </w:rPr>
              <w:t>(0.83)</w:t>
            </w:r>
          </w:p>
        </w:tc>
        <w:tc>
          <w:tcPr>
            <w:tcW w:w="80" w:type="dxa"/>
            <w:vAlign w:val="bottom"/>
          </w:tcPr>
          <w:p>
            <w:pPr>
              <w:spacing w:after="0"/>
              <w:rPr>
                <w:sz w:val="12"/>
                <w:szCs w:val="12"/>
                <w:color w:val="auto"/>
              </w:rPr>
            </w:pPr>
          </w:p>
        </w:tc>
        <w:tc>
          <w:tcPr>
            <w:tcW w:w="200" w:type="dxa"/>
            <w:vAlign w:val="bottom"/>
            <w:tcBorders>
              <w:bottom w:val="single" w:sz="8" w:color="auto"/>
            </w:tcBorders>
          </w:tcPr>
          <w:p>
            <w:pPr>
              <w:jc w:val="right"/>
              <w:ind w:right="53"/>
              <w:spacing w:after="0" w:line="145" w:lineRule="exact"/>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3"/>
                <w:szCs w:val="13"/>
                <w:color w:val="auto"/>
              </w:rPr>
              <w:t>1.24</w:t>
            </w:r>
          </w:p>
        </w:tc>
        <w:tc>
          <w:tcPr>
            <w:tcW w:w="80" w:type="dxa"/>
            <w:vAlign w:val="bottom"/>
          </w:tcPr>
          <w:p>
            <w:pPr>
              <w:spacing w:after="0"/>
              <w:rPr>
                <w:sz w:val="12"/>
                <w:szCs w:val="12"/>
                <w:color w:val="auto"/>
              </w:rPr>
            </w:pPr>
          </w:p>
        </w:tc>
        <w:tc>
          <w:tcPr>
            <w:tcW w:w="14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3"/>
                <w:szCs w:val="13"/>
                <w:color w:val="auto"/>
              </w:rPr>
              <w:t>0.97</w:t>
            </w:r>
          </w:p>
        </w:tc>
        <w:tc>
          <w:tcPr>
            <w:tcW w:w="100" w:type="dxa"/>
            <w:vAlign w:val="bottom"/>
          </w:tcPr>
          <w:p>
            <w:pPr>
              <w:spacing w:after="0"/>
              <w:rPr>
                <w:sz w:val="12"/>
                <w:szCs w:val="12"/>
                <w:color w:val="auto"/>
              </w:rPr>
            </w:pPr>
          </w:p>
        </w:tc>
        <w:tc>
          <w:tcPr>
            <w:tcW w:w="200" w:type="dxa"/>
            <w:vAlign w:val="bottom"/>
            <w:tcBorders>
              <w:bottom w:val="single" w:sz="8" w:color="auto"/>
            </w:tcBorders>
          </w:tcPr>
          <w:p>
            <w:pPr>
              <w:jc w:val="right"/>
              <w:ind w:right="53"/>
              <w:spacing w:after="0" w:line="145" w:lineRule="exact"/>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3"/>
                <w:szCs w:val="13"/>
                <w:color w:val="auto"/>
              </w:rPr>
              <w:t>(3.16)</w:t>
            </w:r>
          </w:p>
        </w:tc>
      </w:tr>
      <w:tr>
        <w:trPr>
          <w:trHeight w:val="20"/>
        </w:trPr>
        <w:tc>
          <w:tcPr>
            <w:tcW w:w="7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38" w:lineRule="exact"/>
        <w:rPr>
          <w:sz w:val="20"/>
          <w:szCs w:val="20"/>
          <w:color w:val="auto"/>
        </w:rPr>
      </w:pPr>
    </w:p>
    <w:p>
      <w:pPr>
        <w:jc w:val="both"/>
        <w:ind w:firstLine="375"/>
        <w:spacing w:after="0" w:line="255" w:lineRule="auto"/>
        <w:rPr>
          <w:sz w:val="20"/>
          <w:szCs w:val="20"/>
          <w:color w:val="auto"/>
        </w:rPr>
      </w:pPr>
      <w:r>
        <w:rPr>
          <w:rFonts w:ascii="Arial" w:cs="Arial" w:eastAsia="Arial" w:hAnsi="Arial"/>
          <w:sz w:val="17"/>
          <w:szCs w:val="17"/>
          <w:color w:val="auto"/>
        </w:rPr>
        <w:t>For the three months ended June 30, 2021 and six months ended June 30, 2020, 1.7 million and 0.8 million, respectively, of potentially dilutive unvested time and performance based RSUs outstanding were excluded from the computation of diluted net income (loss) per common share because to do so would have been anti-dilutive for the period.</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9. Stockholders' Equity</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Preferred Stock</w:t>
      </w:r>
    </w:p>
    <w:p>
      <w:pPr>
        <w:spacing w:after="0" w:line="154" w:lineRule="exact"/>
        <w:rPr>
          <w:sz w:val="20"/>
          <w:szCs w:val="20"/>
          <w:color w:val="auto"/>
        </w:rPr>
      </w:pPr>
    </w:p>
    <w:p>
      <w:pPr>
        <w:jc w:val="both"/>
        <w:ind w:firstLine="412"/>
        <w:spacing w:after="0" w:line="284" w:lineRule="auto"/>
        <w:rPr>
          <w:sz w:val="20"/>
          <w:szCs w:val="20"/>
          <w:color w:val="auto"/>
        </w:rPr>
      </w:pPr>
      <w:r>
        <w:rPr>
          <w:rFonts w:ascii="Arial" w:cs="Arial" w:eastAsia="Arial" w:hAnsi="Arial"/>
          <w:sz w:val="15"/>
          <w:szCs w:val="15"/>
          <w:color w:val="auto"/>
        </w:rPr>
        <w:t>We are authorized to designate and issue up to 10.0 million shares of preferred stock in one or more classes or series. As of June 30, 2021 and December 31, 2020, 13,800, 10,350, 16,100 and 23,000 shares of preferred stock were designated as 7.00% Series C Fixed-to-Floating Rate Cumulative Redeemable Preferred Stock, 6.875% Series D Fixed-to-Floating Rate Cumulative Redeemable Preferred Stock, 6.50% Series E Fixed-to-Floating Rate Cumulative Redeemable Preferred Stock and</w:t>
      </w:r>
    </w:p>
    <w:p>
      <w:pPr>
        <w:jc w:val="both"/>
        <w:spacing w:after="0" w:line="247" w:lineRule="auto"/>
        <w:rPr>
          <w:sz w:val="20"/>
          <w:szCs w:val="20"/>
          <w:color w:val="auto"/>
        </w:rPr>
      </w:pPr>
      <w:r>
        <w:rPr>
          <w:rFonts w:ascii="Arial" w:cs="Arial" w:eastAsia="Arial" w:hAnsi="Arial"/>
          <w:sz w:val="17"/>
          <w:szCs w:val="17"/>
          <w:color w:val="auto"/>
        </w:rPr>
        <w:t>6.125% Series F Fixed-to-Floating Rate Cumulative Redeemable Preferred Stock, respectively, (referred to as "Series C, D, E and F Preferred Stock", respectively). As of June 30, 2021 and December 31, 2020, 13,000, 9,400, 16,100 and 23,000 shares of Series C, D, E and F Preferred Stock, respectively, were issued and outstanding. Each share of preferred stock is represented by 1,000 depositary shares. Each share of preferred stock has a liquidation preference of $25,000 per share (or $25 per depositary share).</w:t>
      </w:r>
    </w:p>
    <w:p>
      <w:pPr>
        <w:spacing w:after="0" w:line="133" w:lineRule="exact"/>
        <w:rPr>
          <w:sz w:val="20"/>
          <w:szCs w:val="20"/>
          <w:color w:val="auto"/>
        </w:rPr>
      </w:pPr>
    </w:p>
    <w:p>
      <w:pPr>
        <w:jc w:val="both"/>
        <w:ind w:firstLine="375"/>
        <w:spacing w:after="0" w:line="249" w:lineRule="auto"/>
        <w:rPr>
          <w:sz w:val="20"/>
          <w:szCs w:val="20"/>
          <w:color w:val="auto"/>
        </w:rPr>
      </w:pPr>
      <w:r>
        <w:rPr>
          <w:rFonts w:ascii="Arial" w:cs="Arial" w:eastAsia="Arial" w:hAnsi="Arial"/>
          <w:sz w:val="17"/>
          <w:szCs w:val="17"/>
          <w:color w:val="auto"/>
        </w:rPr>
        <w:t>Our preferred stock ranks senior to our common stock with respect to the payment of dividends and the distribution of assets upon a voluntary or involuntary liquidation, dissolution or winding up of the Company. Our preferred stock has no stated maturity, is not subject to any sinking fund or mandatory redemption and each series of preferred stock ranks on parity with one another. Under certain circumstances upon a change of control, our preferred stock is convertible to shares of our common stock. Holders of our preferred stock and depositary shares underlying our preferred stock have no voting rights, except under limited conditions. Beginning on each series' optional redemption date, we may redeem shares at $25.00 per depositary share, plus accumulated and unpaid dividends (whether or not declared), exclusively at our option.</w:t>
      </w:r>
    </w:p>
    <w:p>
      <w:pPr>
        <w:spacing w:after="0" w:line="13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table includes a summary of preferred stock depositary shares issued and outstanding as of June 30, 2021 (dollars and shares in millions):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2"/>
              </w:rPr>
              <w:t>Depositary</w:t>
            </w: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1"/>
              </w:rPr>
              <w:t>Fixed-to-Floating</w:t>
            </w: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04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Fixed-to-Floating Rate</w:t>
            </w: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2"/>
          </w:tcPr>
          <w:p>
            <w:pPr>
              <w:jc w:val="center"/>
              <w:ind w:right="100"/>
              <w:spacing w:after="0" w:line="125" w:lineRule="exact"/>
              <w:rPr>
                <w:sz w:val="20"/>
                <w:szCs w:val="20"/>
                <w:color w:val="auto"/>
              </w:rPr>
            </w:pPr>
            <w:r>
              <w:rPr>
                <w:rFonts w:ascii="Arial" w:cs="Arial" w:eastAsia="Arial" w:hAnsi="Arial"/>
                <w:sz w:val="13"/>
                <w:szCs w:val="13"/>
                <w:b w:val="1"/>
                <w:bCs w:val="1"/>
                <w:color w:val="auto"/>
                <w:w w:val="87"/>
              </w:rPr>
              <w:t>Shares</w:t>
            </w: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vMerge w:val="restart"/>
          </w:tcPr>
          <w:p>
            <w:pPr>
              <w:jc w:val="center"/>
              <w:ind w:right="35"/>
              <w:spacing w:after="0"/>
              <w:rPr>
                <w:sz w:val="20"/>
                <w:szCs w:val="20"/>
                <w:color w:val="auto"/>
              </w:rPr>
            </w:pPr>
            <w:r>
              <w:rPr>
                <w:rFonts w:ascii="Arial" w:cs="Arial" w:eastAsia="Arial" w:hAnsi="Arial"/>
                <w:sz w:val="13"/>
                <w:szCs w:val="13"/>
                <w:b w:val="1"/>
                <w:bCs w:val="1"/>
                <w:color w:val="auto"/>
                <w:w w:val="87"/>
              </w:rPr>
              <w:t>Aggregate</w:t>
            </w: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90"/>
              </w:rPr>
              <w:t>Optional</w:t>
            </w:r>
          </w:p>
        </w:tc>
        <w:tc>
          <w:tcPr>
            <w:tcW w:w="1220" w:type="dxa"/>
            <w:vAlign w:val="bottom"/>
            <w:gridSpan w:val="2"/>
            <w:vMerge w:val="continue"/>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40" w:type="dxa"/>
            <w:vAlign w:val="bottom"/>
            <w:gridSpan w:val="2"/>
            <w:vMerge w:val="continue"/>
          </w:tcPr>
          <w:p>
            <w:pPr>
              <w:spacing w:after="0"/>
              <w:rPr>
                <w:sz w:val="10"/>
                <w:szCs w:val="10"/>
                <w:color w:val="auto"/>
              </w:rPr>
            </w:pPr>
          </w:p>
        </w:tc>
        <w:tc>
          <w:tcPr>
            <w:tcW w:w="118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86"/>
              </w:rPr>
              <w:t>Issuance</w:t>
            </w:r>
          </w:p>
        </w:tc>
        <w:tc>
          <w:tcPr>
            <w:tcW w:w="1160" w:type="dxa"/>
            <w:vAlign w:val="bottom"/>
            <w:gridSpan w:val="2"/>
          </w:tcPr>
          <w:p>
            <w:pPr>
              <w:jc w:val="center"/>
              <w:ind w:right="100"/>
              <w:spacing w:after="0" w:line="125" w:lineRule="exact"/>
              <w:rPr>
                <w:sz w:val="20"/>
                <w:szCs w:val="20"/>
                <w:color w:val="auto"/>
              </w:rPr>
            </w:pPr>
            <w:r>
              <w:rPr>
                <w:rFonts w:ascii="Arial" w:cs="Arial" w:eastAsia="Arial" w:hAnsi="Arial"/>
                <w:sz w:val="13"/>
                <w:szCs w:val="13"/>
                <w:b w:val="1"/>
                <w:bCs w:val="1"/>
                <w:color w:val="auto"/>
                <w:w w:val="82"/>
              </w:rPr>
              <w:t>Issued</w:t>
            </w:r>
          </w:p>
        </w:tc>
        <w:tc>
          <w:tcPr>
            <w:tcW w:w="140" w:type="dxa"/>
            <w:vAlign w:val="bottom"/>
          </w:tcPr>
          <w:p>
            <w:pPr>
              <w:spacing w:after="0"/>
              <w:rPr>
                <w:sz w:val="10"/>
                <w:szCs w:val="10"/>
                <w:color w:val="auto"/>
              </w:rPr>
            </w:pPr>
          </w:p>
        </w:tc>
        <w:tc>
          <w:tcPr>
            <w:tcW w:w="92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7"/>
              </w:rPr>
              <w:t>Carrying</w:t>
            </w:r>
          </w:p>
        </w:tc>
        <w:tc>
          <w:tcPr>
            <w:tcW w:w="14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114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88"/>
              </w:rPr>
              <w:t>Fixed</w:t>
            </w:r>
          </w:p>
        </w:tc>
        <w:tc>
          <w:tcPr>
            <w:tcW w:w="1160" w:type="dxa"/>
            <w:vAlign w:val="bottom"/>
            <w:gridSpan w:val="2"/>
            <w:vMerge w:val="continue"/>
          </w:tcPr>
          <w:p>
            <w:pPr>
              <w:spacing w:after="0"/>
              <w:rPr>
                <w:sz w:val="10"/>
                <w:szCs w:val="10"/>
                <w:color w:val="auto"/>
              </w:rPr>
            </w:pPr>
          </w:p>
        </w:tc>
        <w:tc>
          <w:tcPr>
            <w:tcW w:w="1220" w:type="dxa"/>
            <w:vAlign w:val="bottom"/>
            <w:gridSpan w:val="2"/>
          </w:tcPr>
          <w:p>
            <w:pPr>
              <w:jc w:val="center"/>
              <w:ind w:right="80"/>
              <w:spacing w:after="0" w:line="125" w:lineRule="exact"/>
              <w:rPr>
                <w:sz w:val="20"/>
                <w:szCs w:val="20"/>
                <w:color w:val="auto"/>
              </w:rPr>
            </w:pPr>
            <w:r>
              <w:rPr>
                <w:rFonts w:ascii="Arial" w:cs="Arial" w:eastAsia="Arial" w:hAnsi="Arial"/>
                <w:sz w:val="13"/>
                <w:szCs w:val="13"/>
                <w:b w:val="1"/>
                <w:bCs w:val="1"/>
                <w:color w:val="auto"/>
                <w:w w:val="92"/>
              </w:rPr>
              <w:t>Rate</w:t>
            </w:r>
          </w:p>
        </w:tc>
        <w:tc>
          <w:tcPr>
            <w:tcW w:w="12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0"/>
              </w:rPr>
              <w:t>Floating</w:t>
            </w:r>
          </w:p>
        </w:tc>
        <w:tc>
          <w:tcPr>
            <w:tcW w:w="0" w:type="dxa"/>
            <w:vAlign w:val="bottom"/>
          </w:tcPr>
          <w:p>
            <w:pPr>
              <w:spacing w:after="0"/>
              <w:rPr>
                <w:sz w:val="1"/>
                <w:szCs w:val="1"/>
                <w:color w:val="auto"/>
              </w:rPr>
            </w:pPr>
          </w:p>
        </w:tc>
      </w:tr>
      <w:tr>
        <w:trPr>
          <w:trHeight w:val="125"/>
        </w:trPr>
        <w:tc>
          <w:tcPr>
            <w:tcW w:w="2040" w:type="dxa"/>
            <w:vAlign w:val="bottom"/>
            <w:gridSpan w:val="2"/>
          </w:tcPr>
          <w:p>
            <w:pPr>
              <w:ind w:left="20"/>
              <w:spacing w:after="0" w:line="125" w:lineRule="exact"/>
              <w:rPr>
                <w:sz w:val="20"/>
                <w:szCs w:val="20"/>
                <w:color w:val="auto"/>
              </w:rPr>
            </w:pPr>
            <w:r>
              <w:rPr>
                <w:rFonts w:ascii="Arial" w:cs="Arial" w:eastAsia="Arial" w:hAnsi="Arial"/>
                <w:sz w:val="13"/>
                <w:szCs w:val="13"/>
                <w:b w:val="1"/>
                <w:bCs w:val="1"/>
                <w:color w:val="auto"/>
              </w:rPr>
              <w:t>Cumulative Redeemable</w:t>
            </w:r>
          </w:p>
        </w:tc>
        <w:tc>
          <w:tcPr>
            <w:tcW w:w="1180" w:type="dxa"/>
            <w:vAlign w:val="bottom"/>
            <w:gridSpan w:val="2"/>
            <w:vMerge w:val="continue"/>
          </w:tcPr>
          <w:p>
            <w:pPr>
              <w:spacing w:after="0"/>
              <w:rPr>
                <w:sz w:val="10"/>
                <w:szCs w:val="10"/>
                <w:color w:val="auto"/>
              </w:rPr>
            </w:pPr>
          </w:p>
        </w:tc>
        <w:tc>
          <w:tcPr>
            <w:tcW w:w="1160" w:type="dxa"/>
            <w:vAlign w:val="bottom"/>
            <w:gridSpan w:val="2"/>
          </w:tcPr>
          <w:p>
            <w:pPr>
              <w:jc w:val="center"/>
              <w:ind w:right="100"/>
              <w:spacing w:after="0" w:line="125" w:lineRule="exact"/>
              <w:rPr>
                <w:sz w:val="20"/>
                <w:szCs w:val="20"/>
                <w:color w:val="auto"/>
              </w:rPr>
            </w:pPr>
            <w:r>
              <w:rPr>
                <w:rFonts w:ascii="Arial" w:cs="Arial" w:eastAsia="Arial" w:hAnsi="Arial"/>
                <w:sz w:val="13"/>
                <w:szCs w:val="13"/>
                <w:b w:val="1"/>
                <w:bCs w:val="1"/>
                <w:color w:val="auto"/>
                <w:w w:val="94"/>
              </w:rPr>
              <w:t>and</w:t>
            </w:r>
          </w:p>
        </w:tc>
        <w:tc>
          <w:tcPr>
            <w:tcW w:w="14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jc w:val="center"/>
              <w:ind w:right="75"/>
              <w:spacing w:after="0" w:line="125" w:lineRule="exact"/>
              <w:rPr>
                <w:sz w:val="20"/>
                <w:szCs w:val="20"/>
                <w:color w:val="auto"/>
              </w:rPr>
            </w:pPr>
            <w:r>
              <w:rPr>
                <w:rFonts w:ascii="Arial" w:cs="Arial" w:eastAsia="Arial" w:hAnsi="Arial"/>
                <w:sz w:val="13"/>
                <w:szCs w:val="13"/>
                <w:b w:val="1"/>
                <w:bCs w:val="1"/>
                <w:color w:val="auto"/>
                <w:w w:val="91"/>
              </w:rPr>
              <w:t>Liquidation</w:t>
            </w:r>
          </w:p>
        </w:tc>
        <w:tc>
          <w:tcPr>
            <w:tcW w:w="1140" w:type="dxa"/>
            <w:vAlign w:val="bottom"/>
            <w:gridSpan w:val="2"/>
            <w:vMerge w:val="continue"/>
          </w:tcPr>
          <w:p>
            <w:pPr>
              <w:spacing w:after="0"/>
              <w:rPr>
                <w:sz w:val="10"/>
                <w:szCs w:val="10"/>
                <w:color w:val="auto"/>
              </w:rPr>
            </w:pPr>
          </w:p>
        </w:tc>
        <w:tc>
          <w:tcPr>
            <w:tcW w:w="1160" w:type="dxa"/>
            <w:vAlign w:val="bottom"/>
            <w:gridSpan w:val="2"/>
          </w:tcPr>
          <w:p>
            <w:pPr>
              <w:jc w:val="center"/>
              <w:ind w:right="80"/>
              <w:spacing w:after="0" w:line="125" w:lineRule="exact"/>
              <w:rPr>
                <w:sz w:val="20"/>
                <w:szCs w:val="20"/>
                <w:color w:val="auto"/>
              </w:rPr>
            </w:pPr>
            <w:r>
              <w:rPr>
                <w:rFonts w:ascii="Arial" w:cs="Arial" w:eastAsia="Arial" w:hAnsi="Arial"/>
                <w:sz w:val="13"/>
                <w:szCs w:val="13"/>
                <w:b w:val="1"/>
                <w:bCs w:val="1"/>
                <w:color w:val="auto"/>
                <w:w w:val="90"/>
              </w:rPr>
              <w:t>Redemption</w:t>
            </w:r>
          </w:p>
        </w:tc>
        <w:tc>
          <w:tcPr>
            <w:tcW w:w="1220" w:type="dxa"/>
            <w:vAlign w:val="bottom"/>
            <w:gridSpan w:val="2"/>
          </w:tcPr>
          <w:p>
            <w:pPr>
              <w:jc w:val="center"/>
              <w:ind w:right="100"/>
              <w:spacing w:after="0" w:line="125" w:lineRule="exact"/>
              <w:rPr>
                <w:sz w:val="20"/>
                <w:szCs w:val="20"/>
                <w:color w:val="auto"/>
              </w:rPr>
            </w:pPr>
            <w:r>
              <w:rPr>
                <w:rFonts w:ascii="Arial" w:cs="Arial" w:eastAsia="Arial" w:hAnsi="Arial"/>
                <w:sz w:val="13"/>
                <w:szCs w:val="13"/>
                <w:b w:val="1"/>
                <w:bCs w:val="1"/>
                <w:color w:val="auto"/>
                <w:w w:val="89"/>
              </w:rPr>
              <w:t>Conversion</w:t>
            </w: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2040" w:type="dxa"/>
            <w:vAlign w:val="bottom"/>
            <w:gridSpan w:val="2"/>
          </w:tcPr>
          <w:p>
            <w:pPr>
              <w:ind w:left="20"/>
              <w:spacing w:after="0" w:line="175" w:lineRule="exact"/>
              <w:rPr>
                <w:sz w:val="20"/>
                <w:szCs w:val="20"/>
                <w:color w:val="auto"/>
              </w:rPr>
            </w:pPr>
            <w:r>
              <w:rPr>
                <w:rFonts w:ascii="Arial" w:cs="Arial" w:eastAsia="Arial" w:hAnsi="Arial"/>
                <w:sz w:val="13"/>
                <w:szCs w:val="13"/>
                <w:b w:val="1"/>
                <w:bCs w:val="1"/>
                <w:color w:val="auto"/>
              </w:rPr>
              <w:t xml:space="preserve">Preferred Stock </w:t>
            </w:r>
            <w:r>
              <w:rPr>
                <w:rFonts w:ascii="Arial" w:cs="Arial" w:eastAsia="Arial" w:hAnsi="Arial"/>
                <w:sz w:val="16"/>
                <w:szCs w:val="16"/>
                <w:b w:val="1"/>
                <w:bCs w:val="1"/>
                <w:color w:val="auto"/>
                <w:vertAlign w:val="superscript"/>
              </w:rPr>
              <w:t>1</w:t>
            </w:r>
          </w:p>
        </w:tc>
        <w:tc>
          <w:tcPr>
            <w:tcW w:w="11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5"/>
              </w:rPr>
              <w:t>Date</w:t>
            </w:r>
          </w:p>
        </w:tc>
        <w:tc>
          <w:tcPr>
            <w:tcW w:w="11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1"/>
              </w:rPr>
              <w:t>Outstanding</w:t>
            </w:r>
          </w:p>
        </w:tc>
        <w:tc>
          <w:tcPr>
            <w:tcW w:w="140" w:type="dxa"/>
            <w:vAlign w:val="bottom"/>
          </w:tcPr>
          <w:p>
            <w:pPr>
              <w:spacing w:after="0"/>
              <w:rPr>
                <w:sz w:val="15"/>
                <w:szCs w:val="15"/>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Value</w:t>
            </w:r>
          </w:p>
        </w:tc>
        <w:tc>
          <w:tcPr>
            <w:tcW w:w="140" w:type="dxa"/>
            <w:vAlign w:val="bottom"/>
          </w:tcPr>
          <w:p>
            <w:pPr>
              <w:spacing w:after="0"/>
              <w:rPr>
                <w:sz w:val="15"/>
                <w:szCs w:val="15"/>
                <w:color w:val="auto"/>
              </w:rPr>
            </w:pPr>
          </w:p>
        </w:tc>
        <w:tc>
          <w:tcPr>
            <w:tcW w:w="900" w:type="dxa"/>
            <w:vAlign w:val="bottom"/>
          </w:tcPr>
          <w:p>
            <w:pPr>
              <w:jc w:val="center"/>
              <w:ind w:right="75"/>
              <w:spacing w:after="0"/>
              <w:rPr>
                <w:sz w:val="20"/>
                <w:szCs w:val="20"/>
                <w:color w:val="auto"/>
              </w:rPr>
            </w:pPr>
            <w:r>
              <w:rPr>
                <w:rFonts w:ascii="Arial" w:cs="Arial" w:eastAsia="Arial" w:hAnsi="Arial"/>
                <w:sz w:val="13"/>
                <w:szCs w:val="13"/>
                <w:b w:val="1"/>
                <w:bCs w:val="1"/>
                <w:color w:val="auto"/>
                <w:w w:val="89"/>
              </w:rPr>
              <w:t>Preference</w:t>
            </w:r>
          </w:p>
        </w:tc>
        <w:tc>
          <w:tcPr>
            <w:tcW w:w="1140" w:type="dxa"/>
            <w:vAlign w:val="bottom"/>
            <w:gridSpan w:val="2"/>
          </w:tcPr>
          <w:p>
            <w:pPr>
              <w:jc w:val="center"/>
              <w:spacing w:after="0"/>
              <w:rPr>
                <w:sz w:val="20"/>
                <w:szCs w:val="20"/>
                <w:color w:val="auto"/>
              </w:rPr>
            </w:pPr>
            <w:r>
              <w:rPr>
                <w:rFonts w:ascii="Arial" w:cs="Arial" w:eastAsia="Arial" w:hAnsi="Arial"/>
                <w:sz w:val="13"/>
                <w:szCs w:val="13"/>
                <w:b w:val="1"/>
                <w:bCs w:val="1"/>
                <w:color w:val="auto"/>
                <w:w w:val="92"/>
              </w:rPr>
              <w:t>Rate</w:t>
            </w:r>
          </w:p>
        </w:tc>
        <w:tc>
          <w:tcPr>
            <w:tcW w:w="1160" w:type="dxa"/>
            <w:vAlign w:val="bottom"/>
            <w:gridSpan w:val="2"/>
          </w:tcPr>
          <w:p>
            <w:pPr>
              <w:jc w:val="center"/>
              <w:ind w:right="100"/>
              <w:spacing w:after="0" w:line="175" w:lineRule="exact"/>
              <w:rPr>
                <w:sz w:val="20"/>
                <w:szCs w:val="20"/>
                <w:color w:val="auto"/>
              </w:rPr>
            </w:pPr>
            <w:r>
              <w:rPr>
                <w:rFonts w:ascii="Arial" w:cs="Arial" w:eastAsia="Arial" w:hAnsi="Arial"/>
                <w:sz w:val="13"/>
                <w:szCs w:val="13"/>
                <w:b w:val="1"/>
                <w:bCs w:val="1"/>
                <w:color w:val="auto"/>
                <w:w w:val="90"/>
              </w:rPr>
              <w:t xml:space="preserve">Date </w:t>
            </w:r>
            <w:r>
              <w:rPr>
                <w:rFonts w:ascii="Arial" w:cs="Arial" w:eastAsia="Arial" w:hAnsi="Arial"/>
                <w:sz w:val="16"/>
                <w:szCs w:val="16"/>
                <w:b w:val="1"/>
                <w:bCs w:val="1"/>
                <w:color w:val="auto"/>
                <w:w w:val="90"/>
                <w:vertAlign w:val="superscript"/>
              </w:rPr>
              <w:t>2</w:t>
            </w:r>
          </w:p>
        </w:tc>
        <w:tc>
          <w:tcPr>
            <w:tcW w:w="12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2"/>
              </w:rPr>
              <w:t>Date</w:t>
            </w:r>
          </w:p>
        </w:tc>
        <w:tc>
          <w:tcPr>
            <w:tcW w:w="1220" w:type="dxa"/>
            <w:vAlign w:val="bottom"/>
          </w:tcPr>
          <w:p>
            <w:pPr>
              <w:jc w:val="center"/>
              <w:spacing w:after="0"/>
              <w:rPr>
                <w:sz w:val="20"/>
                <w:szCs w:val="20"/>
                <w:color w:val="auto"/>
              </w:rPr>
            </w:pPr>
            <w:r>
              <w:rPr>
                <w:rFonts w:ascii="Arial" w:cs="Arial" w:eastAsia="Arial" w:hAnsi="Arial"/>
                <w:sz w:val="13"/>
                <w:szCs w:val="13"/>
                <w:b w:val="1"/>
                <w:bCs w:val="1"/>
                <w:color w:val="auto"/>
                <w:w w:val="92"/>
              </w:rPr>
              <w:t>Annual Rate</w:t>
            </w:r>
          </w:p>
        </w:tc>
        <w:tc>
          <w:tcPr>
            <w:tcW w:w="0" w:type="dxa"/>
            <w:vAlign w:val="bottom"/>
          </w:tcPr>
          <w:p>
            <w:pPr>
              <w:spacing w:after="0"/>
              <w:rPr>
                <w:sz w:val="1"/>
                <w:szCs w:val="1"/>
                <w:color w:val="auto"/>
              </w:rPr>
            </w:pPr>
          </w:p>
        </w:tc>
      </w:tr>
      <w:tr>
        <w:trPr>
          <w:trHeight w:val="167"/>
        </w:trPr>
        <w:tc>
          <w:tcPr>
            <w:tcW w:w="194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3"/>
                <w:szCs w:val="13"/>
                <w:color w:val="auto"/>
              </w:rPr>
              <w:t>Series C</w:t>
            </w:r>
          </w:p>
        </w:tc>
        <w:tc>
          <w:tcPr>
            <w:tcW w:w="100" w:type="dxa"/>
            <w:vAlign w:val="bottom"/>
            <w:tcBorders>
              <w:top w:val="single" w:sz="8" w:color="CCEEFF"/>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88"/>
              </w:rPr>
              <w:t>August 22, 2017</w:t>
            </w:r>
          </w:p>
        </w:tc>
        <w:tc>
          <w:tcPr>
            <w:tcW w:w="10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13.0</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315</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325</w:t>
            </w:r>
          </w:p>
        </w:tc>
        <w:tc>
          <w:tcPr>
            <w:tcW w:w="1040" w:type="dxa"/>
            <w:vAlign w:val="bottom"/>
            <w:tcBorders>
              <w:top w:val="single" w:sz="8" w:color="auto"/>
            </w:tcBorders>
            <w:shd w:val="clear" w:color="auto" w:fill="CCEEFF"/>
          </w:tcPr>
          <w:p>
            <w:pPr>
              <w:jc w:val="center"/>
              <w:ind w:left="95"/>
              <w:spacing w:after="0"/>
              <w:rPr>
                <w:sz w:val="20"/>
                <w:szCs w:val="20"/>
                <w:color w:val="auto"/>
              </w:rPr>
            </w:pPr>
            <w:r>
              <w:rPr>
                <w:rFonts w:ascii="Arial" w:cs="Arial" w:eastAsia="Arial" w:hAnsi="Arial"/>
                <w:sz w:val="13"/>
                <w:szCs w:val="13"/>
                <w:color w:val="auto"/>
                <w:w w:val="90"/>
              </w:rPr>
              <w:t>7.000%</w:t>
            </w:r>
          </w:p>
        </w:tc>
        <w:tc>
          <w:tcPr>
            <w:tcW w:w="10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89"/>
              </w:rPr>
              <w:t>October 15, 2022</w:t>
            </w:r>
          </w:p>
        </w:tc>
        <w:tc>
          <w:tcPr>
            <w:tcW w:w="10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89"/>
              </w:rPr>
              <w:t>October 15, 2022</w:t>
            </w:r>
          </w:p>
        </w:tc>
        <w:tc>
          <w:tcPr>
            <w:tcW w:w="100" w:type="dxa"/>
            <w:vAlign w:val="bottom"/>
            <w:tcBorders>
              <w:top w:val="single" w:sz="8" w:color="CCEEFF"/>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3"/>
              </w:rPr>
              <w:t>3M LIBOR + 5.111%</w:t>
            </w:r>
          </w:p>
        </w:tc>
        <w:tc>
          <w:tcPr>
            <w:tcW w:w="0" w:type="dxa"/>
            <w:vAlign w:val="bottom"/>
          </w:tcPr>
          <w:p>
            <w:pPr>
              <w:spacing w:after="0"/>
              <w:rPr>
                <w:sz w:val="1"/>
                <w:szCs w:val="1"/>
                <w:color w:val="auto"/>
              </w:rPr>
            </w:pPr>
          </w:p>
        </w:tc>
      </w:tr>
      <w:tr>
        <w:trPr>
          <w:trHeight w:val="169"/>
        </w:trPr>
        <w:tc>
          <w:tcPr>
            <w:tcW w:w="2040" w:type="dxa"/>
            <w:vAlign w:val="bottom"/>
            <w:gridSpan w:val="2"/>
          </w:tcPr>
          <w:p>
            <w:pPr>
              <w:ind w:left="120"/>
              <w:spacing w:after="0"/>
              <w:rPr>
                <w:sz w:val="20"/>
                <w:szCs w:val="20"/>
                <w:color w:val="auto"/>
              </w:rPr>
            </w:pPr>
            <w:r>
              <w:rPr>
                <w:rFonts w:ascii="Arial" w:cs="Arial" w:eastAsia="Arial" w:hAnsi="Arial"/>
                <w:sz w:val="13"/>
                <w:szCs w:val="13"/>
                <w:color w:val="auto"/>
              </w:rPr>
              <w:t>Series D</w:t>
            </w:r>
          </w:p>
        </w:tc>
        <w:tc>
          <w:tcPr>
            <w:tcW w:w="1180" w:type="dxa"/>
            <w:vAlign w:val="bottom"/>
            <w:gridSpan w:val="2"/>
          </w:tcPr>
          <w:p>
            <w:pPr>
              <w:jc w:val="center"/>
              <w:ind w:right="100"/>
              <w:spacing w:after="0"/>
              <w:rPr>
                <w:sz w:val="20"/>
                <w:szCs w:val="20"/>
                <w:color w:val="auto"/>
              </w:rPr>
            </w:pPr>
            <w:r>
              <w:rPr>
                <w:rFonts w:ascii="Arial" w:cs="Arial" w:eastAsia="Arial" w:hAnsi="Arial"/>
                <w:sz w:val="13"/>
                <w:szCs w:val="13"/>
                <w:color w:val="auto"/>
                <w:w w:val="91"/>
              </w:rPr>
              <w:t>March 6, 2019</w:t>
            </w:r>
          </w:p>
        </w:tc>
        <w:tc>
          <w:tcPr>
            <w:tcW w:w="1060" w:type="dxa"/>
            <w:vAlign w:val="bottom"/>
          </w:tcPr>
          <w:p>
            <w:pPr>
              <w:jc w:val="right"/>
              <w:spacing w:after="0"/>
              <w:rPr>
                <w:sz w:val="20"/>
                <w:szCs w:val="20"/>
                <w:color w:val="auto"/>
              </w:rPr>
            </w:pPr>
            <w:r>
              <w:rPr>
                <w:rFonts w:ascii="Arial" w:cs="Arial" w:eastAsia="Arial" w:hAnsi="Arial"/>
                <w:sz w:val="13"/>
                <w:szCs w:val="13"/>
                <w:color w:val="auto"/>
              </w:rPr>
              <w:t>9.4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227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235</w:t>
            </w:r>
          </w:p>
        </w:tc>
        <w:tc>
          <w:tcPr>
            <w:tcW w:w="1040" w:type="dxa"/>
            <w:vAlign w:val="bottom"/>
          </w:tcPr>
          <w:p>
            <w:pPr>
              <w:jc w:val="center"/>
              <w:ind w:left="95"/>
              <w:spacing w:after="0"/>
              <w:rPr>
                <w:sz w:val="20"/>
                <w:szCs w:val="20"/>
                <w:color w:val="auto"/>
              </w:rPr>
            </w:pPr>
            <w:r>
              <w:rPr>
                <w:rFonts w:ascii="Arial" w:cs="Arial" w:eastAsia="Arial" w:hAnsi="Arial"/>
                <w:sz w:val="13"/>
                <w:szCs w:val="13"/>
                <w:color w:val="auto"/>
                <w:w w:val="90"/>
              </w:rPr>
              <w:t>6.875%</w:t>
            </w:r>
          </w:p>
        </w:tc>
        <w:tc>
          <w:tcPr>
            <w:tcW w:w="100" w:type="dxa"/>
            <w:vAlign w:val="bottom"/>
          </w:tcPr>
          <w:p>
            <w:pPr>
              <w:spacing w:after="0"/>
              <w:rPr>
                <w:sz w:val="14"/>
                <w:szCs w:val="14"/>
                <w:color w:val="auto"/>
              </w:rPr>
            </w:pPr>
          </w:p>
        </w:tc>
        <w:tc>
          <w:tcPr>
            <w:tcW w:w="1160" w:type="dxa"/>
            <w:vAlign w:val="bottom"/>
            <w:gridSpan w:val="2"/>
          </w:tcPr>
          <w:p>
            <w:pPr>
              <w:jc w:val="center"/>
              <w:ind w:right="80"/>
              <w:spacing w:after="0"/>
              <w:rPr>
                <w:sz w:val="20"/>
                <w:szCs w:val="20"/>
                <w:color w:val="auto"/>
              </w:rPr>
            </w:pPr>
            <w:r>
              <w:rPr>
                <w:rFonts w:ascii="Arial" w:cs="Arial" w:eastAsia="Arial" w:hAnsi="Arial"/>
                <w:sz w:val="13"/>
                <w:szCs w:val="13"/>
                <w:color w:val="auto"/>
                <w:w w:val="94"/>
              </w:rPr>
              <w:t>April 15, 2024</w:t>
            </w:r>
          </w:p>
        </w:tc>
        <w:tc>
          <w:tcPr>
            <w:tcW w:w="1220" w:type="dxa"/>
            <w:vAlign w:val="bottom"/>
            <w:gridSpan w:val="2"/>
          </w:tcPr>
          <w:p>
            <w:pPr>
              <w:jc w:val="center"/>
              <w:ind w:right="100"/>
              <w:spacing w:after="0"/>
              <w:rPr>
                <w:sz w:val="20"/>
                <w:szCs w:val="20"/>
                <w:color w:val="auto"/>
              </w:rPr>
            </w:pPr>
            <w:r>
              <w:rPr>
                <w:rFonts w:ascii="Arial" w:cs="Arial" w:eastAsia="Arial" w:hAnsi="Arial"/>
                <w:sz w:val="13"/>
                <w:szCs w:val="13"/>
                <w:color w:val="auto"/>
                <w:w w:val="94"/>
              </w:rPr>
              <w:t>April 15, 2024</w:t>
            </w:r>
          </w:p>
        </w:tc>
        <w:tc>
          <w:tcPr>
            <w:tcW w:w="1220" w:type="dxa"/>
            <w:vAlign w:val="bottom"/>
          </w:tcPr>
          <w:p>
            <w:pPr>
              <w:jc w:val="center"/>
              <w:spacing w:after="0"/>
              <w:rPr>
                <w:sz w:val="20"/>
                <w:szCs w:val="20"/>
                <w:color w:val="auto"/>
              </w:rPr>
            </w:pPr>
            <w:r>
              <w:rPr>
                <w:rFonts w:ascii="Arial" w:cs="Arial" w:eastAsia="Arial" w:hAnsi="Arial"/>
                <w:sz w:val="13"/>
                <w:szCs w:val="13"/>
                <w:color w:val="auto"/>
                <w:w w:val="95"/>
              </w:rPr>
              <w:t>3M LIBOR + 4.332%</w:t>
            </w:r>
          </w:p>
        </w:tc>
        <w:tc>
          <w:tcPr>
            <w:tcW w:w="0" w:type="dxa"/>
            <w:vAlign w:val="bottom"/>
          </w:tcPr>
          <w:p>
            <w:pPr>
              <w:spacing w:after="0"/>
              <w:rPr>
                <w:sz w:val="1"/>
                <w:szCs w:val="1"/>
                <w:color w:val="auto"/>
              </w:rPr>
            </w:pPr>
          </w:p>
        </w:tc>
      </w:tr>
      <w:tr>
        <w:trPr>
          <w:trHeight w:val="181"/>
        </w:trPr>
        <w:tc>
          <w:tcPr>
            <w:tcW w:w="204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rPr>
              <w:t>Series E</w:t>
            </w:r>
          </w:p>
        </w:tc>
        <w:tc>
          <w:tcPr>
            <w:tcW w:w="118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0"/>
              </w:rPr>
              <w:t>October 3, 2019</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403</w:t>
            </w:r>
          </w:p>
        </w:tc>
        <w:tc>
          <w:tcPr>
            <w:tcW w:w="1040" w:type="dxa"/>
            <w:vAlign w:val="bottom"/>
            <w:shd w:val="clear" w:color="auto" w:fill="CCEEFF"/>
          </w:tcPr>
          <w:p>
            <w:pPr>
              <w:jc w:val="center"/>
              <w:ind w:left="95"/>
              <w:spacing w:after="0"/>
              <w:rPr>
                <w:sz w:val="20"/>
                <w:szCs w:val="20"/>
                <w:color w:val="auto"/>
              </w:rPr>
            </w:pPr>
            <w:r>
              <w:rPr>
                <w:rFonts w:ascii="Arial" w:cs="Arial" w:eastAsia="Arial" w:hAnsi="Arial"/>
                <w:sz w:val="13"/>
                <w:szCs w:val="13"/>
                <w:color w:val="auto"/>
                <w:w w:val="90"/>
              </w:rPr>
              <w:t>6.500%</w:t>
            </w:r>
          </w:p>
        </w:tc>
        <w:tc>
          <w:tcPr>
            <w:tcW w:w="1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9"/>
              </w:rPr>
              <w:t>October 15, 2024</w:t>
            </w:r>
          </w:p>
        </w:tc>
        <w:tc>
          <w:tcPr>
            <w:tcW w:w="1220" w:type="dxa"/>
            <w:vAlign w:val="bottom"/>
            <w:gridSpan w:val="2"/>
            <w:shd w:val="clear" w:color="auto" w:fill="CCEEFF"/>
          </w:tcPr>
          <w:p>
            <w:pPr>
              <w:jc w:val="center"/>
              <w:ind w:right="80"/>
              <w:spacing w:after="0"/>
              <w:rPr>
                <w:sz w:val="20"/>
                <w:szCs w:val="20"/>
                <w:color w:val="auto"/>
              </w:rPr>
            </w:pPr>
            <w:r>
              <w:rPr>
                <w:rFonts w:ascii="Arial" w:cs="Arial" w:eastAsia="Arial" w:hAnsi="Arial"/>
                <w:sz w:val="13"/>
                <w:szCs w:val="13"/>
                <w:color w:val="auto"/>
                <w:w w:val="89"/>
              </w:rPr>
              <w:t>October 15, 2024</w:t>
            </w:r>
          </w:p>
        </w:tc>
        <w:tc>
          <w:tcPr>
            <w:tcW w:w="12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3M LIBOR + 4.993%</w:t>
            </w:r>
          </w:p>
        </w:tc>
        <w:tc>
          <w:tcPr>
            <w:tcW w:w="0" w:type="dxa"/>
            <w:vAlign w:val="bottom"/>
          </w:tcPr>
          <w:p>
            <w:pPr>
              <w:spacing w:after="0"/>
              <w:rPr>
                <w:sz w:val="1"/>
                <w:szCs w:val="1"/>
                <w:color w:val="auto"/>
              </w:rPr>
            </w:pPr>
          </w:p>
        </w:tc>
      </w:tr>
      <w:tr>
        <w:trPr>
          <w:trHeight w:val="169"/>
        </w:trPr>
        <w:tc>
          <w:tcPr>
            <w:tcW w:w="2040" w:type="dxa"/>
            <w:vAlign w:val="bottom"/>
            <w:tcBorders>
              <w:bottom w:val="single" w:sz="8" w:color="CCEEFF"/>
            </w:tcBorders>
            <w:gridSpan w:val="2"/>
          </w:tcPr>
          <w:p>
            <w:pPr>
              <w:ind w:left="120"/>
              <w:spacing w:after="0"/>
              <w:rPr>
                <w:sz w:val="20"/>
                <w:szCs w:val="20"/>
                <w:color w:val="auto"/>
              </w:rPr>
            </w:pPr>
            <w:r>
              <w:rPr>
                <w:rFonts w:ascii="Arial" w:cs="Arial" w:eastAsia="Arial" w:hAnsi="Arial"/>
                <w:sz w:val="13"/>
                <w:szCs w:val="13"/>
                <w:color w:val="auto"/>
              </w:rPr>
              <w:t>Series F</w:t>
            </w:r>
          </w:p>
        </w:tc>
        <w:tc>
          <w:tcPr>
            <w:tcW w:w="118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3"/>
                <w:szCs w:val="13"/>
                <w:color w:val="auto"/>
                <w:w w:val="90"/>
              </w:rPr>
              <w:t>February 11, 2020</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23.0</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557</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575</w:t>
            </w:r>
          </w:p>
        </w:tc>
        <w:tc>
          <w:tcPr>
            <w:tcW w:w="1040" w:type="dxa"/>
            <w:vAlign w:val="bottom"/>
            <w:tcBorders>
              <w:bottom w:val="single" w:sz="8" w:color="CCEEFF"/>
            </w:tcBorders>
          </w:tcPr>
          <w:p>
            <w:pPr>
              <w:jc w:val="center"/>
              <w:ind w:left="95"/>
              <w:spacing w:after="0"/>
              <w:rPr>
                <w:sz w:val="20"/>
                <w:szCs w:val="20"/>
                <w:color w:val="auto"/>
              </w:rPr>
            </w:pPr>
            <w:r>
              <w:rPr>
                <w:rFonts w:ascii="Arial" w:cs="Arial" w:eastAsia="Arial" w:hAnsi="Arial"/>
                <w:sz w:val="13"/>
                <w:szCs w:val="13"/>
                <w:color w:val="auto"/>
                <w:w w:val="90"/>
              </w:rPr>
              <w:t>6.125%</w:t>
            </w:r>
          </w:p>
        </w:tc>
        <w:tc>
          <w:tcPr>
            <w:tcW w:w="100" w:type="dxa"/>
            <w:vAlign w:val="bottom"/>
            <w:tcBorders>
              <w:bottom w:val="single" w:sz="8" w:color="CCEEFF"/>
            </w:tcBorders>
          </w:tcPr>
          <w:p>
            <w:pPr>
              <w:spacing w:after="0"/>
              <w:rPr>
                <w:sz w:val="14"/>
                <w:szCs w:val="14"/>
                <w:color w:val="auto"/>
              </w:rPr>
            </w:pPr>
          </w:p>
        </w:tc>
        <w:tc>
          <w:tcPr>
            <w:tcW w:w="1160" w:type="dxa"/>
            <w:vAlign w:val="bottom"/>
            <w:tcBorders>
              <w:bottom w:val="single" w:sz="8" w:color="CCEEFF"/>
            </w:tcBorders>
            <w:gridSpan w:val="2"/>
          </w:tcPr>
          <w:p>
            <w:pPr>
              <w:jc w:val="center"/>
              <w:ind w:right="80"/>
              <w:spacing w:after="0"/>
              <w:rPr>
                <w:sz w:val="20"/>
                <w:szCs w:val="20"/>
                <w:color w:val="auto"/>
              </w:rPr>
            </w:pPr>
            <w:r>
              <w:rPr>
                <w:rFonts w:ascii="Arial" w:cs="Arial" w:eastAsia="Arial" w:hAnsi="Arial"/>
                <w:sz w:val="13"/>
                <w:szCs w:val="13"/>
                <w:color w:val="auto"/>
                <w:w w:val="94"/>
              </w:rPr>
              <w:t>April 15, 2025</w:t>
            </w:r>
          </w:p>
        </w:tc>
        <w:tc>
          <w:tcPr>
            <w:tcW w:w="122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3"/>
                <w:szCs w:val="13"/>
                <w:color w:val="auto"/>
                <w:w w:val="94"/>
              </w:rPr>
              <w:t>April 15, 2025</w:t>
            </w:r>
          </w:p>
        </w:tc>
        <w:tc>
          <w:tcPr>
            <w:tcW w:w="1220" w:type="dxa"/>
            <w:vAlign w:val="bottom"/>
            <w:tcBorders>
              <w:bottom w:val="single" w:sz="8" w:color="CCEEFF"/>
            </w:tcBorders>
          </w:tcPr>
          <w:p>
            <w:pPr>
              <w:jc w:val="center"/>
              <w:spacing w:after="0"/>
              <w:rPr>
                <w:sz w:val="20"/>
                <w:szCs w:val="20"/>
                <w:color w:val="auto"/>
              </w:rPr>
            </w:pPr>
            <w:r>
              <w:rPr>
                <w:rFonts w:ascii="Arial" w:cs="Arial" w:eastAsia="Arial" w:hAnsi="Arial"/>
                <w:sz w:val="13"/>
                <w:szCs w:val="13"/>
                <w:color w:val="auto"/>
                <w:w w:val="95"/>
              </w:rPr>
              <w:t>3M LIBOR + 4.697%</w:t>
            </w:r>
          </w:p>
        </w:tc>
        <w:tc>
          <w:tcPr>
            <w:tcW w:w="0" w:type="dxa"/>
            <w:vAlign w:val="bottom"/>
          </w:tcPr>
          <w:p>
            <w:pPr>
              <w:spacing w:after="0"/>
              <w:rPr>
                <w:sz w:val="1"/>
                <w:szCs w:val="1"/>
                <w:color w:val="auto"/>
              </w:rPr>
            </w:pPr>
          </w:p>
        </w:tc>
      </w:tr>
      <w:tr>
        <w:trPr>
          <w:trHeight w:val="192"/>
        </w:trPr>
        <w:tc>
          <w:tcPr>
            <w:tcW w:w="20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3"/>
                <w:szCs w:val="13"/>
                <w:color w:val="auto"/>
              </w:rPr>
              <w:t>Total</w:t>
            </w:r>
          </w:p>
        </w:tc>
        <w:tc>
          <w:tcPr>
            <w:tcW w:w="10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61.5</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1,489</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1,538</w:t>
            </w: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w:t>
      </w:r>
    </w:p>
    <w:p>
      <w:pPr>
        <w:spacing w:after="0" w:line="1" w:lineRule="exact"/>
        <w:rPr>
          <w:sz w:val="20"/>
          <w:szCs w:val="20"/>
          <w:color w:val="auto"/>
        </w:rPr>
      </w:pPr>
    </w:p>
    <w:p>
      <w:pPr>
        <w:ind w:left="600" w:hanging="300"/>
        <w:spacing w:after="0"/>
        <w:tabs>
          <w:tab w:leader="none" w:pos="6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Fixed-to-floating rate redeemable preferred stock accrue dividends at an annual fixed rate of the $25.00 liquidation preference per depositary share from the issuance date up to, but not including, the fixed-to-floating rate conversion date; thereafter, dividends will accrue on a floating rate basis equal to 3-month LIBOR plus a fixed spread.</w:t>
      </w:r>
    </w:p>
    <w:p>
      <w:pPr>
        <w:ind w:left="600" w:hanging="300"/>
        <w:spacing w:after="0"/>
        <w:tabs>
          <w:tab w:leader="none" w:pos="600" w:val="left"/>
        </w:tabs>
        <w:numPr>
          <w:ilvl w:val="0"/>
          <w:numId w:val="16"/>
        </w:numPr>
        <w:rPr>
          <w:rFonts w:ascii="Arial" w:cs="Arial" w:eastAsia="Arial" w:hAnsi="Arial"/>
          <w:sz w:val="13"/>
          <w:szCs w:val="13"/>
          <w:color w:val="auto"/>
        </w:rPr>
      </w:pPr>
      <w:r>
        <w:rPr>
          <w:rFonts w:ascii="Arial" w:cs="Arial" w:eastAsia="Arial" w:hAnsi="Arial"/>
          <w:sz w:val="13"/>
          <w:szCs w:val="13"/>
          <w:color w:val="auto"/>
        </w:rPr>
        <w:t>Shares may be redeemed prior to our optional redemption date under certain circumstances intended to preserve our qualification as a REIT for U.S federal income tax purposes.</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957" w:right="339" w:bottom="1440" w:gutter="0" w:footer="0" w:header="0"/>
        </w:sectPr>
      </w:pPr>
    </w:p>
    <w:bookmarkStart w:id="23" w:name="page24"/>
    <w:bookmarkEnd w:id="23"/>
    <w:p>
      <w:pPr>
        <w:spacing w:after="0"/>
        <w:rPr>
          <w:sz w:val="20"/>
          <w:szCs w:val="20"/>
          <w:color w:val="auto"/>
        </w:rPr>
      </w:pPr>
      <w:r>
        <w:rPr>
          <w:rFonts w:ascii="Arial" w:cs="Arial" w:eastAsia="Arial" w:hAnsi="Arial"/>
          <w:sz w:val="17"/>
          <w:szCs w:val="17"/>
          <w:b w:val="1"/>
          <w:bCs w:val="1"/>
          <w:i w:val="1"/>
          <w:iCs w:val="1"/>
          <w:color w:val="auto"/>
        </w:rPr>
        <w:t>At-the-Market Offering Program</w:t>
      </w:r>
    </w:p>
    <w:p>
      <w:pPr>
        <w:spacing w:after="0" w:line="154" w:lineRule="exact"/>
        <w:rPr>
          <w:sz w:val="20"/>
          <w:szCs w:val="20"/>
          <w:color w:val="auto"/>
        </w:rPr>
      </w:pPr>
    </w:p>
    <w:p>
      <w:pPr>
        <w:jc w:val="both"/>
        <w:ind w:firstLine="375"/>
        <w:spacing w:after="0" w:line="252" w:lineRule="auto"/>
        <w:rPr>
          <w:sz w:val="20"/>
          <w:szCs w:val="20"/>
          <w:color w:val="auto"/>
        </w:rPr>
      </w:pPr>
      <w:r>
        <w:rPr>
          <w:rFonts w:ascii="Arial" w:cs="Arial" w:eastAsia="Arial" w:hAnsi="Arial"/>
          <w:sz w:val="17"/>
          <w:szCs w:val="17"/>
          <w:color w:val="auto"/>
        </w:rPr>
        <w:t>We are authorized by our Board of Directors to enter into agreements with sales agents to publicly offer and sell shares of our common stock in privately negotiated and/or at-the-market transactions from time-to-time up to a maximum aggregate offering price of our common stock. As of June 30, 2021, shares of our common stock with an aggregate offering price of $1.25 billion remained authorized for issuance under this program through June 11, 2024. We did not issue shares under the program during the six months ended June 30, 2021.</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Common Stock Repurchase Program</w:t>
      </w:r>
    </w:p>
    <w:p>
      <w:pPr>
        <w:spacing w:after="0" w:line="154" w:lineRule="exact"/>
        <w:rPr>
          <w:sz w:val="20"/>
          <w:szCs w:val="20"/>
          <w:color w:val="auto"/>
        </w:rPr>
      </w:pPr>
    </w:p>
    <w:p>
      <w:pPr>
        <w:jc w:val="both"/>
        <w:ind w:firstLine="375"/>
        <w:spacing w:after="0" w:line="249" w:lineRule="auto"/>
        <w:rPr>
          <w:sz w:val="20"/>
          <w:szCs w:val="20"/>
          <w:color w:val="auto"/>
        </w:rPr>
      </w:pPr>
      <w:r>
        <w:rPr>
          <w:rFonts w:ascii="Arial" w:cs="Arial" w:eastAsia="Arial" w:hAnsi="Arial"/>
          <w:sz w:val="17"/>
          <w:szCs w:val="17"/>
          <w:color w:val="auto"/>
        </w:rPr>
        <w:t>We are authorized by our Board of Directors to repurchase shares of our common stock in open market or through privately negotiated transactions or pursuant to a trading plan that may be adopted in accordance with Rule 10b5-1 of the Securities Exchange Act of 1934, as amended (the "Exchange Act"). During the three months ended March 31, 2021, we repurchased 15.0 million shares, or $239 million, of our common stock for an average repurchase price of $16.00 per common share, inclusive of transaction costs and including amounts repurchased in December 2020 that settled in January 2021. During the three months ended June 30, 2021, we did not repurchase shares of our common stock. As of June 30, 2021, shares of our common stock with an aggregate repurchase price of $684 million remained authorized for repurchase through December 31, 2021.</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Accumulated Other Comprehensive Income (Loss)</w:t>
      </w:r>
    </w:p>
    <w:p>
      <w:pPr>
        <w:spacing w:after="0" w:line="15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summarizes changes to accumulated OCI for the three and six months ended June 30, 2021 and 2020 (in millions):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gridSpan w:val="5"/>
          </w:tcPr>
          <w:p>
            <w:pPr>
              <w:ind w:left="20"/>
              <w:spacing w:after="0"/>
              <w:rPr>
                <w:sz w:val="20"/>
                <w:szCs w:val="20"/>
                <w:color w:val="auto"/>
              </w:rPr>
            </w:pPr>
            <w:r>
              <w:rPr>
                <w:rFonts w:ascii="Arial" w:cs="Arial" w:eastAsia="Arial" w:hAnsi="Arial"/>
                <w:sz w:val="13"/>
                <w:szCs w:val="13"/>
                <w:b w:val="1"/>
                <w:bCs w:val="1"/>
                <w:color w:val="auto"/>
              </w:rPr>
              <w:t>Three Months Ended June 30,</w:t>
            </w:r>
          </w:p>
        </w:tc>
        <w:tc>
          <w:tcPr>
            <w:tcW w:w="120" w:type="dxa"/>
            <w:vAlign w:val="bottom"/>
          </w:tcPr>
          <w:p>
            <w:pPr>
              <w:spacing w:after="0"/>
              <w:rPr>
                <w:sz w:val="15"/>
                <w:szCs w:val="15"/>
                <w:color w:val="auto"/>
              </w:rPr>
            </w:pPr>
          </w:p>
        </w:tc>
        <w:tc>
          <w:tcPr>
            <w:tcW w:w="1780" w:type="dxa"/>
            <w:vAlign w:val="bottom"/>
            <w:gridSpan w:val="4"/>
          </w:tcPr>
          <w:p>
            <w:pPr>
              <w:jc w:val="right"/>
              <w:ind w:right="93"/>
              <w:spacing w:after="0"/>
              <w:rPr>
                <w:sz w:val="20"/>
                <w:szCs w:val="20"/>
                <w:color w:val="auto"/>
              </w:rPr>
            </w:pPr>
            <w:r>
              <w:rPr>
                <w:rFonts w:ascii="Arial" w:cs="Arial" w:eastAsia="Arial" w:hAnsi="Arial"/>
                <w:sz w:val="13"/>
                <w:szCs w:val="13"/>
                <w:b w:val="1"/>
                <w:bCs w:val="1"/>
                <w:color w:val="auto"/>
                <w:w w:val="95"/>
              </w:rPr>
              <w:t>Six Months Ended June 30,</w:t>
            </w:r>
          </w:p>
        </w:tc>
        <w:tc>
          <w:tcPr>
            <w:tcW w:w="0" w:type="dxa"/>
            <w:vAlign w:val="bottom"/>
          </w:tcPr>
          <w:p>
            <w:pPr>
              <w:spacing w:after="0"/>
              <w:rPr>
                <w:sz w:val="1"/>
                <w:szCs w:val="1"/>
                <w:color w:val="auto"/>
              </w:rPr>
            </w:pPr>
          </w:p>
        </w:tc>
      </w:tr>
      <w:tr>
        <w:trPr>
          <w:trHeight w:val="174"/>
        </w:trPr>
        <w:tc>
          <w:tcPr>
            <w:tcW w:w="7340" w:type="dxa"/>
            <w:vAlign w:val="bottom"/>
            <w:gridSpan w:val="2"/>
          </w:tcPr>
          <w:p>
            <w:pPr>
              <w:ind w:left="20"/>
              <w:spacing w:after="0"/>
              <w:rPr>
                <w:sz w:val="20"/>
                <w:szCs w:val="20"/>
                <w:color w:val="auto"/>
              </w:rPr>
            </w:pPr>
            <w:r>
              <w:rPr>
                <w:rFonts w:ascii="Arial" w:cs="Arial" w:eastAsia="Arial" w:hAnsi="Arial"/>
                <w:sz w:val="13"/>
                <w:szCs w:val="13"/>
                <w:b w:val="1"/>
                <w:bCs w:val="1"/>
                <w:color w:val="auto"/>
              </w:rPr>
              <w:t>Accumulated Other Comprehensive Income (Loss)</w:t>
            </w:r>
          </w:p>
        </w:tc>
        <w:tc>
          <w:tcPr>
            <w:tcW w:w="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ind w:left="240"/>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ind w:left="120"/>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ind w:right="253"/>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ind w:right="253"/>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167"/>
        </w:trPr>
        <w:tc>
          <w:tcPr>
            <w:tcW w:w="7240" w:type="dxa"/>
            <w:vAlign w:val="bottom"/>
            <w:tcBorders>
              <w:top w:val="single" w:sz="8" w:color="auto"/>
            </w:tcBorders>
          </w:tcPr>
          <w:p>
            <w:pPr>
              <w:ind w:left="20"/>
              <w:spacing w:after="0"/>
              <w:rPr>
                <w:sz w:val="20"/>
                <w:szCs w:val="20"/>
                <w:color w:val="auto"/>
              </w:rPr>
            </w:pPr>
            <w:r>
              <w:rPr>
                <w:rFonts w:ascii="Arial" w:cs="Arial" w:eastAsia="Arial" w:hAnsi="Arial"/>
                <w:sz w:val="13"/>
                <w:szCs w:val="13"/>
                <w:b w:val="1"/>
                <w:bCs w:val="1"/>
                <w:color w:val="auto"/>
              </w:rPr>
              <w:t>Beginning Balance</w:t>
            </w:r>
          </w:p>
        </w:tc>
        <w:tc>
          <w:tcPr>
            <w:tcW w:w="100" w:type="dxa"/>
            <w:vAlign w:val="bottom"/>
          </w:tcPr>
          <w:p>
            <w:pPr>
              <w:spacing w:after="0"/>
              <w:rPr>
                <w:sz w:val="14"/>
                <w:szCs w:val="14"/>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tcBorders>
          </w:tcPr>
          <w:p>
            <w:pPr>
              <w:ind w:left="580"/>
              <w:spacing w:after="0"/>
              <w:rPr>
                <w:sz w:val="20"/>
                <w:szCs w:val="20"/>
                <w:color w:val="auto"/>
              </w:rPr>
            </w:pPr>
            <w:r>
              <w:rPr>
                <w:rFonts w:ascii="Arial" w:cs="Arial" w:eastAsia="Arial" w:hAnsi="Arial"/>
                <w:sz w:val="13"/>
                <w:szCs w:val="13"/>
                <w:color w:val="auto"/>
              </w:rPr>
              <w:t>482</w:t>
            </w:r>
          </w:p>
        </w:tc>
        <w:tc>
          <w:tcPr>
            <w:tcW w:w="100" w:type="dxa"/>
            <w:vAlign w:val="bottom"/>
          </w:tcPr>
          <w:p>
            <w:pPr>
              <w:spacing w:after="0"/>
              <w:rPr>
                <w:sz w:val="14"/>
                <w:szCs w:val="14"/>
                <w:color w:val="auto"/>
              </w:rPr>
            </w:pPr>
          </w:p>
        </w:tc>
        <w:tc>
          <w:tcPr>
            <w:tcW w:w="200" w:type="dxa"/>
            <w:vAlign w:val="bottom"/>
            <w:tcBorders>
              <w:top w:val="single" w:sz="8" w:color="auto"/>
            </w:tcBorders>
          </w:tcPr>
          <w:p>
            <w:pPr>
              <w:jc w:val="right"/>
              <w:ind w:right="53"/>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tcPr>
          <w:p>
            <w:pPr>
              <w:ind w:left="460"/>
              <w:spacing w:after="0"/>
              <w:rPr>
                <w:sz w:val="20"/>
                <w:szCs w:val="20"/>
                <w:color w:val="auto"/>
              </w:rPr>
            </w:pPr>
            <w:r>
              <w:rPr>
                <w:rFonts w:ascii="Arial" w:cs="Arial" w:eastAsia="Arial" w:hAnsi="Arial"/>
                <w:sz w:val="13"/>
                <w:szCs w:val="13"/>
                <w:color w:val="auto"/>
              </w:rPr>
              <w:t>561</w:t>
            </w:r>
          </w:p>
        </w:tc>
        <w:tc>
          <w:tcPr>
            <w:tcW w:w="10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719</w:t>
            </w:r>
          </w:p>
        </w:tc>
        <w:tc>
          <w:tcPr>
            <w:tcW w:w="100" w:type="dxa"/>
            <w:vAlign w:val="bottom"/>
          </w:tcPr>
          <w:p>
            <w:pPr>
              <w:spacing w:after="0"/>
              <w:rPr>
                <w:sz w:val="14"/>
                <w:szCs w:val="14"/>
                <w:color w:val="auto"/>
              </w:rPr>
            </w:pPr>
          </w:p>
        </w:tc>
        <w:tc>
          <w:tcPr>
            <w:tcW w:w="200" w:type="dxa"/>
            <w:vAlign w:val="bottom"/>
            <w:tcBorders>
              <w:top w:val="single" w:sz="8" w:color="auto"/>
            </w:tcBorders>
          </w:tcPr>
          <w:p>
            <w:pPr>
              <w:jc w:val="right"/>
              <w:ind w:right="53"/>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97</w:t>
            </w:r>
          </w:p>
        </w:tc>
        <w:tc>
          <w:tcPr>
            <w:tcW w:w="0" w:type="dxa"/>
            <w:vAlign w:val="bottom"/>
          </w:tcPr>
          <w:p>
            <w:pPr>
              <w:spacing w:after="0"/>
              <w:rPr>
                <w:sz w:val="1"/>
                <w:szCs w:val="1"/>
                <w:color w:val="auto"/>
              </w:rPr>
            </w:pPr>
          </w:p>
        </w:tc>
      </w:tr>
      <w:tr>
        <w:trPr>
          <w:trHeight w:val="176"/>
        </w:trPr>
        <w:tc>
          <w:tcPr>
            <w:tcW w:w="734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OCI before reclassifications</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ind w:left="580"/>
              <w:spacing w:after="0"/>
              <w:rPr>
                <w:sz w:val="20"/>
                <w:szCs w:val="20"/>
                <w:color w:val="auto"/>
              </w:rPr>
            </w:pPr>
            <w:r>
              <w:rPr>
                <w:rFonts w:ascii="Arial" w:cs="Arial" w:eastAsia="Arial" w:hAnsi="Arial"/>
                <w:sz w:val="13"/>
                <w:szCs w:val="13"/>
                <w:color w:val="auto"/>
                <w:w w:val="94"/>
              </w:rPr>
              <w:t>(63)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ind w:left="460"/>
              <w:spacing w:after="0"/>
              <w:rPr>
                <w:sz w:val="20"/>
                <w:szCs w:val="20"/>
                <w:color w:val="auto"/>
              </w:rPr>
            </w:pPr>
            <w:r>
              <w:rPr>
                <w:rFonts w:ascii="Arial" w:cs="Arial" w:eastAsia="Arial" w:hAnsi="Arial"/>
                <w:sz w:val="13"/>
                <w:szCs w:val="13"/>
                <w:color w:val="auto"/>
              </w:rPr>
              <w:t>242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707</w:t>
            </w:r>
          </w:p>
        </w:tc>
        <w:tc>
          <w:tcPr>
            <w:tcW w:w="0" w:type="dxa"/>
            <w:vAlign w:val="bottom"/>
          </w:tcPr>
          <w:p>
            <w:pPr>
              <w:spacing w:after="0"/>
              <w:rPr>
                <w:sz w:val="1"/>
                <w:szCs w:val="1"/>
                <w:color w:val="auto"/>
              </w:rPr>
            </w:pPr>
          </w:p>
        </w:tc>
      </w:tr>
      <w:tr>
        <w:trPr>
          <w:trHeight w:val="125"/>
        </w:trPr>
        <w:tc>
          <w:tcPr>
            <w:tcW w:w="7340" w:type="dxa"/>
            <w:vAlign w:val="bottom"/>
            <w:gridSpan w:val="2"/>
          </w:tcPr>
          <w:p>
            <w:pPr>
              <w:ind w:left="160"/>
              <w:spacing w:after="0" w:line="125" w:lineRule="exact"/>
              <w:rPr>
                <w:sz w:val="20"/>
                <w:szCs w:val="20"/>
                <w:color w:val="auto"/>
              </w:rPr>
            </w:pPr>
            <w:r>
              <w:rPr>
                <w:rFonts w:ascii="Arial" w:cs="Arial" w:eastAsia="Arial" w:hAnsi="Arial"/>
                <w:sz w:val="13"/>
                <w:szCs w:val="13"/>
                <w:color w:val="auto"/>
                <w:w w:val="97"/>
              </w:rPr>
              <w:t>Net loss amounts for available-for-sale securities reclassified from accumulated OCI to realized gain (loss) on sale of investment</w:t>
            </w:r>
          </w:p>
        </w:tc>
        <w:tc>
          <w:tcPr>
            <w:tcW w:w="80" w:type="dxa"/>
            <w:vAlign w:val="bottom"/>
          </w:tcPr>
          <w:p>
            <w:pPr>
              <w:spacing w:after="0"/>
              <w:rPr>
                <w:sz w:val="10"/>
                <w:szCs w:val="10"/>
                <w:color w:val="auto"/>
              </w:rPr>
            </w:pPr>
          </w:p>
        </w:tc>
        <w:tc>
          <w:tcPr>
            <w:tcW w:w="820" w:type="dxa"/>
            <w:vAlign w:val="bottom"/>
            <w:vMerge w:val="restart"/>
          </w:tcPr>
          <w:p>
            <w:pPr>
              <w:ind w:left="580"/>
              <w:spacing w:after="0"/>
              <w:rPr>
                <w:sz w:val="20"/>
                <w:szCs w:val="20"/>
                <w:color w:val="auto"/>
              </w:rPr>
            </w:pPr>
            <w:r>
              <w:rPr>
                <w:rFonts w:ascii="Arial" w:cs="Arial" w:eastAsia="Arial" w:hAnsi="Arial"/>
                <w:sz w:val="13"/>
                <w:szCs w:val="13"/>
                <w:color w:val="auto"/>
                <w:w w:val="94"/>
              </w:rPr>
              <w:t>(14)</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vMerge w:val="restart"/>
          </w:tcPr>
          <w:p>
            <w:pPr>
              <w:ind w:left="460"/>
              <w:spacing w:after="0"/>
              <w:rPr>
                <w:sz w:val="20"/>
                <w:szCs w:val="20"/>
                <w:color w:val="auto"/>
              </w:rPr>
            </w:pPr>
            <w:r>
              <w:rPr>
                <w:rFonts w:ascii="Arial" w:cs="Arial" w:eastAsia="Arial" w:hAnsi="Arial"/>
                <w:sz w:val="13"/>
                <w:szCs w:val="13"/>
                <w:color w:val="auto"/>
                <w:w w:val="94"/>
              </w:rPr>
              <w:t>(39)</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(32)</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(40)</w:t>
            </w:r>
          </w:p>
        </w:tc>
        <w:tc>
          <w:tcPr>
            <w:tcW w:w="0" w:type="dxa"/>
            <w:vAlign w:val="bottom"/>
          </w:tcPr>
          <w:p>
            <w:pPr>
              <w:spacing w:after="0"/>
              <w:rPr>
                <w:sz w:val="1"/>
                <w:szCs w:val="1"/>
                <w:color w:val="auto"/>
              </w:rPr>
            </w:pPr>
          </w:p>
        </w:tc>
      </w:tr>
      <w:tr>
        <w:trPr>
          <w:trHeight w:val="172"/>
        </w:trPr>
        <w:tc>
          <w:tcPr>
            <w:tcW w:w="7340" w:type="dxa"/>
            <w:vAlign w:val="bottom"/>
            <w:tcBorders>
              <w:bottom w:val="single" w:sz="8" w:color="CCEEFF"/>
            </w:tcBorders>
            <w:gridSpan w:val="2"/>
          </w:tcPr>
          <w:p>
            <w:pPr>
              <w:ind w:left="160"/>
              <w:spacing w:after="0"/>
              <w:rPr>
                <w:sz w:val="20"/>
                <w:szCs w:val="20"/>
                <w:color w:val="auto"/>
              </w:rPr>
            </w:pPr>
            <w:r>
              <w:rPr>
                <w:rFonts w:ascii="Arial" w:cs="Arial" w:eastAsia="Arial" w:hAnsi="Arial"/>
                <w:sz w:val="13"/>
                <w:szCs w:val="13"/>
                <w:color w:val="auto"/>
              </w:rPr>
              <w:t>securities, net</w:t>
            </w: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Ending Balance</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3"/>
                <w:szCs w:val="13"/>
                <w:color w:val="auto"/>
              </w:rPr>
              <w:t>405</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3"/>
                <w:szCs w:val="13"/>
                <w:color w:val="auto"/>
              </w:rPr>
              <w:t>764</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405</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764</w:t>
            </w: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2. </w:t>
      </w:r>
      <w:r>
        <w:rPr>
          <w:rFonts w:ascii="Arial" w:cs="Arial" w:eastAsia="Arial" w:hAnsi="Arial"/>
          <w:sz w:val="17"/>
          <w:szCs w:val="17"/>
          <w:b w:val="1"/>
          <w:bCs w:val="1"/>
          <w:i w:val="1"/>
          <w:iCs w:val="1"/>
          <w:color w:val="auto"/>
        </w:rPr>
        <w:t>Management's Discussion and Analysis of Financial Condition and Results of Operations</w:t>
      </w:r>
    </w:p>
    <w:p>
      <w:pPr>
        <w:spacing w:after="0" w:line="158" w:lineRule="exact"/>
        <w:rPr>
          <w:sz w:val="20"/>
          <w:szCs w:val="20"/>
          <w:color w:val="auto"/>
        </w:rPr>
      </w:pPr>
    </w:p>
    <w:p>
      <w:pPr>
        <w:jc w:val="both"/>
        <w:ind w:firstLine="375"/>
        <w:spacing w:after="0" w:line="306" w:lineRule="auto"/>
        <w:rPr>
          <w:sz w:val="20"/>
          <w:szCs w:val="20"/>
          <w:color w:val="auto"/>
        </w:rPr>
      </w:pPr>
      <w:r>
        <w:rPr>
          <w:rFonts w:ascii="Arial" w:cs="Arial" w:eastAsia="Arial" w:hAnsi="Arial"/>
          <w:sz w:val="15"/>
          <w:szCs w:val="15"/>
          <w:color w:val="auto"/>
        </w:rPr>
        <w:t>Management's Discussion and Analysis of Financial Condition and Results of Operations ("MD&amp;A") is designed to provide a reader of AGNC Investment Corp.'s consolidated financial statements with a narrative from the perspective of management and should be read in conjunction with the consolidated financial statements and accompanying notes included in this Quarterly Report on Form 10-Q for quarterly period ended June 30, 2021. Our MD&amp;A is presented in six sections:</w:t>
      </w:r>
    </w:p>
    <w:p>
      <w:pPr>
        <w:spacing w:after="0" w:line="15" w:lineRule="exact"/>
        <w:rPr>
          <w:sz w:val="20"/>
          <w:szCs w:val="20"/>
          <w:color w:val="auto"/>
        </w:rPr>
      </w:pPr>
    </w:p>
    <w:p>
      <w:pPr>
        <w:ind w:left="600" w:hanging="300"/>
        <w:spacing w:after="0"/>
        <w:tabs>
          <w:tab w:leader="none" w:pos="6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Executive Overview</w:t>
      </w:r>
    </w:p>
    <w:p>
      <w:pPr>
        <w:spacing w:after="0" w:line="54" w:lineRule="exact"/>
        <w:rPr>
          <w:rFonts w:ascii="Arial" w:cs="Arial" w:eastAsia="Arial" w:hAnsi="Arial"/>
          <w:sz w:val="17"/>
          <w:szCs w:val="17"/>
          <w:color w:val="auto"/>
        </w:rPr>
      </w:pPr>
    </w:p>
    <w:p>
      <w:pPr>
        <w:ind w:left="600" w:hanging="300"/>
        <w:spacing w:after="0"/>
        <w:tabs>
          <w:tab w:leader="none" w:pos="6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Financial Condition</w:t>
      </w:r>
    </w:p>
    <w:p>
      <w:pPr>
        <w:spacing w:after="0" w:line="54" w:lineRule="exact"/>
        <w:rPr>
          <w:rFonts w:ascii="Arial" w:cs="Arial" w:eastAsia="Arial" w:hAnsi="Arial"/>
          <w:sz w:val="17"/>
          <w:szCs w:val="17"/>
          <w:color w:val="auto"/>
        </w:rPr>
      </w:pPr>
    </w:p>
    <w:p>
      <w:pPr>
        <w:ind w:left="600" w:hanging="300"/>
        <w:spacing w:after="0"/>
        <w:tabs>
          <w:tab w:leader="none" w:pos="6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Results of Operations</w:t>
      </w:r>
    </w:p>
    <w:p>
      <w:pPr>
        <w:spacing w:after="0" w:line="54" w:lineRule="exact"/>
        <w:rPr>
          <w:rFonts w:ascii="Arial" w:cs="Arial" w:eastAsia="Arial" w:hAnsi="Arial"/>
          <w:sz w:val="17"/>
          <w:szCs w:val="17"/>
          <w:color w:val="auto"/>
        </w:rPr>
      </w:pPr>
    </w:p>
    <w:p>
      <w:pPr>
        <w:ind w:left="600" w:hanging="300"/>
        <w:spacing w:after="0"/>
        <w:tabs>
          <w:tab w:leader="none" w:pos="6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Liquidity and Capital Resources</w:t>
      </w:r>
    </w:p>
    <w:p>
      <w:pPr>
        <w:spacing w:after="0" w:line="54" w:lineRule="exact"/>
        <w:rPr>
          <w:rFonts w:ascii="Arial" w:cs="Arial" w:eastAsia="Arial" w:hAnsi="Arial"/>
          <w:sz w:val="17"/>
          <w:szCs w:val="17"/>
          <w:color w:val="auto"/>
        </w:rPr>
      </w:pPr>
    </w:p>
    <w:p>
      <w:pPr>
        <w:ind w:left="600" w:hanging="300"/>
        <w:spacing w:after="0"/>
        <w:tabs>
          <w:tab w:leader="none" w:pos="6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Off-Balance Sheet Arrangements</w:t>
      </w:r>
    </w:p>
    <w:p>
      <w:pPr>
        <w:spacing w:after="0" w:line="54" w:lineRule="exact"/>
        <w:rPr>
          <w:rFonts w:ascii="Arial" w:cs="Arial" w:eastAsia="Arial" w:hAnsi="Arial"/>
          <w:sz w:val="17"/>
          <w:szCs w:val="17"/>
          <w:color w:val="auto"/>
        </w:rPr>
      </w:pPr>
    </w:p>
    <w:p>
      <w:pPr>
        <w:ind w:left="600" w:hanging="300"/>
        <w:spacing w:after="0"/>
        <w:tabs>
          <w:tab w:leader="none" w:pos="6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Forward-Looking Statements</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OVERVIEW</w:t>
      </w:r>
    </w:p>
    <w:p>
      <w:pPr>
        <w:spacing w:after="0" w:line="158" w:lineRule="exact"/>
        <w:rPr>
          <w:sz w:val="20"/>
          <w:szCs w:val="20"/>
          <w:color w:val="auto"/>
        </w:rPr>
      </w:pPr>
    </w:p>
    <w:p>
      <w:pPr>
        <w:jc w:val="both"/>
        <w:ind w:firstLine="375"/>
        <w:spacing w:after="0" w:line="289" w:lineRule="auto"/>
        <w:rPr>
          <w:sz w:val="20"/>
          <w:szCs w:val="20"/>
          <w:color w:val="auto"/>
        </w:rPr>
      </w:pPr>
      <w:r>
        <w:rPr>
          <w:rFonts w:ascii="Arial" w:cs="Arial" w:eastAsia="Arial" w:hAnsi="Arial"/>
          <w:sz w:val="15"/>
          <w:szCs w:val="15"/>
          <w:color w:val="auto"/>
        </w:rPr>
        <w:t>We are a leading provider of private capital to the U.S. housing market, enhancing liquidity in the residential real estate mortgage markets and, in turn, facilitating home ownership in the U.S. We invest primarily in Agency residential mortgage-backed securities ("Agency RMBS") on a leveraged basis. These investments consist of residential mortgage pass-through securities and collateralized mortgage obligations for which the principal and interest payments are guaranteed by a U.S. Government-sponsored enterprise, such as Federal National Mortgage Association ("Fannie Mae") and Federal Home Loan Mortgage Corporation ("Freddie Mac," and together with Fannie Mae, the "GSEs"), or by a U.S. Government agency, such as Government National Mortgage Association ("Ginnie Mae"). We may also invest in other assets related to the housing, mortgage or real estate markets that are not guaranteed by a GSE or U.S. Government agency.</w:t>
      </w:r>
    </w:p>
    <w:p>
      <w:pPr>
        <w:spacing w:after="0" w:line="104" w:lineRule="exact"/>
        <w:rPr>
          <w:sz w:val="20"/>
          <w:szCs w:val="20"/>
          <w:color w:val="auto"/>
        </w:rPr>
      </w:pPr>
    </w:p>
    <w:p>
      <w:pPr>
        <w:jc w:val="both"/>
        <w:ind w:firstLine="375"/>
        <w:spacing w:after="0" w:line="266" w:lineRule="auto"/>
        <w:rPr>
          <w:sz w:val="20"/>
          <w:szCs w:val="20"/>
          <w:color w:val="auto"/>
        </w:rPr>
      </w:pPr>
      <w:r>
        <w:rPr>
          <w:rFonts w:ascii="Arial" w:cs="Arial" w:eastAsia="Arial" w:hAnsi="Arial"/>
          <w:sz w:val="17"/>
          <w:szCs w:val="17"/>
          <w:color w:val="auto"/>
        </w:rPr>
        <w:t>We are internally managed with the principal objective of providing our stockholders with attractive risk-adjusted returns through a combination of monthly dividends and tangible net book value accretion. We generate income from the interest</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24" w:name="page25"/>
    <w:bookmarkEnd w:id="24"/>
    <w:p>
      <w:pPr>
        <w:jc w:val="both"/>
        <w:spacing w:after="0" w:line="255" w:lineRule="auto"/>
        <w:rPr>
          <w:sz w:val="20"/>
          <w:szCs w:val="20"/>
          <w:color w:val="auto"/>
        </w:rPr>
      </w:pPr>
      <w:r>
        <w:rPr>
          <w:rFonts w:ascii="Arial" w:cs="Arial" w:eastAsia="Arial" w:hAnsi="Arial"/>
          <w:sz w:val="17"/>
          <w:szCs w:val="17"/>
          <w:color w:val="auto"/>
        </w:rPr>
        <w:t>earned on our investments, net of associated borrowing and hedging costs, and net realized gains and losses on our investment and hedging activities. We fund our investments primarily through collateralized borrowings structured as repurchase agreements. We operate in a manner to qualify to be taxed as a REIT under the Internal Revenue Code.</w:t>
      </w:r>
    </w:p>
    <w:p>
      <w:pPr>
        <w:spacing w:after="0" w:line="127" w:lineRule="exact"/>
        <w:rPr>
          <w:sz w:val="20"/>
          <w:szCs w:val="20"/>
          <w:color w:val="auto"/>
        </w:rPr>
      </w:pPr>
    </w:p>
    <w:p>
      <w:pPr>
        <w:jc w:val="both"/>
        <w:ind w:firstLine="375"/>
        <w:spacing w:after="0" w:line="252" w:lineRule="auto"/>
        <w:rPr>
          <w:sz w:val="20"/>
          <w:szCs w:val="20"/>
          <w:color w:val="auto"/>
        </w:rPr>
      </w:pPr>
      <w:r>
        <w:rPr>
          <w:rFonts w:ascii="Arial" w:cs="Arial" w:eastAsia="Arial" w:hAnsi="Arial"/>
          <w:sz w:val="17"/>
          <w:szCs w:val="17"/>
          <w:color w:val="auto"/>
        </w:rPr>
        <w:t>The size and composition of our investment portfolio depends on the investment strategies we implement, availability of attractively priced investments, suitable financing to appropriately leverage our investment portfolio and overall market conditions. Market conditions are influenced by a variety of factors, including interest rates, prepayment expectations, liquidity, housing prices, unemployment rates, general economic conditions, government participation in the mortgage market, regulations and relative returns on other assets.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Trends and Recent Market Impacts</w:t>
      </w:r>
    </w:p>
    <w:p>
      <w:pPr>
        <w:spacing w:after="0" w:line="158" w:lineRule="exact"/>
        <w:rPr>
          <w:sz w:val="20"/>
          <w:szCs w:val="20"/>
          <w:color w:val="auto"/>
        </w:rPr>
      </w:pPr>
    </w:p>
    <w:p>
      <w:pPr>
        <w:jc w:val="both"/>
        <w:ind w:firstLine="375"/>
        <w:spacing w:after="0" w:line="248" w:lineRule="auto"/>
        <w:rPr>
          <w:sz w:val="20"/>
          <w:szCs w:val="20"/>
          <w:color w:val="auto"/>
        </w:rPr>
      </w:pPr>
      <w:r>
        <w:rPr>
          <w:rFonts w:ascii="Arial" w:cs="Arial" w:eastAsia="Arial" w:hAnsi="Arial"/>
          <w:sz w:val="17"/>
          <w:szCs w:val="17"/>
          <w:color w:val="auto"/>
        </w:rPr>
        <w:t>The positive trends that drove the strong performance of Agency RMBS in the first quarter of 2021 largely reversed in the second quarter. Agency RMBS spreads to swap and U.S. Treasury interest rate hedges, particularly longer-term hedges, widened in the second quarter as interest rates declined and the yield curve flattened. This spread widening coincided with stronger domestic economic data and higher inflation together with greater expectations that the Federal Reserve (the “Fed”) will communicate its plan to commence reducing its Agency RMBS asset purchases later this year. In addition, despite the increase in mortgage rates during the first quarter, prepayment speeds did not slow as expected in the second quarter. Faster prepayment speeds in the second quarter pressured higher coupon Agency RMBS valuations and largely reversed the significant outperformance of these coupons in the first quarter. As a result, AGNC’s economic return for the second quarter was negative 5.5%.</w:t>
      </w:r>
    </w:p>
    <w:p>
      <w:pPr>
        <w:spacing w:after="0" w:line="136" w:lineRule="exact"/>
        <w:rPr>
          <w:sz w:val="20"/>
          <w:szCs w:val="20"/>
          <w:color w:val="auto"/>
        </w:rPr>
      </w:pPr>
    </w:p>
    <w:p>
      <w:pPr>
        <w:jc w:val="both"/>
        <w:ind w:firstLine="375"/>
        <w:spacing w:after="0" w:line="255" w:lineRule="auto"/>
        <w:rPr>
          <w:sz w:val="20"/>
          <w:szCs w:val="20"/>
          <w:color w:val="auto"/>
        </w:rPr>
      </w:pPr>
      <w:r>
        <w:rPr>
          <w:rFonts w:ascii="Arial" w:cs="Arial" w:eastAsia="Arial" w:hAnsi="Arial"/>
          <w:sz w:val="17"/>
          <w:szCs w:val="17"/>
          <w:color w:val="auto"/>
        </w:rPr>
        <w:t>On a year-to-date basis, lower coupon RMBS modestly outperformed interest rate hedges, while very attractive implied TBA financing levels further benefited the earnings profile of these assets. Conversely, higher coupon RMBS modestly underperformed hedges due to elevated prepayment rates. Taken together, AGNC’s economic return for the first two quarters was 2.4% despite the significant quarter-to-quarter volatility.</w:t>
      </w:r>
    </w:p>
    <w:p>
      <w:pPr>
        <w:spacing w:after="0" w:line="127" w:lineRule="exact"/>
        <w:rPr>
          <w:sz w:val="20"/>
          <w:szCs w:val="20"/>
          <w:color w:val="auto"/>
        </w:rPr>
      </w:pPr>
    </w:p>
    <w:p>
      <w:pPr>
        <w:jc w:val="both"/>
        <w:ind w:firstLine="375"/>
        <w:spacing w:after="0" w:line="249" w:lineRule="auto"/>
        <w:rPr>
          <w:sz w:val="20"/>
          <w:szCs w:val="20"/>
          <w:color w:val="auto"/>
        </w:rPr>
      </w:pPr>
      <w:r>
        <w:rPr>
          <w:rFonts w:ascii="Arial" w:cs="Arial" w:eastAsia="Arial" w:hAnsi="Arial"/>
          <w:sz w:val="17"/>
          <w:szCs w:val="17"/>
          <w:color w:val="auto"/>
        </w:rPr>
        <w:t>During the second quarter, we continued to gradually reduce the size of our investment portfolio and operate at lower average leverage levels in anticipation of wider spreads as the Fed’s eventual announcement about its plans to taper its Agency RMBS purchases approaches. We reduced our investment portfolio by $2.8 billion during the second quarter, or by a total of $10.4 billion year-to-date. As of June 30, 2021, our investment portfolio totaled $87.5 billion, consisting of $58.1 billion Agency RMBS, $27.4 billion TBA securities, and $2.0 billion CRT and non-Agency securities, including forward starting non-Agency securities. Our average "at risk" leverage for the second quarter declined to 7.6x tangible net book value, compared to 8.0x for the first quarter. We ended the second quarter moderately higher at 7.9x, due to the decline in our tangible net book value.</w:t>
      </w:r>
    </w:p>
    <w:p>
      <w:pPr>
        <w:spacing w:after="0" w:line="133" w:lineRule="exact"/>
        <w:rPr>
          <w:sz w:val="20"/>
          <w:szCs w:val="20"/>
          <w:color w:val="auto"/>
        </w:rPr>
      </w:pPr>
    </w:p>
    <w:p>
      <w:pPr>
        <w:jc w:val="both"/>
        <w:ind w:firstLine="375"/>
        <w:spacing w:after="0" w:line="267" w:lineRule="auto"/>
        <w:rPr>
          <w:sz w:val="20"/>
          <w:szCs w:val="20"/>
          <w:color w:val="auto"/>
        </w:rPr>
      </w:pPr>
      <w:r>
        <w:rPr>
          <w:rFonts w:ascii="Arial" w:cs="Arial" w:eastAsia="Arial" w:hAnsi="Arial"/>
          <w:sz w:val="16"/>
          <w:szCs w:val="16"/>
          <w:color w:val="auto"/>
        </w:rPr>
        <w:t>Additionally, during the second quarter, we shifted the composition of our investment portfolio. Most notably, given the relative outperformance of our 15-year fix-rate Agency RMBS, we reduced our 15-year holdings by $6.8 billion and modestly increased our holdings of current coupon production 30-year Agency securities. As of June 30, 2021, our 30-year and 15-year fixed-rate Agency securities represented 87% and 7%, respectively, of our investment portfolio, compared to 80% and 15%, respectively, as of March 31, 2021. In addition, as of June 30, 2021, approximately 40% of our fixed-rate Agency securities were in higher coupon specified pools, with the balance primarily in lower coupon generic securities, largely unchanged from approximately 42% and 58%, respectively, as of the end of the first quarter. We believe our investment portfolio, which is well balanced between lower coupon TBA securities and higher coupon specified pools, positions AGNC well over a wide range of market scenarios.</w:t>
      </w:r>
    </w:p>
    <w:p>
      <w:pPr>
        <w:spacing w:after="0" w:line="117" w:lineRule="exact"/>
        <w:rPr>
          <w:sz w:val="20"/>
          <w:szCs w:val="20"/>
          <w:color w:val="auto"/>
        </w:rPr>
      </w:pPr>
    </w:p>
    <w:p>
      <w:pPr>
        <w:jc w:val="both"/>
        <w:ind w:firstLine="375"/>
        <w:spacing w:after="0" w:line="255" w:lineRule="auto"/>
        <w:rPr>
          <w:sz w:val="20"/>
          <w:szCs w:val="20"/>
          <w:color w:val="auto"/>
        </w:rPr>
      </w:pPr>
      <w:r>
        <w:rPr>
          <w:rFonts w:ascii="Arial" w:cs="Arial" w:eastAsia="Arial" w:hAnsi="Arial"/>
          <w:sz w:val="17"/>
          <w:szCs w:val="17"/>
          <w:color w:val="auto"/>
        </w:rPr>
        <w:t>Residential credit continued to benefit from strong fundamentals, materially outperforming Agency RMBS during the second quarter. Meanwhile, our credit holdings were largely unchanged during the quarter, as we found limited opportunities to make attractive investments given historically tight credit spreads to benchmark interest rates.</w:t>
      </w:r>
    </w:p>
    <w:p>
      <w:pPr>
        <w:spacing w:after="0" w:line="127" w:lineRule="exact"/>
        <w:rPr>
          <w:sz w:val="20"/>
          <w:szCs w:val="20"/>
          <w:color w:val="auto"/>
        </w:rPr>
      </w:pPr>
    </w:p>
    <w:p>
      <w:pPr>
        <w:jc w:val="both"/>
        <w:ind w:firstLine="375"/>
        <w:spacing w:after="0" w:line="374" w:lineRule="auto"/>
        <w:rPr>
          <w:sz w:val="20"/>
          <w:szCs w:val="20"/>
          <w:color w:val="auto"/>
        </w:rPr>
      </w:pPr>
      <w:r>
        <w:rPr>
          <w:rFonts w:ascii="Arial" w:cs="Arial" w:eastAsia="Arial" w:hAnsi="Arial"/>
          <w:sz w:val="14"/>
          <w:szCs w:val="14"/>
          <w:color w:val="auto"/>
        </w:rPr>
        <w:t>Our unencumbered cash and Agency RMBS during the second quarter, excluding both unencumbered credit assets and assets held at our broker-dealer subsidiary, remained very strong at $4.7 billion as of June 30, 2021, or 47% of our tangible equity, compared to $5.2 billion, or 48% of tangible equity, as of March 31, 2021.</w:t>
      </w:r>
    </w:p>
    <w:p>
      <w:pPr>
        <w:spacing w:after="0" w:line="48" w:lineRule="exact"/>
        <w:rPr>
          <w:sz w:val="20"/>
          <w:szCs w:val="20"/>
          <w:color w:val="auto"/>
        </w:rPr>
      </w:pPr>
    </w:p>
    <w:p>
      <w:pPr>
        <w:jc w:val="both"/>
        <w:ind w:firstLine="375"/>
        <w:spacing w:after="0" w:line="255" w:lineRule="auto"/>
        <w:rPr>
          <w:sz w:val="20"/>
          <w:szCs w:val="20"/>
          <w:color w:val="auto"/>
        </w:rPr>
      </w:pPr>
      <w:r>
        <w:rPr>
          <w:rFonts w:ascii="Arial" w:cs="Arial" w:eastAsia="Arial" w:hAnsi="Arial"/>
          <w:sz w:val="17"/>
          <w:szCs w:val="17"/>
          <w:color w:val="auto"/>
        </w:rPr>
        <w:t>Our investment portfolio had a weighted average CPR of 25.7% for the second quarter, compared to 24.6% for the prior quarter. The weighted average projected CPR for the remaining life of our Agency securities held as of June 30, 2021 increased to 11.6% from 11.3% as of March 31, 2021, as lower rates and moderately faster prepayment assumptions were largely offset by changes in portfolio composition.</w:t>
      </w:r>
    </w:p>
    <w:p>
      <w:pPr>
        <w:spacing w:after="0" w:line="127" w:lineRule="exact"/>
        <w:rPr>
          <w:sz w:val="20"/>
          <w:szCs w:val="20"/>
          <w:color w:val="auto"/>
        </w:rPr>
      </w:pPr>
    </w:p>
    <w:p>
      <w:pPr>
        <w:jc w:val="both"/>
        <w:ind w:firstLine="375"/>
        <w:spacing w:after="0" w:line="266" w:lineRule="auto"/>
        <w:rPr>
          <w:sz w:val="20"/>
          <w:szCs w:val="20"/>
          <w:color w:val="auto"/>
        </w:rPr>
      </w:pPr>
      <w:r>
        <w:rPr>
          <w:rFonts w:ascii="Arial" w:cs="Arial" w:eastAsia="Arial" w:hAnsi="Arial"/>
          <w:sz w:val="17"/>
          <w:szCs w:val="17"/>
          <w:color w:val="auto"/>
        </w:rPr>
        <w:t>During the second quarter, we rebalanced a portion of our hedge portfolio in response to lower rates and our somewhat smaller investment portfolio by reducing our longer-term U.S. Treasury hedge positions. As a result, our hedge portfolio totaled</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25" w:name="page26"/>
    <w:bookmarkEnd w:id="25"/>
    <w:p>
      <w:pPr>
        <w:jc w:val="both"/>
        <w:spacing w:after="0" w:line="255" w:lineRule="auto"/>
        <w:rPr>
          <w:sz w:val="20"/>
          <w:szCs w:val="20"/>
          <w:color w:val="auto"/>
        </w:rPr>
      </w:pPr>
      <w:r>
        <w:rPr>
          <w:rFonts w:ascii="Arial" w:cs="Arial" w:eastAsia="Arial" w:hAnsi="Arial"/>
          <w:sz w:val="17"/>
          <w:szCs w:val="17"/>
          <w:color w:val="auto"/>
        </w:rPr>
        <w:t>$74 billion at June 30, 2021, down $5 billion from the first quarter, while our interest rate hedge ratio remained largely unchanged at 97% of our funding liabilities. Our duration gap, which is a measure of the difference between the interest rate sensitivity of our assets and liabilities, inclusive of our interest rate hedges, remained slightly positive at 0.3 years as of June 30, 2021, compared to 0.6 years as of March 31, 2021.</w:t>
      </w:r>
    </w:p>
    <w:p>
      <w:pPr>
        <w:spacing w:after="0" w:line="127" w:lineRule="exact"/>
        <w:rPr>
          <w:sz w:val="20"/>
          <w:szCs w:val="20"/>
          <w:color w:val="auto"/>
        </w:rPr>
      </w:pPr>
    </w:p>
    <w:p>
      <w:pPr>
        <w:jc w:val="both"/>
        <w:ind w:firstLine="375"/>
        <w:spacing w:after="0" w:line="296" w:lineRule="auto"/>
        <w:rPr>
          <w:sz w:val="20"/>
          <w:szCs w:val="20"/>
          <w:color w:val="auto"/>
        </w:rPr>
      </w:pPr>
      <w:r>
        <w:rPr>
          <w:rFonts w:ascii="Arial" w:cs="Arial" w:eastAsia="Arial" w:hAnsi="Arial"/>
          <w:sz w:val="15"/>
          <w:szCs w:val="15"/>
          <w:color w:val="auto"/>
        </w:rPr>
        <w:t>Net spread and dollar roll income (a non-GAAP measure) was $0.76 per diluted common share for the second quarter, unchanged from the first quarter, as favorable short-term funding, attractive TBA dollar roll opportunities, and stable hedging cost offset our smaller asset base. Our net spread and dollar roll income excludes “catch-up” premium amortization (cost)/benefit of $(0.13) and $0.40 per diluted common share for the second and first quarters, respectively, due to changes in CPR projections for securities acquired in prior quarters. (Please refer to Results of Operations below for further information regarding non-GAAP measures.)</w:t>
      </w:r>
    </w:p>
    <w:p>
      <w:pPr>
        <w:spacing w:after="0" w:line="99" w:lineRule="exact"/>
        <w:rPr>
          <w:sz w:val="20"/>
          <w:szCs w:val="20"/>
          <w:color w:val="auto"/>
        </w:rPr>
      </w:pPr>
    </w:p>
    <w:p>
      <w:pPr>
        <w:jc w:val="both"/>
        <w:ind w:firstLine="375"/>
        <w:spacing w:after="0" w:line="249" w:lineRule="auto"/>
        <w:rPr>
          <w:sz w:val="20"/>
          <w:szCs w:val="20"/>
          <w:color w:val="auto"/>
        </w:rPr>
      </w:pPr>
      <w:r>
        <w:rPr>
          <w:rFonts w:ascii="Arial" w:cs="Arial" w:eastAsia="Arial" w:hAnsi="Arial"/>
          <w:sz w:val="17"/>
          <w:szCs w:val="17"/>
          <w:color w:val="auto"/>
        </w:rPr>
        <w:t>At current valuation levels, we believe that the Agency investment risk-return backdrop is more balanced and that Agency RMBS remain attractive, particularly when compared on a relative value basis to other asset classes. Looking ahead, as the Fed moves closer to asset tapering, we believe some further spread widening and volatility are possible. In our view, this repricing is healthy for the Agency RMBS market over the longer-term. Although AGNC’s book value may be pressured in the short run, our lower leverage and strong liquidity position should provide us capacity to add investments opportunistically when expected return levels are more favorable and further improve our longer-term earnings potential. We thus expect that wider spreads will generally improve expected returns on new investments and enhance our value proposition over the long run.</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26" w:name="page27"/>
    <w:bookmarkEnd w:id="26"/>
    <w:p>
      <w:pPr>
        <w:spacing w:after="0"/>
        <w:rPr>
          <w:sz w:val="20"/>
          <w:szCs w:val="20"/>
          <w:color w:val="auto"/>
        </w:rPr>
      </w:pPr>
      <w:r>
        <w:rPr>
          <w:rFonts w:ascii="Arial" w:cs="Arial" w:eastAsia="Arial" w:hAnsi="Arial"/>
          <w:sz w:val="17"/>
          <w:szCs w:val="17"/>
          <w:b w:val="1"/>
          <w:bCs w:val="1"/>
          <w:i w:val="1"/>
          <w:iCs w:val="1"/>
          <w:color w:val="auto"/>
        </w:rPr>
        <w:t>Market Information</w:t>
      </w:r>
    </w:p>
    <w:p>
      <w:pPr>
        <w:spacing w:after="0" w:line="15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summarizes interest rates and prices of generic fixed rate Agency RMBS as of each date presented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w w:val="92"/>
              </w:rPr>
              <w:t>June 30,</w:t>
            </w:r>
          </w:p>
        </w:tc>
        <w:tc>
          <w:tcPr>
            <w:tcW w:w="940" w:type="dxa"/>
            <w:vAlign w:val="bottom"/>
            <w:gridSpan w:val="2"/>
            <w:vMerge w:val="restart"/>
          </w:tcPr>
          <w:p>
            <w:pPr>
              <w:ind w:left="160"/>
              <w:spacing w:after="0"/>
              <w:rPr>
                <w:sz w:val="20"/>
                <w:szCs w:val="20"/>
                <w:color w:val="auto"/>
              </w:rPr>
            </w:pPr>
            <w:r>
              <w:rPr>
                <w:rFonts w:ascii="Arial" w:cs="Arial" w:eastAsia="Arial" w:hAnsi="Arial"/>
                <w:sz w:val="13"/>
                <w:szCs w:val="13"/>
                <w:b w:val="1"/>
                <w:bCs w:val="1"/>
                <w:color w:val="auto"/>
              </w:rPr>
              <w:t>Sept. 30,</w:t>
            </w:r>
          </w:p>
        </w:tc>
        <w:tc>
          <w:tcPr>
            <w:tcW w:w="920" w:type="dxa"/>
            <w:vAlign w:val="bottom"/>
            <w:gridSpan w:val="2"/>
            <w:vMerge w:val="restart"/>
          </w:tcPr>
          <w:p>
            <w:pPr>
              <w:ind w:left="160"/>
              <w:spacing w:after="0"/>
              <w:rPr>
                <w:sz w:val="20"/>
                <w:szCs w:val="20"/>
                <w:color w:val="auto"/>
              </w:rPr>
            </w:pPr>
            <w:r>
              <w:rPr>
                <w:rFonts w:ascii="Arial" w:cs="Arial" w:eastAsia="Arial" w:hAnsi="Arial"/>
                <w:sz w:val="13"/>
                <w:szCs w:val="13"/>
                <w:b w:val="1"/>
                <w:bCs w:val="1"/>
                <w:color w:val="auto"/>
              </w:rPr>
              <w:t>Dec. 31,</w:t>
            </w:r>
          </w:p>
        </w:tc>
        <w:tc>
          <w:tcPr>
            <w:tcW w:w="920" w:type="dxa"/>
            <w:vAlign w:val="bottom"/>
            <w:gridSpan w:val="2"/>
            <w:vMerge w:val="restart"/>
          </w:tcPr>
          <w:p>
            <w:pPr>
              <w:ind w:left="160"/>
              <w:spacing w:after="0"/>
              <w:rPr>
                <w:sz w:val="20"/>
                <w:szCs w:val="20"/>
                <w:color w:val="auto"/>
              </w:rPr>
            </w:pPr>
            <w:r>
              <w:rPr>
                <w:rFonts w:ascii="Arial" w:cs="Arial" w:eastAsia="Arial" w:hAnsi="Arial"/>
                <w:sz w:val="13"/>
                <w:szCs w:val="13"/>
                <w:b w:val="1"/>
                <w:bCs w:val="1"/>
                <w:color w:val="auto"/>
              </w:rPr>
              <w:t>Mar. 31,</w:t>
            </w:r>
          </w:p>
        </w:tc>
        <w:tc>
          <w:tcPr>
            <w:tcW w:w="920" w:type="dxa"/>
            <w:vAlign w:val="bottom"/>
            <w:gridSpan w:val="2"/>
            <w:vMerge w:val="restart"/>
          </w:tcPr>
          <w:p>
            <w:pPr>
              <w:ind w:left="160"/>
              <w:spacing w:after="0"/>
              <w:rPr>
                <w:sz w:val="20"/>
                <w:szCs w:val="20"/>
                <w:color w:val="auto"/>
              </w:rPr>
            </w:pPr>
            <w:r>
              <w:rPr>
                <w:rFonts w:ascii="Arial" w:cs="Arial" w:eastAsia="Arial" w:hAnsi="Arial"/>
                <w:sz w:val="13"/>
                <w:szCs w:val="13"/>
                <w:b w:val="1"/>
                <w:bCs w:val="1"/>
                <w:color w:val="auto"/>
              </w:rPr>
              <w:t>June 30,</w:t>
            </w:r>
          </w:p>
        </w:tc>
        <w:tc>
          <w:tcPr>
            <w:tcW w:w="134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2"/>
              </w:rPr>
              <w:t>June 30, 2021</w:t>
            </w:r>
          </w:p>
        </w:tc>
        <w:tc>
          <w:tcPr>
            <w:tcW w:w="1160" w:type="dxa"/>
            <w:vAlign w:val="bottom"/>
            <w:gridSpan w:val="2"/>
          </w:tcPr>
          <w:p>
            <w:pPr>
              <w:jc w:val="center"/>
              <w:spacing w:after="0"/>
              <w:rPr>
                <w:sz w:val="20"/>
                <w:szCs w:val="20"/>
                <w:color w:val="auto"/>
              </w:rPr>
            </w:pPr>
            <w:r>
              <w:rPr>
                <w:rFonts w:ascii="Arial" w:cs="Arial" w:eastAsia="Arial" w:hAnsi="Arial"/>
                <w:sz w:val="13"/>
                <w:szCs w:val="13"/>
                <w:b w:val="1"/>
                <w:bCs w:val="1"/>
                <w:color w:val="auto"/>
                <w:w w:val="89"/>
              </w:rPr>
              <w:t>June 30, 2021</w:t>
            </w:r>
          </w:p>
        </w:tc>
        <w:tc>
          <w:tcPr>
            <w:tcW w:w="0" w:type="dxa"/>
            <w:vAlign w:val="bottom"/>
          </w:tcPr>
          <w:p>
            <w:pPr>
              <w:spacing w:after="0"/>
              <w:rPr>
                <w:sz w:val="1"/>
                <w:szCs w:val="1"/>
                <w:color w:val="auto"/>
              </w:rPr>
            </w:pPr>
          </w:p>
        </w:tc>
      </w:tr>
      <w:tr>
        <w:trPr>
          <w:trHeight w:val="125"/>
        </w:trPr>
        <w:tc>
          <w:tcPr>
            <w:tcW w:w="4140" w:type="dxa"/>
            <w:vAlign w:val="bottom"/>
            <w:gridSpan w:val="2"/>
            <w:vMerge w:val="restart"/>
          </w:tcPr>
          <w:p>
            <w:pPr>
              <w:ind w:left="1160"/>
              <w:spacing w:after="0"/>
              <w:rPr>
                <w:sz w:val="20"/>
                <w:szCs w:val="20"/>
                <w:color w:val="auto"/>
              </w:rPr>
            </w:pPr>
            <w:r>
              <w:rPr>
                <w:rFonts w:ascii="Arial" w:cs="Arial" w:eastAsia="Arial" w:hAnsi="Arial"/>
                <w:sz w:val="13"/>
                <w:szCs w:val="13"/>
                <w:b w:val="1"/>
                <w:bCs w:val="1"/>
                <w:color w:val="auto"/>
              </w:rPr>
              <w:t xml:space="preserve">Interest Rate/Security Price </w:t>
            </w:r>
            <w:r>
              <w:rPr>
                <w:rFonts w:ascii="Arial" w:cs="Arial" w:eastAsia="Arial" w:hAnsi="Arial"/>
                <w:sz w:val="17"/>
                <w:szCs w:val="17"/>
                <w:b w:val="1"/>
                <w:bCs w:val="1"/>
                <w:color w:val="auto"/>
                <w:vertAlign w:val="superscript"/>
              </w:rPr>
              <w:t>1</w:t>
            </w:r>
          </w:p>
        </w:tc>
        <w:tc>
          <w:tcPr>
            <w:tcW w:w="900" w:type="dxa"/>
            <w:vAlign w:val="bottom"/>
            <w:gridSpan w:val="2"/>
            <w:vMerge w:val="continue"/>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540" w:type="dxa"/>
            <w:vAlign w:val="bottom"/>
          </w:tcPr>
          <w:p>
            <w:pPr>
              <w:spacing w:after="0"/>
              <w:rPr>
                <w:sz w:val="10"/>
                <w:szCs w:val="10"/>
                <w:color w:val="auto"/>
              </w:rPr>
            </w:pPr>
          </w:p>
        </w:tc>
        <w:tc>
          <w:tcPr>
            <w:tcW w:w="800" w:type="dxa"/>
            <w:vAlign w:val="bottom"/>
            <w:gridSpan w:val="2"/>
          </w:tcPr>
          <w:p>
            <w:pPr>
              <w:jc w:val="center"/>
              <w:ind w:right="680"/>
              <w:spacing w:after="0" w:line="125" w:lineRule="exact"/>
              <w:rPr>
                <w:sz w:val="20"/>
                <w:szCs w:val="20"/>
                <w:color w:val="auto"/>
              </w:rPr>
            </w:pPr>
            <w:r>
              <w:rPr>
                <w:rFonts w:ascii="Arial" w:cs="Arial" w:eastAsia="Arial" w:hAnsi="Arial"/>
                <w:sz w:val="13"/>
                <w:szCs w:val="13"/>
                <w:b w:val="1"/>
                <w:bCs w:val="1"/>
                <w:color w:val="auto"/>
                <w:w w:val="82"/>
              </w:rPr>
              <w:t>vs</w:t>
            </w:r>
          </w:p>
        </w:tc>
        <w:tc>
          <w:tcPr>
            <w:tcW w:w="520" w:type="dxa"/>
            <w:vAlign w:val="bottom"/>
          </w:tcPr>
          <w:p>
            <w:pPr>
              <w:spacing w:after="0"/>
              <w:rPr>
                <w:sz w:val="10"/>
                <w:szCs w:val="10"/>
                <w:color w:val="auto"/>
              </w:rPr>
            </w:pPr>
          </w:p>
        </w:tc>
        <w:tc>
          <w:tcPr>
            <w:tcW w:w="640" w:type="dxa"/>
            <w:vAlign w:val="bottom"/>
          </w:tcPr>
          <w:p>
            <w:pPr>
              <w:jc w:val="center"/>
              <w:ind w:right="453"/>
              <w:spacing w:after="0" w:line="125" w:lineRule="exact"/>
              <w:rPr>
                <w:sz w:val="20"/>
                <w:szCs w:val="20"/>
                <w:color w:val="auto"/>
              </w:rPr>
            </w:pPr>
            <w:r>
              <w:rPr>
                <w:rFonts w:ascii="Arial" w:cs="Arial" w:eastAsia="Arial" w:hAnsi="Arial"/>
                <w:sz w:val="13"/>
                <w:szCs w:val="13"/>
                <w:b w:val="1"/>
                <w:bCs w:val="1"/>
                <w:color w:val="auto"/>
                <w:w w:val="82"/>
              </w:rPr>
              <w:t>vs</w:t>
            </w:r>
          </w:p>
        </w:tc>
        <w:tc>
          <w:tcPr>
            <w:tcW w:w="0" w:type="dxa"/>
            <w:vAlign w:val="bottom"/>
          </w:tcPr>
          <w:p>
            <w:pPr>
              <w:spacing w:after="0"/>
              <w:rPr>
                <w:sz w:val="1"/>
                <w:szCs w:val="1"/>
                <w:color w:val="auto"/>
              </w:rPr>
            </w:pPr>
          </w:p>
        </w:tc>
      </w:tr>
      <w:tr>
        <w:trPr>
          <w:trHeight w:val="175"/>
        </w:trPr>
        <w:tc>
          <w:tcPr>
            <w:tcW w:w="4140" w:type="dxa"/>
            <w:vAlign w:val="bottom"/>
            <w:gridSpan w:val="2"/>
            <w:vMerge w:val="continue"/>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96"/>
              </w:rPr>
              <w:t>2020</w:t>
            </w:r>
          </w:p>
        </w:tc>
        <w:tc>
          <w:tcPr>
            <w:tcW w:w="14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89"/>
              </w:rPr>
              <w:t>2020</w:t>
            </w:r>
          </w:p>
        </w:tc>
        <w:tc>
          <w:tcPr>
            <w:tcW w:w="16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96"/>
              </w:rPr>
              <w:t>2020</w:t>
            </w:r>
          </w:p>
        </w:tc>
        <w:tc>
          <w:tcPr>
            <w:tcW w:w="16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89"/>
              </w:rPr>
              <w:t>2021</w:t>
            </w:r>
          </w:p>
        </w:tc>
        <w:tc>
          <w:tcPr>
            <w:tcW w:w="14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89"/>
              </w:rPr>
              <w:t>2021</w:t>
            </w:r>
          </w:p>
        </w:tc>
        <w:tc>
          <w:tcPr>
            <w:tcW w:w="140" w:type="dxa"/>
            <w:vAlign w:val="bottom"/>
          </w:tcPr>
          <w:p>
            <w:pPr>
              <w:spacing w:after="0"/>
              <w:rPr>
                <w:sz w:val="15"/>
                <w:szCs w:val="15"/>
                <w:color w:val="auto"/>
              </w:rPr>
            </w:pPr>
          </w:p>
        </w:tc>
        <w:tc>
          <w:tcPr>
            <w:tcW w:w="134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93"/>
              </w:rPr>
              <w:t>Mar. 31, 2021</w:t>
            </w:r>
          </w:p>
        </w:tc>
        <w:tc>
          <w:tcPr>
            <w:tcW w:w="11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3"/>
              </w:rPr>
              <w:t>Dec. 31, 2020</w:t>
            </w:r>
          </w:p>
        </w:tc>
        <w:tc>
          <w:tcPr>
            <w:tcW w:w="0" w:type="dxa"/>
            <w:vAlign w:val="bottom"/>
          </w:tcPr>
          <w:p>
            <w:pPr>
              <w:spacing w:after="0"/>
              <w:rPr>
                <w:sz w:val="1"/>
                <w:szCs w:val="1"/>
                <w:color w:val="auto"/>
              </w:rPr>
            </w:pPr>
          </w:p>
        </w:tc>
      </w:tr>
      <w:tr>
        <w:trPr>
          <w:trHeight w:val="167"/>
        </w:trPr>
        <w:tc>
          <w:tcPr>
            <w:tcW w:w="39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Target Federal Funds Rate:</w:t>
            </w:r>
          </w:p>
        </w:tc>
        <w:tc>
          <w:tcPr>
            <w:tcW w:w="16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140" w:type="dxa"/>
            <w:vAlign w:val="bottom"/>
            <w:gridSpan w:val="2"/>
          </w:tcPr>
          <w:p>
            <w:pPr>
              <w:ind w:left="160"/>
              <w:spacing w:after="0"/>
              <w:rPr>
                <w:sz w:val="20"/>
                <w:szCs w:val="20"/>
                <w:color w:val="auto"/>
              </w:rPr>
            </w:pPr>
            <w:r>
              <w:rPr>
                <w:rFonts w:ascii="Arial" w:cs="Arial" w:eastAsia="Arial" w:hAnsi="Arial"/>
                <w:sz w:val="13"/>
                <w:szCs w:val="13"/>
                <w:color w:val="auto"/>
              </w:rPr>
              <w:t>Target Federal Funds Rate - Upper Band</w:t>
            </w:r>
          </w:p>
        </w:tc>
        <w:tc>
          <w:tcPr>
            <w:tcW w:w="760" w:type="dxa"/>
            <w:vAlign w:val="bottom"/>
          </w:tcPr>
          <w:p>
            <w:pPr>
              <w:jc w:val="center"/>
              <w:spacing w:after="0"/>
              <w:rPr>
                <w:sz w:val="20"/>
                <w:szCs w:val="20"/>
                <w:color w:val="auto"/>
              </w:rPr>
            </w:pPr>
            <w:r>
              <w:rPr>
                <w:rFonts w:ascii="Arial" w:cs="Arial" w:eastAsia="Arial" w:hAnsi="Arial"/>
                <w:sz w:val="13"/>
                <w:szCs w:val="13"/>
                <w:color w:val="auto"/>
                <w:w w:val="97"/>
              </w:rPr>
              <w:t>0.25%</w:t>
            </w:r>
          </w:p>
        </w:tc>
        <w:tc>
          <w:tcPr>
            <w:tcW w:w="14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auto"/>
                <w:w w:val="92"/>
              </w:rPr>
              <w:t>0.25%</w:t>
            </w:r>
          </w:p>
        </w:tc>
        <w:tc>
          <w:tcPr>
            <w:tcW w:w="1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97"/>
              </w:rPr>
              <w:t>0.25%</w:t>
            </w:r>
          </w:p>
        </w:tc>
        <w:tc>
          <w:tcPr>
            <w:tcW w:w="1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auto"/>
                <w:w w:val="92"/>
              </w:rPr>
              <w:t>0.25%</w:t>
            </w:r>
          </w:p>
        </w:tc>
        <w:tc>
          <w:tcPr>
            <w:tcW w:w="14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auto"/>
                <w:w w:val="92"/>
              </w:rPr>
              <w:t>0.25%</w:t>
            </w: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tcPr>
          <w:p>
            <w:pPr>
              <w:ind w:left="80"/>
              <w:spacing w:after="0"/>
              <w:rPr>
                <w:sz w:val="20"/>
                <w:szCs w:val="20"/>
                <w:color w:val="auto"/>
              </w:rPr>
            </w:pPr>
            <w:r>
              <w:rPr>
                <w:rFonts w:ascii="Arial" w:cs="Arial" w:eastAsia="Arial" w:hAnsi="Arial"/>
                <w:sz w:val="13"/>
                <w:szCs w:val="13"/>
                <w:color w:val="auto"/>
              </w:rPr>
              <w:t>bps</w:t>
            </w: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ind w:left="80"/>
              <w:spacing w:after="0"/>
              <w:rPr>
                <w:sz w:val="20"/>
                <w:szCs w:val="20"/>
                <w:color w:val="auto"/>
              </w:rPr>
            </w:pPr>
            <w:r>
              <w:rPr>
                <w:rFonts w:ascii="Arial" w:cs="Arial" w:eastAsia="Arial" w:hAnsi="Arial"/>
                <w:sz w:val="13"/>
                <w:szCs w:val="13"/>
                <w:color w:val="auto"/>
              </w:rPr>
              <w:t>bps</w:t>
            </w:r>
          </w:p>
        </w:tc>
        <w:tc>
          <w:tcPr>
            <w:tcW w:w="0" w:type="dxa"/>
            <w:vAlign w:val="bottom"/>
          </w:tcPr>
          <w:p>
            <w:pPr>
              <w:spacing w:after="0"/>
              <w:rPr>
                <w:sz w:val="1"/>
                <w:szCs w:val="1"/>
                <w:color w:val="auto"/>
              </w:rPr>
            </w:pPr>
          </w:p>
        </w:tc>
      </w:tr>
      <w:tr>
        <w:trPr>
          <w:trHeight w:val="178"/>
        </w:trPr>
        <w:tc>
          <w:tcPr>
            <w:tcW w:w="414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SOFR:</w:t>
            </w: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4140" w:type="dxa"/>
            <w:vAlign w:val="bottom"/>
            <w:gridSpan w:val="2"/>
          </w:tcPr>
          <w:p>
            <w:pPr>
              <w:ind w:left="160"/>
              <w:spacing w:after="0"/>
              <w:rPr>
                <w:sz w:val="20"/>
                <w:szCs w:val="20"/>
                <w:color w:val="auto"/>
              </w:rPr>
            </w:pPr>
            <w:r>
              <w:rPr>
                <w:rFonts w:ascii="Arial" w:cs="Arial" w:eastAsia="Arial" w:hAnsi="Arial"/>
                <w:sz w:val="13"/>
                <w:szCs w:val="13"/>
                <w:color w:val="auto"/>
              </w:rPr>
              <w:t>SOFR Rate</w:t>
            </w:r>
          </w:p>
        </w:tc>
        <w:tc>
          <w:tcPr>
            <w:tcW w:w="760" w:type="dxa"/>
            <w:vAlign w:val="bottom"/>
          </w:tcPr>
          <w:p>
            <w:pPr>
              <w:jc w:val="center"/>
              <w:spacing w:after="0"/>
              <w:rPr>
                <w:sz w:val="20"/>
                <w:szCs w:val="20"/>
                <w:color w:val="auto"/>
              </w:rPr>
            </w:pPr>
            <w:r>
              <w:rPr>
                <w:rFonts w:ascii="Arial" w:cs="Arial" w:eastAsia="Arial" w:hAnsi="Arial"/>
                <w:sz w:val="13"/>
                <w:szCs w:val="13"/>
                <w:color w:val="auto"/>
                <w:w w:val="97"/>
              </w:rPr>
              <w:t>0.10%</w:t>
            </w:r>
          </w:p>
        </w:tc>
        <w:tc>
          <w:tcPr>
            <w:tcW w:w="14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auto"/>
                <w:w w:val="92"/>
              </w:rPr>
              <w:t>0.08%</w:t>
            </w:r>
          </w:p>
        </w:tc>
        <w:tc>
          <w:tcPr>
            <w:tcW w:w="1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97"/>
              </w:rPr>
              <w:t>0.07%</w:t>
            </w:r>
          </w:p>
        </w:tc>
        <w:tc>
          <w:tcPr>
            <w:tcW w:w="1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auto"/>
                <w:w w:val="92"/>
              </w:rPr>
              <w:t>0.01%</w:t>
            </w:r>
          </w:p>
        </w:tc>
        <w:tc>
          <w:tcPr>
            <w:tcW w:w="14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auto"/>
                <w:w w:val="92"/>
              </w:rPr>
              <w:t>0.05%</w:t>
            </w: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w:t>
            </w:r>
          </w:p>
        </w:tc>
        <w:tc>
          <w:tcPr>
            <w:tcW w:w="800" w:type="dxa"/>
            <w:vAlign w:val="bottom"/>
            <w:gridSpan w:val="2"/>
          </w:tcPr>
          <w:p>
            <w:pPr>
              <w:ind w:left="80"/>
              <w:spacing w:after="0"/>
              <w:rPr>
                <w:sz w:val="20"/>
                <w:szCs w:val="20"/>
                <w:color w:val="auto"/>
              </w:rPr>
            </w:pPr>
            <w:r>
              <w:rPr>
                <w:rFonts w:ascii="Arial" w:cs="Arial" w:eastAsia="Arial" w:hAnsi="Arial"/>
                <w:sz w:val="13"/>
                <w:szCs w:val="13"/>
                <w:color w:val="auto"/>
              </w:rPr>
              <w:t>bps</w:t>
            </w:r>
          </w:p>
        </w:tc>
        <w:tc>
          <w:tcPr>
            <w:tcW w:w="520" w:type="dxa"/>
            <w:vAlign w:val="bottom"/>
          </w:tcPr>
          <w:p>
            <w:pPr>
              <w:jc w:val="right"/>
              <w:spacing w:after="0"/>
              <w:rPr>
                <w:sz w:val="20"/>
                <w:szCs w:val="20"/>
                <w:color w:val="auto"/>
              </w:rPr>
            </w:pPr>
            <w:r>
              <w:rPr>
                <w:rFonts w:ascii="Arial" w:cs="Arial" w:eastAsia="Arial" w:hAnsi="Arial"/>
                <w:sz w:val="13"/>
                <w:szCs w:val="13"/>
                <w:color w:val="auto"/>
              </w:rPr>
              <w:t>-2</w:t>
            </w:r>
          </w:p>
        </w:tc>
        <w:tc>
          <w:tcPr>
            <w:tcW w:w="640" w:type="dxa"/>
            <w:vAlign w:val="bottom"/>
          </w:tcPr>
          <w:p>
            <w:pPr>
              <w:ind w:left="80"/>
              <w:spacing w:after="0"/>
              <w:rPr>
                <w:sz w:val="20"/>
                <w:szCs w:val="20"/>
                <w:color w:val="auto"/>
              </w:rPr>
            </w:pPr>
            <w:r>
              <w:rPr>
                <w:rFonts w:ascii="Arial" w:cs="Arial" w:eastAsia="Arial" w:hAnsi="Arial"/>
                <w:sz w:val="13"/>
                <w:szCs w:val="13"/>
                <w:color w:val="auto"/>
              </w:rPr>
              <w:t>bps</w:t>
            </w:r>
          </w:p>
        </w:tc>
        <w:tc>
          <w:tcPr>
            <w:tcW w:w="0" w:type="dxa"/>
            <w:vAlign w:val="bottom"/>
          </w:tcPr>
          <w:p>
            <w:pPr>
              <w:spacing w:after="0"/>
              <w:rPr>
                <w:sz w:val="1"/>
                <w:szCs w:val="1"/>
                <w:color w:val="auto"/>
              </w:rPr>
            </w:pPr>
          </w:p>
        </w:tc>
      </w:tr>
      <w:tr>
        <w:trPr>
          <w:trHeight w:val="178"/>
        </w:trPr>
        <w:tc>
          <w:tcPr>
            <w:tcW w:w="414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SOFR Interest Rate Swap Rate:</w:t>
            </w: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4140" w:type="dxa"/>
            <w:vAlign w:val="bottom"/>
            <w:gridSpan w:val="2"/>
          </w:tcPr>
          <w:p>
            <w:pPr>
              <w:ind w:left="160"/>
              <w:spacing w:after="0"/>
              <w:rPr>
                <w:sz w:val="20"/>
                <w:szCs w:val="20"/>
                <w:color w:val="auto"/>
              </w:rPr>
            </w:pPr>
            <w:r>
              <w:rPr>
                <w:rFonts w:ascii="Arial" w:cs="Arial" w:eastAsia="Arial" w:hAnsi="Arial"/>
                <w:sz w:val="13"/>
                <w:szCs w:val="13"/>
                <w:color w:val="auto"/>
              </w:rPr>
              <w:t>2-Year Swap</w:t>
            </w:r>
          </w:p>
        </w:tc>
        <w:tc>
          <w:tcPr>
            <w:tcW w:w="760" w:type="dxa"/>
            <w:vAlign w:val="bottom"/>
          </w:tcPr>
          <w:p>
            <w:pPr>
              <w:jc w:val="center"/>
              <w:spacing w:after="0"/>
              <w:rPr>
                <w:sz w:val="20"/>
                <w:szCs w:val="20"/>
                <w:color w:val="auto"/>
              </w:rPr>
            </w:pPr>
            <w:r>
              <w:rPr>
                <w:rFonts w:ascii="Arial" w:cs="Arial" w:eastAsia="Arial" w:hAnsi="Arial"/>
                <w:sz w:val="13"/>
                <w:szCs w:val="13"/>
                <w:color w:val="auto"/>
                <w:w w:val="97"/>
              </w:rPr>
              <w:t>0.00%</w:t>
            </w:r>
          </w:p>
        </w:tc>
        <w:tc>
          <w:tcPr>
            <w:tcW w:w="14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auto"/>
                <w:w w:val="92"/>
              </w:rPr>
              <w:t>0.03%</w:t>
            </w:r>
          </w:p>
        </w:tc>
        <w:tc>
          <w:tcPr>
            <w:tcW w:w="1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97"/>
              </w:rPr>
              <w:t>0.06%</w:t>
            </w:r>
          </w:p>
        </w:tc>
        <w:tc>
          <w:tcPr>
            <w:tcW w:w="1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auto"/>
                <w:w w:val="92"/>
              </w:rPr>
              <w:t>0.12%</w:t>
            </w:r>
          </w:p>
        </w:tc>
        <w:tc>
          <w:tcPr>
            <w:tcW w:w="14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auto"/>
                <w:w w:val="92"/>
              </w:rPr>
              <w:t>0.19%</w:t>
            </w: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+7</w:t>
            </w:r>
          </w:p>
        </w:tc>
        <w:tc>
          <w:tcPr>
            <w:tcW w:w="800" w:type="dxa"/>
            <w:vAlign w:val="bottom"/>
            <w:gridSpan w:val="2"/>
          </w:tcPr>
          <w:p>
            <w:pPr>
              <w:ind w:left="80"/>
              <w:spacing w:after="0"/>
              <w:rPr>
                <w:sz w:val="20"/>
                <w:szCs w:val="20"/>
                <w:color w:val="auto"/>
              </w:rPr>
            </w:pPr>
            <w:r>
              <w:rPr>
                <w:rFonts w:ascii="Arial" w:cs="Arial" w:eastAsia="Arial" w:hAnsi="Arial"/>
                <w:sz w:val="13"/>
                <w:szCs w:val="13"/>
                <w:color w:val="auto"/>
              </w:rPr>
              <w:t>bps</w:t>
            </w:r>
          </w:p>
        </w:tc>
        <w:tc>
          <w:tcPr>
            <w:tcW w:w="520" w:type="dxa"/>
            <w:vAlign w:val="bottom"/>
          </w:tcPr>
          <w:p>
            <w:pPr>
              <w:jc w:val="right"/>
              <w:spacing w:after="0"/>
              <w:rPr>
                <w:sz w:val="20"/>
                <w:szCs w:val="20"/>
                <w:color w:val="auto"/>
              </w:rPr>
            </w:pPr>
            <w:r>
              <w:rPr>
                <w:rFonts w:ascii="Arial" w:cs="Arial" w:eastAsia="Arial" w:hAnsi="Arial"/>
                <w:sz w:val="13"/>
                <w:szCs w:val="13"/>
                <w:color w:val="auto"/>
              </w:rPr>
              <w:t>+13</w:t>
            </w:r>
          </w:p>
        </w:tc>
        <w:tc>
          <w:tcPr>
            <w:tcW w:w="640" w:type="dxa"/>
            <w:vAlign w:val="bottom"/>
          </w:tcPr>
          <w:p>
            <w:pPr>
              <w:ind w:left="80"/>
              <w:spacing w:after="0"/>
              <w:rPr>
                <w:sz w:val="20"/>
                <w:szCs w:val="20"/>
                <w:color w:val="auto"/>
              </w:rPr>
            </w:pPr>
            <w:r>
              <w:rPr>
                <w:rFonts w:ascii="Arial" w:cs="Arial" w:eastAsia="Arial" w:hAnsi="Arial"/>
                <w:sz w:val="13"/>
                <w:szCs w:val="13"/>
                <w:color w:val="auto"/>
              </w:rPr>
              <w:t>bps</w:t>
            </w:r>
          </w:p>
        </w:tc>
        <w:tc>
          <w:tcPr>
            <w:tcW w:w="0" w:type="dxa"/>
            <w:vAlign w:val="bottom"/>
          </w:tcPr>
          <w:p>
            <w:pPr>
              <w:spacing w:after="0"/>
              <w:rPr>
                <w:sz w:val="1"/>
                <w:szCs w:val="1"/>
                <w:color w:val="auto"/>
              </w:rPr>
            </w:pPr>
          </w:p>
        </w:tc>
      </w:tr>
      <w:tr>
        <w:trPr>
          <w:trHeight w:val="178"/>
        </w:trPr>
        <w:tc>
          <w:tcPr>
            <w:tcW w:w="414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5-Year Swap</w:t>
            </w: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0.08%</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0.13%</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0.24%</w:t>
            </w: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0.82%</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0.75%</w:t>
            </w: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80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bps</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w:t>
            </w:r>
          </w:p>
        </w:tc>
        <w:tc>
          <w:tcPr>
            <w:tcW w:w="640" w:type="dxa"/>
            <w:vAlign w:val="bottom"/>
            <w:shd w:val="clear" w:color="auto" w:fill="CCEEFF"/>
          </w:tcPr>
          <w:p>
            <w:pPr>
              <w:ind w:left="80"/>
              <w:spacing w:after="0"/>
              <w:rPr>
                <w:sz w:val="20"/>
                <w:szCs w:val="20"/>
                <w:color w:val="auto"/>
              </w:rPr>
            </w:pPr>
            <w:r>
              <w:rPr>
                <w:rFonts w:ascii="Arial" w:cs="Arial" w:eastAsia="Arial" w:hAnsi="Arial"/>
                <w:sz w:val="13"/>
                <w:szCs w:val="13"/>
                <w:color w:val="auto"/>
              </w:rPr>
              <w:t>bps</w:t>
            </w:r>
          </w:p>
        </w:tc>
        <w:tc>
          <w:tcPr>
            <w:tcW w:w="0" w:type="dxa"/>
            <w:vAlign w:val="bottom"/>
          </w:tcPr>
          <w:p>
            <w:pPr>
              <w:spacing w:after="0"/>
              <w:rPr>
                <w:sz w:val="1"/>
                <w:szCs w:val="1"/>
                <w:color w:val="auto"/>
              </w:rPr>
            </w:pPr>
          </w:p>
        </w:tc>
      </w:tr>
      <w:tr>
        <w:trPr>
          <w:trHeight w:val="172"/>
        </w:trPr>
        <w:tc>
          <w:tcPr>
            <w:tcW w:w="4140" w:type="dxa"/>
            <w:vAlign w:val="bottom"/>
            <w:gridSpan w:val="2"/>
          </w:tcPr>
          <w:p>
            <w:pPr>
              <w:ind w:left="160"/>
              <w:spacing w:after="0"/>
              <w:rPr>
                <w:sz w:val="20"/>
                <w:szCs w:val="20"/>
                <w:color w:val="auto"/>
              </w:rPr>
            </w:pPr>
            <w:r>
              <w:rPr>
                <w:rFonts w:ascii="Arial" w:cs="Arial" w:eastAsia="Arial" w:hAnsi="Arial"/>
                <w:sz w:val="13"/>
                <w:szCs w:val="13"/>
                <w:color w:val="auto"/>
              </w:rPr>
              <w:t>10-Year Swap</w:t>
            </w:r>
          </w:p>
        </w:tc>
        <w:tc>
          <w:tcPr>
            <w:tcW w:w="760" w:type="dxa"/>
            <w:vAlign w:val="bottom"/>
          </w:tcPr>
          <w:p>
            <w:pPr>
              <w:jc w:val="center"/>
              <w:spacing w:after="0"/>
              <w:rPr>
                <w:sz w:val="20"/>
                <w:szCs w:val="20"/>
                <w:color w:val="auto"/>
              </w:rPr>
            </w:pPr>
            <w:r>
              <w:rPr>
                <w:rFonts w:ascii="Arial" w:cs="Arial" w:eastAsia="Arial" w:hAnsi="Arial"/>
                <w:sz w:val="13"/>
                <w:szCs w:val="13"/>
                <w:color w:val="auto"/>
                <w:w w:val="97"/>
              </w:rPr>
              <w:t>0.38%</w:t>
            </w:r>
          </w:p>
        </w:tc>
        <w:tc>
          <w:tcPr>
            <w:tcW w:w="14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auto"/>
                <w:w w:val="92"/>
              </w:rPr>
              <w:t>0.47%</w:t>
            </w:r>
          </w:p>
        </w:tc>
        <w:tc>
          <w:tcPr>
            <w:tcW w:w="1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97"/>
              </w:rPr>
              <w:t>0.71%</w:t>
            </w:r>
          </w:p>
        </w:tc>
        <w:tc>
          <w:tcPr>
            <w:tcW w:w="1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auto"/>
                <w:w w:val="92"/>
              </w:rPr>
              <w:t>1.52%</w:t>
            </w:r>
          </w:p>
        </w:tc>
        <w:tc>
          <w:tcPr>
            <w:tcW w:w="14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auto"/>
                <w:w w:val="92"/>
              </w:rPr>
              <w:t>1.19%</w:t>
            </w: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-33</w:t>
            </w:r>
          </w:p>
        </w:tc>
        <w:tc>
          <w:tcPr>
            <w:tcW w:w="800" w:type="dxa"/>
            <w:vAlign w:val="bottom"/>
            <w:gridSpan w:val="2"/>
          </w:tcPr>
          <w:p>
            <w:pPr>
              <w:ind w:left="80"/>
              <w:spacing w:after="0"/>
              <w:rPr>
                <w:sz w:val="20"/>
                <w:szCs w:val="20"/>
                <w:color w:val="auto"/>
              </w:rPr>
            </w:pPr>
            <w:r>
              <w:rPr>
                <w:rFonts w:ascii="Arial" w:cs="Arial" w:eastAsia="Arial" w:hAnsi="Arial"/>
                <w:sz w:val="13"/>
                <w:szCs w:val="13"/>
                <w:color w:val="auto"/>
              </w:rPr>
              <w:t>bps</w:t>
            </w:r>
          </w:p>
        </w:tc>
        <w:tc>
          <w:tcPr>
            <w:tcW w:w="520" w:type="dxa"/>
            <w:vAlign w:val="bottom"/>
          </w:tcPr>
          <w:p>
            <w:pPr>
              <w:jc w:val="right"/>
              <w:spacing w:after="0"/>
              <w:rPr>
                <w:sz w:val="20"/>
                <w:szCs w:val="20"/>
                <w:color w:val="auto"/>
              </w:rPr>
            </w:pPr>
            <w:r>
              <w:rPr>
                <w:rFonts w:ascii="Arial" w:cs="Arial" w:eastAsia="Arial" w:hAnsi="Arial"/>
                <w:sz w:val="13"/>
                <w:szCs w:val="13"/>
                <w:color w:val="auto"/>
              </w:rPr>
              <w:t>+48</w:t>
            </w:r>
          </w:p>
        </w:tc>
        <w:tc>
          <w:tcPr>
            <w:tcW w:w="640" w:type="dxa"/>
            <w:vAlign w:val="bottom"/>
          </w:tcPr>
          <w:p>
            <w:pPr>
              <w:ind w:left="80"/>
              <w:spacing w:after="0"/>
              <w:rPr>
                <w:sz w:val="20"/>
                <w:szCs w:val="20"/>
                <w:color w:val="auto"/>
              </w:rPr>
            </w:pPr>
            <w:r>
              <w:rPr>
                <w:rFonts w:ascii="Arial" w:cs="Arial" w:eastAsia="Arial" w:hAnsi="Arial"/>
                <w:sz w:val="13"/>
                <w:szCs w:val="13"/>
                <w:color w:val="auto"/>
              </w:rPr>
              <w:t>bps</w:t>
            </w:r>
          </w:p>
        </w:tc>
        <w:tc>
          <w:tcPr>
            <w:tcW w:w="0" w:type="dxa"/>
            <w:vAlign w:val="bottom"/>
          </w:tcPr>
          <w:p>
            <w:pPr>
              <w:spacing w:after="0"/>
              <w:rPr>
                <w:sz w:val="1"/>
                <w:szCs w:val="1"/>
                <w:color w:val="auto"/>
              </w:rPr>
            </w:pPr>
          </w:p>
        </w:tc>
      </w:tr>
      <w:tr>
        <w:trPr>
          <w:trHeight w:val="178"/>
        </w:trPr>
        <w:tc>
          <w:tcPr>
            <w:tcW w:w="414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30-Year Swap</w:t>
            </w: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0.63%</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0.86%</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1.15%</w:t>
            </w: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1.92%</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1.50%</w:t>
            </w: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w:t>
            </w:r>
          </w:p>
        </w:tc>
        <w:tc>
          <w:tcPr>
            <w:tcW w:w="80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bps</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w:t>
            </w:r>
          </w:p>
        </w:tc>
        <w:tc>
          <w:tcPr>
            <w:tcW w:w="640" w:type="dxa"/>
            <w:vAlign w:val="bottom"/>
            <w:shd w:val="clear" w:color="auto" w:fill="CCEEFF"/>
          </w:tcPr>
          <w:p>
            <w:pPr>
              <w:ind w:left="80"/>
              <w:spacing w:after="0"/>
              <w:rPr>
                <w:sz w:val="20"/>
                <w:szCs w:val="20"/>
                <w:color w:val="auto"/>
              </w:rPr>
            </w:pPr>
            <w:r>
              <w:rPr>
                <w:rFonts w:ascii="Arial" w:cs="Arial" w:eastAsia="Arial" w:hAnsi="Arial"/>
                <w:sz w:val="13"/>
                <w:szCs w:val="13"/>
                <w:color w:val="auto"/>
              </w:rPr>
              <w:t>bps</w:t>
            </w:r>
          </w:p>
        </w:tc>
        <w:tc>
          <w:tcPr>
            <w:tcW w:w="0" w:type="dxa"/>
            <w:vAlign w:val="bottom"/>
          </w:tcPr>
          <w:p>
            <w:pPr>
              <w:spacing w:after="0"/>
              <w:rPr>
                <w:sz w:val="1"/>
                <w:szCs w:val="1"/>
                <w:color w:val="auto"/>
              </w:rPr>
            </w:pPr>
          </w:p>
        </w:tc>
      </w:tr>
      <w:tr>
        <w:trPr>
          <w:trHeight w:val="174"/>
        </w:trPr>
        <w:tc>
          <w:tcPr>
            <w:tcW w:w="4140" w:type="dxa"/>
            <w:vAlign w:val="bottom"/>
            <w:gridSpan w:val="2"/>
          </w:tcPr>
          <w:p>
            <w:pPr>
              <w:ind w:left="20"/>
              <w:spacing w:after="0"/>
              <w:rPr>
                <w:sz w:val="20"/>
                <w:szCs w:val="20"/>
                <w:color w:val="auto"/>
              </w:rPr>
            </w:pPr>
            <w:r>
              <w:rPr>
                <w:rFonts w:ascii="Arial" w:cs="Arial" w:eastAsia="Arial" w:hAnsi="Arial"/>
                <w:sz w:val="13"/>
                <w:szCs w:val="13"/>
                <w:b w:val="1"/>
                <w:bCs w:val="1"/>
                <w:color w:val="auto"/>
              </w:rPr>
              <w:t>U.S. Treasury Security Rate:</w:t>
            </w: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14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2-Year U.S. Treasury</w:t>
            </w: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0.15%</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0.13%</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0.12%</w:t>
            </w: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0.16%</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0.25%</w:t>
            </w: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80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bps</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640" w:type="dxa"/>
            <w:vAlign w:val="bottom"/>
            <w:shd w:val="clear" w:color="auto" w:fill="CCEEFF"/>
          </w:tcPr>
          <w:p>
            <w:pPr>
              <w:ind w:left="80"/>
              <w:spacing w:after="0"/>
              <w:rPr>
                <w:sz w:val="20"/>
                <w:szCs w:val="20"/>
                <w:color w:val="auto"/>
              </w:rPr>
            </w:pPr>
            <w:r>
              <w:rPr>
                <w:rFonts w:ascii="Arial" w:cs="Arial" w:eastAsia="Arial" w:hAnsi="Arial"/>
                <w:sz w:val="13"/>
                <w:szCs w:val="13"/>
                <w:color w:val="auto"/>
              </w:rPr>
              <w:t>bps</w:t>
            </w:r>
          </w:p>
        </w:tc>
        <w:tc>
          <w:tcPr>
            <w:tcW w:w="0" w:type="dxa"/>
            <w:vAlign w:val="bottom"/>
          </w:tcPr>
          <w:p>
            <w:pPr>
              <w:spacing w:after="0"/>
              <w:rPr>
                <w:sz w:val="1"/>
                <w:szCs w:val="1"/>
                <w:color w:val="auto"/>
              </w:rPr>
            </w:pPr>
          </w:p>
        </w:tc>
      </w:tr>
      <w:tr>
        <w:trPr>
          <w:trHeight w:val="172"/>
        </w:trPr>
        <w:tc>
          <w:tcPr>
            <w:tcW w:w="4140" w:type="dxa"/>
            <w:vAlign w:val="bottom"/>
            <w:gridSpan w:val="2"/>
          </w:tcPr>
          <w:p>
            <w:pPr>
              <w:ind w:left="160"/>
              <w:spacing w:after="0"/>
              <w:rPr>
                <w:sz w:val="20"/>
                <w:szCs w:val="20"/>
                <w:color w:val="auto"/>
              </w:rPr>
            </w:pPr>
            <w:r>
              <w:rPr>
                <w:rFonts w:ascii="Arial" w:cs="Arial" w:eastAsia="Arial" w:hAnsi="Arial"/>
                <w:sz w:val="13"/>
                <w:szCs w:val="13"/>
                <w:color w:val="auto"/>
              </w:rPr>
              <w:t>5-Year U.S. Treasury</w:t>
            </w:r>
          </w:p>
        </w:tc>
        <w:tc>
          <w:tcPr>
            <w:tcW w:w="760" w:type="dxa"/>
            <w:vAlign w:val="bottom"/>
          </w:tcPr>
          <w:p>
            <w:pPr>
              <w:jc w:val="center"/>
              <w:spacing w:after="0"/>
              <w:rPr>
                <w:sz w:val="20"/>
                <w:szCs w:val="20"/>
                <w:color w:val="auto"/>
              </w:rPr>
            </w:pPr>
            <w:r>
              <w:rPr>
                <w:rFonts w:ascii="Arial" w:cs="Arial" w:eastAsia="Arial" w:hAnsi="Arial"/>
                <w:sz w:val="13"/>
                <w:szCs w:val="13"/>
                <w:color w:val="auto"/>
                <w:w w:val="97"/>
              </w:rPr>
              <w:t>0.29%</w:t>
            </w:r>
          </w:p>
        </w:tc>
        <w:tc>
          <w:tcPr>
            <w:tcW w:w="14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auto"/>
                <w:w w:val="92"/>
              </w:rPr>
              <w:t>0.28%</w:t>
            </w:r>
          </w:p>
        </w:tc>
        <w:tc>
          <w:tcPr>
            <w:tcW w:w="1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97"/>
              </w:rPr>
              <w:t>0.36%</w:t>
            </w:r>
          </w:p>
        </w:tc>
        <w:tc>
          <w:tcPr>
            <w:tcW w:w="1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auto"/>
                <w:w w:val="92"/>
              </w:rPr>
              <w:t>0.94%</w:t>
            </w:r>
          </w:p>
        </w:tc>
        <w:tc>
          <w:tcPr>
            <w:tcW w:w="14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auto"/>
                <w:w w:val="92"/>
              </w:rPr>
              <w:t>0.89%</w:t>
            </w: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-5</w:t>
            </w:r>
          </w:p>
        </w:tc>
        <w:tc>
          <w:tcPr>
            <w:tcW w:w="800" w:type="dxa"/>
            <w:vAlign w:val="bottom"/>
            <w:gridSpan w:val="2"/>
          </w:tcPr>
          <w:p>
            <w:pPr>
              <w:ind w:left="80"/>
              <w:spacing w:after="0"/>
              <w:rPr>
                <w:sz w:val="20"/>
                <w:szCs w:val="20"/>
                <w:color w:val="auto"/>
              </w:rPr>
            </w:pPr>
            <w:r>
              <w:rPr>
                <w:rFonts w:ascii="Arial" w:cs="Arial" w:eastAsia="Arial" w:hAnsi="Arial"/>
                <w:sz w:val="13"/>
                <w:szCs w:val="13"/>
                <w:color w:val="auto"/>
              </w:rPr>
              <w:t>bps</w:t>
            </w:r>
          </w:p>
        </w:tc>
        <w:tc>
          <w:tcPr>
            <w:tcW w:w="520" w:type="dxa"/>
            <w:vAlign w:val="bottom"/>
          </w:tcPr>
          <w:p>
            <w:pPr>
              <w:jc w:val="right"/>
              <w:spacing w:after="0"/>
              <w:rPr>
                <w:sz w:val="20"/>
                <w:szCs w:val="20"/>
                <w:color w:val="auto"/>
              </w:rPr>
            </w:pPr>
            <w:r>
              <w:rPr>
                <w:rFonts w:ascii="Arial" w:cs="Arial" w:eastAsia="Arial" w:hAnsi="Arial"/>
                <w:sz w:val="13"/>
                <w:szCs w:val="13"/>
                <w:color w:val="auto"/>
              </w:rPr>
              <w:t>+53</w:t>
            </w:r>
          </w:p>
        </w:tc>
        <w:tc>
          <w:tcPr>
            <w:tcW w:w="640" w:type="dxa"/>
            <w:vAlign w:val="bottom"/>
          </w:tcPr>
          <w:p>
            <w:pPr>
              <w:ind w:left="80"/>
              <w:spacing w:after="0"/>
              <w:rPr>
                <w:sz w:val="20"/>
                <w:szCs w:val="20"/>
                <w:color w:val="auto"/>
              </w:rPr>
            </w:pPr>
            <w:r>
              <w:rPr>
                <w:rFonts w:ascii="Arial" w:cs="Arial" w:eastAsia="Arial" w:hAnsi="Arial"/>
                <w:sz w:val="13"/>
                <w:szCs w:val="13"/>
                <w:color w:val="auto"/>
              </w:rPr>
              <w:t>bps</w:t>
            </w:r>
          </w:p>
        </w:tc>
        <w:tc>
          <w:tcPr>
            <w:tcW w:w="0" w:type="dxa"/>
            <w:vAlign w:val="bottom"/>
          </w:tcPr>
          <w:p>
            <w:pPr>
              <w:spacing w:after="0"/>
              <w:rPr>
                <w:sz w:val="1"/>
                <w:szCs w:val="1"/>
                <w:color w:val="auto"/>
              </w:rPr>
            </w:pPr>
          </w:p>
        </w:tc>
      </w:tr>
      <w:tr>
        <w:trPr>
          <w:trHeight w:val="178"/>
        </w:trPr>
        <w:tc>
          <w:tcPr>
            <w:tcW w:w="414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10-Year U.S. Treasury</w:t>
            </w: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0.66%</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0.69%</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0.92%</w:t>
            </w: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1.74%</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1.47%</w:t>
            </w: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w:t>
            </w:r>
          </w:p>
        </w:tc>
        <w:tc>
          <w:tcPr>
            <w:tcW w:w="80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bps</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w:t>
            </w:r>
          </w:p>
        </w:tc>
        <w:tc>
          <w:tcPr>
            <w:tcW w:w="640" w:type="dxa"/>
            <w:vAlign w:val="bottom"/>
            <w:shd w:val="clear" w:color="auto" w:fill="CCEEFF"/>
          </w:tcPr>
          <w:p>
            <w:pPr>
              <w:ind w:left="80"/>
              <w:spacing w:after="0"/>
              <w:rPr>
                <w:sz w:val="20"/>
                <w:szCs w:val="20"/>
                <w:color w:val="auto"/>
              </w:rPr>
            </w:pPr>
            <w:r>
              <w:rPr>
                <w:rFonts w:ascii="Arial" w:cs="Arial" w:eastAsia="Arial" w:hAnsi="Arial"/>
                <w:sz w:val="13"/>
                <w:szCs w:val="13"/>
                <w:color w:val="auto"/>
              </w:rPr>
              <w:t>bps</w:t>
            </w:r>
          </w:p>
        </w:tc>
        <w:tc>
          <w:tcPr>
            <w:tcW w:w="0" w:type="dxa"/>
            <w:vAlign w:val="bottom"/>
          </w:tcPr>
          <w:p>
            <w:pPr>
              <w:spacing w:after="0"/>
              <w:rPr>
                <w:sz w:val="1"/>
                <w:szCs w:val="1"/>
                <w:color w:val="auto"/>
              </w:rPr>
            </w:pPr>
          </w:p>
        </w:tc>
      </w:tr>
      <w:tr>
        <w:trPr>
          <w:trHeight w:val="172"/>
        </w:trPr>
        <w:tc>
          <w:tcPr>
            <w:tcW w:w="4140" w:type="dxa"/>
            <w:vAlign w:val="bottom"/>
            <w:gridSpan w:val="2"/>
          </w:tcPr>
          <w:p>
            <w:pPr>
              <w:ind w:left="160"/>
              <w:spacing w:after="0"/>
              <w:rPr>
                <w:sz w:val="20"/>
                <w:szCs w:val="20"/>
                <w:color w:val="auto"/>
              </w:rPr>
            </w:pPr>
            <w:r>
              <w:rPr>
                <w:rFonts w:ascii="Arial" w:cs="Arial" w:eastAsia="Arial" w:hAnsi="Arial"/>
                <w:sz w:val="13"/>
                <w:szCs w:val="13"/>
                <w:color w:val="auto"/>
              </w:rPr>
              <w:t>30-Year U.S. Treasury</w:t>
            </w:r>
          </w:p>
        </w:tc>
        <w:tc>
          <w:tcPr>
            <w:tcW w:w="760" w:type="dxa"/>
            <w:vAlign w:val="bottom"/>
          </w:tcPr>
          <w:p>
            <w:pPr>
              <w:jc w:val="center"/>
              <w:spacing w:after="0"/>
              <w:rPr>
                <w:sz w:val="20"/>
                <w:szCs w:val="20"/>
                <w:color w:val="auto"/>
              </w:rPr>
            </w:pPr>
            <w:r>
              <w:rPr>
                <w:rFonts w:ascii="Arial" w:cs="Arial" w:eastAsia="Arial" w:hAnsi="Arial"/>
                <w:sz w:val="13"/>
                <w:szCs w:val="13"/>
                <w:color w:val="auto"/>
                <w:w w:val="97"/>
              </w:rPr>
              <w:t>1.41%</w:t>
            </w:r>
          </w:p>
        </w:tc>
        <w:tc>
          <w:tcPr>
            <w:tcW w:w="14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auto"/>
                <w:w w:val="92"/>
              </w:rPr>
              <w:t>1.46%</w:t>
            </w:r>
          </w:p>
        </w:tc>
        <w:tc>
          <w:tcPr>
            <w:tcW w:w="1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97"/>
              </w:rPr>
              <w:t>1.65%</w:t>
            </w:r>
          </w:p>
        </w:tc>
        <w:tc>
          <w:tcPr>
            <w:tcW w:w="1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auto"/>
                <w:w w:val="92"/>
              </w:rPr>
              <w:t>2.41%</w:t>
            </w:r>
          </w:p>
        </w:tc>
        <w:tc>
          <w:tcPr>
            <w:tcW w:w="14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auto"/>
                <w:w w:val="92"/>
              </w:rPr>
              <w:t>2.09%</w:t>
            </w: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-32</w:t>
            </w:r>
          </w:p>
        </w:tc>
        <w:tc>
          <w:tcPr>
            <w:tcW w:w="800" w:type="dxa"/>
            <w:vAlign w:val="bottom"/>
            <w:gridSpan w:val="2"/>
          </w:tcPr>
          <w:p>
            <w:pPr>
              <w:ind w:left="80"/>
              <w:spacing w:after="0"/>
              <w:rPr>
                <w:sz w:val="20"/>
                <w:szCs w:val="20"/>
                <w:color w:val="auto"/>
              </w:rPr>
            </w:pPr>
            <w:r>
              <w:rPr>
                <w:rFonts w:ascii="Arial" w:cs="Arial" w:eastAsia="Arial" w:hAnsi="Arial"/>
                <w:sz w:val="13"/>
                <w:szCs w:val="13"/>
                <w:color w:val="auto"/>
              </w:rPr>
              <w:t>bps</w:t>
            </w:r>
          </w:p>
        </w:tc>
        <w:tc>
          <w:tcPr>
            <w:tcW w:w="520" w:type="dxa"/>
            <w:vAlign w:val="bottom"/>
          </w:tcPr>
          <w:p>
            <w:pPr>
              <w:jc w:val="right"/>
              <w:spacing w:after="0"/>
              <w:rPr>
                <w:sz w:val="20"/>
                <w:szCs w:val="20"/>
                <w:color w:val="auto"/>
              </w:rPr>
            </w:pPr>
            <w:r>
              <w:rPr>
                <w:rFonts w:ascii="Arial" w:cs="Arial" w:eastAsia="Arial" w:hAnsi="Arial"/>
                <w:sz w:val="13"/>
                <w:szCs w:val="13"/>
                <w:color w:val="auto"/>
              </w:rPr>
              <w:t>+44</w:t>
            </w:r>
          </w:p>
        </w:tc>
        <w:tc>
          <w:tcPr>
            <w:tcW w:w="640" w:type="dxa"/>
            <w:vAlign w:val="bottom"/>
          </w:tcPr>
          <w:p>
            <w:pPr>
              <w:ind w:left="80"/>
              <w:spacing w:after="0"/>
              <w:rPr>
                <w:sz w:val="20"/>
                <w:szCs w:val="20"/>
                <w:color w:val="auto"/>
              </w:rPr>
            </w:pPr>
            <w:r>
              <w:rPr>
                <w:rFonts w:ascii="Arial" w:cs="Arial" w:eastAsia="Arial" w:hAnsi="Arial"/>
                <w:sz w:val="13"/>
                <w:szCs w:val="13"/>
                <w:color w:val="auto"/>
              </w:rPr>
              <w:t>bps</w:t>
            </w:r>
          </w:p>
        </w:tc>
        <w:tc>
          <w:tcPr>
            <w:tcW w:w="0" w:type="dxa"/>
            <w:vAlign w:val="bottom"/>
          </w:tcPr>
          <w:p>
            <w:pPr>
              <w:spacing w:after="0"/>
              <w:rPr>
                <w:sz w:val="1"/>
                <w:szCs w:val="1"/>
                <w:color w:val="auto"/>
              </w:rPr>
            </w:pPr>
          </w:p>
        </w:tc>
      </w:tr>
      <w:tr>
        <w:trPr>
          <w:trHeight w:val="178"/>
        </w:trPr>
        <w:tc>
          <w:tcPr>
            <w:tcW w:w="414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30-Year Fixed Rate Agency Price:</w:t>
            </w: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3980" w:type="dxa"/>
            <w:vAlign w:val="bottom"/>
          </w:tcPr>
          <w:p>
            <w:pPr>
              <w:ind w:left="160"/>
              <w:spacing w:after="0"/>
              <w:rPr>
                <w:sz w:val="20"/>
                <w:szCs w:val="20"/>
                <w:color w:val="auto"/>
              </w:rPr>
            </w:pPr>
            <w:r>
              <w:rPr>
                <w:rFonts w:ascii="Arial" w:cs="Arial" w:eastAsia="Arial" w:hAnsi="Arial"/>
                <w:sz w:val="13"/>
                <w:szCs w:val="13"/>
                <w:color w:val="auto"/>
              </w:rPr>
              <w:t>2.0%</w:t>
            </w:r>
          </w:p>
        </w:tc>
        <w:tc>
          <w:tcPr>
            <w:tcW w:w="1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93"/>
              </w:rPr>
              <w:t>$102.33</w:t>
            </w:r>
          </w:p>
        </w:tc>
        <w:tc>
          <w:tcPr>
            <w:tcW w:w="14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auto"/>
                <w:w w:val="93"/>
              </w:rPr>
              <w:t>$103.39</w:t>
            </w:r>
          </w:p>
        </w:tc>
        <w:tc>
          <w:tcPr>
            <w:tcW w:w="1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93"/>
              </w:rPr>
              <w:t>$103.88</w:t>
            </w:r>
          </w:p>
        </w:tc>
        <w:tc>
          <w:tcPr>
            <w:tcW w:w="1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auto"/>
                <w:w w:val="90"/>
              </w:rPr>
              <w:t>$99.70</w:t>
            </w:r>
          </w:p>
        </w:tc>
        <w:tc>
          <w:tcPr>
            <w:tcW w:w="14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auto"/>
                <w:w w:val="89"/>
              </w:rPr>
              <w:t>$101.09</w:t>
            </w:r>
          </w:p>
        </w:tc>
        <w:tc>
          <w:tcPr>
            <w:tcW w:w="140" w:type="dxa"/>
            <w:vAlign w:val="bottom"/>
          </w:tcPr>
          <w:p>
            <w:pPr>
              <w:spacing w:after="0"/>
              <w:rPr>
                <w:sz w:val="14"/>
                <w:szCs w:val="14"/>
                <w:color w:val="auto"/>
              </w:rPr>
            </w:pPr>
          </w:p>
        </w:tc>
        <w:tc>
          <w:tcPr>
            <w:tcW w:w="1180" w:type="dxa"/>
            <w:vAlign w:val="bottom"/>
            <w:gridSpan w:val="2"/>
          </w:tcPr>
          <w:p>
            <w:pPr>
              <w:jc w:val="center"/>
              <w:spacing w:after="0"/>
              <w:rPr>
                <w:sz w:val="20"/>
                <w:szCs w:val="20"/>
                <w:color w:val="auto"/>
              </w:rPr>
            </w:pPr>
            <w:r>
              <w:rPr>
                <w:rFonts w:ascii="Arial" w:cs="Arial" w:eastAsia="Arial" w:hAnsi="Arial"/>
                <w:sz w:val="13"/>
                <w:szCs w:val="13"/>
                <w:color w:val="auto"/>
                <w:w w:val="94"/>
              </w:rPr>
              <w:t>+$1.39</w:t>
            </w:r>
          </w:p>
        </w:tc>
        <w:tc>
          <w:tcPr>
            <w:tcW w:w="160" w:type="dxa"/>
            <w:vAlign w:val="bottom"/>
          </w:tcPr>
          <w:p>
            <w:pPr>
              <w:spacing w:after="0"/>
              <w:rPr>
                <w:sz w:val="14"/>
                <w:szCs w:val="14"/>
                <w:color w:val="auto"/>
              </w:rPr>
            </w:pPr>
          </w:p>
        </w:tc>
        <w:tc>
          <w:tcPr>
            <w:tcW w:w="1160" w:type="dxa"/>
            <w:vAlign w:val="bottom"/>
            <w:gridSpan w:val="2"/>
          </w:tcPr>
          <w:p>
            <w:pPr>
              <w:jc w:val="center"/>
              <w:spacing w:after="0"/>
              <w:rPr>
                <w:sz w:val="20"/>
                <w:szCs w:val="20"/>
                <w:color w:val="auto"/>
              </w:rPr>
            </w:pPr>
            <w:r>
              <w:rPr>
                <w:rFonts w:ascii="Arial" w:cs="Arial" w:eastAsia="Arial" w:hAnsi="Arial"/>
                <w:sz w:val="13"/>
                <w:szCs w:val="13"/>
                <w:color w:val="auto"/>
                <w:w w:val="97"/>
              </w:rPr>
              <w:t>-$2.79</w:t>
            </w:r>
          </w:p>
        </w:tc>
        <w:tc>
          <w:tcPr>
            <w:tcW w:w="0" w:type="dxa"/>
            <w:vAlign w:val="bottom"/>
          </w:tcPr>
          <w:p>
            <w:pPr>
              <w:spacing w:after="0"/>
              <w:rPr>
                <w:sz w:val="1"/>
                <w:szCs w:val="1"/>
                <w:color w:val="auto"/>
              </w:rPr>
            </w:pPr>
          </w:p>
        </w:tc>
      </w:tr>
      <w:tr>
        <w:trPr>
          <w:trHeight w:val="178"/>
        </w:trPr>
        <w:tc>
          <w:tcPr>
            <w:tcW w:w="3980" w:type="dxa"/>
            <w:vAlign w:val="bottom"/>
            <w:shd w:val="clear" w:color="auto" w:fill="CCEEFF"/>
          </w:tcPr>
          <w:p>
            <w:pPr>
              <w:ind w:left="160"/>
              <w:spacing w:after="0"/>
              <w:rPr>
                <w:sz w:val="20"/>
                <w:szCs w:val="20"/>
                <w:color w:val="auto"/>
              </w:rPr>
            </w:pPr>
            <w:r>
              <w:rPr>
                <w:rFonts w:ascii="Arial" w:cs="Arial" w:eastAsia="Arial" w:hAnsi="Arial"/>
                <w:sz w:val="13"/>
                <w:szCs w:val="13"/>
                <w:color w:val="auto"/>
              </w:rPr>
              <w:t>2.5%</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$104.26</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$104.90</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$105.41</w:t>
            </w: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$102.55</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$103.48</w:t>
            </w:r>
          </w:p>
        </w:tc>
        <w:tc>
          <w:tcPr>
            <w:tcW w:w="1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94"/>
              </w:rPr>
              <w:t>+$0.93</w:t>
            </w:r>
          </w:p>
        </w:tc>
        <w:tc>
          <w:tcPr>
            <w:tcW w:w="16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97"/>
              </w:rPr>
              <w:t>-$1.93</w:t>
            </w:r>
          </w:p>
        </w:tc>
        <w:tc>
          <w:tcPr>
            <w:tcW w:w="0" w:type="dxa"/>
            <w:vAlign w:val="bottom"/>
          </w:tcPr>
          <w:p>
            <w:pPr>
              <w:spacing w:after="0"/>
              <w:rPr>
                <w:sz w:val="1"/>
                <w:szCs w:val="1"/>
                <w:color w:val="auto"/>
              </w:rPr>
            </w:pPr>
          </w:p>
        </w:tc>
      </w:tr>
      <w:tr>
        <w:trPr>
          <w:trHeight w:val="172"/>
        </w:trPr>
        <w:tc>
          <w:tcPr>
            <w:tcW w:w="3980" w:type="dxa"/>
            <w:vAlign w:val="bottom"/>
          </w:tcPr>
          <w:p>
            <w:pPr>
              <w:ind w:left="160"/>
              <w:spacing w:after="0"/>
              <w:rPr>
                <w:sz w:val="20"/>
                <w:szCs w:val="20"/>
                <w:color w:val="auto"/>
              </w:rPr>
            </w:pPr>
            <w:r>
              <w:rPr>
                <w:rFonts w:ascii="Arial" w:cs="Arial" w:eastAsia="Arial" w:hAnsi="Arial"/>
                <w:sz w:val="13"/>
                <w:szCs w:val="13"/>
                <w:color w:val="auto"/>
              </w:rPr>
              <w:t>3.0%</w:t>
            </w:r>
          </w:p>
        </w:tc>
        <w:tc>
          <w:tcPr>
            <w:tcW w:w="1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93"/>
              </w:rPr>
              <w:t>$105.33</w:t>
            </w:r>
          </w:p>
        </w:tc>
        <w:tc>
          <w:tcPr>
            <w:tcW w:w="14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auto"/>
                <w:w w:val="93"/>
              </w:rPr>
              <w:t>$104.75</w:t>
            </w:r>
          </w:p>
        </w:tc>
        <w:tc>
          <w:tcPr>
            <w:tcW w:w="1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93"/>
              </w:rPr>
              <w:t>$104.77</w:t>
            </w:r>
          </w:p>
        </w:tc>
        <w:tc>
          <w:tcPr>
            <w:tcW w:w="1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auto"/>
                <w:w w:val="93"/>
              </w:rPr>
              <w:t>$104.13</w:t>
            </w:r>
          </w:p>
        </w:tc>
        <w:tc>
          <w:tcPr>
            <w:tcW w:w="14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auto"/>
                <w:w w:val="89"/>
              </w:rPr>
              <w:t>$104.27</w:t>
            </w:r>
          </w:p>
        </w:tc>
        <w:tc>
          <w:tcPr>
            <w:tcW w:w="140" w:type="dxa"/>
            <w:vAlign w:val="bottom"/>
          </w:tcPr>
          <w:p>
            <w:pPr>
              <w:spacing w:after="0"/>
              <w:rPr>
                <w:sz w:val="14"/>
                <w:szCs w:val="14"/>
                <w:color w:val="auto"/>
              </w:rPr>
            </w:pPr>
          </w:p>
        </w:tc>
        <w:tc>
          <w:tcPr>
            <w:tcW w:w="1180" w:type="dxa"/>
            <w:vAlign w:val="bottom"/>
            <w:gridSpan w:val="2"/>
          </w:tcPr>
          <w:p>
            <w:pPr>
              <w:jc w:val="center"/>
              <w:spacing w:after="0"/>
              <w:rPr>
                <w:sz w:val="20"/>
                <w:szCs w:val="20"/>
                <w:color w:val="auto"/>
              </w:rPr>
            </w:pPr>
            <w:r>
              <w:rPr>
                <w:rFonts w:ascii="Arial" w:cs="Arial" w:eastAsia="Arial" w:hAnsi="Arial"/>
                <w:sz w:val="13"/>
                <w:szCs w:val="13"/>
                <w:color w:val="auto"/>
                <w:w w:val="94"/>
              </w:rPr>
              <w:t>+$0.14</w:t>
            </w:r>
          </w:p>
        </w:tc>
        <w:tc>
          <w:tcPr>
            <w:tcW w:w="160" w:type="dxa"/>
            <w:vAlign w:val="bottom"/>
          </w:tcPr>
          <w:p>
            <w:pPr>
              <w:spacing w:after="0"/>
              <w:rPr>
                <w:sz w:val="14"/>
                <w:szCs w:val="14"/>
                <w:color w:val="auto"/>
              </w:rPr>
            </w:pPr>
          </w:p>
        </w:tc>
        <w:tc>
          <w:tcPr>
            <w:tcW w:w="1160" w:type="dxa"/>
            <w:vAlign w:val="bottom"/>
            <w:gridSpan w:val="2"/>
          </w:tcPr>
          <w:p>
            <w:pPr>
              <w:jc w:val="center"/>
              <w:spacing w:after="0"/>
              <w:rPr>
                <w:sz w:val="20"/>
                <w:szCs w:val="20"/>
                <w:color w:val="auto"/>
              </w:rPr>
            </w:pPr>
            <w:r>
              <w:rPr>
                <w:rFonts w:ascii="Arial" w:cs="Arial" w:eastAsia="Arial" w:hAnsi="Arial"/>
                <w:sz w:val="13"/>
                <w:szCs w:val="13"/>
                <w:color w:val="auto"/>
                <w:w w:val="97"/>
              </w:rPr>
              <w:t>-$0.50</w:t>
            </w:r>
          </w:p>
        </w:tc>
        <w:tc>
          <w:tcPr>
            <w:tcW w:w="0" w:type="dxa"/>
            <w:vAlign w:val="bottom"/>
          </w:tcPr>
          <w:p>
            <w:pPr>
              <w:spacing w:after="0"/>
              <w:rPr>
                <w:sz w:val="1"/>
                <w:szCs w:val="1"/>
                <w:color w:val="auto"/>
              </w:rPr>
            </w:pPr>
          </w:p>
        </w:tc>
      </w:tr>
      <w:tr>
        <w:trPr>
          <w:trHeight w:val="178"/>
        </w:trPr>
        <w:tc>
          <w:tcPr>
            <w:tcW w:w="3980" w:type="dxa"/>
            <w:vAlign w:val="bottom"/>
            <w:shd w:val="clear" w:color="auto" w:fill="CCEEFF"/>
          </w:tcPr>
          <w:p>
            <w:pPr>
              <w:ind w:left="160"/>
              <w:spacing w:after="0"/>
              <w:rPr>
                <w:sz w:val="20"/>
                <w:szCs w:val="20"/>
                <w:color w:val="auto"/>
              </w:rPr>
            </w:pPr>
            <w:r>
              <w:rPr>
                <w:rFonts w:ascii="Arial" w:cs="Arial" w:eastAsia="Arial" w:hAnsi="Arial"/>
                <w:sz w:val="13"/>
                <w:szCs w:val="13"/>
                <w:color w:val="auto"/>
              </w:rPr>
              <w:t>3.5%</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$105.18</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$105.40</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$105.66</w:t>
            </w: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$105.63</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$105.28</w:t>
            </w:r>
          </w:p>
        </w:tc>
        <w:tc>
          <w:tcPr>
            <w:tcW w:w="1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92"/>
              </w:rPr>
              <w:t>-$0.35</w:t>
            </w:r>
          </w:p>
        </w:tc>
        <w:tc>
          <w:tcPr>
            <w:tcW w:w="16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97"/>
              </w:rPr>
              <w:t>-$0.38</w:t>
            </w:r>
          </w:p>
        </w:tc>
        <w:tc>
          <w:tcPr>
            <w:tcW w:w="0" w:type="dxa"/>
            <w:vAlign w:val="bottom"/>
          </w:tcPr>
          <w:p>
            <w:pPr>
              <w:spacing w:after="0"/>
              <w:rPr>
                <w:sz w:val="1"/>
                <w:szCs w:val="1"/>
                <w:color w:val="auto"/>
              </w:rPr>
            </w:pPr>
          </w:p>
        </w:tc>
      </w:tr>
      <w:tr>
        <w:trPr>
          <w:trHeight w:val="172"/>
        </w:trPr>
        <w:tc>
          <w:tcPr>
            <w:tcW w:w="3980" w:type="dxa"/>
            <w:vAlign w:val="bottom"/>
          </w:tcPr>
          <w:p>
            <w:pPr>
              <w:ind w:left="160"/>
              <w:spacing w:after="0"/>
              <w:rPr>
                <w:sz w:val="20"/>
                <w:szCs w:val="20"/>
                <w:color w:val="auto"/>
              </w:rPr>
            </w:pPr>
            <w:r>
              <w:rPr>
                <w:rFonts w:ascii="Arial" w:cs="Arial" w:eastAsia="Arial" w:hAnsi="Arial"/>
                <w:sz w:val="13"/>
                <w:szCs w:val="13"/>
                <w:color w:val="auto"/>
              </w:rPr>
              <w:t>4.0%</w:t>
            </w:r>
          </w:p>
        </w:tc>
        <w:tc>
          <w:tcPr>
            <w:tcW w:w="1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93"/>
              </w:rPr>
              <w:t>$105.98</w:t>
            </w:r>
          </w:p>
        </w:tc>
        <w:tc>
          <w:tcPr>
            <w:tcW w:w="14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auto"/>
                <w:w w:val="93"/>
              </w:rPr>
              <w:t>$106.64</w:t>
            </w:r>
          </w:p>
        </w:tc>
        <w:tc>
          <w:tcPr>
            <w:tcW w:w="1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93"/>
              </w:rPr>
              <w:t>$106.78</w:t>
            </w:r>
          </w:p>
        </w:tc>
        <w:tc>
          <w:tcPr>
            <w:tcW w:w="1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auto"/>
                <w:w w:val="93"/>
              </w:rPr>
              <w:t>$107.31</w:t>
            </w:r>
          </w:p>
        </w:tc>
        <w:tc>
          <w:tcPr>
            <w:tcW w:w="14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auto"/>
                <w:w w:val="89"/>
              </w:rPr>
              <w:t>$106.53</w:t>
            </w:r>
          </w:p>
        </w:tc>
        <w:tc>
          <w:tcPr>
            <w:tcW w:w="140" w:type="dxa"/>
            <w:vAlign w:val="bottom"/>
          </w:tcPr>
          <w:p>
            <w:pPr>
              <w:spacing w:after="0"/>
              <w:rPr>
                <w:sz w:val="14"/>
                <w:szCs w:val="14"/>
                <w:color w:val="auto"/>
              </w:rPr>
            </w:pPr>
          </w:p>
        </w:tc>
        <w:tc>
          <w:tcPr>
            <w:tcW w:w="1180" w:type="dxa"/>
            <w:vAlign w:val="bottom"/>
            <w:gridSpan w:val="2"/>
          </w:tcPr>
          <w:p>
            <w:pPr>
              <w:jc w:val="center"/>
              <w:spacing w:after="0"/>
              <w:rPr>
                <w:sz w:val="20"/>
                <w:szCs w:val="20"/>
                <w:color w:val="auto"/>
              </w:rPr>
            </w:pPr>
            <w:r>
              <w:rPr>
                <w:rFonts w:ascii="Arial" w:cs="Arial" w:eastAsia="Arial" w:hAnsi="Arial"/>
                <w:sz w:val="13"/>
                <w:szCs w:val="13"/>
                <w:color w:val="auto"/>
                <w:w w:val="92"/>
              </w:rPr>
              <w:t>-$0.78</w:t>
            </w:r>
          </w:p>
        </w:tc>
        <w:tc>
          <w:tcPr>
            <w:tcW w:w="160" w:type="dxa"/>
            <w:vAlign w:val="bottom"/>
          </w:tcPr>
          <w:p>
            <w:pPr>
              <w:spacing w:after="0"/>
              <w:rPr>
                <w:sz w:val="14"/>
                <w:szCs w:val="14"/>
                <w:color w:val="auto"/>
              </w:rPr>
            </w:pPr>
          </w:p>
        </w:tc>
        <w:tc>
          <w:tcPr>
            <w:tcW w:w="1160" w:type="dxa"/>
            <w:vAlign w:val="bottom"/>
            <w:gridSpan w:val="2"/>
          </w:tcPr>
          <w:p>
            <w:pPr>
              <w:jc w:val="center"/>
              <w:spacing w:after="0"/>
              <w:rPr>
                <w:sz w:val="20"/>
                <w:szCs w:val="20"/>
                <w:color w:val="auto"/>
              </w:rPr>
            </w:pPr>
            <w:r>
              <w:rPr>
                <w:rFonts w:ascii="Arial" w:cs="Arial" w:eastAsia="Arial" w:hAnsi="Arial"/>
                <w:sz w:val="13"/>
                <w:szCs w:val="13"/>
                <w:color w:val="auto"/>
                <w:w w:val="97"/>
              </w:rPr>
              <w:t>-$0.25</w:t>
            </w:r>
          </w:p>
        </w:tc>
        <w:tc>
          <w:tcPr>
            <w:tcW w:w="0" w:type="dxa"/>
            <w:vAlign w:val="bottom"/>
          </w:tcPr>
          <w:p>
            <w:pPr>
              <w:spacing w:after="0"/>
              <w:rPr>
                <w:sz w:val="1"/>
                <w:szCs w:val="1"/>
                <w:color w:val="auto"/>
              </w:rPr>
            </w:pPr>
          </w:p>
        </w:tc>
      </w:tr>
      <w:tr>
        <w:trPr>
          <w:trHeight w:val="178"/>
        </w:trPr>
        <w:tc>
          <w:tcPr>
            <w:tcW w:w="3980" w:type="dxa"/>
            <w:vAlign w:val="bottom"/>
            <w:shd w:val="clear" w:color="auto" w:fill="CCEEFF"/>
          </w:tcPr>
          <w:p>
            <w:pPr>
              <w:ind w:left="160"/>
              <w:spacing w:after="0"/>
              <w:rPr>
                <w:sz w:val="20"/>
                <w:szCs w:val="20"/>
                <w:color w:val="auto"/>
              </w:rPr>
            </w:pPr>
            <w:r>
              <w:rPr>
                <w:rFonts w:ascii="Arial" w:cs="Arial" w:eastAsia="Arial" w:hAnsi="Arial"/>
                <w:sz w:val="13"/>
                <w:szCs w:val="13"/>
                <w:color w:val="auto"/>
              </w:rPr>
              <w:t>4.5%</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$107.46</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$108.16</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$108.39</w:t>
            </w: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$108.91</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$107.66</w:t>
            </w:r>
          </w:p>
        </w:tc>
        <w:tc>
          <w:tcPr>
            <w:tcW w:w="1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92"/>
              </w:rPr>
              <w:t>-$1.25</w:t>
            </w:r>
          </w:p>
        </w:tc>
        <w:tc>
          <w:tcPr>
            <w:tcW w:w="16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97"/>
              </w:rPr>
              <w:t>-$0.73</w:t>
            </w:r>
          </w:p>
        </w:tc>
        <w:tc>
          <w:tcPr>
            <w:tcW w:w="0" w:type="dxa"/>
            <w:vAlign w:val="bottom"/>
          </w:tcPr>
          <w:p>
            <w:pPr>
              <w:spacing w:after="0"/>
              <w:rPr>
                <w:sz w:val="1"/>
                <w:szCs w:val="1"/>
                <w:color w:val="auto"/>
              </w:rPr>
            </w:pPr>
          </w:p>
        </w:tc>
      </w:tr>
      <w:tr>
        <w:trPr>
          <w:trHeight w:val="174"/>
        </w:trPr>
        <w:tc>
          <w:tcPr>
            <w:tcW w:w="4140" w:type="dxa"/>
            <w:vAlign w:val="bottom"/>
            <w:gridSpan w:val="2"/>
          </w:tcPr>
          <w:p>
            <w:pPr>
              <w:ind w:left="20"/>
              <w:spacing w:after="0"/>
              <w:rPr>
                <w:sz w:val="20"/>
                <w:szCs w:val="20"/>
                <w:color w:val="auto"/>
              </w:rPr>
            </w:pPr>
            <w:r>
              <w:rPr>
                <w:rFonts w:ascii="Arial" w:cs="Arial" w:eastAsia="Arial" w:hAnsi="Arial"/>
                <w:sz w:val="13"/>
                <w:szCs w:val="13"/>
                <w:b w:val="1"/>
                <w:bCs w:val="1"/>
                <w:color w:val="auto"/>
              </w:rPr>
              <w:t>15-Year Fixed Rate Agency Price:</w:t>
            </w: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980" w:type="dxa"/>
            <w:vAlign w:val="bottom"/>
            <w:shd w:val="clear" w:color="auto" w:fill="CCEEFF"/>
          </w:tcPr>
          <w:p>
            <w:pPr>
              <w:ind w:left="160"/>
              <w:spacing w:after="0"/>
              <w:rPr>
                <w:sz w:val="20"/>
                <w:szCs w:val="20"/>
                <w:color w:val="auto"/>
              </w:rPr>
            </w:pPr>
            <w:r>
              <w:rPr>
                <w:rFonts w:ascii="Arial" w:cs="Arial" w:eastAsia="Arial" w:hAnsi="Arial"/>
                <w:sz w:val="13"/>
                <w:szCs w:val="13"/>
                <w:color w:val="auto"/>
              </w:rPr>
              <w:t>1.5%</w:t>
            </w:r>
          </w:p>
        </w:tc>
        <w:tc>
          <w:tcPr>
            <w:tcW w:w="1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rPr>
              <w:t>N/A</w:t>
            </w: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$102.31</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$102.89</w:t>
            </w: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$100.40</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$101.23</w:t>
            </w:r>
          </w:p>
        </w:tc>
        <w:tc>
          <w:tcPr>
            <w:tcW w:w="1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94"/>
              </w:rPr>
              <w:t>+$0.83</w:t>
            </w:r>
          </w:p>
        </w:tc>
        <w:tc>
          <w:tcPr>
            <w:tcW w:w="16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97"/>
              </w:rPr>
              <w:t>-$1.66</w:t>
            </w:r>
          </w:p>
        </w:tc>
        <w:tc>
          <w:tcPr>
            <w:tcW w:w="0" w:type="dxa"/>
            <w:vAlign w:val="bottom"/>
          </w:tcPr>
          <w:p>
            <w:pPr>
              <w:spacing w:after="0"/>
              <w:rPr>
                <w:sz w:val="1"/>
                <w:szCs w:val="1"/>
                <w:color w:val="auto"/>
              </w:rPr>
            </w:pPr>
          </w:p>
        </w:tc>
      </w:tr>
      <w:tr>
        <w:trPr>
          <w:trHeight w:val="172"/>
        </w:trPr>
        <w:tc>
          <w:tcPr>
            <w:tcW w:w="3980" w:type="dxa"/>
            <w:vAlign w:val="bottom"/>
          </w:tcPr>
          <w:p>
            <w:pPr>
              <w:ind w:left="160"/>
              <w:spacing w:after="0"/>
              <w:rPr>
                <w:sz w:val="20"/>
                <w:szCs w:val="20"/>
                <w:color w:val="auto"/>
              </w:rPr>
            </w:pPr>
            <w:r>
              <w:rPr>
                <w:rFonts w:ascii="Arial" w:cs="Arial" w:eastAsia="Arial" w:hAnsi="Arial"/>
                <w:sz w:val="13"/>
                <w:szCs w:val="13"/>
                <w:color w:val="auto"/>
              </w:rPr>
              <w:t>2.0%</w:t>
            </w:r>
          </w:p>
        </w:tc>
        <w:tc>
          <w:tcPr>
            <w:tcW w:w="1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93"/>
              </w:rPr>
              <w:t>$103.46</w:t>
            </w:r>
          </w:p>
        </w:tc>
        <w:tc>
          <w:tcPr>
            <w:tcW w:w="14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auto"/>
                <w:w w:val="93"/>
              </w:rPr>
              <w:t>$103.95</w:t>
            </w:r>
          </w:p>
        </w:tc>
        <w:tc>
          <w:tcPr>
            <w:tcW w:w="1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93"/>
              </w:rPr>
              <w:t>$104.55</w:t>
            </w:r>
          </w:p>
        </w:tc>
        <w:tc>
          <w:tcPr>
            <w:tcW w:w="1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auto"/>
                <w:w w:val="93"/>
              </w:rPr>
              <w:t>$102.61</w:t>
            </w:r>
          </w:p>
        </w:tc>
        <w:tc>
          <w:tcPr>
            <w:tcW w:w="14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auto"/>
                <w:w w:val="89"/>
              </w:rPr>
              <w:t>$103.19</w:t>
            </w:r>
          </w:p>
        </w:tc>
        <w:tc>
          <w:tcPr>
            <w:tcW w:w="140" w:type="dxa"/>
            <w:vAlign w:val="bottom"/>
          </w:tcPr>
          <w:p>
            <w:pPr>
              <w:spacing w:after="0"/>
              <w:rPr>
                <w:sz w:val="14"/>
                <w:szCs w:val="14"/>
                <w:color w:val="auto"/>
              </w:rPr>
            </w:pPr>
          </w:p>
        </w:tc>
        <w:tc>
          <w:tcPr>
            <w:tcW w:w="1180" w:type="dxa"/>
            <w:vAlign w:val="bottom"/>
            <w:gridSpan w:val="2"/>
          </w:tcPr>
          <w:p>
            <w:pPr>
              <w:jc w:val="center"/>
              <w:spacing w:after="0"/>
              <w:rPr>
                <w:sz w:val="20"/>
                <w:szCs w:val="20"/>
                <w:color w:val="auto"/>
              </w:rPr>
            </w:pPr>
            <w:r>
              <w:rPr>
                <w:rFonts w:ascii="Arial" w:cs="Arial" w:eastAsia="Arial" w:hAnsi="Arial"/>
                <w:sz w:val="13"/>
                <w:szCs w:val="13"/>
                <w:color w:val="auto"/>
                <w:w w:val="94"/>
              </w:rPr>
              <w:t>+$0.58</w:t>
            </w:r>
          </w:p>
        </w:tc>
        <w:tc>
          <w:tcPr>
            <w:tcW w:w="160" w:type="dxa"/>
            <w:vAlign w:val="bottom"/>
          </w:tcPr>
          <w:p>
            <w:pPr>
              <w:spacing w:after="0"/>
              <w:rPr>
                <w:sz w:val="14"/>
                <w:szCs w:val="14"/>
                <w:color w:val="auto"/>
              </w:rPr>
            </w:pPr>
          </w:p>
        </w:tc>
        <w:tc>
          <w:tcPr>
            <w:tcW w:w="1160" w:type="dxa"/>
            <w:vAlign w:val="bottom"/>
            <w:gridSpan w:val="2"/>
          </w:tcPr>
          <w:p>
            <w:pPr>
              <w:jc w:val="center"/>
              <w:spacing w:after="0"/>
              <w:rPr>
                <w:sz w:val="20"/>
                <w:szCs w:val="20"/>
                <w:color w:val="auto"/>
              </w:rPr>
            </w:pPr>
            <w:r>
              <w:rPr>
                <w:rFonts w:ascii="Arial" w:cs="Arial" w:eastAsia="Arial" w:hAnsi="Arial"/>
                <w:sz w:val="13"/>
                <w:szCs w:val="13"/>
                <w:color w:val="auto"/>
                <w:w w:val="97"/>
              </w:rPr>
              <w:t>-$1.36</w:t>
            </w:r>
          </w:p>
        </w:tc>
        <w:tc>
          <w:tcPr>
            <w:tcW w:w="0" w:type="dxa"/>
            <w:vAlign w:val="bottom"/>
          </w:tcPr>
          <w:p>
            <w:pPr>
              <w:spacing w:after="0"/>
              <w:rPr>
                <w:sz w:val="1"/>
                <w:szCs w:val="1"/>
                <w:color w:val="auto"/>
              </w:rPr>
            </w:pPr>
          </w:p>
        </w:tc>
      </w:tr>
      <w:tr>
        <w:trPr>
          <w:trHeight w:val="178"/>
        </w:trPr>
        <w:tc>
          <w:tcPr>
            <w:tcW w:w="3980" w:type="dxa"/>
            <w:vAlign w:val="bottom"/>
            <w:shd w:val="clear" w:color="auto" w:fill="CCEEFF"/>
          </w:tcPr>
          <w:p>
            <w:pPr>
              <w:ind w:left="160"/>
              <w:spacing w:after="0"/>
              <w:rPr>
                <w:sz w:val="20"/>
                <w:szCs w:val="20"/>
                <w:color w:val="auto"/>
              </w:rPr>
            </w:pPr>
            <w:r>
              <w:rPr>
                <w:rFonts w:ascii="Arial" w:cs="Arial" w:eastAsia="Arial" w:hAnsi="Arial"/>
                <w:sz w:val="13"/>
                <w:szCs w:val="13"/>
                <w:color w:val="auto"/>
              </w:rPr>
              <w:t>2.5%</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$104.70</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$104.44</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$104.30</w:t>
            </w: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$104.06</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$104.29</w:t>
            </w:r>
          </w:p>
        </w:tc>
        <w:tc>
          <w:tcPr>
            <w:tcW w:w="1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94"/>
              </w:rPr>
              <w:t>+$0.23</w:t>
            </w:r>
          </w:p>
        </w:tc>
        <w:tc>
          <w:tcPr>
            <w:tcW w:w="16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97"/>
              </w:rPr>
              <w:t>-$0.01</w:t>
            </w:r>
          </w:p>
        </w:tc>
        <w:tc>
          <w:tcPr>
            <w:tcW w:w="0" w:type="dxa"/>
            <w:vAlign w:val="bottom"/>
          </w:tcPr>
          <w:p>
            <w:pPr>
              <w:spacing w:after="0"/>
              <w:rPr>
                <w:sz w:val="1"/>
                <w:szCs w:val="1"/>
                <w:color w:val="auto"/>
              </w:rPr>
            </w:pPr>
          </w:p>
        </w:tc>
      </w:tr>
      <w:tr>
        <w:trPr>
          <w:trHeight w:val="172"/>
        </w:trPr>
        <w:tc>
          <w:tcPr>
            <w:tcW w:w="3980" w:type="dxa"/>
            <w:vAlign w:val="bottom"/>
          </w:tcPr>
          <w:p>
            <w:pPr>
              <w:ind w:left="160"/>
              <w:spacing w:after="0"/>
              <w:rPr>
                <w:sz w:val="20"/>
                <w:szCs w:val="20"/>
                <w:color w:val="auto"/>
              </w:rPr>
            </w:pPr>
            <w:r>
              <w:rPr>
                <w:rFonts w:ascii="Arial" w:cs="Arial" w:eastAsia="Arial" w:hAnsi="Arial"/>
                <w:sz w:val="13"/>
                <w:szCs w:val="13"/>
                <w:color w:val="auto"/>
              </w:rPr>
              <w:t>3.0%</w:t>
            </w:r>
          </w:p>
        </w:tc>
        <w:tc>
          <w:tcPr>
            <w:tcW w:w="1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93"/>
              </w:rPr>
              <w:t>$105.09</w:t>
            </w:r>
          </w:p>
        </w:tc>
        <w:tc>
          <w:tcPr>
            <w:tcW w:w="14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auto"/>
                <w:w w:val="93"/>
              </w:rPr>
              <w:t>$104.94</w:t>
            </w:r>
          </w:p>
        </w:tc>
        <w:tc>
          <w:tcPr>
            <w:tcW w:w="1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93"/>
              </w:rPr>
              <w:t>$104.97</w:t>
            </w:r>
          </w:p>
        </w:tc>
        <w:tc>
          <w:tcPr>
            <w:tcW w:w="1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auto"/>
                <w:w w:val="93"/>
              </w:rPr>
              <w:t>$105.59</w:t>
            </w:r>
          </w:p>
        </w:tc>
        <w:tc>
          <w:tcPr>
            <w:tcW w:w="14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auto"/>
                <w:w w:val="89"/>
              </w:rPr>
              <w:t>$105.05</w:t>
            </w:r>
          </w:p>
        </w:tc>
        <w:tc>
          <w:tcPr>
            <w:tcW w:w="140" w:type="dxa"/>
            <w:vAlign w:val="bottom"/>
          </w:tcPr>
          <w:p>
            <w:pPr>
              <w:spacing w:after="0"/>
              <w:rPr>
                <w:sz w:val="14"/>
                <w:szCs w:val="14"/>
                <w:color w:val="auto"/>
              </w:rPr>
            </w:pPr>
          </w:p>
        </w:tc>
        <w:tc>
          <w:tcPr>
            <w:tcW w:w="1180" w:type="dxa"/>
            <w:vAlign w:val="bottom"/>
            <w:gridSpan w:val="2"/>
          </w:tcPr>
          <w:p>
            <w:pPr>
              <w:jc w:val="center"/>
              <w:spacing w:after="0"/>
              <w:rPr>
                <w:sz w:val="20"/>
                <w:szCs w:val="20"/>
                <w:color w:val="auto"/>
              </w:rPr>
            </w:pPr>
            <w:r>
              <w:rPr>
                <w:rFonts w:ascii="Arial" w:cs="Arial" w:eastAsia="Arial" w:hAnsi="Arial"/>
                <w:sz w:val="13"/>
                <w:szCs w:val="13"/>
                <w:color w:val="auto"/>
                <w:w w:val="92"/>
              </w:rPr>
              <w:t>-$0.54</w:t>
            </w:r>
          </w:p>
        </w:tc>
        <w:tc>
          <w:tcPr>
            <w:tcW w:w="160" w:type="dxa"/>
            <w:vAlign w:val="bottom"/>
          </w:tcPr>
          <w:p>
            <w:pPr>
              <w:spacing w:after="0"/>
              <w:rPr>
                <w:sz w:val="14"/>
                <w:szCs w:val="14"/>
                <w:color w:val="auto"/>
              </w:rPr>
            </w:pPr>
          </w:p>
        </w:tc>
        <w:tc>
          <w:tcPr>
            <w:tcW w:w="1160" w:type="dxa"/>
            <w:vAlign w:val="bottom"/>
            <w:gridSpan w:val="2"/>
          </w:tcPr>
          <w:p>
            <w:pPr>
              <w:jc w:val="center"/>
              <w:spacing w:after="0"/>
              <w:rPr>
                <w:sz w:val="20"/>
                <w:szCs w:val="20"/>
                <w:color w:val="auto"/>
              </w:rPr>
            </w:pPr>
            <w:r>
              <w:rPr>
                <w:rFonts w:ascii="Arial" w:cs="Arial" w:eastAsia="Arial" w:hAnsi="Arial"/>
                <w:sz w:val="13"/>
                <w:szCs w:val="13"/>
                <w:color w:val="auto"/>
                <w:w w:val="89"/>
              </w:rPr>
              <w:t>+$0.08</w:t>
            </w:r>
          </w:p>
        </w:tc>
        <w:tc>
          <w:tcPr>
            <w:tcW w:w="0" w:type="dxa"/>
            <w:vAlign w:val="bottom"/>
          </w:tcPr>
          <w:p>
            <w:pPr>
              <w:spacing w:after="0"/>
              <w:rPr>
                <w:sz w:val="1"/>
                <w:szCs w:val="1"/>
                <w:color w:val="auto"/>
              </w:rPr>
            </w:pPr>
          </w:p>
        </w:tc>
      </w:tr>
      <w:tr>
        <w:trPr>
          <w:trHeight w:val="178"/>
        </w:trPr>
        <w:tc>
          <w:tcPr>
            <w:tcW w:w="3980" w:type="dxa"/>
            <w:vAlign w:val="bottom"/>
            <w:shd w:val="clear" w:color="auto" w:fill="CCEEFF"/>
          </w:tcPr>
          <w:p>
            <w:pPr>
              <w:ind w:left="160"/>
              <w:spacing w:after="0"/>
              <w:rPr>
                <w:sz w:val="20"/>
                <w:szCs w:val="20"/>
                <w:color w:val="auto"/>
              </w:rPr>
            </w:pPr>
            <w:r>
              <w:rPr>
                <w:rFonts w:ascii="Arial" w:cs="Arial" w:eastAsia="Arial" w:hAnsi="Arial"/>
                <w:sz w:val="13"/>
                <w:szCs w:val="13"/>
                <w:color w:val="auto"/>
              </w:rPr>
              <w:t>3.5%</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$105.06</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$105.81</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$106.03</w:t>
            </w: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$106.69</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$106.83</w:t>
            </w:r>
          </w:p>
        </w:tc>
        <w:tc>
          <w:tcPr>
            <w:tcW w:w="14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94"/>
              </w:rPr>
              <w:t>+$0.14</w:t>
            </w:r>
          </w:p>
        </w:tc>
        <w:tc>
          <w:tcPr>
            <w:tcW w:w="16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89"/>
              </w:rPr>
              <w:t>+$0.80</w:t>
            </w:r>
          </w:p>
        </w:tc>
        <w:tc>
          <w:tcPr>
            <w:tcW w:w="0" w:type="dxa"/>
            <w:vAlign w:val="bottom"/>
          </w:tcPr>
          <w:p>
            <w:pPr>
              <w:spacing w:after="0"/>
              <w:rPr>
                <w:sz w:val="1"/>
                <w:szCs w:val="1"/>
                <w:color w:val="auto"/>
              </w:rPr>
            </w:pPr>
          </w:p>
        </w:tc>
      </w:tr>
      <w:tr>
        <w:trPr>
          <w:trHeight w:val="169"/>
        </w:trPr>
        <w:tc>
          <w:tcPr>
            <w:tcW w:w="3980" w:type="dxa"/>
            <w:vAlign w:val="bottom"/>
          </w:tcPr>
          <w:p>
            <w:pPr>
              <w:ind w:left="160"/>
              <w:spacing w:after="0"/>
              <w:rPr>
                <w:sz w:val="20"/>
                <w:szCs w:val="20"/>
                <w:color w:val="auto"/>
              </w:rPr>
            </w:pPr>
            <w:r>
              <w:rPr>
                <w:rFonts w:ascii="Arial" w:cs="Arial" w:eastAsia="Arial" w:hAnsi="Arial"/>
                <w:sz w:val="13"/>
                <w:szCs w:val="13"/>
                <w:color w:val="auto"/>
              </w:rPr>
              <w:t>4.0%</w:t>
            </w:r>
          </w:p>
        </w:tc>
        <w:tc>
          <w:tcPr>
            <w:tcW w:w="1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93"/>
              </w:rPr>
              <w:t>$105.75</w:t>
            </w:r>
          </w:p>
        </w:tc>
        <w:tc>
          <w:tcPr>
            <w:tcW w:w="14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auto"/>
                <w:w w:val="93"/>
              </w:rPr>
              <w:t>$106.15</w:t>
            </w:r>
          </w:p>
        </w:tc>
        <w:tc>
          <w:tcPr>
            <w:tcW w:w="1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93"/>
              </w:rPr>
              <w:t>$106.28</w:t>
            </w:r>
          </w:p>
        </w:tc>
        <w:tc>
          <w:tcPr>
            <w:tcW w:w="1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auto"/>
                <w:w w:val="93"/>
              </w:rPr>
              <w:t>$106.34</w:t>
            </w:r>
          </w:p>
        </w:tc>
        <w:tc>
          <w:tcPr>
            <w:tcW w:w="14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auto"/>
                <w:w w:val="89"/>
              </w:rPr>
              <w:t>$106.19</w:t>
            </w:r>
          </w:p>
        </w:tc>
        <w:tc>
          <w:tcPr>
            <w:tcW w:w="140" w:type="dxa"/>
            <w:vAlign w:val="bottom"/>
          </w:tcPr>
          <w:p>
            <w:pPr>
              <w:spacing w:after="0"/>
              <w:rPr>
                <w:sz w:val="14"/>
                <w:szCs w:val="14"/>
                <w:color w:val="auto"/>
              </w:rPr>
            </w:pPr>
          </w:p>
        </w:tc>
        <w:tc>
          <w:tcPr>
            <w:tcW w:w="1180" w:type="dxa"/>
            <w:vAlign w:val="bottom"/>
            <w:gridSpan w:val="2"/>
          </w:tcPr>
          <w:p>
            <w:pPr>
              <w:jc w:val="center"/>
              <w:spacing w:after="0"/>
              <w:rPr>
                <w:sz w:val="20"/>
                <w:szCs w:val="20"/>
                <w:color w:val="auto"/>
              </w:rPr>
            </w:pPr>
            <w:r>
              <w:rPr>
                <w:rFonts w:ascii="Arial" w:cs="Arial" w:eastAsia="Arial" w:hAnsi="Arial"/>
                <w:sz w:val="13"/>
                <w:szCs w:val="13"/>
                <w:color w:val="auto"/>
                <w:w w:val="92"/>
              </w:rPr>
              <w:t>-$0.15</w:t>
            </w:r>
          </w:p>
        </w:tc>
        <w:tc>
          <w:tcPr>
            <w:tcW w:w="160" w:type="dxa"/>
            <w:vAlign w:val="bottom"/>
          </w:tcPr>
          <w:p>
            <w:pPr>
              <w:spacing w:after="0"/>
              <w:rPr>
                <w:sz w:val="14"/>
                <w:szCs w:val="14"/>
                <w:color w:val="auto"/>
              </w:rPr>
            </w:pPr>
          </w:p>
        </w:tc>
        <w:tc>
          <w:tcPr>
            <w:tcW w:w="1160" w:type="dxa"/>
            <w:vAlign w:val="bottom"/>
            <w:gridSpan w:val="2"/>
          </w:tcPr>
          <w:p>
            <w:pPr>
              <w:jc w:val="center"/>
              <w:spacing w:after="0"/>
              <w:rPr>
                <w:sz w:val="20"/>
                <w:szCs w:val="20"/>
                <w:color w:val="auto"/>
              </w:rPr>
            </w:pPr>
            <w:r>
              <w:rPr>
                <w:rFonts w:ascii="Arial" w:cs="Arial" w:eastAsia="Arial" w:hAnsi="Arial"/>
                <w:sz w:val="13"/>
                <w:szCs w:val="13"/>
                <w:color w:val="auto"/>
                <w:w w:val="97"/>
              </w:rPr>
              <w:t>-$0.09</w:t>
            </w:r>
          </w:p>
        </w:tc>
        <w:tc>
          <w:tcPr>
            <w:tcW w:w="0" w:type="dxa"/>
            <w:vAlign w:val="bottom"/>
          </w:tcPr>
          <w:p>
            <w:pPr>
              <w:spacing w:after="0"/>
              <w:rPr>
                <w:sz w:val="1"/>
                <w:szCs w:val="1"/>
                <w:color w:val="auto"/>
              </w:rPr>
            </w:pPr>
          </w:p>
        </w:tc>
      </w:tr>
    </w:tbl>
    <w:p>
      <w:pPr>
        <w:spacing w:after="0" w:line="147"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w:t>
      </w:r>
    </w:p>
    <w:p>
      <w:pPr>
        <w:spacing w:after="0" w:line="128" w:lineRule="exact"/>
        <w:rPr>
          <w:sz w:val="20"/>
          <w:szCs w:val="20"/>
          <w:color w:val="auto"/>
        </w:rPr>
      </w:pPr>
    </w:p>
    <w:p>
      <w:pPr>
        <w:ind w:left="600" w:hanging="300"/>
        <w:spacing w:after="0" w:line="271" w:lineRule="auto"/>
        <w:tabs>
          <w:tab w:leader="none" w:pos="600" w:val="left"/>
        </w:tabs>
        <w:numPr>
          <w:ilvl w:val="0"/>
          <w:numId w:val="18"/>
        </w:numPr>
        <w:rPr>
          <w:rFonts w:ascii="Arial" w:cs="Arial" w:eastAsia="Arial" w:hAnsi="Arial"/>
          <w:sz w:val="13"/>
          <w:szCs w:val="13"/>
          <w:color w:val="auto"/>
        </w:rPr>
      </w:pPr>
      <w:r>
        <w:rPr>
          <w:rFonts w:ascii="Arial" w:cs="Arial" w:eastAsia="Arial" w:hAnsi="Arial"/>
          <w:sz w:val="13"/>
          <w:szCs w:val="13"/>
          <w:color w:val="auto"/>
        </w:rPr>
        <w:t>Price information is for generic instruments only and is not reflective of our specific portfolio holdings. Price information is as of 3:00 p.m. (EST) on such date and can vary by source. Prices in the table above were obtained from Barclays. Interest and LIBOR rates were obtained from Bloomberg.</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27" w:name="page28"/>
    <w:bookmarkEnd w:id="27"/>
    <w:p>
      <w:pPr>
        <w:ind w:left="380"/>
        <w:spacing w:after="0"/>
        <w:rPr>
          <w:sz w:val="20"/>
          <w:szCs w:val="20"/>
          <w:color w:val="auto"/>
        </w:rPr>
      </w:pPr>
      <w:r>
        <w:rPr>
          <w:rFonts w:ascii="Arial" w:cs="Arial" w:eastAsia="Arial" w:hAnsi="Arial"/>
          <w:sz w:val="17"/>
          <w:szCs w:val="17"/>
          <w:color w:val="auto"/>
        </w:rPr>
        <w:t>The following table summarizes mortgage rates and credit spreads as of each date presented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vMerge w:val="restart"/>
          </w:tcPr>
          <w:p>
            <w:pPr>
              <w:ind w:left="160"/>
              <w:spacing w:after="0"/>
              <w:rPr>
                <w:sz w:val="20"/>
                <w:szCs w:val="20"/>
                <w:color w:val="auto"/>
              </w:rPr>
            </w:pPr>
            <w:r>
              <w:rPr>
                <w:rFonts w:ascii="Arial" w:cs="Arial" w:eastAsia="Arial" w:hAnsi="Arial"/>
                <w:sz w:val="13"/>
                <w:szCs w:val="13"/>
                <w:b w:val="1"/>
                <w:bCs w:val="1"/>
                <w:color w:val="auto"/>
              </w:rPr>
              <w:t>June 30,</w:t>
            </w:r>
          </w:p>
        </w:tc>
        <w:tc>
          <w:tcPr>
            <w:tcW w:w="920" w:type="dxa"/>
            <w:vAlign w:val="bottom"/>
            <w:gridSpan w:val="2"/>
            <w:vMerge w:val="restart"/>
          </w:tcPr>
          <w:p>
            <w:pPr>
              <w:ind w:left="140"/>
              <w:spacing w:after="0"/>
              <w:rPr>
                <w:sz w:val="20"/>
                <w:szCs w:val="20"/>
                <w:color w:val="auto"/>
              </w:rPr>
            </w:pPr>
            <w:r>
              <w:rPr>
                <w:rFonts w:ascii="Arial" w:cs="Arial" w:eastAsia="Arial" w:hAnsi="Arial"/>
                <w:sz w:val="13"/>
                <w:szCs w:val="13"/>
                <w:b w:val="1"/>
                <w:bCs w:val="1"/>
                <w:color w:val="auto"/>
              </w:rPr>
              <w:t>Sept. 30,</w:t>
            </w:r>
          </w:p>
        </w:tc>
        <w:tc>
          <w:tcPr>
            <w:tcW w:w="920" w:type="dxa"/>
            <w:vAlign w:val="bottom"/>
            <w:gridSpan w:val="2"/>
            <w:vMerge w:val="restart"/>
          </w:tcPr>
          <w:p>
            <w:pPr>
              <w:ind w:left="160"/>
              <w:spacing w:after="0"/>
              <w:rPr>
                <w:sz w:val="20"/>
                <w:szCs w:val="20"/>
                <w:color w:val="auto"/>
              </w:rPr>
            </w:pPr>
            <w:r>
              <w:rPr>
                <w:rFonts w:ascii="Arial" w:cs="Arial" w:eastAsia="Arial" w:hAnsi="Arial"/>
                <w:sz w:val="13"/>
                <w:szCs w:val="13"/>
                <w:b w:val="1"/>
                <w:bCs w:val="1"/>
                <w:color w:val="auto"/>
              </w:rPr>
              <w:t>Dec. 31,</w:t>
            </w:r>
          </w:p>
        </w:tc>
        <w:tc>
          <w:tcPr>
            <w:tcW w:w="920" w:type="dxa"/>
            <w:vAlign w:val="bottom"/>
            <w:gridSpan w:val="2"/>
            <w:vMerge w:val="restart"/>
          </w:tcPr>
          <w:p>
            <w:pPr>
              <w:ind w:left="160"/>
              <w:spacing w:after="0"/>
              <w:rPr>
                <w:sz w:val="20"/>
                <w:szCs w:val="20"/>
                <w:color w:val="auto"/>
              </w:rPr>
            </w:pPr>
            <w:r>
              <w:rPr>
                <w:rFonts w:ascii="Arial" w:cs="Arial" w:eastAsia="Arial" w:hAnsi="Arial"/>
                <w:sz w:val="13"/>
                <w:szCs w:val="13"/>
                <w:b w:val="1"/>
                <w:bCs w:val="1"/>
                <w:color w:val="auto"/>
              </w:rPr>
              <w:t>Mar. 31,</w:t>
            </w:r>
          </w:p>
        </w:tc>
        <w:tc>
          <w:tcPr>
            <w:tcW w:w="920" w:type="dxa"/>
            <w:vAlign w:val="bottom"/>
            <w:gridSpan w:val="2"/>
            <w:vMerge w:val="restart"/>
          </w:tcPr>
          <w:p>
            <w:pPr>
              <w:ind w:left="160"/>
              <w:spacing w:after="0"/>
              <w:rPr>
                <w:sz w:val="20"/>
                <w:szCs w:val="20"/>
                <w:color w:val="auto"/>
              </w:rPr>
            </w:pPr>
            <w:r>
              <w:rPr>
                <w:rFonts w:ascii="Arial" w:cs="Arial" w:eastAsia="Arial" w:hAnsi="Arial"/>
                <w:sz w:val="13"/>
                <w:szCs w:val="13"/>
                <w:b w:val="1"/>
                <w:bCs w:val="1"/>
                <w:color w:val="auto"/>
              </w:rPr>
              <w:t>June 30,</w:t>
            </w:r>
          </w:p>
        </w:tc>
        <w:tc>
          <w:tcPr>
            <w:tcW w:w="134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2"/>
              </w:rPr>
              <w:t>June 30, 2021</w:t>
            </w:r>
          </w:p>
        </w:tc>
        <w:tc>
          <w:tcPr>
            <w:tcW w:w="1160" w:type="dxa"/>
            <w:vAlign w:val="bottom"/>
            <w:gridSpan w:val="2"/>
          </w:tcPr>
          <w:p>
            <w:pPr>
              <w:jc w:val="center"/>
              <w:spacing w:after="0"/>
              <w:rPr>
                <w:sz w:val="20"/>
                <w:szCs w:val="20"/>
                <w:color w:val="auto"/>
              </w:rPr>
            </w:pPr>
            <w:r>
              <w:rPr>
                <w:rFonts w:ascii="Arial" w:cs="Arial" w:eastAsia="Arial" w:hAnsi="Arial"/>
                <w:sz w:val="13"/>
                <w:szCs w:val="13"/>
                <w:b w:val="1"/>
                <w:bCs w:val="1"/>
                <w:color w:val="auto"/>
                <w:w w:val="89"/>
              </w:rPr>
              <w:t>June 30, 2021</w:t>
            </w:r>
          </w:p>
        </w:tc>
        <w:tc>
          <w:tcPr>
            <w:tcW w:w="0" w:type="dxa"/>
            <w:vAlign w:val="bottom"/>
          </w:tcPr>
          <w:p>
            <w:pPr>
              <w:spacing w:after="0"/>
              <w:rPr>
                <w:sz w:val="1"/>
                <w:szCs w:val="1"/>
                <w:color w:val="auto"/>
              </w:rPr>
            </w:pPr>
          </w:p>
        </w:tc>
      </w:tr>
      <w:tr>
        <w:trPr>
          <w:trHeight w:val="125"/>
        </w:trPr>
        <w:tc>
          <w:tcPr>
            <w:tcW w:w="4140" w:type="dxa"/>
            <w:vAlign w:val="bottom"/>
            <w:gridSpan w:val="2"/>
            <w:vMerge w:val="restart"/>
          </w:tcPr>
          <w:p>
            <w:pPr>
              <w:ind w:left="1160"/>
              <w:spacing w:after="0"/>
              <w:rPr>
                <w:sz w:val="20"/>
                <w:szCs w:val="20"/>
                <w:color w:val="auto"/>
              </w:rPr>
            </w:pPr>
            <w:r>
              <w:rPr>
                <w:rFonts w:ascii="Arial" w:cs="Arial" w:eastAsia="Arial" w:hAnsi="Arial"/>
                <w:sz w:val="13"/>
                <w:szCs w:val="13"/>
                <w:b w:val="1"/>
                <w:bCs w:val="1"/>
                <w:color w:val="auto"/>
              </w:rPr>
              <w:t>Mortgage Rate/Credit Spread</w:t>
            </w:r>
          </w:p>
        </w:tc>
        <w:tc>
          <w:tcPr>
            <w:tcW w:w="920" w:type="dxa"/>
            <w:vAlign w:val="bottom"/>
            <w:gridSpan w:val="2"/>
            <w:vMerge w:val="continue"/>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540" w:type="dxa"/>
            <w:vAlign w:val="bottom"/>
          </w:tcPr>
          <w:p>
            <w:pPr>
              <w:spacing w:after="0"/>
              <w:rPr>
                <w:sz w:val="10"/>
                <w:szCs w:val="10"/>
                <w:color w:val="auto"/>
              </w:rPr>
            </w:pPr>
          </w:p>
        </w:tc>
        <w:tc>
          <w:tcPr>
            <w:tcW w:w="800" w:type="dxa"/>
            <w:vAlign w:val="bottom"/>
            <w:gridSpan w:val="2"/>
          </w:tcPr>
          <w:p>
            <w:pPr>
              <w:jc w:val="center"/>
              <w:ind w:right="680"/>
              <w:spacing w:after="0" w:line="125" w:lineRule="exact"/>
              <w:rPr>
                <w:sz w:val="20"/>
                <w:szCs w:val="20"/>
                <w:color w:val="auto"/>
              </w:rPr>
            </w:pPr>
            <w:r>
              <w:rPr>
                <w:rFonts w:ascii="Arial" w:cs="Arial" w:eastAsia="Arial" w:hAnsi="Arial"/>
                <w:sz w:val="13"/>
                <w:szCs w:val="13"/>
                <w:b w:val="1"/>
                <w:bCs w:val="1"/>
                <w:color w:val="auto"/>
                <w:w w:val="82"/>
              </w:rPr>
              <w:t>vs</w:t>
            </w:r>
          </w:p>
        </w:tc>
        <w:tc>
          <w:tcPr>
            <w:tcW w:w="520" w:type="dxa"/>
            <w:vAlign w:val="bottom"/>
          </w:tcPr>
          <w:p>
            <w:pPr>
              <w:spacing w:after="0"/>
              <w:rPr>
                <w:sz w:val="10"/>
                <w:szCs w:val="10"/>
                <w:color w:val="auto"/>
              </w:rPr>
            </w:pPr>
          </w:p>
        </w:tc>
        <w:tc>
          <w:tcPr>
            <w:tcW w:w="640" w:type="dxa"/>
            <w:vAlign w:val="bottom"/>
          </w:tcPr>
          <w:p>
            <w:pPr>
              <w:jc w:val="center"/>
              <w:ind w:right="453"/>
              <w:spacing w:after="0" w:line="125" w:lineRule="exact"/>
              <w:rPr>
                <w:sz w:val="20"/>
                <w:szCs w:val="20"/>
                <w:color w:val="auto"/>
              </w:rPr>
            </w:pPr>
            <w:r>
              <w:rPr>
                <w:rFonts w:ascii="Arial" w:cs="Arial" w:eastAsia="Arial" w:hAnsi="Arial"/>
                <w:sz w:val="13"/>
                <w:szCs w:val="13"/>
                <w:b w:val="1"/>
                <w:bCs w:val="1"/>
                <w:color w:val="auto"/>
                <w:w w:val="82"/>
              </w:rPr>
              <w:t>vs</w:t>
            </w:r>
          </w:p>
        </w:tc>
        <w:tc>
          <w:tcPr>
            <w:tcW w:w="0" w:type="dxa"/>
            <w:vAlign w:val="bottom"/>
          </w:tcPr>
          <w:p>
            <w:pPr>
              <w:spacing w:after="0"/>
              <w:rPr>
                <w:sz w:val="1"/>
                <w:szCs w:val="1"/>
                <w:color w:val="auto"/>
              </w:rPr>
            </w:pPr>
          </w:p>
        </w:tc>
      </w:tr>
      <w:tr>
        <w:trPr>
          <w:trHeight w:val="174"/>
        </w:trPr>
        <w:tc>
          <w:tcPr>
            <w:tcW w:w="4140" w:type="dxa"/>
            <w:vAlign w:val="bottom"/>
            <w:gridSpan w:val="2"/>
            <w:vMerge w:val="continue"/>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89"/>
              </w:rPr>
              <w:t>2020</w:t>
            </w:r>
          </w:p>
        </w:tc>
        <w:tc>
          <w:tcPr>
            <w:tcW w:w="14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96"/>
              </w:rPr>
              <w:t>2020</w:t>
            </w:r>
          </w:p>
        </w:tc>
        <w:tc>
          <w:tcPr>
            <w:tcW w:w="16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96"/>
              </w:rPr>
              <w:t>2020</w:t>
            </w:r>
          </w:p>
        </w:tc>
        <w:tc>
          <w:tcPr>
            <w:tcW w:w="16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89"/>
              </w:rPr>
              <w:t>2021</w:t>
            </w:r>
          </w:p>
        </w:tc>
        <w:tc>
          <w:tcPr>
            <w:tcW w:w="14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89"/>
              </w:rPr>
              <w:t>2021</w:t>
            </w:r>
          </w:p>
        </w:tc>
        <w:tc>
          <w:tcPr>
            <w:tcW w:w="140" w:type="dxa"/>
            <w:vAlign w:val="bottom"/>
          </w:tcPr>
          <w:p>
            <w:pPr>
              <w:spacing w:after="0"/>
              <w:rPr>
                <w:sz w:val="15"/>
                <w:szCs w:val="15"/>
                <w:color w:val="auto"/>
              </w:rPr>
            </w:pPr>
          </w:p>
        </w:tc>
        <w:tc>
          <w:tcPr>
            <w:tcW w:w="134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93"/>
              </w:rPr>
              <w:t>Mar. 31, 2021</w:t>
            </w:r>
          </w:p>
        </w:tc>
        <w:tc>
          <w:tcPr>
            <w:tcW w:w="11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3"/>
              </w:rPr>
              <w:t>Dec. 31, 2020</w:t>
            </w:r>
          </w:p>
        </w:tc>
        <w:tc>
          <w:tcPr>
            <w:tcW w:w="0" w:type="dxa"/>
            <w:vAlign w:val="bottom"/>
          </w:tcPr>
          <w:p>
            <w:pPr>
              <w:spacing w:after="0"/>
              <w:rPr>
                <w:sz w:val="1"/>
                <w:szCs w:val="1"/>
                <w:color w:val="auto"/>
              </w:rPr>
            </w:pPr>
          </w:p>
        </w:tc>
      </w:tr>
      <w:tr>
        <w:trPr>
          <w:trHeight w:val="169"/>
        </w:trPr>
        <w:tc>
          <w:tcPr>
            <w:tcW w:w="4000" w:type="dxa"/>
            <w:vAlign w:val="bottom"/>
            <w:tcBorders>
              <w:top w:val="single" w:sz="8" w:color="auto"/>
            </w:tcBorders>
            <w:shd w:val="clear" w:color="auto" w:fill="CCEEFF"/>
          </w:tcPr>
          <w:p>
            <w:pPr>
              <w:ind w:left="20"/>
              <w:spacing w:after="0" w:line="169" w:lineRule="exact"/>
              <w:rPr>
                <w:sz w:val="20"/>
                <w:szCs w:val="20"/>
                <w:color w:val="auto"/>
              </w:rPr>
            </w:pPr>
            <w:r>
              <w:rPr>
                <w:rFonts w:ascii="Arial" w:cs="Arial" w:eastAsia="Arial" w:hAnsi="Arial"/>
                <w:sz w:val="13"/>
                <w:szCs w:val="13"/>
                <w:b w:val="1"/>
                <w:bCs w:val="1"/>
                <w:color w:val="auto"/>
              </w:rPr>
              <w:t xml:space="preserve">Mortgage Rate: </w:t>
            </w:r>
            <w:r>
              <w:rPr>
                <w:rFonts w:ascii="Arial" w:cs="Arial" w:eastAsia="Arial" w:hAnsi="Arial"/>
                <w:sz w:val="17"/>
                <w:szCs w:val="17"/>
                <w:b w:val="1"/>
                <w:bCs w:val="1"/>
                <w:color w:val="auto"/>
                <w:vertAlign w:val="superscript"/>
              </w:rPr>
              <w:t>1</w:t>
            </w:r>
          </w:p>
        </w:tc>
        <w:tc>
          <w:tcPr>
            <w:tcW w:w="14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140" w:type="dxa"/>
            <w:vAlign w:val="bottom"/>
            <w:gridSpan w:val="2"/>
          </w:tcPr>
          <w:p>
            <w:pPr>
              <w:ind w:left="160"/>
              <w:spacing w:after="0"/>
              <w:rPr>
                <w:sz w:val="20"/>
                <w:szCs w:val="20"/>
                <w:color w:val="auto"/>
              </w:rPr>
            </w:pPr>
            <w:r>
              <w:rPr>
                <w:rFonts w:ascii="Arial" w:cs="Arial" w:eastAsia="Arial" w:hAnsi="Arial"/>
                <w:sz w:val="13"/>
                <w:szCs w:val="13"/>
                <w:color w:val="auto"/>
              </w:rPr>
              <w:t>30 Yr PMMS</w:t>
            </w:r>
          </w:p>
        </w:tc>
        <w:tc>
          <w:tcPr>
            <w:tcW w:w="780" w:type="dxa"/>
            <w:vAlign w:val="bottom"/>
          </w:tcPr>
          <w:p>
            <w:pPr>
              <w:jc w:val="center"/>
              <w:spacing w:after="0"/>
              <w:rPr>
                <w:sz w:val="20"/>
                <w:szCs w:val="20"/>
                <w:color w:val="auto"/>
              </w:rPr>
            </w:pPr>
            <w:r>
              <w:rPr>
                <w:rFonts w:ascii="Arial" w:cs="Arial" w:eastAsia="Arial" w:hAnsi="Arial"/>
                <w:sz w:val="13"/>
                <w:szCs w:val="13"/>
                <w:color w:val="auto"/>
                <w:w w:val="92"/>
              </w:rPr>
              <w:t>3.13%</w:t>
            </w:r>
          </w:p>
        </w:tc>
        <w:tc>
          <w:tcPr>
            <w:tcW w:w="1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92"/>
              </w:rPr>
              <w:t>2.90%</w:t>
            </w:r>
          </w:p>
        </w:tc>
        <w:tc>
          <w:tcPr>
            <w:tcW w:w="1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97"/>
              </w:rPr>
              <w:t>2.67%</w:t>
            </w:r>
          </w:p>
        </w:tc>
        <w:tc>
          <w:tcPr>
            <w:tcW w:w="1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auto"/>
                <w:w w:val="92"/>
              </w:rPr>
              <w:t>3.17%</w:t>
            </w:r>
          </w:p>
        </w:tc>
        <w:tc>
          <w:tcPr>
            <w:tcW w:w="14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auto"/>
                <w:w w:val="92"/>
              </w:rPr>
              <w:t>3.02%</w:t>
            </w: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-15</w:t>
            </w:r>
          </w:p>
        </w:tc>
        <w:tc>
          <w:tcPr>
            <w:tcW w:w="800" w:type="dxa"/>
            <w:vAlign w:val="bottom"/>
            <w:gridSpan w:val="2"/>
          </w:tcPr>
          <w:p>
            <w:pPr>
              <w:ind w:left="80"/>
              <w:spacing w:after="0"/>
              <w:rPr>
                <w:sz w:val="20"/>
                <w:szCs w:val="20"/>
                <w:color w:val="auto"/>
              </w:rPr>
            </w:pPr>
            <w:r>
              <w:rPr>
                <w:rFonts w:ascii="Arial" w:cs="Arial" w:eastAsia="Arial" w:hAnsi="Arial"/>
                <w:sz w:val="13"/>
                <w:szCs w:val="13"/>
                <w:color w:val="auto"/>
              </w:rPr>
              <w:t>bps</w:t>
            </w:r>
          </w:p>
        </w:tc>
        <w:tc>
          <w:tcPr>
            <w:tcW w:w="520" w:type="dxa"/>
            <w:vAlign w:val="bottom"/>
          </w:tcPr>
          <w:p>
            <w:pPr>
              <w:jc w:val="right"/>
              <w:spacing w:after="0"/>
              <w:rPr>
                <w:sz w:val="20"/>
                <w:szCs w:val="20"/>
                <w:color w:val="auto"/>
              </w:rPr>
            </w:pPr>
            <w:r>
              <w:rPr>
                <w:rFonts w:ascii="Arial" w:cs="Arial" w:eastAsia="Arial" w:hAnsi="Arial"/>
                <w:sz w:val="13"/>
                <w:szCs w:val="13"/>
                <w:color w:val="auto"/>
              </w:rPr>
              <w:t>+35</w:t>
            </w:r>
          </w:p>
        </w:tc>
        <w:tc>
          <w:tcPr>
            <w:tcW w:w="640" w:type="dxa"/>
            <w:vAlign w:val="bottom"/>
          </w:tcPr>
          <w:p>
            <w:pPr>
              <w:ind w:left="80"/>
              <w:spacing w:after="0"/>
              <w:rPr>
                <w:sz w:val="20"/>
                <w:szCs w:val="20"/>
                <w:color w:val="auto"/>
              </w:rPr>
            </w:pPr>
            <w:r>
              <w:rPr>
                <w:rFonts w:ascii="Arial" w:cs="Arial" w:eastAsia="Arial" w:hAnsi="Arial"/>
                <w:sz w:val="13"/>
                <w:szCs w:val="13"/>
                <w:color w:val="auto"/>
              </w:rPr>
              <w:t>bps</w:t>
            </w:r>
          </w:p>
        </w:tc>
        <w:tc>
          <w:tcPr>
            <w:tcW w:w="0" w:type="dxa"/>
            <w:vAlign w:val="bottom"/>
          </w:tcPr>
          <w:p>
            <w:pPr>
              <w:spacing w:after="0"/>
              <w:rPr>
                <w:sz w:val="1"/>
                <w:szCs w:val="1"/>
                <w:color w:val="auto"/>
              </w:rPr>
            </w:pPr>
          </w:p>
        </w:tc>
      </w:tr>
      <w:tr>
        <w:trPr>
          <w:trHeight w:val="178"/>
        </w:trPr>
        <w:tc>
          <w:tcPr>
            <w:tcW w:w="414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30 Yr CC</w:t>
            </w: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1.62%</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1.42%</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1.34%</w:t>
            </w: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1.97%</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1.87%</w:t>
            </w: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80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bps</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w:t>
            </w:r>
          </w:p>
        </w:tc>
        <w:tc>
          <w:tcPr>
            <w:tcW w:w="640" w:type="dxa"/>
            <w:vAlign w:val="bottom"/>
            <w:shd w:val="clear" w:color="auto" w:fill="CCEEFF"/>
          </w:tcPr>
          <w:p>
            <w:pPr>
              <w:ind w:left="80"/>
              <w:spacing w:after="0"/>
              <w:rPr>
                <w:sz w:val="20"/>
                <w:szCs w:val="20"/>
                <w:color w:val="auto"/>
              </w:rPr>
            </w:pPr>
            <w:r>
              <w:rPr>
                <w:rFonts w:ascii="Arial" w:cs="Arial" w:eastAsia="Arial" w:hAnsi="Arial"/>
                <w:sz w:val="13"/>
                <w:szCs w:val="13"/>
                <w:color w:val="auto"/>
              </w:rPr>
              <w:t>bps</w:t>
            </w:r>
          </w:p>
        </w:tc>
        <w:tc>
          <w:tcPr>
            <w:tcW w:w="0" w:type="dxa"/>
            <w:vAlign w:val="bottom"/>
          </w:tcPr>
          <w:p>
            <w:pPr>
              <w:spacing w:after="0"/>
              <w:rPr>
                <w:sz w:val="1"/>
                <w:szCs w:val="1"/>
                <w:color w:val="auto"/>
              </w:rPr>
            </w:pPr>
          </w:p>
        </w:tc>
      </w:tr>
      <w:tr>
        <w:trPr>
          <w:trHeight w:val="172"/>
        </w:trPr>
        <w:tc>
          <w:tcPr>
            <w:tcW w:w="4140" w:type="dxa"/>
            <w:vAlign w:val="bottom"/>
            <w:gridSpan w:val="2"/>
          </w:tcPr>
          <w:p>
            <w:pPr>
              <w:ind w:left="160"/>
              <w:spacing w:after="0"/>
              <w:rPr>
                <w:sz w:val="20"/>
                <w:szCs w:val="20"/>
                <w:color w:val="auto"/>
              </w:rPr>
            </w:pPr>
            <w:r>
              <w:rPr>
                <w:rFonts w:ascii="Arial" w:cs="Arial" w:eastAsia="Arial" w:hAnsi="Arial"/>
                <w:sz w:val="13"/>
                <w:szCs w:val="13"/>
                <w:color w:val="auto"/>
              </w:rPr>
              <w:t>30 Yr P/S Spread</w:t>
            </w:r>
          </w:p>
        </w:tc>
        <w:tc>
          <w:tcPr>
            <w:tcW w:w="780" w:type="dxa"/>
            <w:vAlign w:val="bottom"/>
          </w:tcPr>
          <w:p>
            <w:pPr>
              <w:jc w:val="center"/>
              <w:spacing w:after="0"/>
              <w:rPr>
                <w:sz w:val="20"/>
                <w:szCs w:val="20"/>
                <w:color w:val="auto"/>
              </w:rPr>
            </w:pPr>
            <w:r>
              <w:rPr>
                <w:rFonts w:ascii="Arial" w:cs="Arial" w:eastAsia="Arial" w:hAnsi="Arial"/>
                <w:sz w:val="13"/>
                <w:szCs w:val="13"/>
                <w:color w:val="auto"/>
                <w:w w:val="92"/>
              </w:rPr>
              <w:t>1.51%</w:t>
            </w:r>
          </w:p>
        </w:tc>
        <w:tc>
          <w:tcPr>
            <w:tcW w:w="1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92"/>
              </w:rPr>
              <w:t>1.48%</w:t>
            </w:r>
          </w:p>
        </w:tc>
        <w:tc>
          <w:tcPr>
            <w:tcW w:w="1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97"/>
              </w:rPr>
              <w:t>1.33%</w:t>
            </w:r>
          </w:p>
        </w:tc>
        <w:tc>
          <w:tcPr>
            <w:tcW w:w="1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auto"/>
                <w:w w:val="92"/>
              </w:rPr>
              <w:t>1.20%</w:t>
            </w:r>
          </w:p>
        </w:tc>
        <w:tc>
          <w:tcPr>
            <w:tcW w:w="14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auto"/>
                <w:w w:val="92"/>
              </w:rPr>
              <w:t>1.15%</w:t>
            </w: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-5</w:t>
            </w:r>
          </w:p>
        </w:tc>
        <w:tc>
          <w:tcPr>
            <w:tcW w:w="800" w:type="dxa"/>
            <w:vAlign w:val="bottom"/>
            <w:gridSpan w:val="2"/>
          </w:tcPr>
          <w:p>
            <w:pPr>
              <w:ind w:left="80"/>
              <w:spacing w:after="0"/>
              <w:rPr>
                <w:sz w:val="20"/>
                <w:szCs w:val="20"/>
                <w:color w:val="auto"/>
              </w:rPr>
            </w:pPr>
            <w:r>
              <w:rPr>
                <w:rFonts w:ascii="Arial" w:cs="Arial" w:eastAsia="Arial" w:hAnsi="Arial"/>
                <w:sz w:val="13"/>
                <w:szCs w:val="13"/>
                <w:color w:val="auto"/>
              </w:rPr>
              <w:t>bps</w:t>
            </w:r>
          </w:p>
        </w:tc>
        <w:tc>
          <w:tcPr>
            <w:tcW w:w="520" w:type="dxa"/>
            <w:vAlign w:val="bottom"/>
          </w:tcPr>
          <w:p>
            <w:pPr>
              <w:jc w:val="right"/>
              <w:spacing w:after="0"/>
              <w:rPr>
                <w:sz w:val="20"/>
                <w:szCs w:val="20"/>
                <w:color w:val="auto"/>
              </w:rPr>
            </w:pPr>
            <w:r>
              <w:rPr>
                <w:rFonts w:ascii="Arial" w:cs="Arial" w:eastAsia="Arial" w:hAnsi="Arial"/>
                <w:sz w:val="13"/>
                <w:szCs w:val="13"/>
                <w:color w:val="auto"/>
              </w:rPr>
              <w:t>-18</w:t>
            </w:r>
          </w:p>
        </w:tc>
        <w:tc>
          <w:tcPr>
            <w:tcW w:w="640" w:type="dxa"/>
            <w:vAlign w:val="bottom"/>
          </w:tcPr>
          <w:p>
            <w:pPr>
              <w:ind w:left="80"/>
              <w:spacing w:after="0"/>
              <w:rPr>
                <w:sz w:val="20"/>
                <w:szCs w:val="20"/>
                <w:color w:val="auto"/>
              </w:rPr>
            </w:pPr>
            <w:r>
              <w:rPr>
                <w:rFonts w:ascii="Arial" w:cs="Arial" w:eastAsia="Arial" w:hAnsi="Arial"/>
                <w:sz w:val="13"/>
                <w:szCs w:val="13"/>
                <w:color w:val="auto"/>
              </w:rPr>
              <w:t>bps</w:t>
            </w:r>
          </w:p>
        </w:tc>
        <w:tc>
          <w:tcPr>
            <w:tcW w:w="0" w:type="dxa"/>
            <w:vAlign w:val="bottom"/>
          </w:tcPr>
          <w:p>
            <w:pPr>
              <w:spacing w:after="0"/>
              <w:rPr>
                <w:sz w:val="1"/>
                <w:szCs w:val="1"/>
                <w:color w:val="auto"/>
              </w:rPr>
            </w:pPr>
          </w:p>
        </w:tc>
      </w:tr>
      <w:tr>
        <w:trPr>
          <w:trHeight w:val="178"/>
        </w:trPr>
        <w:tc>
          <w:tcPr>
            <w:tcW w:w="4140" w:type="dxa"/>
            <w:vAlign w:val="bottom"/>
            <w:gridSpan w:val="2"/>
            <w:shd w:val="clear" w:color="auto" w:fill="CCEEFF"/>
          </w:tcPr>
          <w:p>
            <w:pPr>
              <w:ind w:left="20"/>
              <w:spacing w:after="0" w:line="178" w:lineRule="exact"/>
              <w:rPr>
                <w:sz w:val="20"/>
                <w:szCs w:val="20"/>
                <w:color w:val="auto"/>
              </w:rPr>
            </w:pPr>
            <w:r>
              <w:rPr>
                <w:rFonts w:ascii="Arial" w:cs="Arial" w:eastAsia="Arial" w:hAnsi="Arial"/>
                <w:sz w:val="13"/>
                <w:szCs w:val="13"/>
                <w:b w:val="1"/>
                <w:bCs w:val="1"/>
                <w:color w:val="auto"/>
              </w:rPr>
              <w:t xml:space="preserve">Credit Spread (in bps): </w:t>
            </w:r>
            <w:r>
              <w:rPr>
                <w:rFonts w:ascii="Arial" w:cs="Arial" w:eastAsia="Arial" w:hAnsi="Arial"/>
                <w:sz w:val="17"/>
                <w:szCs w:val="17"/>
                <w:b w:val="1"/>
                <w:bCs w:val="1"/>
                <w:color w:val="auto"/>
                <w:vertAlign w:val="superscript"/>
              </w:rPr>
              <w:t>2</w:t>
            </w: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4140" w:type="dxa"/>
            <w:vAlign w:val="bottom"/>
            <w:gridSpan w:val="2"/>
          </w:tcPr>
          <w:p>
            <w:pPr>
              <w:ind w:left="160"/>
              <w:spacing w:after="0"/>
              <w:rPr>
                <w:sz w:val="20"/>
                <w:szCs w:val="20"/>
                <w:color w:val="auto"/>
              </w:rPr>
            </w:pPr>
            <w:r>
              <w:rPr>
                <w:rFonts w:ascii="Arial" w:cs="Arial" w:eastAsia="Arial" w:hAnsi="Arial"/>
                <w:sz w:val="13"/>
                <w:szCs w:val="13"/>
                <w:color w:val="auto"/>
              </w:rPr>
              <w:t>CRT M2</w:t>
            </w:r>
          </w:p>
        </w:tc>
        <w:tc>
          <w:tcPr>
            <w:tcW w:w="780" w:type="dxa"/>
            <w:vAlign w:val="bottom"/>
          </w:tcPr>
          <w:p>
            <w:pPr>
              <w:jc w:val="center"/>
              <w:spacing w:after="0"/>
              <w:rPr>
                <w:sz w:val="20"/>
                <w:szCs w:val="20"/>
                <w:color w:val="auto"/>
              </w:rPr>
            </w:pPr>
            <w:r>
              <w:rPr>
                <w:rFonts w:ascii="Arial" w:cs="Arial" w:eastAsia="Arial" w:hAnsi="Arial"/>
                <w:sz w:val="13"/>
                <w:szCs w:val="13"/>
                <w:color w:val="auto"/>
                <w:w w:val="92"/>
              </w:rPr>
              <w:t>520</w:t>
            </w:r>
          </w:p>
        </w:tc>
        <w:tc>
          <w:tcPr>
            <w:tcW w:w="1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92"/>
              </w:rPr>
              <w:t>302</w:t>
            </w:r>
          </w:p>
        </w:tc>
        <w:tc>
          <w:tcPr>
            <w:tcW w:w="1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92"/>
              </w:rPr>
              <w:t>216</w:t>
            </w:r>
          </w:p>
        </w:tc>
        <w:tc>
          <w:tcPr>
            <w:tcW w:w="1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auto"/>
                <w:w w:val="92"/>
              </w:rPr>
              <w:t>235</w:t>
            </w:r>
          </w:p>
        </w:tc>
        <w:tc>
          <w:tcPr>
            <w:tcW w:w="14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auto"/>
                <w:w w:val="92"/>
              </w:rPr>
              <w:t>179</w:t>
            </w:r>
          </w:p>
        </w:tc>
        <w:tc>
          <w:tcPr>
            <w:tcW w:w="140" w:type="dxa"/>
            <w:vAlign w:val="bottom"/>
          </w:tcPr>
          <w:p>
            <w:pPr>
              <w:spacing w:after="0"/>
              <w:rPr>
                <w:sz w:val="14"/>
                <w:szCs w:val="14"/>
                <w:color w:val="auto"/>
              </w:rPr>
            </w:pPr>
          </w:p>
        </w:tc>
        <w:tc>
          <w:tcPr>
            <w:tcW w:w="1180" w:type="dxa"/>
            <w:vAlign w:val="bottom"/>
            <w:gridSpan w:val="2"/>
          </w:tcPr>
          <w:p>
            <w:pPr>
              <w:jc w:val="center"/>
              <w:spacing w:after="0"/>
              <w:rPr>
                <w:sz w:val="20"/>
                <w:szCs w:val="20"/>
                <w:color w:val="auto"/>
              </w:rPr>
            </w:pPr>
            <w:r>
              <w:rPr>
                <w:rFonts w:ascii="Arial" w:cs="Arial" w:eastAsia="Arial" w:hAnsi="Arial"/>
                <w:sz w:val="13"/>
                <w:szCs w:val="13"/>
                <w:color w:val="auto"/>
                <w:w w:val="95"/>
              </w:rPr>
              <w:t>-56</w:t>
            </w:r>
          </w:p>
        </w:tc>
        <w:tc>
          <w:tcPr>
            <w:tcW w:w="160" w:type="dxa"/>
            <w:vAlign w:val="bottom"/>
          </w:tcPr>
          <w:p>
            <w:pPr>
              <w:spacing w:after="0"/>
              <w:rPr>
                <w:sz w:val="14"/>
                <w:szCs w:val="14"/>
                <w:color w:val="auto"/>
              </w:rPr>
            </w:pPr>
          </w:p>
        </w:tc>
        <w:tc>
          <w:tcPr>
            <w:tcW w:w="1160" w:type="dxa"/>
            <w:vAlign w:val="bottom"/>
            <w:gridSpan w:val="2"/>
          </w:tcPr>
          <w:p>
            <w:pPr>
              <w:jc w:val="center"/>
              <w:spacing w:after="0"/>
              <w:rPr>
                <w:sz w:val="20"/>
                <w:szCs w:val="20"/>
                <w:color w:val="auto"/>
              </w:rPr>
            </w:pPr>
            <w:r>
              <w:rPr>
                <w:rFonts w:ascii="Arial" w:cs="Arial" w:eastAsia="Arial" w:hAnsi="Arial"/>
                <w:sz w:val="13"/>
                <w:szCs w:val="13"/>
                <w:color w:val="auto"/>
                <w:w w:val="84"/>
              </w:rPr>
              <w:t>-37</w:t>
            </w:r>
          </w:p>
        </w:tc>
        <w:tc>
          <w:tcPr>
            <w:tcW w:w="0" w:type="dxa"/>
            <w:vAlign w:val="bottom"/>
          </w:tcPr>
          <w:p>
            <w:pPr>
              <w:spacing w:after="0"/>
              <w:rPr>
                <w:sz w:val="1"/>
                <w:szCs w:val="1"/>
                <w:color w:val="auto"/>
              </w:rPr>
            </w:pPr>
          </w:p>
        </w:tc>
      </w:tr>
      <w:tr>
        <w:trPr>
          <w:trHeight w:val="178"/>
        </w:trPr>
        <w:tc>
          <w:tcPr>
            <w:tcW w:w="414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CMBS AAA</w:t>
            </w: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113</w:t>
            </w: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86</w:t>
            </w: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66</w:t>
            </w: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69</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65</w:t>
            </w: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40" w:type="dxa"/>
            <w:vAlign w:val="bottom"/>
            <w:shd w:val="clear" w:color="auto" w:fill="CCEEFF"/>
          </w:tcPr>
          <w:p>
            <w:pPr>
              <w:jc w:val="center"/>
              <w:ind w:right="453"/>
              <w:spacing w:after="0"/>
              <w:rPr>
                <w:sz w:val="20"/>
                <w:szCs w:val="20"/>
                <w:color w:val="auto"/>
              </w:rPr>
            </w:pPr>
            <w:r>
              <w:rPr>
                <w:rFonts w:ascii="Arial" w:cs="Arial" w:eastAsia="Arial" w:hAnsi="Arial"/>
                <w:sz w:val="13"/>
                <w:szCs w:val="13"/>
                <w:color w:val="auto"/>
              </w:rPr>
              <w:t>-4</w:t>
            </w: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40" w:type="dxa"/>
            <w:vAlign w:val="bottom"/>
            <w:shd w:val="clear" w:color="auto" w:fill="CCEEFF"/>
          </w:tcPr>
          <w:p>
            <w:pPr>
              <w:jc w:val="center"/>
              <w:ind w:right="453"/>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69"/>
        </w:trPr>
        <w:tc>
          <w:tcPr>
            <w:tcW w:w="4140" w:type="dxa"/>
            <w:vAlign w:val="bottom"/>
            <w:gridSpan w:val="2"/>
          </w:tcPr>
          <w:p>
            <w:pPr>
              <w:ind w:left="160"/>
              <w:spacing w:after="0"/>
              <w:rPr>
                <w:sz w:val="20"/>
                <w:szCs w:val="20"/>
                <w:color w:val="auto"/>
              </w:rPr>
            </w:pPr>
            <w:r>
              <w:rPr>
                <w:rFonts w:ascii="Arial" w:cs="Arial" w:eastAsia="Arial" w:hAnsi="Arial"/>
                <w:sz w:val="13"/>
                <w:szCs w:val="13"/>
                <w:color w:val="auto"/>
              </w:rPr>
              <w:t>CDX IG</w:t>
            </w:r>
          </w:p>
        </w:tc>
        <w:tc>
          <w:tcPr>
            <w:tcW w:w="780" w:type="dxa"/>
            <w:vAlign w:val="bottom"/>
          </w:tcPr>
          <w:p>
            <w:pPr>
              <w:jc w:val="center"/>
              <w:spacing w:after="0"/>
              <w:rPr>
                <w:sz w:val="20"/>
                <w:szCs w:val="20"/>
                <w:color w:val="auto"/>
              </w:rPr>
            </w:pPr>
            <w:r>
              <w:rPr>
                <w:rFonts w:ascii="Arial" w:cs="Arial" w:eastAsia="Arial" w:hAnsi="Arial"/>
                <w:sz w:val="13"/>
                <w:szCs w:val="13"/>
                <w:color w:val="auto"/>
                <w:w w:val="96"/>
              </w:rPr>
              <w:t>76</w:t>
            </w:r>
          </w:p>
        </w:tc>
        <w:tc>
          <w:tcPr>
            <w:tcW w:w="1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82"/>
              </w:rPr>
              <w:t>59</w:t>
            </w:r>
          </w:p>
        </w:tc>
        <w:tc>
          <w:tcPr>
            <w:tcW w:w="1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3"/>
                <w:szCs w:val="13"/>
                <w:color w:val="auto"/>
                <w:w w:val="82"/>
              </w:rPr>
              <w:t>50</w:t>
            </w:r>
          </w:p>
        </w:tc>
        <w:tc>
          <w:tcPr>
            <w:tcW w:w="1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auto"/>
                <w:w w:val="96"/>
              </w:rPr>
              <w:t>54</w:t>
            </w:r>
          </w:p>
        </w:tc>
        <w:tc>
          <w:tcPr>
            <w:tcW w:w="14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3"/>
                <w:szCs w:val="13"/>
                <w:color w:val="auto"/>
                <w:w w:val="96"/>
              </w:rPr>
              <w:t>48</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jc w:val="center"/>
              <w:ind w:right="453"/>
              <w:spacing w:after="0"/>
              <w:rPr>
                <w:sz w:val="20"/>
                <w:szCs w:val="20"/>
                <w:color w:val="auto"/>
              </w:rPr>
            </w:pPr>
            <w:r>
              <w:rPr>
                <w:rFonts w:ascii="Arial" w:cs="Arial" w:eastAsia="Arial" w:hAnsi="Arial"/>
                <w:sz w:val="13"/>
                <w:szCs w:val="13"/>
                <w:color w:val="auto"/>
              </w:rPr>
              <w:t>-6</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jc w:val="center"/>
              <w:ind w:right="453"/>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bl>
    <w:p>
      <w:pPr>
        <w:spacing w:after="0" w:line="147"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w:t>
      </w:r>
    </w:p>
    <w:p>
      <w:pPr>
        <w:spacing w:after="0" w:line="278" w:lineRule="exact"/>
        <w:rPr>
          <w:sz w:val="20"/>
          <w:szCs w:val="20"/>
          <w:color w:val="auto"/>
        </w:rPr>
      </w:pPr>
    </w:p>
    <w:p>
      <w:pPr>
        <w:ind w:left="600" w:hanging="300"/>
        <w:spacing w:after="0" w:line="248" w:lineRule="auto"/>
        <w:tabs>
          <w:tab w:leader="none" w:pos="6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30 Yr PMMS rates are sourced from Freddie Mac's weekly Primary Mortgage Market Survey of mortgage lenders; 30 Yr CC rates represent current coupon rates for new production Agency RMBS sourced from Bloomberg; and the 30 Yr P/S spreads represent the 30 Yr PMMS and CC primary to secondary market spread differential as of each date.</w:t>
      </w:r>
    </w:p>
    <w:p>
      <w:pPr>
        <w:ind w:left="600" w:hanging="300"/>
        <w:spacing w:after="0" w:line="255" w:lineRule="auto"/>
        <w:tabs>
          <w:tab w:leader="none" w:pos="600" w:val="left"/>
        </w:tabs>
        <w:numPr>
          <w:ilvl w:val="0"/>
          <w:numId w:val="19"/>
        </w:numPr>
        <w:rPr>
          <w:rFonts w:ascii="Arial" w:cs="Arial" w:eastAsia="Arial" w:hAnsi="Arial"/>
          <w:sz w:val="13"/>
          <w:szCs w:val="13"/>
          <w:color w:val="auto"/>
        </w:rPr>
      </w:pPr>
      <w:r>
        <w:rPr>
          <w:rFonts w:ascii="Arial" w:cs="Arial" w:eastAsia="Arial" w:hAnsi="Arial"/>
          <w:sz w:val="13"/>
          <w:szCs w:val="13"/>
          <w:color w:val="auto"/>
        </w:rPr>
        <w:t>CRT and CMBS spreads are averages of JP Morgan, Bank of America and Wells Fargo. CRT spreads are discount margins. CMBS spreads are spreads to the swap curve. CDX spreads are sourced from JP Morgan.</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28" w:name="page29"/>
    <w:bookmarkEnd w:id="28"/>
    <w:p>
      <w:pPr>
        <w:spacing w:after="0"/>
        <w:rPr>
          <w:sz w:val="20"/>
          <w:szCs w:val="20"/>
          <w:color w:val="auto"/>
        </w:rPr>
      </w:pPr>
      <w:r>
        <w:rPr>
          <w:rFonts w:ascii="Arial" w:cs="Arial" w:eastAsia="Arial" w:hAnsi="Arial"/>
          <w:sz w:val="17"/>
          <w:szCs w:val="17"/>
          <w:b w:val="1"/>
          <w:bCs w:val="1"/>
          <w:color w:val="auto"/>
        </w:rPr>
        <w:t>FINANCIAL CONDITION</w:t>
      </w:r>
    </w:p>
    <w:p>
      <w:pPr>
        <w:spacing w:after="0" w:line="158" w:lineRule="exact"/>
        <w:rPr>
          <w:sz w:val="20"/>
          <w:szCs w:val="20"/>
          <w:color w:val="auto"/>
        </w:rPr>
      </w:pPr>
    </w:p>
    <w:p>
      <w:pPr>
        <w:jc w:val="both"/>
        <w:ind w:firstLine="412"/>
        <w:spacing w:after="0" w:line="252" w:lineRule="auto"/>
        <w:rPr>
          <w:sz w:val="20"/>
          <w:szCs w:val="20"/>
          <w:color w:val="auto"/>
        </w:rPr>
      </w:pPr>
      <w:r>
        <w:rPr>
          <w:rFonts w:ascii="Arial" w:cs="Arial" w:eastAsia="Arial" w:hAnsi="Arial"/>
          <w:sz w:val="17"/>
          <w:szCs w:val="17"/>
          <w:color w:val="auto"/>
        </w:rPr>
        <w:t>As of June 30, 2021 and December 31, 2020, our investment portfolio totaled $87.5 billion and $97.9 billion, respectively, consisting of: $59.8 billion and $66.4 billion investment securities, at fair value, respectively; $27.4 billion and $31.5 billion net TBA securities, at fair value, respectively; and $0.3 billion and zero forward settling non-Agency securities, at fair value, respectively. The following table is a summary of our investment portfolio as of June 30, 2021 and December 31, 2020 (dollars in millions):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3"/>
          </w:tcPr>
          <w:p>
            <w:pPr>
              <w:ind w:left="300"/>
              <w:spacing w:after="0"/>
              <w:rPr>
                <w:sz w:val="20"/>
                <w:szCs w:val="20"/>
                <w:color w:val="auto"/>
              </w:rPr>
            </w:pPr>
            <w:r>
              <w:rPr>
                <w:rFonts w:ascii="Arial" w:cs="Arial" w:eastAsia="Arial" w:hAnsi="Arial"/>
                <w:sz w:val="13"/>
                <w:szCs w:val="13"/>
                <w:b w:val="1"/>
                <w:bCs w:val="1"/>
                <w:color w:val="auto"/>
                <w:w w:val="89"/>
              </w:rPr>
              <w:t>June 30, 2021</w:t>
            </w: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4"/>
          </w:tcPr>
          <w:p>
            <w:pPr>
              <w:ind w:left="140"/>
              <w:spacing w:after="0"/>
              <w:rPr>
                <w:sz w:val="20"/>
                <w:szCs w:val="20"/>
                <w:color w:val="auto"/>
              </w:rPr>
            </w:pPr>
            <w:r>
              <w:rPr>
                <w:rFonts w:ascii="Arial" w:cs="Arial" w:eastAsia="Arial" w:hAnsi="Arial"/>
                <w:sz w:val="13"/>
                <w:szCs w:val="13"/>
                <w:b w:val="1"/>
                <w:bCs w:val="1"/>
                <w:color w:val="auto"/>
              </w:rPr>
              <w:t>December 31, 2020</w:t>
            </w:r>
          </w:p>
        </w:tc>
        <w:tc>
          <w:tcPr>
            <w:tcW w:w="6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36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Investment Portfolio (Includes TBAs)</w:t>
            </w:r>
          </w:p>
        </w:tc>
        <w:tc>
          <w:tcPr>
            <w:tcW w:w="108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rPr>
              <w:t>Amortized Cost</w:t>
            </w:r>
          </w:p>
        </w:tc>
        <w:tc>
          <w:tcPr>
            <w:tcW w:w="100" w:type="dxa"/>
            <w:vAlign w:val="bottom"/>
          </w:tcPr>
          <w:p>
            <w:pPr>
              <w:spacing w:after="0"/>
              <w:rPr>
                <w:sz w:val="10"/>
                <w:szCs w:val="10"/>
                <w:color w:val="auto"/>
              </w:rPr>
            </w:pPr>
          </w:p>
        </w:tc>
        <w:tc>
          <w:tcPr>
            <w:tcW w:w="108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Fair Value</w:t>
            </w:r>
          </w:p>
        </w:tc>
        <w:tc>
          <w:tcPr>
            <w:tcW w:w="800" w:type="dxa"/>
            <w:vAlign w:val="bottom"/>
            <w:gridSpan w:val="2"/>
          </w:tcPr>
          <w:p>
            <w:pPr>
              <w:spacing w:after="0" w:line="123" w:lineRule="exact"/>
              <w:rPr>
                <w:sz w:val="20"/>
                <w:szCs w:val="20"/>
                <w:color w:val="auto"/>
              </w:rPr>
            </w:pPr>
            <w:r>
              <w:rPr>
                <w:rFonts w:ascii="Arial" w:cs="Arial" w:eastAsia="Arial" w:hAnsi="Arial"/>
                <w:sz w:val="13"/>
                <w:szCs w:val="13"/>
                <w:b w:val="1"/>
                <w:bCs w:val="1"/>
                <w:color w:val="auto"/>
              </w:rPr>
              <w:t>Average</w:t>
            </w:r>
          </w:p>
        </w:tc>
        <w:tc>
          <w:tcPr>
            <w:tcW w:w="680" w:type="dxa"/>
            <w:vAlign w:val="bottom"/>
            <w:vMerge w:val="restart"/>
          </w:tcPr>
          <w:p>
            <w:pPr>
              <w:jc w:val="right"/>
              <w:ind w:right="213"/>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0"/>
                <w:szCs w:val="10"/>
                <w:color w:val="auto"/>
              </w:rPr>
            </w:pPr>
          </w:p>
        </w:tc>
        <w:tc>
          <w:tcPr>
            <w:tcW w:w="1100" w:type="dxa"/>
            <w:vAlign w:val="bottom"/>
            <w:gridSpan w:val="3"/>
            <w:vMerge w:val="restart"/>
          </w:tcPr>
          <w:p>
            <w:pPr>
              <w:ind w:left="60"/>
              <w:spacing w:after="0"/>
              <w:rPr>
                <w:sz w:val="20"/>
                <w:szCs w:val="20"/>
                <w:color w:val="auto"/>
              </w:rPr>
            </w:pPr>
            <w:r>
              <w:rPr>
                <w:rFonts w:ascii="Arial" w:cs="Arial" w:eastAsia="Arial" w:hAnsi="Arial"/>
                <w:sz w:val="13"/>
                <w:szCs w:val="13"/>
                <w:b w:val="1"/>
                <w:bCs w:val="1"/>
                <w:color w:val="auto"/>
              </w:rPr>
              <w:t>Amortized Cost</w:t>
            </w:r>
          </w:p>
        </w:tc>
        <w:tc>
          <w:tcPr>
            <w:tcW w:w="100" w:type="dxa"/>
            <w:vAlign w:val="bottom"/>
          </w:tcPr>
          <w:p>
            <w:pPr>
              <w:spacing w:after="0"/>
              <w:rPr>
                <w:sz w:val="10"/>
                <w:szCs w:val="10"/>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Fair Value</w:t>
            </w:r>
          </w:p>
        </w:tc>
        <w:tc>
          <w:tcPr>
            <w:tcW w:w="1060" w:type="dxa"/>
            <w:vAlign w:val="bottom"/>
            <w:gridSpan w:val="2"/>
          </w:tcPr>
          <w:p>
            <w:pPr>
              <w:ind w:left="240"/>
              <w:spacing w:after="0" w:line="123" w:lineRule="exact"/>
              <w:rPr>
                <w:sz w:val="20"/>
                <w:szCs w:val="20"/>
                <w:color w:val="auto"/>
              </w:rPr>
            </w:pPr>
            <w:r>
              <w:rPr>
                <w:rFonts w:ascii="Arial" w:cs="Arial" w:eastAsia="Arial" w:hAnsi="Arial"/>
                <w:sz w:val="13"/>
                <w:szCs w:val="13"/>
                <w:b w:val="1"/>
                <w:bCs w:val="1"/>
                <w:color w:val="auto"/>
              </w:rPr>
              <w:t>Average</w:t>
            </w:r>
          </w:p>
        </w:tc>
        <w:tc>
          <w:tcPr>
            <w:tcW w:w="660" w:type="dxa"/>
            <w:vAlign w:val="bottom"/>
            <w:vMerge w:val="restart"/>
          </w:tcPr>
          <w:p>
            <w:pPr>
              <w:jc w:val="right"/>
              <w:ind w:right="193"/>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74"/>
        </w:trPr>
        <w:tc>
          <w:tcPr>
            <w:tcW w:w="3600" w:type="dxa"/>
            <w:vAlign w:val="bottom"/>
            <w:gridSpan w:val="2"/>
            <w:vMerge w:val="continue"/>
          </w:tcPr>
          <w:p>
            <w:pPr>
              <w:spacing w:after="0"/>
              <w:rPr>
                <w:sz w:val="15"/>
                <w:szCs w:val="15"/>
                <w:color w:val="auto"/>
              </w:rPr>
            </w:pPr>
          </w:p>
        </w:tc>
        <w:tc>
          <w:tcPr>
            <w:tcW w:w="108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3"/>
            <w:vMerge w:val="continue"/>
          </w:tcPr>
          <w:p>
            <w:pPr>
              <w:spacing w:after="0"/>
              <w:rPr>
                <w:sz w:val="15"/>
                <w:szCs w:val="15"/>
                <w:color w:val="auto"/>
              </w:rPr>
            </w:pPr>
          </w:p>
        </w:tc>
        <w:tc>
          <w:tcPr>
            <w:tcW w:w="800" w:type="dxa"/>
            <w:vAlign w:val="bottom"/>
            <w:gridSpan w:val="2"/>
          </w:tcPr>
          <w:p>
            <w:pPr>
              <w:spacing w:after="0"/>
              <w:rPr>
                <w:sz w:val="20"/>
                <w:szCs w:val="20"/>
                <w:color w:val="auto"/>
              </w:rPr>
            </w:pPr>
            <w:r>
              <w:rPr>
                <w:rFonts w:ascii="Arial" w:cs="Arial" w:eastAsia="Arial" w:hAnsi="Arial"/>
                <w:sz w:val="13"/>
                <w:szCs w:val="13"/>
                <w:b w:val="1"/>
                <w:bCs w:val="1"/>
                <w:color w:val="auto"/>
              </w:rPr>
              <w:t>Coupon</w:t>
            </w:r>
          </w:p>
        </w:tc>
        <w:tc>
          <w:tcPr>
            <w:tcW w:w="6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060" w:type="dxa"/>
            <w:vAlign w:val="bottom"/>
            <w:gridSpan w:val="2"/>
          </w:tcPr>
          <w:p>
            <w:pPr>
              <w:ind w:left="240"/>
              <w:spacing w:after="0"/>
              <w:rPr>
                <w:sz w:val="20"/>
                <w:szCs w:val="20"/>
                <w:color w:val="auto"/>
              </w:rPr>
            </w:pPr>
            <w:r>
              <w:rPr>
                <w:rFonts w:ascii="Arial" w:cs="Arial" w:eastAsia="Arial" w:hAnsi="Arial"/>
                <w:sz w:val="13"/>
                <w:szCs w:val="13"/>
                <w:b w:val="1"/>
                <w:bCs w:val="1"/>
                <w:color w:val="auto"/>
              </w:rPr>
              <w:t>Coupon</w:t>
            </w: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Fixed rate Agency RMBS and TBA securities:</w:t>
            </w:r>
          </w:p>
        </w:tc>
        <w:tc>
          <w:tcPr>
            <w:tcW w:w="16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600" w:type="dxa"/>
            <w:vAlign w:val="bottom"/>
            <w:gridSpan w:val="2"/>
          </w:tcPr>
          <w:p>
            <w:pPr>
              <w:ind w:left="120"/>
              <w:spacing w:after="0"/>
              <w:rPr>
                <w:sz w:val="20"/>
                <w:szCs w:val="20"/>
                <w:color w:val="auto"/>
              </w:rPr>
            </w:pPr>
            <w:r>
              <w:rPr>
                <w:rFonts w:ascii="Arial" w:cs="Arial" w:eastAsia="Arial" w:hAnsi="Arial"/>
                <w:sz w:val="13"/>
                <w:szCs w:val="13"/>
                <w:color w:val="auto"/>
              </w:rPr>
              <w:t>≤ 15-year:</w:t>
            </w: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3600" w:type="dxa"/>
            <w:vAlign w:val="bottom"/>
            <w:gridSpan w:val="2"/>
            <w:shd w:val="clear" w:color="auto" w:fill="CCEEFF"/>
          </w:tcPr>
          <w:p>
            <w:pPr>
              <w:ind w:left="280"/>
              <w:spacing w:after="0"/>
              <w:rPr>
                <w:sz w:val="20"/>
                <w:szCs w:val="20"/>
                <w:color w:val="auto"/>
              </w:rPr>
            </w:pPr>
            <w:r>
              <w:rPr>
                <w:rFonts w:ascii="Arial" w:cs="Arial" w:eastAsia="Arial" w:hAnsi="Arial"/>
                <w:sz w:val="13"/>
                <w:szCs w:val="13"/>
                <w:color w:val="auto"/>
              </w:rPr>
              <w:t>≤ 15-year RMBS</w:t>
            </w:r>
          </w:p>
        </w:tc>
        <w:tc>
          <w:tcPr>
            <w:tcW w:w="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5,433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5,550</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2.64 %</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6 %</w:t>
            </w: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9,256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9,482</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2.48 %</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10 %</w:t>
            </w:r>
          </w:p>
        </w:tc>
        <w:tc>
          <w:tcPr>
            <w:tcW w:w="0" w:type="dxa"/>
            <w:vAlign w:val="bottom"/>
          </w:tcPr>
          <w:p>
            <w:pPr>
              <w:spacing w:after="0"/>
              <w:rPr>
                <w:sz w:val="1"/>
                <w:szCs w:val="1"/>
                <w:color w:val="auto"/>
              </w:rPr>
            </w:pPr>
          </w:p>
        </w:tc>
      </w:tr>
      <w:tr>
        <w:trPr>
          <w:trHeight w:val="175"/>
        </w:trPr>
        <w:tc>
          <w:tcPr>
            <w:tcW w:w="3600" w:type="dxa"/>
            <w:vAlign w:val="bottom"/>
            <w:tcBorders>
              <w:bottom w:val="single" w:sz="8" w:color="CCEEFF"/>
            </w:tcBorders>
            <w:gridSpan w:val="2"/>
          </w:tcPr>
          <w:p>
            <w:pPr>
              <w:ind w:left="240"/>
              <w:spacing w:after="0" w:line="175" w:lineRule="exact"/>
              <w:rPr>
                <w:sz w:val="20"/>
                <w:szCs w:val="20"/>
                <w:color w:val="auto"/>
              </w:rPr>
            </w:pPr>
            <w:r>
              <w:rPr>
                <w:rFonts w:ascii="Arial" w:cs="Arial" w:eastAsia="Arial" w:hAnsi="Arial"/>
                <w:sz w:val="13"/>
                <w:szCs w:val="13"/>
                <w:color w:val="auto"/>
              </w:rPr>
              <w:t xml:space="preserve">15-year TBA securities, net </w:t>
            </w:r>
            <w:r>
              <w:rPr>
                <w:rFonts w:ascii="Arial" w:cs="Arial" w:eastAsia="Arial" w:hAnsi="Arial"/>
                <w:sz w:val="17"/>
                <w:szCs w:val="17"/>
                <w:color w:val="auto"/>
                <w:vertAlign w:val="superscript"/>
              </w:rPr>
              <w:t>1</w:t>
            </w:r>
          </w:p>
        </w:tc>
        <w:tc>
          <w:tcPr>
            <w:tcW w:w="3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764</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765</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1.96 %</w:t>
            </w:r>
          </w:p>
        </w:tc>
        <w:tc>
          <w:tcPr>
            <w:tcW w:w="10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1 %</w:t>
            </w:r>
          </w:p>
        </w:tc>
        <w:tc>
          <w:tcPr>
            <w:tcW w:w="14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6,916</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6,980</w:t>
            </w:r>
          </w:p>
        </w:tc>
        <w:tc>
          <w:tcPr>
            <w:tcW w:w="10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1.74 %</w:t>
            </w: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7 %</w:t>
            </w:r>
          </w:p>
        </w:tc>
        <w:tc>
          <w:tcPr>
            <w:tcW w:w="0" w:type="dxa"/>
            <w:vAlign w:val="bottom"/>
          </w:tcPr>
          <w:p>
            <w:pPr>
              <w:spacing w:after="0"/>
              <w:rPr>
                <w:sz w:val="1"/>
                <w:szCs w:val="1"/>
                <w:color w:val="auto"/>
              </w:rPr>
            </w:pPr>
          </w:p>
        </w:tc>
      </w:tr>
      <w:tr>
        <w:trPr>
          <w:trHeight w:val="167"/>
        </w:trPr>
        <w:tc>
          <w:tcPr>
            <w:tcW w:w="36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Total ≤ 15-year</w:t>
            </w:r>
          </w:p>
        </w:tc>
        <w:tc>
          <w:tcPr>
            <w:tcW w:w="3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6,197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6,315</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2.55 %</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7 %</w:t>
            </w: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16,172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16,462</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2.16 %</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17 %</w:t>
            </w:r>
          </w:p>
        </w:tc>
        <w:tc>
          <w:tcPr>
            <w:tcW w:w="0" w:type="dxa"/>
            <w:vAlign w:val="bottom"/>
          </w:tcPr>
          <w:p>
            <w:pPr>
              <w:spacing w:after="0"/>
              <w:rPr>
                <w:sz w:val="1"/>
                <w:szCs w:val="1"/>
                <w:color w:val="auto"/>
              </w:rPr>
            </w:pPr>
          </w:p>
        </w:tc>
      </w:tr>
      <w:tr>
        <w:trPr>
          <w:trHeight w:val="172"/>
        </w:trPr>
        <w:tc>
          <w:tcPr>
            <w:tcW w:w="3600" w:type="dxa"/>
            <w:vAlign w:val="bottom"/>
            <w:gridSpan w:val="2"/>
          </w:tcPr>
          <w:p>
            <w:pPr>
              <w:ind w:left="100"/>
              <w:spacing w:after="0"/>
              <w:rPr>
                <w:sz w:val="20"/>
                <w:szCs w:val="20"/>
                <w:color w:val="auto"/>
              </w:rPr>
            </w:pPr>
            <w:r>
              <w:rPr>
                <w:rFonts w:ascii="Arial" w:cs="Arial" w:eastAsia="Arial" w:hAnsi="Arial"/>
                <w:sz w:val="13"/>
                <w:szCs w:val="13"/>
                <w:color w:val="auto"/>
              </w:rPr>
              <w:t>20-year RMBS</w:t>
            </w:r>
          </w:p>
        </w:tc>
        <w:tc>
          <w:tcPr>
            <w:tcW w:w="3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2,537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2,549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2.47 %</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3 %</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2,409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2,470</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2.58 %</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3 %</w:t>
            </w:r>
          </w:p>
        </w:tc>
        <w:tc>
          <w:tcPr>
            <w:tcW w:w="0" w:type="dxa"/>
            <w:vAlign w:val="bottom"/>
          </w:tcPr>
          <w:p>
            <w:pPr>
              <w:spacing w:after="0"/>
              <w:rPr>
                <w:sz w:val="1"/>
                <w:szCs w:val="1"/>
                <w:color w:val="auto"/>
              </w:rPr>
            </w:pPr>
          </w:p>
        </w:tc>
      </w:tr>
      <w:tr>
        <w:trPr>
          <w:trHeight w:val="178"/>
        </w:trPr>
        <w:tc>
          <w:tcPr>
            <w:tcW w:w="360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30-year:</w:t>
            </w:r>
          </w:p>
        </w:tc>
        <w:tc>
          <w:tcPr>
            <w:tcW w:w="3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3600" w:type="dxa"/>
            <w:vAlign w:val="bottom"/>
            <w:gridSpan w:val="2"/>
          </w:tcPr>
          <w:p>
            <w:pPr>
              <w:ind w:left="240"/>
              <w:spacing w:after="0"/>
              <w:rPr>
                <w:sz w:val="20"/>
                <w:szCs w:val="20"/>
                <w:color w:val="auto"/>
              </w:rPr>
            </w:pPr>
            <w:r>
              <w:rPr>
                <w:rFonts w:ascii="Arial" w:cs="Arial" w:eastAsia="Arial" w:hAnsi="Arial"/>
                <w:sz w:val="13"/>
                <w:szCs w:val="13"/>
                <w:color w:val="auto"/>
              </w:rPr>
              <w:t>30-year RMBS</w:t>
            </w:r>
          </w:p>
        </w:tc>
        <w:tc>
          <w:tcPr>
            <w:tcW w:w="3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48,448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49,658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3.24 %</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57 %</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50,312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52,663</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3.55 %</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54 %</w:t>
            </w:r>
          </w:p>
        </w:tc>
        <w:tc>
          <w:tcPr>
            <w:tcW w:w="0" w:type="dxa"/>
            <w:vAlign w:val="bottom"/>
          </w:tcPr>
          <w:p>
            <w:pPr>
              <w:spacing w:after="0"/>
              <w:rPr>
                <w:sz w:val="1"/>
                <w:szCs w:val="1"/>
                <w:color w:val="auto"/>
              </w:rPr>
            </w:pPr>
          </w:p>
        </w:tc>
      </w:tr>
      <w:tr>
        <w:trPr>
          <w:trHeight w:val="178"/>
        </w:trPr>
        <w:tc>
          <w:tcPr>
            <w:tcW w:w="3600" w:type="dxa"/>
            <w:vAlign w:val="bottom"/>
            <w:gridSpan w:val="2"/>
            <w:shd w:val="clear" w:color="auto" w:fill="CCEEFF"/>
          </w:tcPr>
          <w:p>
            <w:pPr>
              <w:ind w:left="240"/>
              <w:spacing w:after="0" w:line="178" w:lineRule="exact"/>
              <w:rPr>
                <w:sz w:val="20"/>
                <w:szCs w:val="20"/>
                <w:color w:val="auto"/>
              </w:rPr>
            </w:pPr>
            <w:r>
              <w:rPr>
                <w:rFonts w:ascii="Arial" w:cs="Arial" w:eastAsia="Arial" w:hAnsi="Arial"/>
                <w:sz w:val="13"/>
                <w:szCs w:val="13"/>
                <w:color w:val="auto"/>
              </w:rPr>
              <w:t xml:space="preserve">30-year TBA securities, net </w:t>
            </w:r>
            <w:r>
              <w:rPr>
                <w:rFonts w:ascii="Arial" w:cs="Arial" w:eastAsia="Arial" w:hAnsi="Arial"/>
                <w:sz w:val="17"/>
                <w:szCs w:val="17"/>
                <w:color w:val="auto"/>
                <w:vertAlign w:val="superscript"/>
              </w:rPr>
              <w:t>1</w:t>
            </w:r>
          </w:p>
        </w:tc>
        <w:tc>
          <w:tcPr>
            <w:tcW w:w="32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26,543</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26,621</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2.51 %</w:t>
            </w:r>
          </w:p>
        </w:tc>
        <w:tc>
          <w:tcPr>
            <w:tcW w:w="100" w:type="dxa"/>
            <w:vAlign w:val="bottom"/>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30 %</w:t>
            </w:r>
          </w:p>
        </w:tc>
        <w:tc>
          <w:tcPr>
            <w:tcW w:w="14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24,288</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24,499</w:t>
            </w:r>
          </w:p>
        </w:tc>
        <w:tc>
          <w:tcPr>
            <w:tcW w:w="100" w:type="dxa"/>
            <w:vAlign w:val="bottom"/>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2.05 %</w:t>
            </w:r>
          </w:p>
        </w:tc>
        <w:tc>
          <w:tcPr>
            <w:tcW w:w="100" w:type="dxa"/>
            <w:vAlign w:val="bottom"/>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25 %</w:t>
            </w:r>
          </w:p>
        </w:tc>
        <w:tc>
          <w:tcPr>
            <w:tcW w:w="0" w:type="dxa"/>
            <w:vAlign w:val="bottom"/>
          </w:tcPr>
          <w:p>
            <w:pPr>
              <w:spacing w:after="0"/>
              <w:rPr>
                <w:sz w:val="1"/>
                <w:szCs w:val="1"/>
                <w:color w:val="auto"/>
              </w:rPr>
            </w:pPr>
          </w:p>
        </w:tc>
      </w:tr>
      <w:tr>
        <w:trPr>
          <w:trHeight w:val="164"/>
        </w:trPr>
        <w:tc>
          <w:tcPr>
            <w:tcW w:w="3600" w:type="dxa"/>
            <w:vAlign w:val="bottom"/>
            <w:tcBorders>
              <w:bottom w:val="single" w:sz="8" w:color="CCEEFF"/>
            </w:tcBorders>
            <w:gridSpan w:val="2"/>
          </w:tcPr>
          <w:p>
            <w:pPr>
              <w:ind w:left="100"/>
              <w:spacing w:after="0"/>
              <w:rPr>
                <w:sz w:val="20"/>
                <w:szCs w:val="20"/>
                <w:color w:val="auto"/>
              </w:rPr>
            </w:pPr>
            <w:r>
              <w:rPr>
                <w:rFonts w:ascii="Arial" w:cs="Arial" w:eastAsia="Arial" w:hAnsi="Arial"/>
                <w:sz w:val="13"/>
                <w:szCs w:val="13"/>
                <w:color w:val="auto"/>
              </w:rPr>
              <w:t>Total 30-year</w:t>
            </w:r>
          </w:p>
        </w:tc>
        <w:tc>
          <w:tcPr>
            <w:tcW w:w="3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74,991</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76,279</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2.98 %</w:t>
            </w:r>
          </w:p>
        </w:tc>
        <w:tc>
          <w:tcPr>
            <w:tcW w:w="10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87 %</w:t>
            </w:r>
          </w:p>
        </w:tc>
        <w:tc>
          <w:tcPr>
            <w:tcW w:w="14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74,600</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77,162</w:t>
            </w:r>
          </w:p>
        </w:tc>
        <w:tc>
          <w:tcPr>
            <w:tcW w:w="1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3.06 %</w:t>
            </w: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79 %</w:t>
            </w:r>
          </w:p>
        </w:tc>
        <w:tc>
          <w:tcPr>
            <w:tcW w:w="0" w:type="dxa"/>
            <w:vAlign w:val="bottom"/>
          </w:tcPr>
          <w:p>
            <w:pPr>
              <w:spacing w:after="0"/>
              <w:rPr>
                <w:sz w:val="1"/>
                <w:szCs w:val="1"/>
                <w:color w:val="auto"/>
              </w:rPr>
            </w:pPr>
          </w:p>
        </w:tc>
      </w:tr>
      <w:tr>
        <w:trPr>
          <w:trHeight w:val="171"/>
        </w:trPr>
        <w:tc>
          <w:tcPr>
            <w:tcW w:w="36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Total fixed rate Agency RMBS and TBA securities</w:t>
            </w:r>
          </w:p>
        </w:tc>
        <w:tc>
          <w:tcPr>
            <w:tcW w:w="32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83,725</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85,143</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2.93 %</w:t>
            </w:r>
          </w:p>
        </w:tc>
        <w:tc>
          <w:tcPr>
            <w:tcW w:w="100" w:type="dxa"/>
            <w:vAlign w:val="bottom"/>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97 %</w:t>
            </w:r>
          </w:p>
        </w:tc>
        <w:tc>
          <w:tcPr>
            <w:tcW w:w="14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93,181</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96,094</w:t>
            </w:r>
          </w:p>
        </w:tc>
        <w:tc>
          <w:tcPr>
            <w:tcW w:w="100" w:type="dxa"/>
            <w:vAlign w:val="bottom"/>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2.89 %</w:t>
            </w:r>
          </w:p>
        </w:tc>
        <w:tc>
          <w:tcPr>
            <w:tcW w:w="100" w:type="dxa"/>
            <w:vAlign w:val="bottom"/>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98 %</w:t>
            </w:r>
          </w:p>
        </w:tc>
        <w:tc>
          <w:tcPr>
            <w:tcW w:w="0" w:type="dxa"/>
            <w:vAlign w:val="bottom"/>
          </w:tcPr>
          <w:p>
            <w:pPr>
              <w:spacing w:after="0"/>
              <w:rPr>
                <w:sz w:val="1"/>
                <w:szCs w:val="1"/>
                <w:color w:val="auto"/>
              </w:rPr>
            </w:pPr>
          </w:p>
        </w:tc>
      </w:tr>
      <w:tr>
        <w:trPr>
          <w:trHeight w:val="164"/>
        </w:trPr>
        <w:tc>
          <w:tcPr>
            <w:tcW w:w="3600" w:type="dxa"/>
            <w:vAlign w:val="bottom"/>
            <w:gridSpan w:val="2"/>
          </w:tcPr>
          <w:p>
            <w:pPr>
              <w:ind w:left="20"/>
              <w:spacing w:after="0"/>
              <w:rPr>
                <w:sz w:val="20"/>
                <w:szCs w:val="20"/>
                <w:color w:val="auto"/>
              </w:rPr>
            </w:pPr>
            <w:r>
              <w:rPr>
                <w:rFonts w:ascii="Arial" w:cs="Arial" w:eastAsia="Arial" w:hAnsi="Arial"/>
                <w:sz w:val="13"/>
                <w:szCs w:val="13"/>
                <w:color w:val="auto"/>
              </w:rPr>
              <w:t>Adjustable rate Agency RMBS</w:t>
            </w:r>
          </w:p>
        </w:tc>
        <w:tc>
          <w:tcPr>
            <w:tcW w:w="3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2.28 %</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 %</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70</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2.35 %</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r>
        <w:trPr>
          <w:trHeight w:val="178"/>
        </w:trPr>
        <w:tc>
          <w:tcPr>
            <w:tcW w:w="36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Multifamily</w:t>
            </w:r>
          </w:p>
        </w:tc>
        <w:tc>
          <w:tcPr>
            <w:tcW w:w="3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80" w:type="dxa"/>
            <w:vAlign w:val="bottom"/>
            <w:gridSpan w:val="3"/>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 %</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 %</w:t>
            </w:r>
          </w:p>
        </w:tc>
        <w:tc>
          <w:tcPr>
            <w:tcW w:w="3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3.31 %</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r>
        <w:trPr>
          <w:trHeight w:val="172"/>
        </w:trPr>
        <w:tc>
          <w:tcPr>
            <w:tcW w:w="3600" w:type="dxa"/>
            <w:vAlign w:val="bottom"/>
            <w:gridSpan w:val="2"/>
          </w:tcPr>
          <w:p>
            <w:pPr>
              <w:ind w:left="20"/>
              <w:spacing w:after="0"/>
              <w:rPr>
                <w:sz w:val="20"/>
                <w:szCs w:val="20"/>
                <w:color w:val="auto"/>
              </w:rPr>
            </w:pPr>
            <w:r>
              <w:rPr>
                <w:rFonts w:ascii="Arial" w:cs="Arial" w:eastAsia="Arial" w:hAnsi="Arial"/>
                <w:sz w:val="13"/>
                <w:szCs w:val="13"/>
                <w:color w:val="auto"/>
              </w:rPr>
              <w:t>CMO Agency RMBS:</w:t>
            </w: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360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CMO</w:t>
            </w:r>
          </w:p>
        </w:tc>
        <w:tc>
          <w:tcPr>
            <w:tcW w:w="3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228</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3.17 %</w:t>
            </w: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 %</w:t>
            </w:r>
          </w:p>
        </w:tc>
        <w:tc>
          <w:tcPr>
            <w:tcW w:w="3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301</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3.30 %</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1 %</w:t>
            </w:r>
          </w:p>
        </w:tc>
        <w:tc>
          <w:tcPr>
            <w:tcW w:w="0" w:type="dxa"/>
            <w:vAlign w:val="bottom"/>
          </w:tcPr>
          <w:p>
            <w:pPr>
              <w:spacing w:after="0"/>
              <w:rPr>
                <w:sz w:val="1"/>
                <w:szCs w:val="1"/>
                <w:color w:val="auto"/>
              </w:rPr>
            </w:pPr>
          </w:p>
        </w:tc>
      </w:tr>
      <w:tr>
        <w:trPr>
          <w:trHeight w:val="172"/>
        </w:trPr>
        <w:tc>
          <w:tcPr>
            <w:tcW w:w="3600" w:type="dxa"/>
            <w:vAlign w:val="bottom"/>
            <w:gridSpan w:val="2"/>
          </w:tcPr>
          <w:p>
            <w:pPr>
              <w:ind w:left="240"/>
              <w:spacing w:after="0"/>
              <w:rPr>
                <w:sz w:val="20"/>
                <w:szCs w:val="20"/>
                <w:color w:val="auto"/>
              </w:rPr>
            </w:pPr>
            <w:r>
              <w:rPr>
                <w:rFonts w:ascii="Arial" w:cs="Arial" w:eastAsia="Arial" w:hAnsi="Arial"/>
                <w:sz w:val="13"/>
                <w:szCs w:val="13"/>
                <w:color w:val="auto"/>
              </w:rPr>
              <w:t>Interest-only strips</w:t>
            </w:r>
          </w:p>
        </w:tc>
        <w:tc>
          <w:tcPr>
            <w:tcW w:w="3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5.61 %</w:t>
            </w:r>
          </w:p>
        </w:tc>
        <w:tc>
          <w:tcPr>
            <w:tcW w:w="10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 %</w:t>
            </w:r>
          </w:p>
        </w:tc>
        <w:tc>
          <w:tcPr>
            <w:tcW w:w="3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59</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5.57 %</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r>
        <w:trPr>
          <w:trHeight w:val="178"/>
        </w:trPr>
        <w:tc>
          <w:tcPr>
            <w:tcW w:w="3600" w:type="dxa"/>
            <w:vAlign w:val="bottom"/>
            <w:gridSpan w:val="2"/>
            <w:shd w:val="clear" w:color="auto" w:fill="CCEEFF"/>
          </w:tcPr>
          <w:p>
            <w:pPr>
              <w:ind w:left="240"/>
              <w:spacing w:after="0"/>
              <w:rPr>
                <w:sz w:val="20"/>
                <w:szCs w:val="20"/>
                <w:color w:val="auto"/>
              </w:rPr>
            </w:pPr>
            <w:r>
              <w:rPr>
                <w:rFonts w:ascii="Arial" w:cs="Arial" w:eastAsia="Arial" w:hAnsi="Arial"/>
                <w:sz w:val="13"/>
                <w:szCs w:val="13"/>
                <w:color w:val="auto"/>
              </w:rPr>
              <w:t>Principal-only strips</w:t>
            </w:r>
          </w:p>
        </w:tc>
        <w:tc>
          <w:tcPr>
            <w:tcW w:w="3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 %</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 %</w:t>
            </w:r>
          </w:p>
        </w:tc>
        <w:tc>
          <w:tcPr>
            <w:tcW w:w="3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w:t>
            </w: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 %</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r>
        <w:trPr>
          <w:trHeight w:val="164"/>
        </w:trPr>
        <w:tc>
          <w:tcPr>
            <w:tcW w:w="360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Total CMO Agency RMBS</w:t>
            </w:r>
          </w:p>
        </w:tc>
        <w:tc>
          <w:tcPr>
            <w:tcW w:w="32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303</w:t>
            </w:r>
          </w:p>
        </w:tc>
        <w:tc>
          <w:tcPr>
            <w:tcW w:w="10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328</w:t>
            </w:r>
          </w:p>
        </w:tc>
        <w:tc>
          <w:tcPr>
            <w:tcW w:w="10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4.10 %</w:t>
            </w:r>
          </w:p>
        </w:tc>
        <w:tc>
          <w:tcPr>
            <w:tcW w:w="100" w:type="dxa"/>
            <w:vAlign w:val="bottom"/>
            <w:tcBorders>
              <w:bottom w:val="single" w:sz="8" w:color="CCEEFF"/>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 %</w:t>
            </w:r>
          </w:p>
        </w:tc>
        <w:tc>
          <w:tcPr>
            <w:tcW w:w="140" w:type="dxa"/>
            <w:vAlign w:val="bottom"/>
            <w:tcBorders>
              <w:bottom w:val="single" w:sz="8" w:color="CCEEFF"/>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394</w:t>
            </w:r>
          </w:p>
        </w:tc>
        <w:tc>
          <w:tcPr>
            <w:tcW w:w="10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427</w:t>
            </w:r>
          </w:p>
        </w:tc>
        <w:tc>
          <w:tcPr>
            <w:tcW w:w="100" w:type="dxa"/>
            <w:vAlign w:val="bottom"/>
            <w:tcBorders>
              <w:bottom w:val="single" w:sz="8" w:color="CCEEFF"/>
            </w:tcBorders>
          </w:tcPr>
          <w:p>
            <w:pPr>
              <w:spacing w:after="0"/>
              <w:rPr>
                <w:sz w:val="14"/>
                <w:szCs w:val="14"/>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4.10 %</w:t>
            </w:r>
          </w:p>
        </w:tc>
        <w:tc>
          <w:tcPr>
            <w:tcW w:w="100" w:type="dxa"/>
            <w:vAlign w:val="bottom"/>
            <w:tcBorders>
              <w:bottom w:val="single" w:sz="8" w:color="CCEEFF"/>
            </w:tcBorders>
          </w:tcPr>
          <w:p>
            <w:pPr>
              <w:spacing w:after="0"/>
              <w:rPr>
                <w:sz w:val="14"/>
                <w:szCs w:val="1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1 %</w:t>
            </w:r>
          </w:p>
        </w:tc>
        <w:tc>
          <w:tcPr>
            <w:tcW w:w="0" w:type="dxa"/>
            <w:vAlign w:val="bottom"/>
          </w:tcPr>
          <w:p>
            <w:pPr>
              <w:spacing w:after="0"/>
              <w:rPr>
                <w:sz w:val="1"/>
                <w:szCs w:val="1"/>
                <w:color w:val="auto"/>
              </w:rPr>
            </w:pPr>
          </w:p>
        </w:tc>
      </w:tr>
      <w:tr>
        <w:trPr>
          <w:trHeight w:val="171"/>
        </w:trPr>
        <w:tc>
          <w:tcPr>
            <w:tcW w:w="36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Total Agency RMBS and TBA securities</w:t>
            </w:r>
          </w:p>
        </w:tc>
        <w:tc>
          <w:tcPr>
            <w:tcW w:w="32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84,082</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85,527</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2.94 %</w:t>
            </w:r>
          </w:p>
        </w:tc>
        <w:tc>
          <w:tcPr>
            <w:tcW w:w="100" w:type="dxa"/>
            <w:vAlign w:val="bottom"/>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98 %</w:t>
            </w:r>
          </w:p>
        </w:tc>
        <w:tc>
          <w:tcPr>
            <w:tcW w:w="14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93,661</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96,610</w:t>
            </w:r>
          </w:p>
        </w:tc>
        <w:tc>
          <w:tcPr>
            <w:tcW w:w="100" w:type="dxa"/>
            <w:vAlign w:val="bottom"/>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2.90 %</w:t>
            </w:r>
          </w:p>
        </w:tc>
        <w:tc>
          <w:tcPr>
            <w:tcW w:w="100" w:type="dxa"/>
            <w:vAlign w:val="bottom"/>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99 %</w:t>
            </w:r>
          </w:p>
        </w:tc>
        <w:tc>
          <w:tcPr>
            <w:tcW w:w="0" w:type="dxa"/>
            <w:vAlign w:val="bottom"/>
          </w:tcPr>
          <w:p>
            <w:pPr>
              <w:spacing w:after="0"/>
              <w:rPr>
                <w:sz w:val="1"/>
                <w:szCs w:val="1"/>
                <w:color w:val="auto"/>
              </w:rPr>
            </w:pPr>
          </w:p>
        </w:tc>
      </w:tr>
      <w:tr>
        <w:trPr>
          <w:trHeight w:val="167"/>
        </w:trPr>
        <w:tc>
          <w:tcPr>
            <w:tcW w:w="3600" w:type="dxa"/>
            <w:vAlign w:val="bottom"/>
            <w:gridSpan w:val="2"/>
          </w:tcPr>
          <w:p>
            <w:pPr>
              <w:ind w:left="20"/>
              <w:spacing w:after="0" w:line="167" w:lineRule="exact"/>
              <w:rPr>
                <w:sz w:val="20"/>
                <w:szCs w:val="20"/>
                <w:color w:val="auto"/>
              </w:rPr>
            </w:pPr>
            <w:r>
              <w:rPr>
                <w:rFonts w:ascii="Arial" w:cs="Arial" w:eastAsia="Arial" w:hAnsi="Arial"/>
                <w:sz w:val="13"/>
                <w:szCs w:val="13"/>
                <w:color w:val="auto"/>
              </w:rPr>
              <w:t xml:space="preserve">Non-Agency RMBS </w:t>
            </w:r>
            <w:r>
              <w:rPr>
                <w:rFonts w:ascii="Arial" w:cs="Arial" w:eastAsia="Arial" w:hAnsi="Arial"/>
                <w:sz w:val="17"/>
                <w:szCs w:val="17"/>
                <w:color w:val="auto"/>
                <w:vertAlign w:val="superscript"/>
              </w:rPr>
              <w:t>2</w:t>
            </w:r>
          </w:p>
        </w:tc>
        <w:tc>
          <w:tcPr>
            <w:tcW w:w="3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490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503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3.18 %</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1 %</w:t>
            </w: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178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188</w:t>
            </w:r>
          </w:p>
        </w:tc>
        <w:tc>
          <w:tcPr>
            <w:tcW w:w="1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4.28 %</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r>
        <w:trPr>
          <w:trHeight w:val="175"/>
        </w:trPr>
        <w:tc>
          <w:tcPr>
            <w:tcW w:w="36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CMBS</w:t>
            </w:r>
          </w:p>
        </w:tc>
        <w:tc>
          <w:tcPr>
            <w:tcW w:w="3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353</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3.69 %</w:t>
            </w:r>
          </w:p>
        </w:tc>
        <w:tc>
          <w:tcPr>
            <w:tcW w:w="1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 %</w:t>
            </w:r>
          </w:p>
        </w:tc>
        <w:tc>
          <w:tcPr>
            <w:tcW w:w="3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358</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4.13 %</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 %</w:t>
            </w:r>
          </w:p>
        </w:tc>
        <w:tc>
          <w:tcPr>
            <w:tcW w:w="0" w:type="dxa"/>
            <w:vAlign w:val="bottom"/>
          </w:tcPr>
          <w:p>
            <w:pPr>
              <w:spacing w:after="0"/>
              <w:rPr>
                <w:sz w:val="1"/>
                <w:szCs w:val="1"/>
                <w:color w:val="auto"/>
              </w:rPr>
            </w:pPr>
          </w:p>
        </w:tc>
      </w:tr>
      <w:tr>
        <w:trPr>
          <w:trHeight w:val="172"/>
        </w:trPr>
        <w:tc>
          <w:tcPr>
            <w:tcW w:w="360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CRT</w:t>
            </w:r>
          </w:p>
        </w:tc>
        <w:tc>
          <w:tcPr>
            <w:tcW w:w="3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1,081</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1,105</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3.58 %</w:t>
            </w:r>
          </w:p>
        </w:tc>
        <w:tc>
          <w:tcPr>
            <w:tcW w:w="10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1 %</w:t>
            </w:r>
          </w:p>
        </w:tc>
        <w:tc>
          <w:tcPr>
            <w:tcW w:w="14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733</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737</w:t>
            </w:r>
          </w:p>
        </w:tc>
        <w:tc>
          <w:tcPr>
            <w:tcW w:w="1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3.43 %</w:t>
            </w:r>
          </w:p>
        </w:tc>
        <w:tc>
          <w:tcPr>
            <w:tcW w:w="10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1 %</w:t>
            </w:r>
          </w:p>
        </w:tc>
        <w:tc>
          <w:tcPr>
            <w:tcW w:w="0" w:type="dxa"/>
            <w:vAlign w:val="bottom"/>
          </w:tcPr>
          <w:p>
            <w:pPr>
              <w:spacing w:after="0"/>
              <w:rPr>
                <w:sz w:val="1"/>
                <w:szCs w:val="1"/>
                <w:color w:val="auto"/>
              </w:rPr>
            </w:pPr>
          </w:p>
        </w:tc>
      </w:tr>
      <w:tr>
        <w:trPr>
          <w:trHeight w:val="196"/>
        </w:trPr>
        <w:tc>
          <w:tcPr>
            <w:tcW w:w="3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Total investment portfolio</w:t>
            </w:r>
          </w:p>
        </w:tc>
        <w:tc>
          <w:tcPr>
            <w:tcW w:w="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85,989</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87,488</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2.95 %</w:t>
            </w: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100 %</w:t>
            </w:r>
          </w:p>
        </w:tc>
        <w:tc>
          <w:tcPr>
            <w:tcW w:w="14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94,905</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97,893</w:t>
            </w:r>
          </w:p>
        </w:tc>
        <w:tc>
          <w:tcPr>
            <w:tcW w:w="1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2.91 %</w:t>
            </w: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100 %</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w:t>
      </w:r>
    </w:p>
    <w:p>
      <w:pPr>
        <w:spacing w:after="0" w:line="1" w:lineRule="exact"/>
        <w:rPr>
          <w:sz w:val="20"/>
          <w:szCs w:val="20"/>
          <w:color w:val="auto"/>
        </w:rPr>
      </w:pPr>
    </w:p>
    <w:p>
      <w:pPr>
        <w:ind w:left="600" w:hanging="300"/>
        <w:spacing w:after="0"/>
        <w:tabs>
          <w:tab w:leader="none" w:pos="6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TBA securities are presented net of long and short positions. For further details of our TBA securities refer to Note 5 of our Consolidated Financial Statements in this Form 10-Q.</w:t>
      </w:r>
    </w:p>
    <w:p>
      <w:pPr>
        <w:ind w:left="600" w:hanging="300"/>
        <w:spacing w:after="0"/>
        <w:tabs>
          <w:tab w:leader="none" w:pos="600" w:val="left"/>
        </w:tabs>
        <w:numPr>
          <w:ilvl w:val="0"/>
          <w:numId w:val="20"/>
        </w:numPr>
        <w:rPr>
          <w:rFonts w:ascii="Arial" w:cs="Arial" w:eastAsia="Arial" w:hAnsi="Arial"/>
          <w:sz w:val="13"/>
          <w:szCs w:val="13"/>
          <w:color w:val="auto"/>
        </w:rPr>
      </w:pPr>
      <w:r>
        <w:rPr>
          <w:rFonts w:ascii="Arial" w:cs="Arial" w:eastAsia="Arial" w:hAnsi="Arial"/>
          <w:sz w:val="13"/>
          <w:szCs w:val="13"/>
          <w:color w:val="auto"/>
        </w:rPr>
        <w:t>Includes $0.3 billion of forward settling non-Agency securities.</w:t>
      </w:r>
    </w:p>
    <w:p>
      <w:pPr>
        <w:spacing w:after="0" w:line="144" w:lineRule="exact"/>
        <w:rPr>
          <w:sz w:val="20"/>
          <w:szCs w:val="20"/>
          <w:color w:val="auto"/>
        </w:rPr>
      </w:pPr>
    </w:p>
    <w:p>
      <w:pPr>
        <w:jc w:val="both"/>
        <w:ind w:firstLine="375"/>
        <w:spacing w:after="0" w:line="250" w:lineRule="auto"/>
        <w:rPr>
          <w:sz w:val="20"/>
          <w:szCs w:val="20"/>
          <w:color w:val="auto"/>
        </w:rPr>
      </w:pPr>
      <w:r>
        <w:rPr>
          <w:rFonts w:ascii="Arial" w:cs="Arial" w:eastAsia="Arial" w:hAnsi="Arial"/>
          <w:sz w:val="17"/>
          <w:szCs w:val="17"/>
          <w:color w:val="auto"/>
        </w:rPr>
        <w:t>TBA and forward settling securities are recorded as derivative instruments in our accompanying consolidated financial statements, and our TBA dollar roll transactions represent a form of off-balance sheet financing. As of June 30, 2021 and December 31, 2020, our TBA position and forward settling securities had a net carrying value of $79 million and $275 million, respectively, reported in derivative assets /(liabilities) on our accompanying consolidated balance sheets. The net carrying value represents the difference between the fair value of the underlying security in the TBA contract or forward purchase agreement and the price to be paid or received for the underlying security.</w:t>
      </w:r>
    </w:p>
    <w:p>
      <w:pPr>
        <w:spacing w:after="0" w:line="132" w:lineRule="exact"/>
        <w:rPr>
          <w:sz w:val="20"/>
          <w:szCs w:val="20"/>
          <w:color w:val="auto"/>
        </w:rPr>
      </w:pPr>
    </w:p>
    <w:p>
      <w:pPr>
        <w:jc w:val="both"/>
        <w:ind w:firstLine="375"/>
        <w:spacing w:after="0" w:line="266" w:lineRule="auto"/>
        <w:rPr>
          <w:sz w:val="20"/>
          <w:szCs w:val="20"/>
          <w:color w:val="auto"/>
        </w:rPr>
      </w:pPr>
      <w:r>
        <w:rPr>
          <w:rFonts w:ascii="Arial" w:cs="Arial" w:eastAsia="Arial" w:hAnsi="Arial"/>
          <w:sz w:val="17"/>
          <w:szCs w:val="17"/>
          <w:color w:val="auto"/>
        </w:rPr>
        <w:t>As of June 30, 2021 and December 31, 2020, the weighted average yield on our investment securities (excluding TBA and forward settling securities) was 2.42% and 2.33%, respectively.</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9" w:name="page30"/>
    <w:bookmarkEnd w:id="29"/>
    <w:p>
      <w:pPr>
        <w:ind w:firstLine="412"/>
        <w:spacing w:after="0" w:line="266" w:lineRule="auto"/>
        <w:rPr>
          <w:sz w:val="20"/>
          <w:szCs w:val="20"/>
          <w:color w:val="auto"/>
        </w:rPr>
      </w:pPr>
      <w:r>
        <w:rPr>
          <w:rFonts w:ascii="Arial" w:cs="Arial" w:eastAsia="Arial" w:hAnsi="Arial"/>
          <w:sz w:val="17"/>
          <w:szCs w:val="17"/>
          <w:color w:val="auto"/>
        </w:rPr>
        <w:t>The following tables summarize certain characteristics of our fixed rate Agency RMBS portfolio, inclusive of TBA securities, as of June 30, 2021 and December 31, 2020 (dollars in millions):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June 30, 2021</w:t>
            </w:r>
          </w:p>
        </w:tc>
        <w:tc>
          <w:tcPr>
            <w:tcW w:w="6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5"/>
          </w:tcPr>
          <w:p>
            <w:pPr>
              <w:jc w:val="right"/>
              <w:ind w:right="200"/>
              <w:spacing w:after="0"/>
              <w:rPr>
                <w:sz w:val="20"/>
                <w:szCs w:val="20"/>
                <w:color w:val="auto"/>
              </w:rPr>
            </w:pPr>
            <w:r>
              <w:rPr>
                <w:rFonts w:ascii="Arial" w:cs="Arial" w:eastAsia="Arial" w:hAnsi="Arial"/>
                <w:sz w:val="13"/>
                <w:szCs w:val="13"/>
                <w:b w:val="1"/>
                <w:bCs w:val="1"/>
                <w:color w:val="auto"/>
                <w:w w:val="97"/>
              </w:rPr>
              <w:t>Includes Net TBA Position</w:t>
            </w:r>
          </w:p>
        </w:tc>
        <w:tc>
          <w:tcPr>
            <w:tcW w:w="9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6"/>
          </w:tcPr>
          <w:p>
            <w:pPr>
              <w:ind w:left="460"/>
              <w:spacing w:after="0"/>
              <w:rPr>
                <w:sz w:val="20"/>
                <w:szCs w:val="20"/>
                <w:color w:val="auto"/>
              </w:rPr>
            </w:pPr>
            <w:r>
              <w:rPr>
                <w:rFonts w:ascii="Arial" w:cs="Arial" w:eastAsia="Arial" w:hAnsi="Arial"/>
                <w:sz w:val="13"/>
                <w:szCs w:val="13"/>
                <w:b w:val="1"/>
                <w:bCs w:val="1"/>
                <w:color w:val="auto"/>
              </w:rPr>
              <w:t>Excludes Net TBA Position</w:t>
            </w:r>
          </w:p>
        </w:tc>
        <w:tc>
          <w:tcPr>
            <w:tcW w:w="5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4"/>
          </w:tcPr>
          <w:p>
            <w:pPr>
              <w:ind w:left="120"/>
              <w:spacing w:after="0"/>
              <w:rPr>
                <w:sz w:val="20"/>
                <w:szCs w:val="20"/>
                <w:color w:val="auto"/>
              </w:rPr>
            </w:pPr>
            <w:r>
              <w:rPr>
                <w:rFonts w:ascii="Arial" w:cs="Arial" w:eastAsia="Arial" w:hAnsi="Arial"/>
                <w:sz w:val="13"/>
                <w:szCs w:val="13"/>
                <w:b w:val="1"/>
                <w:bCs w:val="1"/>
                <w:color w:val="auto"/>
              </w:rPr>
              <w:t>Weighted Average</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420" w:type="dxa"/>
            <w:vAlign w:val="bottom"/>
            <w:gridSpan w:val="2"/>
          </w:tcPr>
          <w:p>
            <w:pPr>
              <w:ind w:left="20"/>
              <w:spacing w:after="0"/>
              <w:rPr>
                <w:sz w:val="20"/>
                <w:szCs w:val="20"/>
                <w:color w:val="auto"/>
              </w:rPr>
            </w:pPr>
            <w:r>
              <w:rPr>
                <w:rFonts w:ascii="Arial" w:cs="Arial" w:eastAsia="Arial" w:hAnsi="Arial"/>
                <w:sz w:val="13"/>
                <w:szCs w:val="13"/>
                <w:b w:val="1"/>
                <w:bCs w:val="1"/>
                <w:color w:val="auto"/>
              </w:rPr>
              <w:t>Fixed Rate Agency RMBS and TBA</w:t>
            </w:r>
          </w:p>
        </w:tc>
        <w:tc>
          <w:tcPr>
            <w:tcW w:w="100" w:type="dxa"/>
            <w:vAlign w:val="bottom"/>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Par Value</w:t>
            </w:r>
          </w:p>
        </w:tc>
        <w:tc>
          <w:tcPr>
            <w:tcW w:w="12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Amortized</w:t>
            </w:r>
          </w:p>
        </w:tc>
        <w:tc>
          <w:tcPr>
            <w:tcW w:w="100" w:type="dxa"/>
            <w:vAlign w:val="bottom"/>
          </w:tcPr>
          <w:p>
            <w:pPr>
              <w:spacing w:after="0"/>
              <w:rPr>
                <w:sz w:val="14"/>
                <w:szCs w:val="14"/>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3"/>
                <w:szCs w:val="13"/>
                <w:b w:val="1"/>
                <w:bCs w:val="1"/>
                <w:color w:val="auto"/>
                <w:w w:val="93"/>
              </w:rPr>
              <w:t>Fair Value</w:t>
            </w:r>
          </w:p>
        </w:tc>
        <w:tc>
          <w:tcPr>
            <w:tcW w:w="1140" w:type="dxa"/>
            <w:vAlign w:val="bottom"/>
            <w:gridSpan w:val="2"/>
          </w:tcPr>
          <w:p>
            <w:pPr>
              <w:ind w:left="60"/>
              <w:spacing w:after="0"/>
              <w:rPr>
                <w:sz w:val="20"/>
                <w:szCs w:val="20"/>
                <w:color w:val="auto"/>
              </w:rPr>
            </w:pPr>
            <w:r>
              <w:rPr>
                <w:rFonts w:ascii="Arial" w:cs="Arial" w:eastAsia="Arial" w:hAnsi="Arial"/>
                <w:sz w:val="13"/>
                <w:szCs w:val="13"/>
                <w:b w:val="1"/>
                <w:bCs w:val="1"/>
                <w:color w:val="auto"/>
              </w:rPr>
              <w:t>Specified Pool</w:t>
            </w:r>
          </w:p>
        </w:tc>
        <w:tc>
          <w:tcPr>
            <w:tcW w:w="11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7"/>
              </w:rPr>
              <w:t>Amortized</w:t>
            </w:r>
          </w:p>
        </w:tc>
        <w:tc>
          <w:tcPr>
            <w:tcW w:w="6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2"/>
              </w:rPr>
              <w:t xml:space="preserve">WAC </w:t>
            </w:r>
            <w:r>
              <w:rPr>
                <w:rFonts w:ascii="Arial" w:cs="Arial" w:eastAsia="Arial" w:hAnsi="Arial"/>
                <w:sz w:val="17"/>
                <w:szCs w:val="17"/>
                <w:b w:val="1"/>
                <w:bCs w:val="1"/>
                <w:color w:val="auto"/>
                <w:w w:val="92"/>
                <w:vertAlign w:val="superscript"/>
              </w:rPr>
              <w:t>2</w:t>
            </w:r>
          </w:p>
        </w:tc>
        <w:tc>
          <w:tcPr>
            <w:tcW w:w="140" w:type="dxa"/>
            <w:vAlign w:val="bottom"/>
          </w:tcPr>
          <w:p>
            <w:pPr>
              <w:spacing w:after="0"/>
              <w:rPr>
                <w:sz w:val="14"/>
                <w:szCs w:val="14"/>
                <w:color w:val="auto"/>
              </w:rPr>
            </w:pPr>
          </w:p>
        </w:tc>
        <w:tc>
          <w:tcPr>
            <w:tcW w:w="840" w:type="dxa"/>
            <w:vAlign w:val="bottom"/>
            <w:gridSpan w:val="2"/>
            <w:vMerge w:val="restart"/>
          </w:tcPr>
          <w:p>
            <w:pPr>
              <w:ind w:left="180"/>
              <w:spacing w:after="0"/>
              <w:rPr>
                <w:sz w:val="20"/>
                <w:szCs w:val="20"/>
                <w:color w:val="auto"/>
              </w:rPr>
            </w:pPr>
            <w:r>
              <w:rPr>
                <w:rFonts w:ascii="Arial" w:cs="Arial" w:eastAsia="Arial" w:hAnsi="Arial"/>
                <w:sz w:val="13"/>
                <w:szCs w:val="13"/>
                <w:b w:val="1"/>
                <w:bCs w:val="1"/>
                <w:color w:val="auto"/>
              </w:rPr>
              <w:t xml:space="preserve">Yield </w:t>
            </w:r>
            <w:r>
              <w:rPr>
                <w:rFonts w:ascii="Arial" w:cs="Arial" w:eastAsia="Arial" w:hAnsi="Arial"/>
                <w:sz w:val="17"/>
                <w:szCs w:val="17"/>
                <w:b w:val="1"/>
                <w:bCs w:val="1"/>
                <w:color w:val="auto"/>
                <w:vertAlign w:val="superscript"/>
              </w:rPr>
              <w:t>3</w:t>
            </w:r>
          </w:p>
        </w:tc>
        <w:tc>
          <w:tcPr>
            <w:tcW w:w="106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Age (Months)</w:t>
            </w:r>
          </w:p>
        </w:tc>
        <w:tc>
          <w:tcPr>
            <w:tcW w:w="900" w:type="dxa"/>
            <w:vAlign w:val="bottom"/>
            <w:gridSpan w:val="2"/>
          </w:tcPr>
          <w:p>
            <w:pPr>
              <w:jc w:val="right"/>
              <w:ind w:right="153"/>
              <w:spacing w:after="0"/>
              <w:rPr>
                <w:sz w:val="20"/>
                <w:szCs w:val="20"/>
                <w:color w:val="auto"/>
              </w:rPr>
            </w:pPr>
            <w:r>
              <w:rPr>
                <w:rFonts w:ascii="Arial" w:cs="Arial" w:eastAsia="Arial" w:hAnsi="Arial"/>
                <w:sz w:val="13"/>
                <w:szCs w:val="13"/>
                <w:b w:val="1"/>
                <w:bCs w:val="1"/>
                <w:color w:val="auto"/>
              </w:rPr>
              <w:t>Projected</w:t>
            </w:r>
          </w:p>
        </w:tc>
        <w:tc>
          <w:tcPr>
            <w:tcW w:w="0" w:type="dxa"/>
            <w:vAlign w:val="bottom"/>
          </w:tcPr>
          <w:p>
            <w:pPr>
              <w:spacing w:after="0"/>
              <w:rPr>
                <w:sz w:val="1"/>
                <w:szCs w:val="1"/>
                <w:color w:val="auto"/>
              </w:rPr>
            </w:pPr>
          </w:p>
        </w:tc>
      </w:tr>
      <w:tr>
        <w:trPr>
          <w:trHeight w:val="175"/>
        </w:trPr>
        <w:tc>
          <w:tcPr>
            <w:tcW w:w="2420" w:type="dxa"/>
            <w:vAlign w:val="bottom"/>
            <w:gridSpan w:val="2"/>
          </w:tcPr>
          <w:p>
            <w:pPr>
              <w:ind w:left="20"/>
              <w:spacing w:after="0"/>
              <w:rPr>
                <w:sz w:val="20"/>
                <w:szCs w:val="20"/>
                <w:color w:val="auto"/>
              </w:rPr>
            </w:pPr>
            <w:r>
              <w:rPr>
                <w:rFonts w:ascii="Arial" w:cs="Arial" w:eastAsia="Arial" w:hAnsi="Arial"/>
                <w:sz w:val="13"/>
                <w:szCs w:val="13"/>
                <w:b w:val="1"/>
                <w:bCs w:val="1"/>
                <w:color w:val="auto"/>
              </w:rPr>
              <w:t>Securities</w:t>
            </w:r>
          </w:p>
        </w:tc>
        <w:tc>
          <w:tcPr>
            <w:tcW w:w="1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Cost</w:t>
            </w:r>
          </w:p>
        </w:tc>
        <w:tc>
          <w:tcPr>
            <w:tcW w:w="10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920" w:type="dxa"/>
            <w:vAlign w:val="bottom"/>
          </w:tcPr>
          <w:p>
            <w:pPr>
              <w:jc w:val="center"/>
              <w:spacing w:after="0" w:line="175" w:lineRule="exact"/>
              <w:rPr>
                <w:sz w:val="20"/>
                <w:szCs w:val="20"/>
                <w:color w:val="auto"/>
              </w:rPr>
            </w:pPr>
            <w:r>
              <w:rPr>
                <w:rFonts w:ascii="Arial" w:cs="Arial" w:eastAsia="Arial" w:hAnsi="Arial"/>
                <w:sz w:val="20"/>
                <w:szCs w:val="20"/>
                <w:b w:val="1"/>
                <w:bCs w:val="1"/>
                <w:color w:val="auto"/>
                <w:vertAlign w:val="subscript"/>
              </w:rPr>
              <w:t>%</w:t>
            </w:r>
            <w:r>
              <w:rPr>
                <w:rFonts w:ascii="Arial" w:cs="Arial" w:eastAsia="Arial" w:hAnsi="Arial"/>
                <w:sz w:val="8"/>
                <w:szCs w:val="8"/>
                <w:b w:val="1"/>
                <w:bCs w:val="1"/>
                <w:color w:val="auto"/>
              </w:rPr>
              <w:t xml:space="preserve"> 1</w:t>
            </w:r>
          </w:p>
        </w:tc>
        <w:tc>
          <w:tcPr>
            <w:tcW w:w="220" w:type="dxa"/>
            <w:vAlign w:val="bottom"/>
          </w:tcPr>
          <w:p>
            <w:pPr>
              <w:spacing w:after="0"/>
              <w:rPr>
                <w:sz w:val="15"/>
                <w:szCs w:val="15"/>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6"/>
              </w:rPr>
              <w:t>Cost Basis</w:t>
            </w:r>
          </w:p>
        </w:tc>
        <w:tc>
          <w:tcPr>
            <w:tcW w:w="6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580" w:type="dxa"/>
            <w:vAlign w:val="bottom"/>
          </w:tcPr>
          <w:p>
            <w:pPr>
              <w:ind w:left="280"/>
              <w:spacing w:after="0"/>
              <w:rPr>
                <w:sz w:val="20"/>
                <w:szCs w:val="20"/>
                <w:color w:val="auto"/>
              </w:rPr>
            </w:pPr>
            <w:r>
              <w:rPr>
                <w:rFonts w:ascii="Arial" w:cs="Arial" w:eastAsia="Arial" w:hAnsi="Arial"/>
                <w:sz w:val="13"/>
                <w:szCs w:val="13"/>
                <w:b w:val="1"/>
                <w:bCs w:val="1"/>
                <w:color w:val="auto"/>
              </w:rPr>
              <w:t>CPR</w:t>
            </w:r>
          </w:p>
        </w:tc>
        <w:tc>
          <w:tcPr>
            <w:tcW w:w="320" w:type="dxa"/>
            <w:vAlign w:val="bottom"/>
          </w:tcPr>
          <w:p>
            <w:pPr>
              <w:jc w:val="right"/>
              <w:ind w:right="253"/>
              <w:spacing w:after="0"/>
              <w:rPr>
                <w:sz w:val="20"/>
                <w:szCs w:val="20"/>
                <w:color w:val="auto"/>
              </w:rPr>
            </w:pPr>
            <w:r>
              <w:rPr>
                <w:rFonts w:ascii="Arial" w:cs="Arial" w:eastAsia="Arial" w:hAnsi="Arial"/>
                <w:sz w:val="5"/>
                <w:szCs w:val="5"/>
                <w:b w:val="1"/>
                <w:bCs w:val="1"/>
                <w:color w:val="auto"/>
                <w:w w:val="70"/>
              </w:rPr>
              <w:t>3</w:t>
            </w:r>
          </w:p>
        </w:tc>
        <w:tc>
          <w:tcPr>
            <w:tcW w:w="0" w:type="dxa"/>
            <w:vAlign w:val="bottom"/>
          </w:tcPr>
          <w:p>
            <w:pPr>
              <w:spacing w:after="0"/>
              <w:rPr>
                <w:sz w:val="1"/>
                <w:szCs w:val="1"/>
                <w:color w:val="auto"/>
              </w:rPr>
            </w:pPr>
          </w:p>
        </w:tc>
      </w:tr>
      <w:tr>
        <w:trPr>
          <w:trHeight w:val="167"/>
        </w:trPr>
        <w:tc>
          <w:tcPr>
            <w:tcW w:w="23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Fixed rate</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420" w:type="dxa"/>
            <w:vAlign w:val="bottom"/>
            <w:gridSpan w:val="2"/>
          </w:tcPr>
          <w:p>
            <w:pPr>
              <w:ind w:left="240"/>
              <w:spacing w:after="0"/>
              <w:rPr>
                <w:sz w:val="20"/>
                <w:szCs w:val="20"/>
                <w:color w:val="auto"/>
              </w:rPr>
            </w:pPr>
            <w:r>
              <w:rPr>
                <w:rFonts w:ascii="Arial" w:cs="Arial" w:eastAsia="Arial" w:hAnsi="Arial"/>
                <w:sz w:val="13"/>
                <w:szCs w:val="13"/>
                <w:color w:val="auto"/>
              </w:rPr>
              <w:t>≤ 15-year:</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320" w:type="dxa"/>
            <w:vAlign w:val="bottom"/>
            <w:shd w:val="clear" w:color="auto" w:fill="CCEEFF"/>
          </w:tcPr>
          <w:p>
            <w:pPr>
              <w:ind w:left="320"/>
              <w:spacing w:after="0"/>
              <w:rPr>
                <w:sz w:val="20"/>
                <w:szCs w:val="20"/>
                <w:color w:val="auto"/>
              </w:rPr>
            </w:pPr>
            <w:r>
              <w:rPr>
                <w:rFonts w:ascii="Arial" w:cs="Arial" w:eastAsia="Arial" w:hAnsi="Arial"/>
                <w:sz w:val="13"/>
                <w:szCs w:val="13"/>
                <w:color w:val="auto"/>
              </w:rPr>
              <w:t>1.5%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1,394</w:t>
            </w:r>
          </w:p>
        </w:tc>
        <w:tc>
          <w:tcPr>
            <w:tcW w:w="1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center"/>
              <w:ind w:right="220"/>
              <w:spacing w:after="0"/>
              <w:rPr>
                <w:sz w:val="20"/>
                <w:szCs w:val="20"/>
                <w:color w:val="auto"/>
              </w:rPr>
            </w:pPr>
            <w:r>
              <w:rPr>
                <w:rFonts w:ascii="Arial" w:cs="Arial" w:eastAsia="Arial" w:hAnsi="Arial"/>
                <w:sz w:val="13"/>
                <w:szCs w:val="13"/>
                <w:color w:val="auto"/>
                <w:w w:val="97"/>
              </w:rPr>
              <w:t>—%</w:t>
            </w:r>
          </w:p>
        </w:tc>
        <w:tc>
          <w:tcPr>
            <w:tcW w:w="10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102.3%</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2.29%</w:t>
            </w:r>
          </w:p>
        </w:tc>
        <w:tc>
          <w:tcPr>
            <w:tcW w:w="88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0.94%</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7</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center"/>
              <w:ind w:left="253"/>
              <w:spacing w:after="0"/>
              <w:rPr>
                <w:sz w:val="20"/>
                <w:szCs w:val="20"/>
                <w:color w:val="auto"/>
              </w:rPr>
            </w:pPr>
            <w:r>
              <w:rPr>
                <w:rFonts w:ascii="Arial" w:cs="Arial" w:eastAsia="Arial" w:hAnsi="Arial"/>
                <w:sz w:val="13"/>
                <w:szCs w:val="13"/>
                <w:color w:val="auto"/>
                <w:w w:val="99"/>
              </w:rPr>
              <w:t>12%</w:t>
            </w:r>
          </w:p>
        </w:tc>
        <w:tc>
          <w:tcPr>
            <w:tcW w:w="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320" w:type="dxa"/>
            <w:vAlign w:val="bottom"/>
          </w:tcPr>
          <w:p>
            <w:pPr>
              <w:ind w:left="320"/>
              <w:spacing w:after="0"/>
              <w:rPr>
                <w:sz w:val="20"/>
                <w:szCs w:val="20"/>
                <w:color w:val="auto"/>
              </w:rPr>
            </w:pPr>
            <w:r>
              <w:rPr>
                <w:rFonts w:ascii="Arial" w:cs="Arial" w:eastAsia="Arial" w:hAnsi="Arial"/>
                <w:sz w:val="13"/>
                <w:szCs w:val="13"/>
                <w:color w:val="auto"/>
              </w:rPr>
              <w:t>2.0%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1,378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1,428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1,423</w:t>
            </w:r>
          </w:p>
        </w:tc>
        <w:tc>
          <w:tcPr>
            <w:tcW w:w="1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95"/>
              </w:rPr>
              <w:t>5%</w:t>
            </w:r>
          </w:p>
        </w:tc>
        <w:tc>
          <w:tcPr>
            <w:tcW w:w="2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color w:val="auto"/>
                <w:w w:val="95"/>
              </w:rPr>
              <w:t>103.6%</w:t>
            </w:r>
          </w:p>
        </w:tc>
        <w:tc>
          <w:tcPr>
            <w:tcW w:w="1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92"/>
              </w:rPr>
              <w:t>2.60%</w:t>
            </w:r>
          </w:p>
        </w:tc>
        <w:tc>
          <w:tcPr>
            <w:tcW w:w="880" w:type="dxa"/>
            <w:vAlign w:val="bottom"/>
            <w:gridSpan w:val="2"/>
          </w:tcPr>
          <w:p>
            <w:pPr>
              <w:ind w:left="340"/>
              <w:spacing w:after="0"/>
              <w:rPr>
                <w:sz w:val="20"/>
                <w:szCs w:val="20"/>
                <w:color w:val="auto"/>
              </w:rPr>
            </w:pPr>
            <w:r>
              <w:rPr>
                <w:rFonts w:ascii="Arial" w:cs="Arial" w:eastAsia="Arial" w:hAnsi="Arial"/>
                <w:sz w:val="13"/>
                <w:szCs w:val="13"/>
                <w:color w:val="auto"/>
              </w:rPr>
              <w:t>1.12%</w:t>
            </w:r>
          </w:p>
        </w:tc>
        <w:tc>
          <w:tcPr>
            <w:tcW w:w="1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4"/>
                <w:szCs w:val="14"/>
                <w:color w:val="auto"/>
              </w:rPr>
            </w:pPr>
          </w:p>
        </w:tc>
        <w:tc>
          <w:tcPr>
            <w:tcW w:w="580" w:type="dxa"/>
            <w:vAlign w:val="bottom"/>
          </w:tcPr>
          <w:p>
            <w:pPr>
              <w:jc w:val="center"/>
              <w:ind w:left="253"/>
              <w:spacing w:after="0"/>
              <w:rPr>
                <w:sz w:val="20"/>
                <w:szCs w:val="20"/>
                <w:color w:val="auto"/>
              </w:rPr>
            </w:pPr>
            <w:r>
              <w:rPr>
                <w:rFonts w:ascii="Arial" w:cs="Arial" w:eastAsia="Arial" w:hAnsi="Arial"/>
                <w:sz w:val="13"/>
                <w:szCs w:val="13"/>
                <w:color w:val="auto"/>
                <w:w w:val="99"/>
              </w:rPr>
              <w:t>12%</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320" w:type="dxa"/>
            <w:vAlign w:val="bottom"/>
            <w:shd w:val="clear" w:color="auto" w:fill="CCEEFF"/>
          </w:tcPr>
          <w:p>
            <w:pPr>
              <w:ind w:left="320"/>
              <w:spacing w:after="0"/>
              <w:rPr>
                <w:sz w:val="20"/>
                <w:szCs w:val="20"/>
                <w:color w:val="auto"/>
              </w:rPr>
            </w:pPr>
            <w:r>
              <w:rPr>
                <w:rFonts w:ascii="Arial" w:cs="Arial" w:eastAsia="Arial" w:hAnsi="Arial"/>
                <w:sz w:val="13"/>
                <w:szCs w:val="13"/>
                <w:color w:val="auto"/>
              </w:rPr>
              <w:t>2.5%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709</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52%</w:t>
            </w: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105.5%</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3.03%</w:t>
            </w:r>
          </w:p>
        </w:tc>
        <w:tc>
          <w:tcPr>
            <w:tcW w:w="88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1.23%</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21</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center"/>
              <w:ind w:left="253"/>
              <w:spacing w:after="0"/>
              <w:rPr>
                <w:sz w:val="20"/>
                <w:szCs w:val="20"/>
                <w:color w:val="auto"/>
              </w:rPr>
            </w:pPr>
            <w:r>
              <w:rPr>
                <w:rFonts w:ascii="Arial" w:cs="Arial" w:eastAsia="Arial" w:hAnsi="Arial"/>
                <w:sz w:val="13"/>
                <w:szCs w:val="13"/>
                <w:color w:val="auto"/>
                <w:w w:val="99"/>
              </w:rPr>
              <w:t>12%</w:t>
            </w:r>
          </w:p>
        </w:tc>
        <w:tc>
          <w:tcPr>
            <w:tcW w:w="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320" w:type="dxa"/>
            <w:vAlign w:val="bottom"/>
          </w:tcPr>
          <w:p>
            <w:pPr>
              <w:ind w:left="320"/>
              <w:spacing w:after="0"/>
              <w:rPr>
                <w:sz w:val="20"/>
                <w:szCs w:val="20"/>
                <w:color w:val="auto"/>
              </w:rPr>
            </w:pPr>
            <w:r>
              <w:rPr>
                <w:rFonts w:ascii="Arial" w:cs="Arial" w:eastAsia="Arial" w:hAnsi="Arial"/>
                <w:sz w:val="13"/>
                <w:szCs w:val="13"/>
                <w:color w:val="auto"/>
              </w:rPr>
              <w:t>3.0%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995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1,011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1,055</w:t>
            </w:r>
          </w:p>
        </w:tc>
        <w:tc>
          <w:tcPr>
            <w:tcW w:w="1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92"/>
              </w:rPr>
              <w:t>94%</w:t>
            </w:r>
          </w:p>
        </w:tc>
        <w:tc>
          <w:tcPr>
            <w:tcW w:w="2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color w:val="auto"/>
                <w:w w:val="95"/>
              </w:rPr>
              <w:t>101.6%</w:t>
            </w:r>
          </w:p>
        </w:tc>
        <w:tc>
          <w:tcPr>
            <w:tcW w:w="1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92"/>
              </w:rPr>
              <w:t>3.55%</w:t>
            </w:r>
          </w:p>
        </w:tc>
        <w:tc>
          <w:tcPr>
            <w:tcW w:w="880" w:type="dxa"/>
            <w:vAlign w:val="bottom"/>
            <w:gridSpan w:val="2"/>
          </w:tcPr>
          <w:p>
            <w:pPr>
              <w:ind w:left="340"/>
              <w:spacing w:after="0"/>
              <w:rPr>
                <w:sz w:val="20"/>
                <w:szCs w:val="20"/>
                <w:color w:val="auto"/>
              </w:rPr>
            </w:pPr>
            <w:r>
              <w:rPr>
                <w:rFonts w:ascii="Arial" w:cs="Arial" w:eastAsia="Arial" w:hAnsi="Arial"/>
                <w:sz w:val="13"/>
                <w:szCs w:val="13"/>
                <w:color w:val="auto"/>
              </w:rPr>
              <w:t>2.46%</w:t>
            </w:r>
          </w:p>
        </w:tc>
        <w:tc>
          <w:tcPr>
            <w:tcW w:w="1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3"/>
                <w:szCs w:val="13"/>
                <w:color w:val="auto"/>
                <w:w w:val="82"/>
              </w:rPr>
              <w:t>50</w:t>
            </w:r>
          </w:p>
        </w:tc>
        <w:tc>
          <w:tcPr>
            <w:tcW w:w="100" w:type="dxa"/>
            <w:vAlign w:val="bottom"/>
          </w:tcPr>
          <w:p>
            <w:pPr>
              <w:spacing w:after="0"/>
              <w:rPr>
                <w:sz w:val="14"/>
                <w:szCs w:val="14"/>
                <w:color w:val="auto"/>
              </w:rPr>
            </w:pPr>
          </w:p>
        </w:tc>
        <w:tc>
          <w:tcPr>
            <w:tcW w:w="580" w:type="dxa"/>
            <w:vAlign w:val="bottom"/>
          </w:tcPr>
          <w:p>
            <w:pPr>
              <w:jc w:val="center"/>
              <w:ind w:left="253"/>
              <w:spacing w:after="0"/>
              <w:rPr>
                <w:sz w:val="20"/>
                <w:szCs w:val="20"/>
                <w:color w:val="auto"/>
              </w:rPr>
            </w:pPr>
            <w:r>
              <w:rPr>
                <w:rFonts w:ascii="Arial" w:cs="Arial" w:eastAsia="Arial" w:hAnsi="Arial"/>
                <w:sz w:val="13"/>
                <w:szCs w:val="13"/>
                <w:color w:val="auto"/>
                <w:w w:val="99"/>
              </w:rPr>
              <w:t>15%</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320" w:type="dxa"/>
            <w:vAlign w:val="bottom"/>
            <w:shd w:val="clear" w:color="auto" w:fill="CCEEFF"/>
          </w:tcPr>
          <w:p>
            <w:pPr>
              <w:ind w:left="320"/>
              <w:spacing w:after="0"/>
              <w:rPr>
                <w:sz w:val="20"/>
                <w:szCs w:val="20"/>
                <w:color w:val="auto"/>
              </w:rPr>
            </w:pPr>
            <w:r>
              <w:rPr>
                <w:rFonts w:ascii="Arial" w:cs="Arial" w:eastAsia="Arial" w:hAnsi="Arial"/>
                <w:sz w:val="13"/>
                <w:szCs w:val="13"/>
                <w:color w:val="auto"/>
              </w:rPr>
              <w:t>3.5%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1,122</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100%</w:t>
            </w: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102.1%</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4.03%</w:t>
            </w:r>
          </w:p>
        </w:tc>
        <w:tc>
          <w:tcPr>
            <w:tcW w:w="88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2.74%</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46</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center"/>
              <w:ind w:left="253"/>
              <w:spacing w:after="0"/>
              <w:rPr>
                <w:sz w:val="20"/>
                <w:szCs w:val="20"/>
                <w:color w:val="auto"/>
              </w:rPr>
            </w:pPr>
            <w:r>
              <w:rPr>
                <w:rFonts w:ascii="Arial" w:cs="Arial" w:eastAsia="Arial" w:hAnsi="Arial"/>
                <w:sz w:val="13"/>
                <w:szCs w:val="13"/>
                <w:color w:val="auto"/>
                <w:w w:val="99"/>
              </w:rPr>
              <w:t>17%</w:t>
            </w:r>
          </w:p>
        </w:tc>
        <w:tc>
          <w:tcPr>
            <w:tcW w:w="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420" w:type="dxa"/>
            <w:vAlign w:val="bottom"/>
            <w:gridSpan w:val="2"/>
          </w:tcPr>
          <w:p>
            <w:pPr>
              <w:ind w:left="320"/>
              <w:spacing w:after="0"/>
              <w:rPr>
                <w:sz w:val="20"/>
                <w:szCs w:val="20"/>
                <w:color w:val="auto"/>
              </w:rPr>
            </w:pPr>
            <w:r>
              <w:rPr>
                <w:rFonts w:ascii="Arial" w:cs="Arial" w:eastAsia="Arial" w:hAnsi="Arial"/>
                <w:sz w:val="13"/>
                <w:szCs w:val="13"/>
                <w:color w:val="auto"/>
              </w:rPr>
              <w:t>≥ 4.0%</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567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584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612</w:t>
            </w:r>
          </w:p>
        </w:tc>
        <w:tc>
          <w:tcPr>
            <w:tcW w:w="1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92"/>
              </w:rPr>
              <w:t>92%</w:t>
            </w:r>
          </w:p>
        </w:tc>
        <w:tc>
          <w:tcPr>
            <w:tcW w:w="2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color w:val="auto"/>
                <w:w w:val="95"/>
              </w:rPr>
              <w:t>102.9%</w:t>
            </w:r>
          </w:p>
        </w:tc>
        <w:tc>
          <w:tcPr>
            <w:tcW w:w="1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92"/>
              </w:rPr>
              <w:t>4.61%</w:t>
            </w:r>
          </w:p>
        </w:tc>
        <w:tc>
          <w:tcPr>
            <w:tcW w:w="880" w:type="dxa"/>
            <w:vAlign w:val="bottom"/>
            <w:gridSpan w:val="2"/>
          </w:tcPr>
          <w:p>
            <w:pPr>
              <w:ind w:left="340"/>
              <w:spacing w:after="0"/>
              <w:rPr>
                <w:sz w:val="20"/>
                <w:szCs w:val="20"/>
                <w:color w:val="auto"/>
              </w:rPr>
            </w:pPr>
            <w:r>
              <w:rPr>
                <w:rFonts w:ascii="Arial" w:cs="Arial" w:eastAsia="Arial" w:hAnsi="Arial"/>
                <w:sz w:val="13"/>
                <w:szCs w:val="13"/>
                <w:color w:val="auto"/>
              </w:rPr>
              <w:t>2.90%</w:t>
            </w:r>
          </w:p>
        </w:tc>
        <w:tc>
          <w:tcPr>
            <w:tcW w:w="1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3"/>
                <w:szCs w:val="13"/>
                <w:color w:val="auto"/>
                <w:w w:val="82"/>
              </w:rPr>
              <w:t>45</w:t>
            </w:r>
          </w:p>
        </w:tc>
        <w:tc>
          <w:tcPr>
            <w:tcW w:w="100" w:type="dxa"/>
            <w:vAlign w:val="bottom"/>
          </w:tcPr>
          <w:p>
            <w:pPr>
              <w:spacing w:after="0"/>
              <w:rPr>
                <w:sz w:val="14"/>
                <w:szCs w:val="14"/>
                <w:color w:val="auto"/>
              </w:rPr>
            </w:pPr>
          </w:p>
        </w:tc>
        <w:tc>
          <w:tcPr>
            <w:tcW w:w="580" w:type="dxa"/>
            <w:vAlign w:val="bottom"/>
          </w:tcPr>
          <w:p>
            <w:pPr>
              <w:jc w:val="center"/>
              <w:ind w:left="253"/>
              <w:spacing w:after="0"/>
              <w:rPr>
                <w:sz w:val="20"/>
                <w:szCs w:val="20"/>
                <w:color w:val="auto"/>
              </w:rPr>
            </w:pPr>
            <w:r>
              <w:rPr>
                <w:rFonts w:ascii="Arial" w:cs="Arial" w:eastAsia="Arial" w:hAnsi="Arial"/>
                <w:sz w:val="13"/>
                <w:szCs w:val="13"/>
                <w:color w:val="auto"/>
                <w:w w:val="99"/>
              </w:rPr>
              <w:t>18%</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420" w:type="dxa"/>
            <w:vAlign w:val="bottom"/>
            <w:tcBorders>
              <w:top w:val="single" w:sz="8" w:color="CCEEFF"/>
            </w:tcBorders>
            <w:gridSpan w:val="2"/>
            <w:shd w:val="clear" w:color="auto" w:fill="CCEEFF"/>
          </w:tcPr>
          <w:p>
            <w:pPr>
              <w:ind w:left="200"/>
              <w:spacing w:after="0"/>
              <w:rPr>
                <w:sz w:val="20"/>
                <w:szCs w:val="20"/>
                <w:color w:val="auto"/>
              </w:rPr>
            </w:pPr>
            <w:r>
              <w:rPr>
                <w:rFonts w:ascii="Arial" w:cs="Arial" w:eastAsia="Arial" w:hAnsi="Arial"/>
                <w:sz w:val="13"/>
                <w:szCs w:val="13"/>
                <w:color w:val="auto"/>
              </w:rPr>
              <w:t>Total ≤ 15-year</w:t>
            </w: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6,034</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6,197</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6,315</w:t>
            </w:r>
          </w:p>
        </w:tc>
        <w:tc>
          <w:tcPr>
            <w:tcW w:w="10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2"/>
              </w:rPr>
              <w:t>49%</w:t>
            </w:r>
          </w:p>
        </w:tc>
        <w:tc>
          <w:tcPr>
            <w:tcW w:w="22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5"/>
              </w:rPr>
              <w:t>102.7%</w:t>
            </w:r>
          </w:p>
        </w:tc>
        <w:tc>
          <w:tcPr>
            <w:tcW w:w="12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2"/>
              </w:rPr>
              <w:t>3.25%</w:t>
            </w:r>
          </w:p>
        </w:tc>
        <w:tc>
          <w:tcPr>
            <w:tcW w:w="14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bottom w:val="single" w:sz="8" w:color="auto"/>
            </w:tcBorders>
            <w:shd w:val="clear" w:color="auto" w:fill="CCEEFF"/>
          </w:tcPr>
          <w:p>
            <w:pPr>
              <w:ind w:left="200"/>
              <w:spacing w:after="0"/>
              <w:rPr>
                <w:sz w:val="20"/>
                <w:szCs w:val="20"/>
                <w:color w:val="auto"/>
              </w:rPr>
            </w:pPr>
            <w:r>
              <w:rPr>
                <w:rFonts w:ascii="Arial" w:cs="Arial" w:eastAsia="Arial" w:hAnsi="Arial"/>
                <w:sz w:val="13"/>
                <w:szCs w:val="13"/>
                <w:color w:val="auto"/>
              </w:rPr>
              <w:t>1.85%</w:t>
            </w:r>
          </w:p>
        </w:tc>
        <w:tc>
          <w:tcPr>
            <w:tcW w:w="10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82"/>
              </w:rPr>
              <w:t>28</w:t>
            </w:r>
          </w:p>
        </w:tc>
        <w:tc>
          <w:tcPr>
            <w:tcW w:w="10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bottom w:val="single" w:sz="8" w:color="auto"/>
            </w:tcBorders>
            <w:shd w:val="clear" w:color="auto" w:fill="CCEEFF"/>
          </w:tcPr>
          <w:p>
            <w:pPr>
              <w:jc w:val="center"/>
              <w:ind w:left="253"/>
              <w:spacing w:after="0"/>
              <w:rPr>
                <w:sz w:val="20"/>
                <w:szCs w:val="20"/>
                <w:color w:val="auto"/>
              </w:rPr>
            </w:pPr>
            <w:r>
              <w:rPr>
                <w:rFonts w:ascii="Arial" w:cs="Arial" w:eastAsia="Arial" w:hAnsi="Arial"/>
                <w:sz w:val="13"/>
                <w:szCs w:val="13"/>
                <w:color w:val="auto"/>
                <w:w w:val="99"/>
              </w:rPr>
              <w:t>14%</w:t>
            </w:r>
          </w:p>
        </w:tc>
        <w:tc>
          <w:tcPr>
            <w:tcW w:w="320" w:type="dxa"/>
            <w:vAlign w:val="bottom"/>
            <w:tcBorders>
              <w:top w:val="single" w:sz="8" w:color="auto"/>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420" w:type="dxa"/>
            <w:vAlign w:val="bottom"/>
            <w:gridSpan w:val="2"/>
          </w:tcPr>
          <w:p>
            <w:pPr>
              <w:ind w:left="200"/>
              <w:spacing w:after="0"/>
              <w:rPr>
                <w:sz w:val="20"/>
                <w:szCs w:val="20"/>
                <w:color w:val="auto"/>
              </w:rPr>
            </w:pPr>
            <w:r>
              <w:rPr>
                <w:rFonts w:ascii="Arial" w:cs="Arial" w:eastAsia="Arial" w:hAnsi="Arial"/>
                <w:sz w:val="13"/>
                <w:szCs w:val="13"/>
                <w:color w:val="auto"/>
              </w:rPr>
              <w:t>20-year:</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320" w:type="dxa"/>
            <w:vAlign w:val="bottom"/>
            <w:shd w:val="clear" w:color="auto" w:fill="CCEEFF"/>
          </w:tcPr>
          <w:p>
            <w:pPr>
              <w:ind w:left="320"/>
              <w:spacing w:after="0"/>
              <w:rPr>
                <w:sz w:val="20"/>
                <w:szCs w:val="20"/>
                <w:color w:val="auto"/>
              </w:rPr>
            </w:pPr>
            <w:r>
              <w:rPr>
                <w:rFonts w:ascii="Arial" w:cs="Arial" w:eastAsia="Arial" w:hAnsi="Arial"/>
                <w:sz w:val="13"/>
                <w:szCs w:val="13"/>
                <w:color w:val="auto"/>
              </w:rPr>
              <w:t>2.0%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1,492</w:t>
            </w:r>
          </w:p>
        </w:tc>
        <w:tc>
          <w:tcPr>
            <w:tcW w:w="1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center"/>
              <w:ind w:right="220"/>
              <w:spacing w:after="0"/>
              <w:rPr>
                <w:sz w:val="20"/>
                <w:szCs w:val="20"/>
                <w:color w:val="auto"/>
              </w:rPr>
            </w:pPr>
            <w:r>
              <w:rPr>
                <w:rFonts w:ascii="Arial" w:cs="Arial" w:eastAsia="Arial" w:hAnsi="Arial"/>
                <w:sz w:val="13"/>
                <w:szCs w:val="13"/>
                <w:color w:val="auto"/>
                <w:w w:val="97"/>
              </w:rPr>
              <w:t>—%</w:t>
            </w:r>
          </w:p>
        </w:tc>
        <w:tc>
          <w:tcPr>
            <w:tcW w:w="10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103.0%</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2.86%</w:t>
            </w:r>
          </w:p>
        </w:tc>
        <w:tc>
          <w:tcPr>
            <w:tcW w:w="88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1.46%</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8</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center"/>
              <w:ind w:left="253"/>
              <w:spacing w:after="0"/>
              <w:rPr>
                <w:sz w:val="20"/>
                <w:szCs w:val="20"/>
                <w:color w:val="auto"/>
              </w:rPr>
            </w:pPr>
            <w:r>
              <w:rPr>
                <w:rFonts w:ascii="Arial" w:cs="Arial" w:eastAsia="Arial" w:hAnsi="Arial"/>
                <w:sz w:val="13"/>
                <w:szCs w:val="13"/>
                <w:color w:val="auto"/>
                <w:w w:val="95"/>
              </w:rPr>
              <w:t>9%</w:t>
            </w:r>
          </w:p>
        </w:tc>
        <w:tc>
          <w:tcPr>
            <w:tcW w:w="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320" w:type="dxa"/>
            <w:vAlign w:val="bottom"/>
          </w:tcPr>
          <w:p>
            <w:pPr>
              <w:ind w:left="320"/>
              <w:spacing w:after="0"/>
              <w:rPr>
                <w:sz w:val="20"/>
                <w:szCs w:val="20"/>
                <w:color w:val="auto"/>
              </w:rPr>
            </w:pPr>
            <w:r>
              <w:rPr>
                <w:rFonts w:ascii="Arial" w:cs="Arial" w:eastAsia="Arial" w:hAnsi="Arial"/>
                <w:sz w:val="13"/>
                <w:szCs w:val="13"/>
                <w:color w:val="auto"/>
              </w:rPr>
              <w:t>2.5%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513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535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533</w:t>
            </w:r>
          </w:p>
        </w:tc>
        <w:tc>
          <w:tcPr>
            <w:tcW w:w="10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3"/>
                <w:szCs w:val="13"/>
                <w:color w:val="auto"/>
                <w:w w:val="97"/>
              </w:rPr>
              <w:t>—%</w:t>
            </w:r>
          </w:p>
        </w:tc>
        <w:tc>
          <w:tcPr>
            <w:tcW w:w="1040" w:type="dxa"/>
            <w:vAlign w:val="bottom"/>
          </w:tcPr>
          <w:p>
            <w:pPr>
              <w:jc w:val="center"/>
              <w:spacing w:after="0"/>
              <w:rPr>
                <w:sz w:val="20"/>
                <w:szCs w:val="20"/>
                <w:color w:val="auto"/>
              </w:rPr>
            </w:pPr>
            <w:r>
              <w:rPr>
                <w:rFonts w:ascii="Arial" w:cs="Arial" w:eastAsia="Arial" w:hAnsi="Arial"/>
                <w:sz w:val="13"/>
                <w:szCs w:val="13"/>
                <w:color w:val="auto"/>
                <w:w w:val="95"/>
              </w:rPr>
              <w:t>104.2%</w:t>
            </w:r>
          </w:p>
        </w:tc>
        <w:tc>
          <w:tcPr>
            <w:tcW w:w="1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92"/>
              </w:rPr>
              <w:t>3.28%</w:t>
            </w:r>
          </w:p>
        </w:tc>
        <w:tc>
          <w:tcPr>
            <w:tcW w:w="880" w:type="dxa"/>
            <w:vAlign w:val="bottom"/>
            <w:gridSpan w:val="2"/>
          </w:tcPr>
          <w:p>
            <w:pPr>
              <w:ind w:left="340"/>
              <w:spacing w:after="0"/>
              <w:rPr>
                <w:sz w:val="20"/>
                <w:szCs w:val="20"/>
                <w:color w:val="auto"/>
              </w:rPr>
            </w:pPr>
            <w:r>
              <w:rPr>
                <w:rFonts w:ascii="Arial" w:cs="Arial" w:eastAsia="Arial" w:hAnsi="Arial"/>
                <w:sz w:val="13"/>
                <w:szCs w:val="13"/>
                <w:color w:val="auto"/>
              </w:rPr>
              <w:t>1.58%</w:t>
            </w:r>
          </w:p>
        </w:tc>
        <w:tc>
          <w:tcPr>
            <w:tcW w:w="1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3"/>
                <w:szCs w:val="13"/>
                <w:color w:val="auto"/>
                <w:w w:val="82"/>
              </w:rPr>
              <w:t>12</w:t>
            </w:r>
          </w:p>
        </w:tc>
        <w:tc>
          <w:tcPr>
            <w:tcW w:w="100" w:type="dxa"/>
            <w:vAlign w:val="bottom"/>
          </w:tcPr>
          <w:p>
            <w:pPr>
              <w:spacing w:after="0"/>
              <w:rPr>
                <w:sz w:val="14"/>
                <w:szCs w:val="14"/>
                <w:color w:val="auto"/>
              </w:rPr>
            </w:pPr>
          </w:p>
        </w:tc>
        <w:tc>
          <w:tcPr>
            <w:tcW w:w="580" w:type="dxa"/>
            <w:vAlign w:val="bottom"/>
          </w:tcPr>
          <w:p>
            <w:pPr>
              <w:jc w:val="center"/>
              <w:ind w:left="253"/>
              <w:spacing w:after="0"/>
              <w:rPr>
                <w:sz w:val="20"/>
                <w:szCs w:val="20"/>
                <w:color w:val="auto"/>
              </w:rPr>
            </w:pPr>
            <w:r>
              <w:rPr>
                <w:rFonts w:ascii="Arial" w:cs="Arial" w:eastAsia="Arial" w:hAnsi="Arial"/>
                <w:sz w:val="13"/>
                <w:szCs w:val="13"/>
                <w:color w:val="auto"/>
                <w:w w:val="99"/>
              </w:rPr>
              <w:t>13%</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320" w:type="dxa"/>
            <w:vAlign w:val="bottom"/>
            <w:shd w:val="clear" w:color="auto" w:fill="CCEEFF"/>
          </w:tcPr>
          <w:p>
            <w:pPr>
              <w:ind w:left="320"/>
              <w:spacing w:after="0"/>
              <w:rPr>
                <w:sz w:val="20"/>
                <w:szCs w:val="20"/>
                <w:color w:val="auto"/>
              </w:rPr>
            </w:pPr>
            <w:r>
              <w:rPr>
                <w:rFonts w:ascii="Arial" w:cs="Arial" w:eastAsia="Arial" w:hAnsi="Arial"/>
                <w:sz w:val="13"/>
                <w:szCs w:val="13"/>
                <w:color w:val="auto"/>
              </w:rPr>
              <w:t>3.0%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98%</w:t>
            </w: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103.3%</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3.78%</w:t>
            </w:r>
          </w:p>
        </w:tc>
        <w:tc>
          <w:tcPr>
            <w:tcW w:w="88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2.18%</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23</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center"/>
              <w:ind w:left="253"/>
              <w:spacing w:after="0"/>
              <w:rPr>
                <w:sz w:val="20"/>
                <w:szCs w:val="20"/>
                <w:color w:val="auto"/>
              </w:rPr>
            </w:pPr>
            <w:r>
              <w:rPr>
                <w:rFonts w:ascii="Arial" w:cs="Arial" w:eastAsia="Arial" w:hAnsi="Arial"/>
                <w:sz w:val="13"/>
                <w:szCs w:val="13"/>
                <w:color w:val="auto"/>
                <w:w w:val="99"/>
              </w:rPr>
              <w:t>15%</w:t>
            </w:r>
          </w:p>
        </w:tc>
        <w:tc>
          <w:tcPr>
            <w:tcW w:w="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320" w:type="dxa"/>
            <w:vAlign w:val="bottom"/>
          </w:tcPr>
          <w:p>
            <w:pPr>
              <w:ind w:left="320"/>
              <w:spacing w:after="0"/>
              <w:rPr>
                <w:sz w:val="20"/>
                <w:szCs w:val="20"/>
                <w:color w:val="auto"/>
              </w:rPr>
            </w:pPr>
            <w:r>
              <w:rPr>
                <w:rFonts w:ascii="Arial" w:cs="Arial" w:eastAsia="Arial" w:hAnsi="Arial"/>
                <w:sz w:val="13"/>
                <w:szCs w:val="13"/>
                <w:color w:val="auto"/>
              </w:rPr>
              <w:t>3.5%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194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197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208</w:t>
            </w:r>
          </w:p>
        </w:tc>
        <w:tc>
          <w:tcPr>
            <w:tcW w:w="1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92"/>
              </w:rPr>
              <w:t>81%</w:t>
            </w:r>
          </w:p>
        </w:tc>
        <w:tc>
          <w:tcPr>
            <w:tcW w:w="2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color w:val="auto"/>
                <w:w w:val="95"/>
              </w:rPr>
              <w:t>101.8%</w:t>
            </w:r>
          </w:p>
        </w:tc>
        <w:tc>
          <w:tcPr>
            <w:tcW w:w="1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92"/>
              </w:rPr>
              <w:t>4.05%</w:t>
            </w:r>
          </w:p>
        </w:tc>
        <w:tc>
          <w:tcPr>
            <w:tcW w:w="880" w:type="dxa"/>
            <w:vAlign w:val="bottom"/>
            <w:gridSpan w:val="2"/>
          </w:tcPr>
          <w:p>
            <w:pPr>
              <w:ind w:left="340"/>
              <w:spacing w:after="0"/>
              <w:rPr>
                <w:sz w:val="20"/>
                <w:szCs w:val="20"/>
                <w:color w:val="auto"/>
              </w:rPr>
            </w:pPr>
            <w:r>
              <w:rPr>
                <w:rFonts w:ascii="Arial" w:cs="Arial" w:eastAsia="Arial" w:hAnsi="Arial"/>
                <w:sz w:val="13"/>
                <w:szCs w:val="13"/>
                <w:color w:val="auto"/>
              </w:rPr>
              <w:t>2.95%</w:t>
            </w:r>
          </w:p>
        </w:tc>
        <w:tc>
          <w:tcPr>
            <w:tcW w:w="1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3"/>
                <w:szCs w:val="13"/>
                <w:color w:val="auto"/>
                <w:w w:val="82"/>
              </w:rPr>
              <w:t>95</w:t>
            </w:r>
          </w:p>
        </w:tc>
        <w:tc>
          <w:tcPr>
            <w:tcW w:w="100" w:type="dxa"/>
            <w:vAlign w:val="bottom"/>
          </w:tcPr>
          <w:p>
            <w:pPr>
              <w:spacing w:after="0"/>
              <w:rPr>
                <w:sz w:val="14"/>
                <w:szCs w:val="14"/>
                <w:color w:val="auto"/>
              </w:rPr>
            </w:pPr>
          </w:p>
        </w:tc>
        <w:tc>
          <w:tcPr>
            <w:tcW w:w="580" w:type="dxa"/>
            <w:vAlign w:val="bottom"/>
          </w:tcPr>
          <w:p>
            <w:pPr>
              <w:jc w:val="center"/>
              <w:ind w:left="253"/>
              <w:spacing w:after="0"/>
              <w:rPr>
                <w:sz w:val="20"/>
                <w:szCs w:val="20"/>
                <w:color w:val="auto"/>
              </w:rPr>
            </w:pPr>
            <w:r>
              <w:rPr>
                <w:rFonts w:ascii="Arial" w:cs="Arial" w:eastAsia="Arial" w:hAnsi="Arial"/>
                <w:sz w:val="13"/>
                <w:szCs w:val="13"/>
                <w:color w:val="auto"/>
                <w:w w:val="99"/>
              </w:rPr>
              <w:t>14%</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420" w:type="dxa"/>
            <w:vAlign w:val="bottom"/>
            <w:gridSpan w:val="2"/>
            <w:shd w:val="clear" w:color="auto" w:fill="CCEEFF"/>
          </w:tcPr>
          <w:p>
            <w:pPr>
              <w:ind w:left="320"/>
              <w:spacing w:after="0"/>
              <w:rPr>
                <w:sz w:val="20"/>
                <w:szCs w:val="20"/>
                <w:color w:val="auto"/>
              </w:rPr>
            </w:pPr>
            <w:r>
              <w:rPr>
                <w:rFonts w:ascii="Arial" w:cs="Arial" w:eastAsia="Arial" w:hAnsi="Arial"/>
                <w:sz w:val="13"/>
                <w:szCs w:val="13"/>
                <w:color w:val="auto"/>
              </w:rPr>
              <w:t>≥ 4.0%</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273</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96%</w:t>
            </w: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104.0%</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4.74%</w:t>
            </w:r>
          </w:p>
        </w:tc>
        <w:tc>
          <w:tcPr>
            <w:tcW w:w="88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3.08%</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55</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center"/>
              <w:ind w:left="253"/>
              <w:spacing w:after="0"/>
              <w:rPr>
                <w:sz w:val="20"/>
                <w:szCs w:val="20"/>
                <w:color w:val="auto"/>
              </w:rPr>
            </w:pPr>
            <w:r>
              <w:rPr>
                <w:rFonts w:ascii="Arial" w:cs="Arial" w:eastAsia="Arial" w:hAnsi="Arial"/>
                <w:sz w:val="13"/>
                <w:szCs w:val="13"/>
                <w:color w:val="auto"/>
                <w:w w:val="99"/>
              </w:rPr>
              <w:t>16%</w:t>
            </w:r>
          </w:p>
        </w:tc>
        <w:tc>
          <w:tcPr>
            <w:tcW w:w="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420" w:type="dxa"/>
            <w:vAlign w:val="bottom"/>
            <w:tcBorders>
              <w:bottom w:val="single" w:sz="8" w:color="CCEEFF"/>
            </w:tcBorders>
            <w:gridSpan w:val="2"/>
          </w:tcPr>
          <w:p>
            <w:pPr>
              <w:ind w:left="200"/>
              <w:spacing w:after="0"/>
              <w:rPr>
                <w:sz w:val="20"/>
                <w:szCs w:val="20"/>
                <w:color w:val="auto"/>
              </w:rPr>
            </w:pPr>
            <w:r>
              <w:rPr>
                <w:rFonts w:ascii="Arial" w:cs="Arial" w:eastAsia="Arial" w:hAnsi="Arial"/>
                <w:sz w:val="13"/>
                <w:szCs w:val="13"/>
                <w:color w:val="auto"/>
              </w:rPr>
              <w:t>Total 20-year:</w:t>
            </w:r>
          </w:p>
        </w:tc>
        <w:tc>
          <w:tcPr>
            <w:tcW w:w="10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2,457</w:t>
            </w:r>
          </w:p>
        </w:tc>
        <w:tc>
          <w:tcPr>
            <w:tcW w:w="10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2,537</w:t>
            </w:r>
          </w:p>
        </w:tc>
        <w:tc>
          <w:tcPr>
            <w:tcW w:w="10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2,549</w:t>
            </w:r>
          </w:p>
        </w:tc>
        <w:tc>
          <w:tcPr>
            <w:tcW w:w="100" w:type="dxa"/>
            <w:vAlign w:val="bottom"/>
            <w:tcBorders>
              <w:bottom w:val="single" w:sz="8" w:color="CCEEFF"/>
            </w:tcBorders>
          </w:tcPr>
          <w:p>
            <w:pPr>
              <w:spacing w:after="0"/>
              <w:rPr>
                <w:sz w:val="14"/>
                <w:szCs w:val="14"/>
                <w:color w:val="auto"/>
              </w:rPr>
            </w:pPr>
          </w:p>
        </w:tc>
        <w:tc>
          <w:tcPr>
            <w:tcW w:w="9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color w:val="auto"/>
                <w:w w:val="92"/>
              </w:rPr>
              <w:t>19%</w:t>
            </w:r>
          </w:p>
        </w:tc>
        <w:tc>
          <w:tcPr>
            <w:tcW w:w="220" w:type="dxa"/>
            <w:vAlign w:val="bottom"/>
            <w:tcBorders>
              <w:bottom w:val="single" w:sz="8" w:color="CCEEFF"/>
            </w:tcBorders>
          </w:tcPr>
          <w:p>
            <w:pPr>
              <w:spacing w:after="0"/>
              <w:rPr>
                <w:sz w:val="14"/>
                <w:szCs w:val="14"/>
                <w:color w:val="auto"/>
              </w:rPr>
            </w:pPr>
          </w:p>
        </w:tc>
        <w:tc>
          <w:tcPr>
            <w:tcW w:w="10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color w:val="auto"/>
                <w:w w:val="95"/>
              </w:rPr>
              <w:t>103.3%</w:t>
            </w:r>
          </w:p>
        </w:tc>
        <w:tc>
          <w:tcPr>
            <w:tcW w:w="120" w:type="dxa"/>
            <w:vAlign w:val="bottom"/>
            <w:tcBorders>
              <w:bottom w:val="single" w:sz="8" w:color="CCEEFF"/>
            </w:tcBorders>
          </w:tcPr>
          <w:p>
            <w:pPr>
              <w:spacing w:after="0"/>
              <w:rPr>
                <w:sz w:val="14"/>
                <w:szCs w:val="14"/>
                <w:color w:val="auto"/>
              </w:rPr>
            </w:pPr>
          </w:p>
        </w:tc>
        <w:tc>
          <w:tcPr>
            <w:tcW w:w="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color w:val="auto"/>
                <w:w w:val="92"/>
              </w:rPr>
              <w:t>3.25%</w:t>
            </w:r>
          </w:p>
        </w:tc>
        <w:tc>
          <w:tcPr>
            <w:tcW w:w="140" w:type="dxa"/>
            <w:vAlign w:val="bottom"/>
            <w:tcBorders>
              <w:bottom w:val="single" w:sz="8" w:color="CCEEFF"/>
            </w:tcBorders>
          </w:tcPr>
          <w:p>
            <w:pPr>
              <w:spacing w:after="0"/>
              <w:rPr>
                <w:sz w:val="14"/>
                <w:szCs w:val="14"/>
                <w:color w:val="auto"/>
              </w:rPr>
            </w:pPr>
          </w:p>
        </w:tc>
        <w:tc>
          <w:tcPr>
            <w:tcW w:w="74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3"/>
                <w:szCs w:val="13"/>
                <w:color w:val="auto"/>
              </w:rPr>
              <w:t>1.78%</w:t>
            </w:r>
          </w:p>
        </w:tc>
        <w:tc>
          <w:tcPr>
            <w:tcW w:w="100" w:type="dxa"/>
            <w:vAlign w:val="bottom"/>
            <w:tcBorders>
              <w:bottom w:val="single" w:sz="8" w:color="CCEEFF"/>
            </w:tcBorders>
          </w:tcPr>
          <w:p>
            <w:pPr>
              <w:spacing w:after="0"/>
              <w:rPr>
                <w:sz w:val="14"/>
                <w:szCs w:val="14"/>
                <w:color w:val="auto"/>
              </w:rPr>
            </w:pPr>
          </w:p>
        </w:tc>
        <w:tc>
          <w:tcPr>
            <w:tcW w:w="9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color w:val="auto"/>
                <w:w w:val="82"/>
              </w:rPr>
              <w:t>20</w:t>
            </w:r>
          </w:p>
        </w:tc>
        <w:tc>
          <w:tcPr>
            <w:tcW w:w="100" w:type="dxa"/>
            <w:vAlign w:val="bottom"/>
            <w:tcBorders>
              <w:bottom w:val="single" w:sz="8" w:color="CCEEFF"/>
            </w:tcBorders>
          </w:tcPr>
          <w:p>
            <w:pPr>
              <w:spacing w:after="0"/>
              <w:rPr>
                <w:sz w:val="14"/>
                <w:szCs w:val="14"/>
                <w:color w:val="auto"/>
              </w:rPr>
            </w:pPr>
          </w:p>
        </w:tc>
        <w:tc>
          <w:tcPr>
            <w:tcW w:w="580" w:type="dxa"/>
            <w:vAlign w:val="bottom"/>
            <w:tcBorders>
              <w:top w:val="single" w:sz="8" w:color="auto"/>
              <w:bottom w:val="single" w:sz="8" w:color="auto"/>
            </w:tcBorders>
          </w:tcPr>
          <w:p>
            <w:pPr>
              <w:jc w:val="center"/>
              <w:ind w:left="273"/>
              <w:spacing w:after="0"/>
              <w:rPr>
                <w:sz w:val="20"/>
                <w:szCs w:val="20"/>
                <w:color w:val="auto"/>
              </w:rPr>
            </w:pPr>
            <w:r>
              <w:rPr>
                <w:rFonts w:ascii="Arial" w:cs="Arial" w:eastAsia="Arial" w:hAnsi="Arial"/>
                <w:sz w:val="13"/>
                <w:szCs w:val="13"/>
                <w:color w:val="auto"/>
                <w:w w:val="92"/>
              </w:rPr>
              <w:t>11%</w:t>
            </w:r>
          </w:p>
        </w:tc>
        <w:tc>
          <w:tcPr>
            <w:tcW w:w="320" w:type="dxa"/>
            <w:vAlign w:val="bottom"/>
            <w:tcBorders>
              <w:top w:val="single" w:sz="8" w:color="auto"/>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42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30-year:</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320" w:type="dxa"/>
            <w:vAlign w:val="bottom"/>
          </w:tcPr>
          <w:p>
            <w:pPr>
              <w:ind w:left="320"/>
              <w:spacing w:after="0"/>
              <w:rPr>
                <w:sz w:val="20"/>
                <w:szCs w:val="20"/>
                <w:color w:val="auto"/>
              </w:rPr>
            </w:pPr>
            <w:r>
              <w:rPr>
                <w:rFonts w:ascii="Arial" w:cs="Arial" w:eastAsia="Arial" w:hAnsi="Arial"/>
                <w:sz w:val="13"/>
                <w:szCs w:val="13"/>
                <w:color w:val="auto"/>
              </w:rPr>
              <w:t>2.0%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14,579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14,682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14,736</w:t>
            </w:r>
          </w:p>
        </w:tc>
        <w:tc>
          <w:tcPr>
            <w:tcW w:w="1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95"/>
              </w:rPr>
              <w:t>3%</w:t>
            </w:r>
          </w:p>
        </w:tc>
        <w:tc>
          <w:tcPr>
            <w:tcW w:w="2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color w:val="auto"/>
                <w:w w:val="95"/>
              </w:rPr>
              <w:t>100.8%</w:t>
            </w:r>
          </w:p>
        </w:tc>
        <w:tc>
          <w:tcPr>
            <w:tcW w:w="1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92"/>
              </w:rPr>
              <w:t>2.85%</w:t>
            </w:r>
          </w:p>
        </w:tc>
        <w:tc>
          <w:tcPr>
            <w:tcW w:w="880" w:type="dxa"/>
            <w:vAlign w:val="bottom"/>
            <w:gridSpan w:val="2"/>
          </w:tcPr>
          <w:p>
            <w:pPr>
              <w:ind w:left="340"/>
              <w:spacing w:after="0"/>
              <w:rPr>
                <w:sz w:val="20"/>
                <w:szCs w:val="20"/>
                <w:color w:val="auto"/>
              </w:rPr>
            </w:pPr>
            <w:r>
              <w:rPr>
                <w:rFonts w:ascii="Arial" w:cs="Arial" w:eastAsia="Arial" w:hAnsi="Arial"/>
                <w:sz w:val="13"/>
                <w:szCs w:val="13"/>
                <w:color w:val="auto"/>
              </w:rPr>
              <w:t>1.88%</w:t>
            </w:r>
          </w:p>
        </w:tc>
        <w:tc>
          <w:tcPr>
            <w:tcW w:w="1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4"/>
                <w:szCs w:val="14"/>
                <w:color w:val="auto"/>
              </w:rPr>
            </w:pPr>
          </w:p>
        </w:tc>
        <w:tc>
          <w:tcPr>
            <w:tcW w:w="580" w:type="dxa"/>
            <w:vAlign w:val="bottom"/>
          </w:tcPr>
          <w:p>
            <w:pPr>
              <w:jc w:val="center"/>
              <w:ind w:left="253"/>
              <w:spacing w:after="0"/>
              <w:rPr>
                <w:sz w:val="20"/>
                <w:szCs w:val="20"/>
                <w:color w:val="auto"/>
              </w:rPr>
            </w:pPr>
            <w:r>
              <w:rPr>
                <w:rFonts w:ascii="Arial" w:cs="Arial" w:eastAsia="Arial" w:hAnsi="Arial"/>
                <w:sz w:val="13"/>
                <w:szCs w:val="13"/>
                <w:color w:val="auto"/>
                <w:w w:val="95"/>
              </w:rPr>
              <w:t>6%</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320" w:type="dxa"/>
            <w:vAlign w:val="bottom"/>
            <w:shd w:val="clear" w:color="auto" w:fill="CCEEFF"/>
          </w:tcPr>
          <w:p>
            <w:pPr>
              <w:ind w:left="320"/>
              <w:spacing w:after="0"/>
              <w:rPr>
                <w:sz w:val="20"/>
                <w:szCs w:val="20"/>
                <w:color w:val="auto"/>
              </w:rPr>
            </w:pPr>
            <w:r>
              <w:rPr>
                <w:rFonts w:ascii="Arial" w:cs="Arial" w:eastAsia="Arial" w:hAnsi="Arial"/>
                <w:sz w:val="13"/>
                <w:szCs w:val="13"/>
                <w:color w:val="auto"/>
              </w:rPr>
              <w:t>2.5%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26,042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26,926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26,916</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5%</w:t>
            </w: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105.2%</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3.35%</w:t>
            </w:r>
          </w:p>
        </w:tc>
        <w:tc>
          <w:tcPr>
            <w:tcW w:w="88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1.76%</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8</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center"/>
              <w:ind w:left="253"/>
              <w:spacing w:after="0"/>
              <w:rPr>
                <w:sz w:val="20"/>
                <w:szCs w:val="20"/>
                <w:color w:val="auto"/>
              </w:rPr>
            </w:pPr>
            <w:r>
              <w:rPr>
                <w:rFonts w:ascii="Arial" w:cs="Arial" w:eastAsia="Arial" w:hAnsi="Arial"/>
                <w:sz w:val="13"/>
                <w:szCs w:val="13"/>
                <w:color w:val="auto"/>
                <w:w w:val="95"/>
              </w:rPr>
              <w:t>8%</w:t>
            </w:r>
          </w:p>
        </w:tc>
        <w:tc>
          <w:tcPr>
            <w:tcW w:w="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320" w:type="dxa"/>
            <w:vAlign w:val="bottom"/>
          </w:tcPr>
          <w:p>
            <w:pPr>
              <w:ind w:left="320"/>
              <w:spacing w:after="0"/>
              <w:rPr>
                <w:sz w:val="20"/>
                <w:szCs w:val="20"/>
                <w:color w:val="auto"/>
              </w:rPr>
            </w:pPr>
            <w:r>
              <w:rPr>
                <w:rFonts w:ascii="Arial" w:cs="Arial" w:eastAsia="Arial" w:hAnsi="Arial"/>
                <w:sz w:val="13"/>
                <w:szCs w:val="13"/>
                <w:color w:val="auto"/>
              </w:rPr>
              <w:t>3.0%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3,915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4,059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4,104</w:t>
            </w:r>
          </w:p>
        </w:tc>
        <w:tc>
          <w:tcPr>
            <w:tcW w:w="1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92"/>
              </w:rPr>
              <w:t>13%</w:t>
            </w:r>
          </w:p>
        </w:tc>
        <w:tc>
          <w:tcPr>
            <w:tcW w:w="2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color w:val="auto"/>
                <w:w w:val="95"/>
              </w:rPr>
              <w:t>102.9%</w:t>
            </w:r>
          </w:p>
        </w:tc>
        <w:tc>
          <w:tcPr>
            <w:tcW w:w="1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92"/>
              </w:rPr>
              <w:t>3.70%</w:t>
            </w:r>
          </w:p>
        </w:tc>
        <w:tc>
          <w:tcPr>
            <w:tcW w:w="880" w:type="dxa"/>
            <w:vAlign w:val="bottom"/>
            <w:gridSpan w:val="2"/>
          </w:tcPr>
          <w:p>
            <w:pPr>
              <w:ind w:left="340"/>
              <w:spacing w:after="0"/>
              <w:rPr>
                <w:sz w:val="20"/>
                <w:szCs w:val="20"/>
                <w:color w:val="auto"/>
              </w:rPr>
            </w:pPr>
            <w:r>
              <w:rPr>
                <w:rFonts w:ascii="Arial" w:cs="Arial" w:eastAsia="Arial" w:hAnsi="Arial"/>
                <w:sz w:val="13"/>
                <w:szCs w:val="13"/>
                <w:color w:val="auto"/>
              </w:rPr>
              <w:t>2.41%</w:t>
            </w:r>
          </w:p>
        </w:tc>
        <w:tc>
          <w:tcPr>
            <w:tcW w:w="1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3"/>
                <w:szCs w:val="13"/>
                <w:color w:val="auto"/>
                <w:w w:val="82"/>
              </w:rPr>
              <w:t>46</w:t>
            </w:r>
          </w:p>
        </w:tc>
        <w:tc>
          <w:tcPr>
            <w:tcW w:w="100" w:type="dxa"/>
            <w:vAlign w:val="bottom"/>
          </w:tcPr>
          <w:p>
            <w:pPr>
              <w:spacing w:after="0"/>
              <w:rPr>
                <w:sz w:val="14"/>
                <w:szCs w:val="14"/>
                <w:color w:val="auto"/>
              </w:rPr>
            </w:pPr>
          </w:p>
        </w:tc>
        <w:tc>
          <w:tcPr>
            <w:tcW w:w="580" w:type="dxa"/>
            <w:vAlign w:val="bottom"/>
          </w:tcPr>
          <w:p>
            <w:pPr>
              <w:jc w:val="center"/>
              <w:ind w:left="253"/>
              <w:spacing w:after="0"/>
              <w:rPr>
                <w:sz w:val="20"/>
                <w:szCs w:val="20"/>
                <w:color w:val="auto"/>
              </w:rPr>
            </w:pPr>
            <w:r>
              <w:rPr>
                <w:rFonts w:ascii="Arial" w:cs="Arial" w:eastAsia="Arial" w:hAnsi="Arial"/>
                <w:sz w:val="13"/>
                <w:szCs w:val="13"/>
                <w:color w:val="auto"/>
                <w:w w:val="99"/>
              </w:rPr>
              <w:t>12%</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320" w:type="dxa"/>
            <w:vAlign w:val="bottom"/>
            <w:shd w:val="clear" w:color="auto" w:fill="CCEEFF"/>
          </w:tcPr>
          <w:p>
            <w:pPr>
              <w:ind w:left="320"/>
              <w:spacing w:after="0"/>
              <w:rPr>
                <w:sz w:val="20"/>
                <w:szCs w:val="20"/>
                <w:color w:val="auto"/>
              </w:rPr>
            </w:pPr>
            <w:r>
              <w:rPr>
                <w:rFonts w:ascii="Arial" w:cs="Arial" w:eastAsia="Arial" w:hAnsi="Arial"/>
                <w:sz w:val="13"/>
                <w:szCs w:val="13"/>
                <w:color w:val="auto"/>
              </w:rPr>
              <w:t>3.5%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10,238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10,704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11,074</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87%</w:t>
            </w: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104.5%</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4.06%</w:t>
            </w:r>
          </w:p>
        </w:tc>
        <w:tc>
          <w:tcPr>
            <w:tcW w:w="88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2.60%</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74</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center"/>
              <w:ind w:left="253"/>
              <w:spacing w:after="0"/>
              <w:rPr>
                <w:sz w:val="20"/>
                <w:szCs w:val="20"/>
                <w:color w:val="auto"/>
              </w:rPr>
            </w:pPr>
            <w:r>
              <w:rPr>
                <w:rFonts w:ascii="Arial" w:cs="Arial" w:eastAsia="Arial" w:hAnsi="Arial"/>
                <w:sz w:val="13"/>
                <w:szCs w:val="13"/>
                <w:color w:val="auto"/>
                <w:w w:val="99"/>
              </w:rPr>
              <w:t>12%</w:t>
            </w:r>
          </w:p>
        </w:tc>
        <w:tc>
          <w:tcPr>
            <w:tcW w:w="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320" w:type="dxa"/>
            <w:vAlign w:val="bottom"/>
          </w:tcPr>
          <w:p>
            <w:pPr>
              <w:ind w:left="320"/>
              <w:spacing w:after="0"/>
              <w:rPr>
                <w:sz w:val="20"/>
                <w:szCs w:val="20"/>
                <w:color w:val="auto"/>
              </w:rPr>
            </w:pPr>
            <w:r>
              <w:rPr>
                <w:rFonts w:ascii="Arial" w:cs="Arial" w:eastAsia="Arial" w:hAnsi="Arial"/>
                <w:sz w:val="13"/>
                <w:szCs w:val="13"/>
                <w:color w:val="auto"/>
              </w:rPr>
              <w:t>4.0%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11,088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11,653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12,141</w:t>
            </w:r>
          </w:p>
        </w:tc>
        <w:tc>
          <w:tcPr>
            <w:tcW w:w="1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92"/>
              </w:rPr>
              <w:t>92%</w:t>
            </w:r>
          </w:p>
        </w:tc>
        <w:tc>
          <w:tcPr>
            <w:tcW w:w="2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color w:val="auto"/>
                <w:w w:val="95"/>
              </w:rPr>
              <w:t>105.1%</w:t>
            </w:r>
          </w:p>
        </w:tc>
        <w:tc>
          <w:tcPr>
            <w:tcW w:w="1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92"/>
              </w:rPr>
              <w:t>4.51%</w:t>
            </w:r>
          </w:p>
        </w:tc>
        <w:tc>
          <w:tcPr>
            <w:tcW w:w="880" w:type="dxa"/>
            <w:vAlign w:val="bottom"/>
            <w:gridSpan w:val="2"/>
          </w:tcPr>
          <w:p>
            <w:pPr>
              <w:ind w:left="340"/>
              <w:spacing w:after="0"/>
              <w:rPr>
                <w:sz w:val="20"/>
                <w:szCs w:val="20"/>
                <w:color w:val="auto"/>
              </w:rPr>
            </w:pPr>
            <w:r>
              <w:rPr>
                <w:rFonts w:ascii="Arial" w:cs="Arial" w:eastAsia="Arial" w:hAnsi="Arial"/>
                <w:sz w:val="13"/>
                <w:szCs w:val="13"/>
                <w:color w:val="auto"/>
              </w:rPr>
              <w:t>2.85%</w:t>
            </w:r>
          </w:p>
        </w:tc>
        <w:tc>
          <w:tcPr>
            <w:tcW w:w="1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3"/>
                <w:szCs w:val="13"/>
                <w:color w:val="auto"/>
                <w:w w:val="82"/>
              </w:rPr>
              <w:t>59</w:t>
            </w:r>
          </w:p>
        </w:tc>
        <w:tc>
          <w:tcPr>
            <w:tcW w:w="100" w:type="dxa"/>
            <w:vAlign w:val="bottom"/>
          </w:tcPr>
          <w:p>
            <w:pPr>
              <w:spacing w:after="0"/>
              <w:rPr>
                <w:sz w:val="14"/>
                <w:szCs w:val="14"/>
                <w:color w:val="auto"/>
              </w:rPr>
            </w:pPr>
          </w:p>
        </w:tc>
        <w:tc>
          <w:tcPr>
            <w:tcW w:w="580" w:type="dxa"/>
            <w:vAlign w:val="bottom"/>
          </w:tcPr>
          <w:p>
            <w:pPr>
              <w:jc w:val="center"/>
              <w:ind w:left="253"/>
              <w:spacing w:after="0"/>
              <w:rPr>
                <w:sz w:val="20"/>
                <w:szCs w:val="20"/>
                <w:color w:val="auto"/>
              </w:rPr>
            </w:pPr>
            <w:r>
              <w:rPr>
                <w:rFonts w:ascii="Arial" w:cs="Arial" w:eastAsia="Arial" w:hAnsi="Arial"/>
                <w:sz w:val="13"/>
                <w:szCs w:val="13"/>
                <w:color w:val="auto"/>
                <w:w w:val="99"/>
              </w:rPr>
              <w:t>14%</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420" w:type="dxa"/>
            <w:vAlign w:val="bottom"/>
            <w:gridSpan w:val="2"/>
            <w:shd w:val="clear" w:color="auto" w:fill="CCEEFF"/>
          </w:tcPr>
          <w:p>
            <w:pPr>
              <w:ind w:left="320"/>
              <w:spacing w:after="0"/>
              <w:rPr>
                <w:sz w:val="20"/>
                <w:szCs w:val="20"/>
                <w:color w:val="auto"/>
              </w:rPr>
            </w:pPr>
            <w:r>
              <w:rPr>
                <w:rFonts w:ascii="Arial" w:cs="Arial" w:eastAsia="Arial" w:hAnsi="Arial"/>
                <w:sz w:val="13"/>
                <w:szCs w:val="13"/>
                <w:color w:val="auto"/>
              </w:rPr>
              <w:t>≥ 4.5%</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6,583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6,967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7,308</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98%</w:t>
            </w: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105.8%</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5.01%</w:t>
            </w:r>
          </w:p>
        </w:tc>
        <w:tc>
          <w:tcPr>
            <w:tcW w:w="88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3.11%</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45</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center"/>
              <w:ind w:left="253"/>
              <w:spacing w:after="0"/>
              <w:rPr>
                <w:sz w:val="20"/>
                <w:szCs w:val="20"/>
                <w:color w:val="auto"/>
              </w:rPr>
            </w:pPr>
            <w:r>
              <w:rPr>
                <w:rFonts w:ascii="Arial" w:cs="Arial" w:eastAsia="Arial" w:hAnsi="Arial"/>
                <w:sz w:val="13"/>
                <w:szCs w:val="13"/>
                <w:color w:val="auto"/>
                <w:w w:val="99"/>
              </w:rPr>
              <w:t>16%</w:t>
            </w:r>
          </w:p>
        </w:tc>
        <w:tc>
          <w:tcPr>
            <w:tcW w:w="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420" w:type="dxa"/>
            <w:vAlign w:val="bottom"/>
            <w:tcBorders>
              <w:bottom w:val="single" w:sz="8" w:color="CCEEFF"/>
            </w:tcBorders>
            <w:gridSpan w:val="2"/>
          </w:tcPr>
          <w:p>
            <w:pPr>
              <w:ind w:left="200"/>
              <w:spacing w:after="0"/>
              <w:rPr>
                <w:sz w:val="20"/>
                <w:szCs w:val="20"/>
                <w:color w:val="auto"/>
              </w:rPr>
            </w:pPr>
            <w:r>
              <w:rPr>
                <w:rFonts w:ascii="Arial" w:cs="Arial" w:eastAsia="Arial" w:hAnsi="Arial"/>
                <w:sz w:val="13"/>
                <w:szCs w:val="13"/>
                <w:color w:val="auto"/>
              </w:rPr>
              <w:t>Total 30-year</w:t>
            </w:r>
          </w:p>
        </w:tc>
        <w:tc>
          <w:tcPr>
            <w:tcW w:w="10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72,445</w:t>
            </w:r>
          </w:p>
        </w:tc>
        <w:tc>
          <w:tcPr>
            <w:tcW w:w="10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74,991</w:t>
            </w:r>
          </w:p>
        </w:tc>
        <w:tc>
          <w:tcPr>
            <w:tcW w:w="10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76,279</w:t>
            </w:r>
          </w:p>
        </w:tc>
        <w:tc>
          <w:tcPr>
            <w:tcW w:w="100" w:type="dxa"/>
            <w:vAlign w:val="bottom"/>
            <w:tcBorders>
              <w:bottom w:val="single" w:sz="8" w:color="CCEEFF"/>
            </w:tcBorders>
          </w:tcPr>
          <w:p>
            <w:pPr>
              <w:spacing w:after="0"/>
              <w:rPr>
                <w:sz w:val="14"/>
                <w:szCs w:val="14"/>
                <w:color w:val="auto"/>
              </w:rPr>
            </w:pPr>
          </w:p>
        </w:tc>
        <w:tc>
          <w:tcPr>
            <w:tcW w:w="9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color w:val="auto"/>
                <w:w w:val="92"/>
              </w:rPr>
              <w:t>40%</w:t>
            </w:r>
          </w:p>
        </w:tc>
        <w:tc>
          <w:tcPr>
            <w:tcW w:w="220" w:type="dxa"/>
            <w:vAlign w:val="bottom"/>
            <w:tcBorders>
              <w:bottom w:val="single" w:sz="8" w:color="CCEEFF"/>
            </w:tcBorders>
          </w:tcPr>
          <w:p>
            <w:pPr>
              <w:spacing w:after="0"/>
              <w:rPr>
                <w:sz w:val="14"/>
                <w:szCs w:val="14"/>
                <w:color w:val="auto"/>
              </w:rPr>
            </w:pPr>
          </w:p>
        </w:tc>
        <w:tc>
          <w:tcPr>
            <w:tcW w:w="10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color w:val="auto"/>
                <w:w w:val="95"/>
              </w:rPr>
              <w:t>103.9%</w:t>
            </w:r>
          </w:p>
        </w:tc>
        <w:tc>
          <w:tcPr>
            <w:tcW w:w="120" w:type="dxa"/>
            <w:vAlign w:val="bottom"/>
            <w:tcBorders>
              <w:bottom w:val="single" w:sz="8" w:color="CCEEFF"/>
            </w:tcBorders>
          </w:tcPr>
          <w:p>
            <w:pPr>
              <w:spacing w:after="0"/>
              <w:rPr>
                <w:sz w:val="14"/>
                <w:szCs w:val="14"/>
                <w:color w:val="auto"/>
              </w:rPr>
            </w:pPr>
          </w:p>
        </w:tc>
        <w:tc>
          <w:tcPr>
            <w:tcW w:w="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color w:val="auto"/>
                <w:w w:val="92"/>
              </w:rPr>
              <w:t>3.90%</w:t>
            </w:r>
          </w:p>
        </w:tc>
        <w:tc>
          <w:tcPr>
            <w:tcW w:w="140" w:type="dxa"/>
            <w:vAlign w:val="bottom"/>
            <w:tcBorders>
              <w:bottom w:val="single" w:sz="8" w:color="CCEEFF"/>
            </w:tcBorders>
          </w:tcPr>
          <w:p>
            <w:pPr>
              <w:spacing w:after="0"/>
              <w:rPr>
                <w:sz w:val="14"/>
                <w:szCs w:val="14"/>
                <w:color w:val="auto"/>
              </w:rPr>
            </w:pPr>
          </w:p>
        </w:tc>
        <w:tc>
          <w:tcPr>
            <w:tcW w:w="74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3"/>
                <w:szCs w:val="13"/>
                <w:color w:val="auto"/>
              </w:rPr>
              <w:t>2.45%</w:t>
            </w:r>
          </w:p>
        </w:tc>
        <w:tc>
          <w:tcPr>
            <w:tcW w:w="100" w:type="dxa"/>
            <w:vAlign w:val="bottom"/>
            <w:tcBorders>
              <w:bottom w:val="single" w:sz="8" w:color="CCEEFF"/>
            </w:tcBorders>
          </w:tcPr>
          <w:p>
            <w:pPr>
              <w:spacing w:after="0"/>
              <w:rPr>
                <w:sz w:val="14"/>
                <w:szCs w:val="14"/>
                <w:color w:val="auto"/>
              </w:rPr>
            </w:pPr>
          </w:p>
        </w:tc>
        <w:tc>
          <w:tcPr>
            <w:tcW w:w="9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color w:val="auto"/>
                <w:w w:val="82"/>
              </w:rPr>
              <w:t>40</w:t>
            </w:r>
          </w:p>
        </w:tc>
        <w:tc>
          <w:tcPr>
            <w:tcW w:w="100" w:type="dxa"/>
            <w:vAlign w:val="bottom"/>
            <w:tcBorders>
              <w:bottom w:val="single" w:sz="8" w:color="CCEEFF"/>
            </w:tcBorders>
          </w:tcPr>
          <w:p>
            <w:pPr>
              <w:spacing w:after="0"/>
              <w:rPr>
                <w:sz w:val="14"/>
                <w:szCs w:val="14"/>
                <w:color w:val="auto"/>
              </w:rPr>
            </w:pPr>
          </w:p>
        </w:tc>
        <w:tc>
          <w:tcPr>
            <w:tcW w:w="580" w:type="dxa"/>
            <w:vAlign w:val="bottom"/>
            <w:tcBorders>
              <w:top w:val="single" w:sz="8" w:color="auto"/>
              <w:bottom w:val="single" w:sz="8" w:color="auto"/>
            </w:tcBorders>
          </w:tcPr>
          <w:p>
            <w:pPr>
              <w:jc w:val="center"/>
              <w:ind w:left="273"/>
              <w:spacing w:after="0"/>
              <w:rPr>
                <w:sz w:val="20"/>
                <w:szCs w:val="20"/>
                <w:color w:val="auto"/>
              </w:rPr>
            </w:pPr>
            <w:r>
              <w:rPr>
                <w:rFonts w:ascii="Arial" w:cs="Arial" w:eastAsia="Arial" w:hAnsi="Arial"/>
                <w:sz w:val="13"/>
                <w:szCs w:val="13"/>
                <w:color w:val="auto"/>
                <w:w w:val="92"/>
              </w:rPr>
              <w:t>11%</w:t>
            </w:r>
          </w:p>
        </w:tc>
        <w:tc>
          <w:tcPr>
            <w:tcW w:w="320" w:type="dxa"/>
            <w:vAlign w:val="bottom"/>
            <w:tcBorders>
              <w:top w:val="single" w:sz="8" w:color="auto"/>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Total fixed rate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80,936</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83,725</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85,143</w:t>
            </w:r>
          </w:p>
        </w:tc>
        <w:tc>
          <w:tcPr>
            <w:tcW w:w="1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2"/>
              </w:rPr>
              <w:t>40%</w:t>
            </w:r>
          </w:p>
        </w:tc>
        <w:tc>
          <w:tcPr>
            <w:tcW w:w="2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5"/>
              </w:rPr>
              <w:t>103.8%</w:t>
            </w:r>
          </w:p>
        </w:tc>
        <w:tc>
          <w:tcPr>
            <w:tcW w:w="1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2"/>
              </w:rPr>
              <w:t>3.81%</w:t>
            </w:r>
          </w:p>
        </w:tc>
        <w:tc>
          <w:tcPr>
            <w:tcW w:w="14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3"/>
                <w:szCs w:val="13"/>
                <w:color w:val="auto"/>
              </w:rPr>
              <w:t>2.36%</w:t>
            </w:r>
          </w:p>
        </w:tc>
        <w:tc>
          <w:tcPr>
            <w:tcW w:w="1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82"/>
              </w:rPr>
              <w:t>38</w:t>
            </w: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center"/>
              <w:ind w:left="253"/>
              <w:spacing w:after="0"/>
              <w:rPr>
                <w:sz w:val="20"/>
                <w:szCs w:val="20"/>
                <w:color w:val="auto"/>
              </w:rPr>
            </w:pPr>
            <w:r>
              <w:rPr>
                <w:rFonts w:ascii="Arial" w:cs="Arial" w:eastAsia="Arial" w:hAnsi="Arial"/>
                <w:sz w:val="13"/>
                <w:szCs w:val="13"/>
                <w:color w:val="auto"/>
                <w:w w:val="99"/>
              </w:rPr>
              <w:t>12%</w:t>
            </w:r>
          </w:p>
        </w:tc>
        <w:tc>
          <w:tcPr>
            <w:tcW w:w="32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w:t>
      </w:r>
    </w:p>
    <w:p>
      <w:pPr>
        <w:spacing w:after="0" w:line="1" w:lineRule="exact"/>
        <w:rPr>
          <w:sz w:val="20"/>
          <w:szCs w:val="20"/>
          <w:color w:val="auto"/>
        </w:rPr>
      </w:pPr>
    </w:p>
    <w:p>
      <w:pPr>
        <w:jc w:val="both"/>
        <w:ind w:left="600" w:hanging="300"/>
        <w:spacing w:after="0"/>
        <w:tabs>
          <w:tab w:leader="none" w:pos="6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Specified pools include pools backed by lower balance loans with original loan balances of up to $200K, HARP pools (defined as pools that were issued between May 2009 and December 2018 and backed by 100% refinance loans with original LTVs ≥ 80%), and pools backed by loans 100% originated in New York and Puerto Rico. As of June 30, 2021, lower balance specified pools had a weighted average original loan balance of $119,000 and $116,000 for 15-year and 30-year securities, respectively, and HARP pools had a weighted average original LTV of 127% and 138% for 15-year and 30-year securities, respectively.</w:t>
      </w:r>
    </w:p>
    <w:p>
      <w:pPr>
        <w:spacing w:after="0" w:line="1" w:lineRule="exact"/>
        <w:rPr>
          <w:rFonts w:ascii="Arial" w:cs="Arial" w:eastAsia="Arial" w:hAnsi="Arial"/>
          <w:sz w:val="13"/>
          <w:szCs w:val="13"/>
          <w:color w:val="auto"/>
        </w:rPr>
      </w:pPr>
    </w:p>
    <w:p>
      <w:pPr>
        <w:ind w:left="600" w:hanging="300"/>
        <w:spacing w:after="0"/>
        <w:tabs>
          <w:tab w:leader="none" w:pos="6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WAC represents the weighted average coupon of the underlying collateral.</w:t>
      </w:r>
    </w:p>
    <w:p>
      <w:pPr>
        <w:ind w:left="600" w:hanging="300"/>
        <w:spacing w:after="0"/>
        <w:tabs>
          <w:tab w:leader="none" w:pos="600" w:val="left"/>
        </w:tabs>
        <w:numPr>
          <w:ilvl w:val="0"/>
          <w:numId w:val="21"/>
        </w:numPr>
        <w:rPr>
          <w:rFonts w:ascii="Arial" w:cs="Arial" w:eastAsia="Arial" w:hAnsi="Arial"/>
          <w:sz w:val="13"/>
          <w:szCs w:val="13"/>
          <w:color w:val="auto"/>
        </w:rPr>
      </w:pPr>
      <w:r>
        <w:rPr>
          <w:rFonts w:ascii="Arial" w:cs="Arial" w:eastAsia="Arial" w:hAnsi="Arial"/>
          <w:sz w:val="13"/>
          <w:szCs w:val="13"/>
          <w:color w:val="auto"/>
        </w:rPr>
        <w:t>Portfolio yield incorporates a projected life CPR based on forward rate assumptions as of June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78"/>
        </w:trPr>
        <w:tc>
          <w:tcPr>
            <w:tcW w:w="2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ind w:left="100"/>
              <w:spacing w:after="0"/>
              <w:rPr>
                <w:sz w:val="20"/>
                <w:szCs w:val="20"/>
                <w:color w:val="auto"/>
              </w:rPr>
            </w:pPr>
            <w:r>
              <w:rPr>
                <w:rFonts w:ascii="Arial" w:cs="Arial" w:eastAsia="Arial" w:hAnsi="Arial"/>
                <w:sz w:val="13"/>
                <w:szCs w:val="13"/>
                <w:b w:val="1"/>
                <w:bCs w:val="1"/>
                <w:color w:val="auto"/>
              </w:rPr>
              <w:t>December 31, 2020</w:t>
            </w:r>
          </w:p>
        </w:tc>
        <w:tc>
          <w:tcPr>
            <w:tcW w:w="6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5"/>
          </w:tcPr>
          <w:p>
            <w:pPr>
              <w:jc w:val="right"/>
              <w:ind w:right="200"/>
              <w:spacing w:after="0"/>
              <w:rPr>
                <w:sz w:val="20"/>
                <w:szCs w:val="20"/>
                <w:color w:val="auto"/>
              </w:rPr>
            </w:pPr>
            <w:r>
              <w:rPr>
                <w:rFonts w:ascii="Arial" w:cs="Arial" w:eastAsia="Arial" w:hAnsi="Arial"/>
                <w:sz w:val="13"/>
                <w:szCs w:val="13"/>
                <w:b w:val="1"/>
                <w:bCs w:val="1"/>
                <w:color w:val="auto"/>
                <w:w w:val="97"/>
              </w:rPr>
              <w:t>Includes Net TBA Position</w:t>
            </w:r>
          </w:p>
        </w:tc>
        <w:tc>
          <w:tcPr>
            <w:tcW w:w="9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6"/>
          </w:tcPr>
          <w:p>
            <w:pPr>
              <w:ind w:left="460"/>
              <w:spacing w:after="0"/>
              <w:rPr>
                <w:sz w:val="20"/>
                <w:szCs w:val="20"/>
                <w:color w:val="auto"/>
              </w:rPr>
            </w:pPr>
            <w:r>
              <w:rPr>
                <w:rFonts w:ascii="Arial" w:cs="Arial" w:eastAsia="Arial" w:hAnsi="Arial"/>
                <w:sz w:val="13"/>
                <w:szCs w:val="13"/>
                <w:b w:val="1"/>
                <w:bCs w:val="1"/>
                <w:color w:val="auto"/>
              </w:rPr>
              <w:t>Excludes Net TBA Position</w:t>
            </w:r>
          </w:p>
        </w:tc>
        <w:tc>
          <w:tcPr>
            <w:tcW w:w="5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4"/>
          </w:tcPr>
          <w:p>
            <w:pPr>
              <w:ind w:left="120"/>
              <w:spacing w:after="0"/>
              <w:rPr>
                <w:sz w:val="20"/>
                <w:szCs w:val="20"/>
                <w:color w:val="auto"/>
              </w:rPr>
            </w:pPr>
            <w:r>
              <w:rPr>
                <w:rFonts w:ascii="Arial" w:cs="Arial" w:eastAsia="Arial" w:hAnsi="Arial"/>
                <w:sz w:val="13"/>
                <w:szCs w:val="13"/>
                <w:b w:val="1"/>
                <w:bCs w:val="1"/>
                <w:color w:val="auto"/>
              </w:rPr>
              <w:t>Weighted Average</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2"/>
        </w:trPr>
        <w:tc>
          <w:tcPr>
            <w:tcW w:w="2420" w:type="dxa"/>
            <w:vAlign w:val="bottom"/>
            <w:gridSpan w:val="2"/>
          </w:tcPr>
          <w:p>
            <w:pPr>
              <w:ind w:left="20"/>
              <w:spacing w:after="0" w:line="113" w:lineRule="exact"/>
              <w:rPr>
                <w:sz w:val="20"/>
                <w:szCs w:val="20"/>
                <w:color w:val="auto"/>
              </w:rPr>
            </w:pPr>
            <w:r>
              <w:rPr>
                <w:rFonts w:ascii="Arial" w:cs="Arial" w:eastAsia="Arial" w:hAnsi="Arial"/>
                <w:sz w:val="13"/>
                <w:szCs w:val="13"/>
                <w:b w:val="1"/>
                <w:bCs w:val="1"/>
                <w:color w:val="auto"/>
              </w:rPr>
              <w:t>Fixed Rate Agency RMBS and TBA</w:t>
            </w:r>
          </w:p>
        </w:tc>
        <w:tc>
          <w:tcPr>
            <w:tcW w:w="100" w:type="dxa"/>
            <w:vAlign w:val="bottom"/>
          </w:tcPr>
          <w:p>
            <w:pPr>
              <w:spacing w:after="0"/>
              <w:rPr>
                <w:sz w:val="9"/>
                <w:szCs w:val="9"/>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Par Value</w:t>
            </w:r>
          </w:p>
        </w:tc>
        <w:tc>
          <w:tcPr>
            <w:tcW w:w="120" w:type="dxa"/>
            <w:vAlign w:val="bottom"/>
          </w:tcPr>
          <w:p>
            <w:pPr>
              <w:spacing w:after="0"/>
              <w:rPr>
                <w:sz w:val="9"/>
                <w:szCs w:val="9"/>
                <w:color w:val="auto"/>
              </w:rPr>
            </w:pPr>
          </w:p>
        </w:tc>
        <w:tc>
          <w:tcPr>
            <w:tcW w:w="920" w:type="dxa"/>
            <w:vAlign w:val="bottom"/>
            <w:gridSpan w:val="2"/>
          </w:tcPr>
          <w:p>
            <w:pPr>
              <w:jc w:val="center"/>
              <w:ind w:right="220"/>
              <w:spacing w:after="0" w:line="113" w:lineRule="exact"/>
              <w:rPr>
                <w:sz w:val="20"/>
                <w:szCs w:val="20"/>
                <w:color w:val="auto"/>
              </w:rPr>
            </w:pPr>
            <w:r>
              <w:rPr>
                <w:rFonts w:ascii="Arial" w:cs="Arial" w:eastAsia="Arial" w:hAnsi="Arial"/>
                <w:sz w:val="13"/>
                <w:szCs w:val="13"/>
                <w:b w:val="1"/>
                <w:bCs w:val="1"/>
                <w:color w:val="auto"/>
                <w:w w:val="97"/>
              </w:rPr>
              <w:t>Amortized</w:t>
            </w:r>
          </w:p>
        </w:tc>
        <w:tc>
          <w:tcPr>
            <w:tcW w:w="100" w:type="dxa"/>
            <w:vAlign w:val="bottom"/>
          </w:tcPr>
          <w:p>
            <w:pPr>
              <w:spacing w:after="0"/>
              <w:rPr>
                <w:sz w:val="9"/>
                <w:szCs w:val="9"/>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3"/>
                <w:szCs w:val="13"/>
                <w:b w:val="1"/>
                <w:bCs w:val="1"/>
                <w:color w:val="auto"/>
                <w:w w:val="93"/>
              </w:rPr>
              <w:t>Fair Value</w:t>
            </w:r>
          </w:p>
        </w:tc>
        <w:tc>
          <w:tcPr>
            <w:tcW w:w="920" w:type="dxa"/>
            <w:vAlign w:val="bottom"/>
          </w:tcPr>
          <w:p>
            <w:pPr>
              <w:ind w:left="60"/>
              <w:spacing w:after="0" w:line="113" w:lineRule="exact"/>
              <w:rPr>
                <w:sz w:val="20"/>
                <w:szCs w:val="20"/>
                <w:color w:val="auto"/>
              </w:rPr>
            </w:pPr>
            <w:r>
              <w:rPr>
                <w:rFonts w:ascii="Arial" w:cs="Arial" w:eastAsia="Arial" w:hAnsi="Arial"/>
                <w:sz w:val="13"/>
                <w:szCs w:val="13"/>
                <w:b w:val="1"/>
                <w:bCs w:val="1"/>
                <w:color w:val="auto"/>
                <w:w w:val="93"/>
              </w:rPr>
              <w:t>Specified Pool</w:t>
            </w:r>
          </w:p>
        </w:tc>
        <w:tc>
          <w:tcPr>
            <w:tcW w:w="220" w:type="dxa"/>
            <w:vAlign w:val="bottom"/>
          </w:tcPr>
          <w:p>
            <w:pPr>
              <w:spacing w:after="0"/>
              <w:rPr>
                <w:sz w:val="9"/>
                <w:szCs w:val="9"/>
                <w:color w:val="auto"/>
              </w:rPr>
            </w:pPr>
          </w:p>
        </w:tc>
        <w:tc>
          <w:tcPr>
            <w:tcW w:w="1160" w:type="dxa"/>
            <w:vAlign w:val="bottom"/>
            <w:gridSpan w:val="2"/>
          </w:tcPr>
          <w:p>
            <w:pPr>
              <w:jc w:val="center"/>
              <w:ind w:right="140"/>
              <w:spacing w:after="0" w:line="113" w:lineRule="exact"/>
              <w:rPr>
                <w:sz w:val="20"/>
                <w:szCs w:val="20"/>
                <w:color w:val="auto"/>
              </w:rPr>
            </w:pPr>
            <w:r>
              <w:rPr>
                <w:rFonts w:ascii="Arial" w:cs="Arial" w:eastAsia="Arial" w:hAnsi="Arial"/>
                <w:sz w:val="13"/>
                <w:szCs w:val="13"/>
                <w:b w:val="1"/>
                <w:bCs w:val="1"/>
                <w:color w:val="auto"/>
                <w:w w:val="97"/>
              </w:rPr>
              <w:t>Amortized</w:t>
            </w:r>
          </w:p>
        </w:tc>
        <w:tc>
          <w:tcPr>
            <w:tcW w:w="6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2"/>
              </w:rPr>
              <w:t xml:space="preserve">WAC </w:t>
            </w:r>
            <w:r>
              <w:rPr>
                <w:rFonts w:ascii="Arial" w:cs="Arial" w:eastAsia="Arial" w:hAnsi="Arial"/>
                <w:sz w:val="17"/>
                <w:szCs w:val="17"/>
                <w:b w:val="1"/>
                <w:bCs w:val="1"/>
                <w:color w:val="auto"/>
                <w:w w:val="92"/>
                <w:vertAlign w:val="superscript"/>
              </w:rPr>
              <w:t>2</w:t>
            </w:r>
          </w:p>
        </w:tc>
        <w:tc>
          <w:tcPr>
            <w:tcW w:w="140" w:type="dxa"/>
            <w:vAlign w:val="bottom"/>
          </w:tcPr>
          <w:p>
            <w:pPr>
              <w:spacing w:after="0"/>
              <w:rPr>
                <w:sz w:val="9"/>
                <w:szCs w:val="9"/>
                <w:color w:val="auto"/>
              </w:rPr>
            </w:pPr>
          </w:p>
        </w:tc>
        <w:tc>
          <w:tcPr>
            <w:tcW w:w="840" w:type="dxa"/>
            <w:vAlign w:val="bottom"/>
            <w:gridSpan w:val="2"/>
            <w:vMerge w:val="restart"/>
          </w:tcPr>
          <w:p>
            <w:pPr>
              <w:ind w:left="180"/>
              <w:spacing w:after="0"/>
              <w:rPr>
                <w:sz w:val="20"/>
                <w:szCs w:val="20"/>
                <w:color w:val="auto"/>
              </w:rPr>
            </w:pPr>
            <w:r>
              <w:rPr>
                <w:rFonts w:ascii="Arial" w:cs="Arial" w:eastAsia="Arial" w:hAnsi="Arial"/>
                <w:sz w:val="13"/>
                <w:szCs w:val="13"/>
                <w:b w:val="1"/>
                <w:bCs w:val="1"/>
                <w:color w:val="auto"/>
              </w:rPr>
              <w:t xml:space="preserve">Yield </w:t>
            </w:r>
            <w:r>
              <w:rPr>
                <w:rFonts w:ascii="Arial" w:cs="Arial" w:eastAsia="Arial" w:hAnsi="Arial"/>
                <w:sz w:val="17"/>
                <w:szCs w:val="17"/>
                <w:b w:val="1"/>
                <w:bCs w:val="1"/>
                <w:color w:val="auto"/>
                <w:vertAlign w:val="superscript"/>
              </w:rPr>
              <w:t>3</w:t>
            </w:r>
          </w:p>
        </w:tc>
        <w:tc>
          <w:tcPr>
            <w:tcW w:w="106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Age (Months)</w:t>
            </w:r>
          </w:p>
        </w:tc>
        <w:tc>
          <w:tcPr>
            <w:tcW w:w="900" w:type="dxa"/>
            <w:vAlign w:val="bottom"/>
            <w:gridSpan w:val="2"/>
          </w:tcPr>
          <w:p>
            <w:pPr>
              <w:jc w:val="center"/>
              <w:spacing w:after="0" w:line="113" w:lineRule="exact"/>
              <w:rPr>
                <w:sz w:val="20"/>
                <w:szCs w:val="20"/>
                <w:color w:val="auto"/>
              </w:rPr>
            </w:pPr>
            <w:r>
              <w:rPr>
                <w:rFonts w:ascii="Arial" w:cs="Arial" w:eastAsia="Arial" w:hAnsi="Arial"/>
                <w:sz w:val="13"/>
                <w:szCs w:val="13"/>
                <w:b w:val="1"/>
                <w:bCs w:val="1"/>
                <w:color w:val="auto"/>
                <w:w w:val="91"/>
              </w:rPr>
              <w:t>Projected</w:t>
            </w:r>
          </w:p>
        </w:tc>
        <w:tc>
          <w:tcPr>
            <w:tcW w:w="0" w:type="dxa"/>
            <w:vAlign w:val="bottom"/>
          </w:tcPr>
          <w:p>
            <w:pPr>
              <w:spacing w:after="0"/>
              <w:rPr>
                <w:sz w:val="1"/>
                <w:szCs w:val="1"/>
                <w:color w:val="auto"/>
              </w:rPr>
            </w:pPr>
          </w:p>
        </w:tc>
      </w:tr>
      <w:tr>
        <w:trPr>
          <w:trHeight w:val="175"/>
        </w:trPr>
        <w:tc>
          <w:tcPr>
            <w:tcW w:w="2420" w:type="dxa"/>
            <w:vAlign w:val="bottom"/>
            <w:gridSpan w:val="2"/>
          </w:tcPr>
          <w:p>
            <w:pPr>
              <w:ind w:left="20"/>
              <w:spacing w:after="0"/>
              <w:rPr>
                <w:sz w:val="20"/>
                <w:szCs w:val="20"/>
                <w:color w:val="auto"/>
              </w:rPr>
            </w:pPr>
            <w:r>
              <w:rPr>
                <w:rFonts w:ascii="Arial" w:cs="Arial" w:eastAsia="Arial" w:hAnsi="Arial"/>
                <w:sz w:val="13"/>
                <w:szCs w:val="13"/>
                <w:b w:val="1"/>
                <w:bCs w:val="1"/>
                <w:color w:val="auto"/>
              </w:rPr>
              <w:t>Securities</w:t>
            </w:r>
          </w:p>
        </w:tc>
        <w:tc>
          <w:tcPr>
            <w:tcW w:w="10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Cost</w:t>
            </w:r>
          </w:p>
        </w:tc>
        <w:tc>
          <w:tcPr>
            <w:tcW w:w="10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920" w:type="dxa"/>
            <w:vAlign w:val="bottom"/>
          </w:tcPr>
          <w:p>
            <w:pPr>
              <w:jc w:val="center"/>
              <w:spacing w:after="0" w:line="175" w:lineRule="exact"/>
              <w:rPr>
                <w:sz w:val="20"/>
                <w:szCs w:val="20"/>
                <w:color w:val="auto"/>
              </w:rPr>
            </w:pPr>
            <w:r>
              <w:rPr>
                <w:rFonts w:ascii="Arial" w:cs="Arial" w:eastAsia="Arial" w:hAnsi="Arial"/>
                <w:sz w:val="13"/>
                <w:szCs w:val="13"/>
                <w:b w:val="1"/>
                <w:bCs w:val="1"/>
                <w:color w:val="auto"/>
              </w:rPr>
              <w:t xml:space="preserve">% </w:t>
            </w:r>
            <w:r>
              <w:rPr>
                <w:rFonts w:ascii="Arial" w:cs="Arial" w:eastAsia="Arial" w:hAnsi="Arial"/>
                <w:sz w:val="17"/>
                <w:szCs w:val="17"/>
                <w:b w:val="1"/>
                <w:bCs w:val="1"/>
                <w:color w:val="auto"/>
                <w:vertAlign w:val="superscript"/>
              </w:rPr>
              <w:t>1</w:t>
            </w:r>
          </w:p>
        </w:tc>
        <w:tc>
          <w:tcPr>
            <w:tcW w:w="220" w:type="dxa"/>
            <w:vAlign w:val="bottom"/>
          </w:tcPr>
          <w:p>
            <w:pPr>
              <w:spacing w:after="0"/>
              <w:rPr>
                <w:sz w:val="15"/>
                <w:szCs w:val="15"/>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6"/>
              </w:rPr>
              <w:t>Cost Basis</w:t>
            </w:r>
          </w:p>
        </w:tc>
        <w:tc>
          <w:tcPr>
            <w:tcW w:w="6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580" w:type="dxa"/>
            <w:vAlign w:val="bottom"/>
          </w:tcPr>
          <w:p>
            <w:pPr>
              <w:ind w:left="280"/>
              <w:spacing w:after="0"/>
              <w:rPr>
                <w:sz w:val="20"/>
                <w:szCs w:val="20"/>
                <w:color w:val="auto"/>
              </w:rPr>
            </w:pPr>
            <w:r>
              <w:rPr>
                <w:rFonts w:ascii="Arial" w:cs="Arial" w:eastAsia="Arial" w:hAnsi="Arial"/>
                <w:sz w:val="13"/>
                <w:szCs w:val="13"/>
                <w:b w:val="1"/>
                <w:bCs w:val="1"/>
                <w:color w:val="auto"/>
              </w:rPr>
              <w:t>CPR</w:t>
            </w:r>
          </w:p>
        </w:tc>
        <w:tc>
          <w:tcPr>
            <w:tcW w:w="320" w:type="dxa"/>
            <w:vAlign w:val="bottom"/>
          </w:tcPr>
          <w:p>
            <w:pPr>
              <w:jc w:val="right"/>
              <w:ind w:right="253"/>
              <w:spacing w:after="0"/>
              <w:rPr>
                <w:sz w:val="20"/>
                <w:szCs w:val="20"/>
                <w:color w:val="auto"/>
              </w:rPr>
            </w:pPr>
            <w:r>
              <w:rPr>
                <w:rFonts w:ascii="Arial" w:cs="Arial" w:eastAsia="Arial" w:hAnsi="Arial"/>
                <w:sz w:val="5"/>
                <w:szCs w:val="5"/>
                <w:b w:val="1"/>
                <w:bCs w:val="1"/>
                <w:color w:val="auto"/>
                <w:w w:val="70"/>
              </w:rPr>
              <w:t>3</w:t>
            </w:r>
          </w:p>
        </w:tc>
        <w:tc>
          <w:tcPr>
            <w:tcW w:w="0" w:type="dxa"/>
            <w:vAlign w:val="bottom"/>
          </w:tcPr>
          <w:p>
            <w:pPr>
              <w:spacing w:after="0"/>
              <w:rPr>
                <w:sz w:val="1"/>
                <w:szCs w:val="1"/>
                <w:color w:val="auto"/>
              </w:rPr>
            </w:pPr>
          </w:p>
        </w:tc>
      </w:tr>
      <w:tr>
        <w:trPr>
          <w:trHeight w:val="167"/>
        </w:trPr>
        <w:tc>
          <w:tcPr>
            <w:tcW w:w="23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Fixed rate</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420" w:type="dxa"/>
            <w:vAlign w:val="bottom"/>
            <w:gridSpan w:val="2"/>
          </w:tcPr>
          <w:p>
            <w:pPr>
              <w:ind w:left="200"/>
              <w:spacing w:after="0"/>
              <w:rPr>
                <w:sz w:val="20"/>
                <w:szCs w:val="20"/>
                <w:color w:val="auto"/>
              </w:rPr>
            </w:pPr>
            <w:r>
              <w:rPr>
                <w:rFonts w:ascii="Arial" w:cs="Arial" w:eastAsia="Arial" w:hAnsi="Arial"/>
                <w:sz w:val="13"/>
                <w:szCs w:val="13"/>
                <w:color w:val="auto"/>
              </w:rPr>
              <w:t>≤ 15-year:</w:t>
            </w: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320" w:type="dxa"/>
            <w:vAlign w:val="bottom"/>
            <w:shd w:val="clear" w:color="auto" w:fill="CCEEFF"/>
          </w:tcPr>
          <w:p>
            <w:pPr>
              <w:ind w:left="320"/>
              <w:spacing w:after="0"/>
              <w:rPr>
                <w:sz w:val="20"/>
                <w:szCs w:val="20"/>
                <w:color w:val="auto"/>
              </w:rPr>
            </w:pPr>
            <w:r>
              <w:rPr>
                <w:rFonts w:ascii="Arial" w:cs="Arial" w:eastAsia="Arial" w:hAnsi="Arial"/>
                <w:sz w:val="13"/>
                <w:szCs w:val="13"/>
                <w:color w:val="auto"/>
              </w:rPr>
              <w:t>1.5%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5,107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5,144</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w:t>
            </w:r>
          </w:p>
        </w:tc>
        <w:tc>
          <w:tcPr>
            <w:tcW w:w="1260" w:type="dxa"/>
            <w:vAlign w:val="bottom"/>
            <w:gridSpan w:val="2"/>
            <w:shd w:val="clear" w:color="auto" w:fill="CCEEFF"/>
          </w:tcPr>
          <w:p>
            <w:pPr>
              <w:jc w:val="center"/>
              <w:ind w:left="133"/>
              <w:spacing w:after="0"/>
              <w:rPr>
                <w:sz w:val="20"/>
                <w:szCs w:val="20"/>
                <w:color w:val="auto"/>
              </w:rPr>
            </w:pPr>
            <w:r>
              <w:rPr>
                <w:rFonts w:ascii="Arial" w:cs="Arial" w:eastAsia="Arial" w:hAnsi="Arial"/>
                <w:sz w:val="13"/>
                <w:szCs w:val="13"/>
                <w:color w:val="auto"/>
                <w:w w:val="95"/>
              </w:rPr>
              <w:t>102.4%</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2.28%</w:t>
            </w:r>
          </w:p>
        </w:tc>
        <w:tc>
          <w:tcPr>
            <w:tcW w:w="88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0.91%</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center"/>
              <w:ind w:left="253"/>
              <w:spacing w:after="0"/>
              <w:rPr>
                <w:sz w:val="20"/>
                <w:szCs w:val="20"/>
                <w:color w:val="auto"/>
              </w:rPr>
            </w:pPr>
            <w:r>
              <w:rPr>
                <w:rFonts w:ascii="Arial" w:cs="Arial" w:eastAsia="Arial" w:hAnsi="Arial"/>
                <w:sz w:val="13"/>
                <w:szCs w:val="13"/>
                <w:color w:val="auto"/>
                <w:w w:val="99"/>
              </w:rPr>
              <w:t>13%</w:t>
            </w:r>
          </w:p>
        </w:tc>
        <w:tc>
          <w:tcPr>
            <w:tcW w:w="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320" w:type="dxa"/>
            <w:vAlign w:val="bottom"/>
          </w:tcPr>
          <w:p>
            <w:pPr>
              <w:ind w:left="320"/>
              <w:spacing w:after="0"/>
              <w:rPr>
                <w:sz w:val="20"/>
                <w:szCs w:val="20"/>
                <w:color w:val="auto"/>
              </w:rPr>
            </w:pPr>
            <w:r>
              <w:rPr>
                <w:rFonts w:ascii="Arial" w:cs="Arial" w:eastAsia="Arial" w:hAnsi="Arial"/>
                <w:sz w:val="13"/>
                <w:szCs w:val="13"/>
                <w:color w:val="auto"/>
              </w:rPr>
              <w:t>2.0%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6,718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6,958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7,023</w:t>
            </w:r>
          </w:p>
        </w:tc>
        <w:tc>
          <w:tcPr>
            <w:tcW w:w="1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97"/>
              </w:rPr>
              <w:t>—%</w:t>
            </w:r>
          </w:p>
        </w:tc>
        <w:tc>
          <w:tcPr>
            <w:tcW w:w="1260" w:type="dxa"/>
            <w:vAlign w:val="bottom"/>
            <w:gridSpan w:val="2"/>
          </w:tcPr>
          <w:p>
            <w:pPr>
              <w:jc w:val="center"/>
              <w:ind w:left="133"/>
              <w:spacing w:after="0"/>
              <w:rPr>
                <w:sz w:val="20"/>
                <w:szCs w:val="20"/>
                <w:color w:val="auto"/>
              </w:rPr>
            </w:pPr>
            <w:r>
              <w:rPr>
                <w:rFonts w:ascii="Arial" w:cs="Arial" w:eastAsia="Arial" w:hAnsi="Arial"/>
                <w:sz w:val="13"/>
                <w:szCs w:val="13"/>
                <w:color w:val="auto"/>
                <w:w w:val="95"/>
              </w:rPr>
              <w:t>103.8%</w:t>
            </w:r>
          </w:p>
        </w:tc>
        <w:tc>
          <w:tcPr>
            <w:tcW w:w="1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92"/>
              </w:rPr>
              <w:t>2.62%</w:t>
            </w:r>
          </w:p>
        </w:tc>
        <w:tc>
          <w:tcPr>
            <w:tcW w:w="880" w:type="dxa"/>
            <w:vAlign w:val="bottom"/>
            <w:gridSpan w:val="2"/>
          </w:tcPr>
          <w:p>
            <w:pPr>
              <w:ind w:left="340"/>
              <w:spacing w:after="0"/>
              <w:rPr>
                <w:sz w:val="20"/>
                <w:szCs w:val="20"/>
                <w:color w:val="auto"/>
              </w:rPr>
            </w:pPr>
            <w:r>
              <w:rPr>
                <w:rFonts w:ascii="Arial" w:cs="Arial" w:eastAsia="Arial" w:hAnsi="Arial"/>
                <w:sz w:val="13"/>
                <w:szCs w:val="13"/>
                <w:color w:val="auto"/>
              </w:rPr>
              <w:t>1.01%</w:t>
            </w:r>
          </w:p>
        </w:tc>
        <w:tc>
          <w:tcPr>
            <w:tcW w:w="1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580" w:type="dxa"/>
            <w:vAlign w:val="bottom"/>
          </w:tcPr>
          <w:p>
            <w:pPr>
              <w:jc w:val="center"/>
              <w:ind w:left="253"/>
              <w:spacing w:after="0"/>
              <w:rPr>
                <w:sz w:val="20"/>
                <w:szCs w:val="20"/>
                <w:color w:val="auto"/>
              </w:rPr>
            </w:pPr>
            <w:r>
              <w:rPr>
                <w:rFonts w:ascii="Arial" w:cs="Arial" w:eastAsia="Arial" w:hAnsi="Arial"/>
                <w:sz w:val="13"/>
                <w:szCs w:val="13"/>
                <w:color w:val="auto"/>
                <w:w w:val="99"/>
              </w:rPr>
              <w:t>15%</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320" w:type="dxa"/>
            <w:vAlign w:val="bottom"/>
            <w:shd w:val="clear" w:color="auto" w:fill="CCEEFF"/>
          </w:tcPr>
          <w:p>
            <w:pPr>
              <w:ind w:left="320"/>
              <w:spacing w:after="0"/>
              <w:rPr>
                <w:sz w:val="20"/>
                <w:szCs w:val="20"/>
                <w:color w:val="auto"/>
              </w:rPr>
            </w:pPr>
            <w:r>
              <w:rPr>
                <w:rFonts w:ascii="Arial" w:cs="Arial" w:eastAsia="Arial" w:hAnsi="Arial"/>
                <w:sz w:val="13"/>
                <w:szCs w:val="13"/>
                <w:color w:val="auto"/>
              </w:rPr>
              <w:t>2.5%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836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840</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59%</w:t>
            </w:r>
          </w:p>
        </w:tc>
        <w:tc>
          <w:tcPr>
            <w:tcW w:w="1260" w:type="dxa"/>
            <w:vAlign w:val="bottom"/>
            <w:gridSpan w:val="2"/>
            <w:shd w:val="clear" w:color="auto" w:fill="CCEEFF"/>
          </w:tcPr>
          <w:p>
            <w:pPr>
              <w:jc w:val="center"/>
              <w:ind w:left="133"/>
              <w:spacing w:after="0"/>
              <w:rPr>
                <w:sz w:val="20"/>
                <w:szCs w:val="20"/>
                <w:color w:val="auto"/>
              </w:rPr>
            </w:pPr>
            <w:r>
              <w:rPr>
                <w:rFonts w:ascii="Arial" w:cs="Arial" w:eastAsia="Arial" w:hAnsi="Arial"/>
                <w:sz w:val="13"/>
                <w:szCs w:val="13"/>
                <w:color w:val="auto"/>
                <w:w w:val="95"/>
              </w:rPr>
              <w:t>105.5%</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3.07%</w:t>
            </w:r>
          </w:p>
        </w:tc>
        <w:tc>
          <w:tcPr>
            <w:tcW w:w="88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1.10%</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13</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center"/>
              <w:ind w:left="253"/>
              <w:spacing w:after="0"/>
              <w:rPr>
                <w:sz w:val="20"/>
                <w:szCs w:val="20"/>
                <w:color w:val="auto"/>
              </w:rPr>
            </w:pPr>
            <w:r>
              <w:rPr>
                <w:rFonts w:ascii="Arial" w:cs="Arial" w:eastAsia="Arial" w:hAnsi="Arial"/>
                <w:sz w:val="13"/>
                <w:szCs w:val="13"/>
                <w:color w:val="auto"/>
                <w:w w:val="99"/>
              </w:rPr>
              <w:t>15%</w:t>
            </w:r>
          </w:p>
        </w:tc>
        <w:tc>
          <w:tcPr>
            <w:tcW w:w="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320" w:type="dxa"/>
            <w:vAlign w:val="bottom"/>
          </w:tcPr>
          <w:p>
            <w:pPr>
              <w:ind w:left="320"/>
              <w:spacing w:after="0"/>
              <w:rPr>
                <w:sz w:val="20"/>
                <w:szCs w:val="20"/>
                <w:color w:val="auto"/>
              </w:rPr>
            </w:pPr>
            <w:r>
              <w:rPr>
                <w:rFonts w:ascii="Arial" w:cs="Arial" w:eastAsia="Arial" w:hAnsi="Arial"/>
                <w:sz w:val="13"/>
                <w:szCs w:val="13"/>
                <w:color w:val="auto"/>
              </w:rPr>
              <w:t>3.0%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1,168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1,186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1,248</w:t>
            </w:r>
          </w:p>
        </w:tc>
        <w:tc>
          <w:tcPr>
            <w:tcW w:w="1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92"/>
              </w:rPr>
              <w:t>94%</w:t>
            </w:r>
          </w:p>
        </w:tc>
        <w:tc>
          <w:tcPr>
            <w:tcW w:w="1260" w:type="dxa"/>
            <w:vAlign w:val="bottom"/>
            <w:gridSpan w:val="2"/>
          </w:tcPr>
          <w:p>
            <w:pPr>
              <w:jc w:val="center"/>
              <w:ind w:left="133"/>
              <w:spacing w:after="0"/>
              <w:rPr>
                <w:sz w:val="20"/>
                <w:szCs w:val="20"/>
                <w:color w:val="auto"/>
              </w:rPr>
            </w:pPr>
            <w:r>
              <w:rPr>
                <w:rFonts w:ascii="Arial" w:cs="Arial" w:eastAsia="Arial" w:hAnsi="Arial"/>
                <w:sz w:val="13"/>
                <w:szCs w:val="13"/>
                <w:color w:val="auto"/>
                <w:w w:val="95"/>
              </w:rPr>
              <w:t>101.5%</w:t>
            </w:r>
          </w:p>
        </w:tc>
        <w:tc>
          <w:tcPr>
            <w:tcW w:w="1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92"/>
              </w:rPr>
              <w:t>3.55%</w:t>
            </w:r>
          </w:p>
        </w:tc>
        <w:tc>
          <w:tcPr>
            <w:tcW w:w="880" w:type="dxa"/>
            <w:vAlign w:val="bottom"/>
            <w:gridSpan w:val="2"/>
          </w:tcPr>
          <w:p>
            <w:pPr>
              <w:ind w:left="340"/>
              <w:spacing w:after="0"/>
              <w:rPr>
                <w:sz w:val="20"/>
                <w:szCs w:val="20"/>
                <w:color w:val="auto"/>
              </w:rPr>
            </w:pPr>
            <w:r>
              <w:rPr>
                <w:rFonts w:ascii="Arial" w:cs="Arial" w:eastAsia="Arial" w:hAnsi="Arial"/>
                <w:sz w:val="13"/>
                <w:szCs w:val="13"/>
                <w:color w:val="auto"/>
              </w:rPr>
              <w:t>2.46%</w:t>
            </w:r>
          </w:p>
        </w:tc>
        <w:tc>
          <w:tcPr>
            <w:tcW w:w="1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3"/>
                <w:szCs w:val="13"/>
                <w:color w:val="auto"/>
                <w:w w:val="82"/>
              </w:rPr>
              <w:t>44</w:t>
            </w:r>
          </w:p>
        </w:tc>
        <w:tc>
          <w:tcPr>
            <w:tcW w:w="100" w:type="dxa"/>
            <w:vAlign w:val="bottom"/>
          </w:tcPr>
          <w:p>
            <w:pPr>
              <w:spacing w:after="0"/>
              <w:rPr>
                <w:sz w:val="14"/>
                <w:szCs w:val="14"/>
                <w:color w:val="auto"/>
              </w:rPr>
            </w:pPr>
          </w:p>
        </w:tc>
        <w:tc>
          <w:tcPr>
            <w:tcW w:w="580" w:type="dxa"/>
            <w:vAlign w:val="bottom"/>
          </w:tcPr>
          <w:p>
            <w:pPr>
              <w:jc w:val="center"/>
              <w:ind w:left="253"/>
              <w:spacing w:after="0"/>
              <w:rPr>
                <w:sz w:val="20"/>
                <w:szCs w:val="20"/>
                <w:color w:val="auto"/>
              </w:rPr>
            </w:pPr>
            <w:r>
              <w:rPr>
                <w:rFonts w:ascii="Arial" w:cs="Arial" w:eastAsia="Arial" w:hAnsi="Arial"/>
                <w:sz w:val="13"/>
                <w:szCs w:val="13"/>
                <w:color w:val="auto"/>
                <w:w w:val="99"/>
              </w:rPr>
              <w:t>16%</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320" w:type="dxa"/>
            <w:vAlign w:val="bottom"/>
            <w:shd w:val="clear" w:color="auto" w:fill="CCEEFF"/>
          </w:tcPr>
          <w:p>
            <w:pPr>
              <w:ind w:left="320"/>
              <w:spacing w:after="0"/>
              <w:rPr>
                <w:sz w:val="20"/>
                <w:szCs w:val="20"/>
                <w:color w:val="auto"/>
              </w:rPr>
            </w:pPr>
            <w:r>
              <w:rPr>
                <w:rFonts w:ascii="Arial" w:cs="Arial" w:eastAsia="Arial" w:hAnsi="Arial"/>
                <w:sz w:val="13"/>
                <w:szCs w:val="13"/>
                <w:color w:val="auto"/>
              </w:rPr>
              <w:t>3.5%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1,356</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100%</w:t>
            </w:r>
          </w:p>
        </w:tc>
        <w:tc>
          <w:tcPr>
            <w:tcW w:w="1260" w:type="dxa"/>
            <w:vAlign w:val="bottom"/>
            <w:gridSpan w:val="2"/>
            <w:shd w:val="clear" w:color="auto" w:fill="CCEEFF"/>
          </w:tcPr>
          <w:p>
            <w:pPr>
              <w:jc w:val="center"/>
              <w:ind w:left="133"/>
              <w:spacing w:after="0"/>
              <w:rPr>
                <w:sz w:val="20"/>
                <w:szCs w:val="20"/>
                <w:color w:val="auto"/>
              </w:rPr>
            </w:pPr>
            <w:r>
              <w:rPr>
                <w:rFonts w:ascii="Arial" w:cs="Arial" w:eastAsia="Arial" w:hAnsi="Arial"/>
                <w:sz w:val="13"/>
                <w:szCs w:val="13"/>
                <w:color w:val="auto"/>
                <w:w w:val="95"/>
              </w:rPr>
              <w:t>102.1%</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4.03%</w:t>
            </w:r>
          </w:p>
        </w:tc>
        <w:tc>
          <w:tcPr>
            <w:tcW w:w="88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2.75%</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40</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center"/>
              <w:ind w:left="253"/>
              <w:spacing w:after="0"/>
              <w:rPr>
                <w:sz w:val="20"/>
                <w:szCs w:val="20"/>
                <w:color w:val="auto"/>
              </w:rPr>
            </w:pPr>
            <w:r>
              <w:rPr>
                <w:rFonts w:ascii="Arial" w:cs="Arial" w:eastAsia="Arial" w:hAnsi="Arial"/>
                <w:sz w:val="13"/>
                <w:szCs w:val="13"/>
                <w:color w:val="auto"/>
                <w:w w:val="99"/>
              </w:rPr>
              <w:t>18%</w:t>
            </w:r>
          </w:p>
        </w:tc>
        <w:tc>
          <w:tcPr>
            <w:tcW w:w="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420" w:type="dxa"/>
            <w:vAlign w:val="bottom"/>
            <w:gridSpan w:val="2"/>
          </w:tcPr>
          <w:p>
            <w:pPr>
              <w:ind w:left="320"/>
              <w:spacing w:after="0"/>
              <w:rPr>
                <w:sz w:val="20"/>
                <w:szCs w:val="20"/>
                <w:color w:val="auto"/>
              </w:rPr>
            </w:pPr>
            <w:r>
              <w:rPr>
                <w:rFonts w:ascii="Arial" w:cs="Arial" w:eastAsia="Arial" w:hAnsi="Arial"/>
                <w:sz w:val="13"/>
                <w:szCs w:val="13"/>
                <w:color w:val="auto"/>
              </w:rPr>
              <w:t>≥ 4.0%</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788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810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851</w:t>
            </w:r>
          </w:p>
        </w:tc>
        <w:tc>
          <w:tcPr>
            <w:tcW w:w="1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92"/>
              </w:rPr>
              <w:t>92%</w:t>
            </w:r>
          </w:p>
        </w:tc>
        <w:tc>
          <w:tcPr>
            <w:tcW w:w="1260" w:type="dxa"/>
            <w:vAlign w:val="bottom"/>
            <w:gridSpan w:val="2"/>
          </w:tcPr>
          <w:p>
            <w:pPr>
              <w:jc w:val="center"/>
              <w:ind w:left="133"/>
              <w:spacing w:after="0"/>
              <w:rPr>
                <w:sz w:val="20"/>
                <w:szCs w:val="20"/>
                <w:color w:val="auto"/>
              </w:rPr>
            </w:pPr>
            <w:r>
              <w:rPr>
                <w:rFonts w:ascii="Arial" w:cs="Arial" w:eastAsia="Arial" w:hAnsi="Arial"/>
                <w:sz w:val="13"/>
                <w:szCs w:val="13"/>
                <w:color w:val="auto"/>
                <w:w w:val="95"/>
              </w:rPr>
              <w:t>102.8%</w:t>
            </w:r>
          </w:p>
        </w:tc>
        <w:tc>
          <w:tcPr>
            <w:tcW w:w="1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92"/>
              </w:rPr>
              <w:t>4.63%</w:t>
            </w:r>
          </w:p>
        </w:tc>
        <w:tc>
          <w:tcPr>
            <w:tcW w:w="880" w:type="dxa"/>
            <w:vAlign w:val="bottom"/>
            <w:gridSpan w:val="2"/>
          </w:tcPr>
          <w:p>
            <w:pPr>
              <w:ind w:left="340"/>
              <w:spacing w:after="0"/>
              <w:rPr>
                <w:sz w:val="20"/>
                <w:szCs w:val="20"/>
                <w:color w:val="auto"/>
              </w:rPr>
            </w:pPr>
            <w:r>
              <w:rPr>
                <w:rFonts w:ascii="Arial" w:cs="Arial" w:eastAsia="Arial" w:hAnsi="Arial"/>
                <w:sz w:val="13"/>
                <w:szCs w:val="13"/>
                <w:color w:val="auto"/>
              </w:rPr>
              <w:t>2.92%</w:t>
            </w:r>
          </w:p>
        </w:tc>
        <w:tc>
          <w:tcPr>
            <w:tcW w:w="1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3"/>
                <w:szCs w:val="13"/>
                <w:color w:val="auto"/>
                <w:w w:val="82"/>
              </w:rPr>
              <w:t>47</w:t>
            </w:r>
          </w:p>
        </w:tc>
        <w:tc>
          <w:tcPr>
            <w:tcW w:w="100" w:type="dxa"/>
            <w:vAlign w:val="bottom"/>
          </w:tcPr>
          <w:p>
            <w:pPr>
              <w:spacing w:after="0"/>
              <w:rPr>
                <w:sz w:val="14"/>
                <w:szCs w:val="14"/>
                <w:color w:val="auto"/>
              </w:rPr>
            </w:pPr>
          </w:p>
        </w:tc>
        <w:tc>
          <w:tcPr>
            <w:tcW w:w="580" w:type="dxa"/>
            <w:vAlign w:val="bottom"/>
          </w:tcPr>
          <w:p>
            <w:pPr>
              <w:jc w:val="center"/>
              <w:ind w:left="253"/>
              <w:spacing w:after="0"/>
              <w:rPr>
                <w:sz w:val="20"/>
                <w:szCs w:val="20"/>
                <w:color w:val="auto"/>
              </w:rPr>
            </w:pPr>
            <w:r>
              <w:rPr>
                <w:rFonts w:ascii="Arial" w:cs="Arial" w:eastAsia="Arial" w:hAnsi="Arial"/>
                <w:sz w:val="13"/>
                <w:szCs w:val="13"/>
                <w:color w:val="auto"/>
                <w:w w:val="99"/>
              </w:rPr>
              <w:t>19%</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420" w:type="dxa"/>
            <w:vAlign w:val="bottom"/>
            <w:tcBorders>
              <w:top w:val="single" w:sz="8" w:color="CCEEFF"/>
            </w:tcBorders>
            <w:gridSpan w:val="2"/>
            <w:shd w:val="clear" w:color="auto" w:fill="CCEEFF"/>
          </w:tcPr>
          <w:p>
            <w:pPr>
              <w:ind w:left="160"/>
              <w:spacing w:after="0"/>
              <w:rPr>
                <w:sz w:val="20"/>
                <w:szCs w:val="20"/>
                <w:color w:val="auto"/>
              </w:rPr>
            </w:pPr>
            <w:r>
              <w:rPr>
                <w:rFonts w:ascii="Arial" w:cs="Arial" w:eastAsia="Arial" w:hAnsi="Arial"/>
                <w:sz w:val="13"/>
                <w:szCs w:val="13"/>
                <w:color w:val="auto"/>
              </w:rPr>
              <w:t>Total ≤ 15-year</w:t>
            </w: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15,719</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16,172</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rPr>
                <w:sz w:val="14"/>
                <w:szCs w:val="14"/>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16,462</w:t>
            </w:r>
          </w:p>
        </w:tc>
        <w:tc>
          <w:tcPr>
            <w:tcW w:w="10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2"/>
              </w:rPr>
              <w:t>23%</w:t>
            </w:r>
          </w:p>
        </w:tc>
        <w:tc>
          <w:tcPr>
            <w:tcW w:w="22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5"/>
              </w:rPr>
              <w:t>103.1%</w:t>
            </w:r>
          </w:p>
        </w:tc>
        <w:tc>
          <w:tcPr>
            <w:tcW w:w="120" w:type="dxa"/>
            <w:vAlign w:val="bottom"/>
            <w:tcBorders>
              <w:top w:val="single" w:sz="8" w:color="CCEEFF"/>
            </w:tcBorders>
            <w:shd w:val="clear" w:color="auto" w:fill="CCEEFF"/>
          </w:tcPr>
          <w:p>
            <w:pPr>
              <w:spacing w:after="0"/>
              <w:rPr>
                <w:sz w:val="14"/>
                <w:szCs w:val="14"/>
                <w:color w:val="auto"/>
              </w:rPr>
            </w:pPr>
          </w:p>
        </w:tc>
        <w:tc>
          <w:tcPr>
            <w:tcW w:w="6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2"/>
              </w:rPr>
              <w:t>3.09%</w:t>
            </w:r>
          </w:p>
        </w:tc>
        <w:tc>
          <w:tcPr>
            <w:tcW w:w="14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bottom w:val="single" w:sz="8" w:color="auto"/>
            </w:tcBorders>
            <w:shd w:val="clear" w:color="auto" w:fill="CCEEFF"/>
          </w:tcPr>
          <w:p>
            <w:pPr>
              <w:ind w:left="200"/>
              <w:spacing w:after="0"/>
              <w:rPr>
                <w:sz w:val="20"/>
                <w:szCs w:val="20"/>
                <w:color w:val="auto"/>
              </w:rPr>
            </w:pPr>
            <w:r>
              <w:rPr>
                <w:rFonts w:ascii="Arial" w:cs="Arial" w:eastAsia="Arial" w:hAnsi="Arial"/>
                <w:sz w:val="13"/>
                <w:szCs w:val="13"/>
                <w:color w:val="auto"/>
              </w:rPr>
              <w:t>1.59%</w:t>
            </w:r>
          </w:p>
        </w:tc>
        <w:tc>
          <w:tcPr>
            <w:tcW w:w="10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82"/>
              </w:rPr>
              <w:t>17</w:t>
            </w:r>
          </w:p>
        </w:tc>
        <w:tc>
          <w:tcPr>
            <w:tcW w:w="10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bottom w:val="single" w:sz="8" w:color="auto"/>
            </w:tcBorders>
            <w:shd w:val="clear" w:color="auto" w:fill="CCEEFF"/>
          </w:tcPr>
          <w:p>
            <w:pPr>
              <w:jc w:val="center"/>
              <w:ind w:left="253"/>
              <w:spacing w:after="0"/>
              <w:rPr>
                <w:sz w:val="20"/>
                <w:szCs w:val="20"/>
                <w:color w:val="auto"/>
              </w:rPr>
            </w:pPr>
            <w:r>
              <w:rPr>
                <w:rFonts w:ascii="Arial" w:cs="Arial" w:eastAsia="Arial" w:hAnsi="Arial"/>
                <w:sz w:val="13"/>
                <w:szCs w:val="13"/>
                <w:color w:val="auto"/>
                <w:w w:val="99"/>
              </w:rPr>
              <w:t>16%</w:t>
            </w:r>
          </w:p>
        </w:tc>
        <w:tc>
          <w:tcPr>
            <w:tcW w:w="320" w:type="dxa"/>
            <w:vAlign w:val="bottom"/>
            <w:tcBorders>
              <w:top w:val="single" w:sz="8" w:color="auto"/>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420" w:type="dxa"/>
            <w:vAlign w:val="bottom"/>
            <w:gridSpan w:val="2"/>
          </w:tcPr>
          <w:p>
            <w:pPr>
              <w:ind w:left="160"/>
              <w:spacing w:after="0"/>
              <w:rPr>
                <w:sz w:val="20"/>
                <w:szCs w:val="20"/>
                <w:color w:val="auto"/>
              </w:rPr>
            </w:pPr>
            <w:r>
              <w:rPr>
                <w:rFonts w:ascii="Arial" w:cs="Arial" w:eastAsia="Arial" w:hAnsi="Arial"/>
                <w:sz w:val="13"/>
                <w:szCs w:val="13"/>
                <w:color w:val="auto"/>
              </w:rPr>
              <w:t>20-year:</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420" w:type="dxa"/>
            <w:vAlign w:val="bottom"/>
            <w:gridSpan w:val="2"/>
            <w:shd w:val="clear" w:color="auto" w:fill="CCEEFF"/>
          </w:tcPr>
          <w:p>
            <w:pPr>
              <w:ind w:left="320"/>
              <w:spacing w:after="0"/>
              <w:rPr>
                <w:sz w:val="20"/>
                <w:szCs w:val="20"/>
                <w:color w:val="auto"/>
              </w:rPr>
            </w:pPr>
            <w:r>
              <w:rPr>
                <w:rFonts w:ascii="Arial" w:cs="Arial" w:eastAsia="Arial" w:hAnsi="Arial"/>
                <w:sz w:val="13"/>
                <w:szCs w:val="13"/>
                <w:color w:val="auto"/>
              </w:rPr>
              <w:t>≤ 2.0%</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1,215</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w:t>
            </w:r>
          </w:p>
        </w:tc>
        <w:tc>
          <w:tcPr>
            <w:tcW w:w="1260" w:type="dxa"/>
            <w:vAlign w:val="bottom"/>
            <w:gridSpan w:val="2"/>
            <w:shd w:val="clear" w:color="auto" w:fill="CCEEFF"/>
          </w:tcPr>
          <w:p>
            <w:pPr>
              <w:jc w:val="center"/>
              <w:ind w:left="133"/>
              <w:spacing w:after="0"/>
              <w:rPr>
                <w:sz w:val="20"/>
                <w:szCs w:val="20"/>
                <w:color w:val="auto"/>
              </w:rPr>
            </w:pPr>
            <w:r>
              <w:rPr>
                <w:rFonts w:ascii="Arial" w:cs="Arial" w:eastAsia="Arial" w:hAnsi="Arial"/>
                <w:sz w:val="13"/>
                <w:szCs w:val="13"/>
                <w:color w:val="auto"/>
                <w:w w:val="95"/>
              </w:rPr>
              <w:t>103.0%</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2.87%</w:t>
            </w:r>
          </w:p>
        </w:tc>
        <w:tc>
          <w:tcPr>
            <w:tcW w:w="88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1.29%</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center"/>
              <w:ind w:left="253"/>
              <w:spacing w:after="0"/>
              <w:rPr>
                <w:sz w:val="20"/>
                <w:szCs w:val="20"/>
                <w:color w:val="auto"/>
              </w:rPr>
            </w:pPr>
            <w:r>
              <w:rPr>
                <w:rFonts w:ascii="Arial" w:cs="Arial" w:eastAsia="Arial" w:hAnsi="Arial"/>
                <w:sz w:val="13"/>
                <w:szCs w:val="13"/>
                <w:color w:val="auto"/>
                <w:w w:val="99"/>
              </w:rPr>
              <w:t>15%</w:t>
            </w:r>
          </w:p>
        </w:tc>
        <w:tc>
          <w:tcPr>
            <w:tcW w:w="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320" w:type="dxa"/>
            <w:vAlign w:val="bottom"/>
          </w:tcPr>
          <w:p>
            <w:pPr>
              <w:ind w:left="320"/>
              <w:spacing w:after="0"/>
              <w:rPr>
                <w:sz w:val="20"/>
                <w:szCs w:val="20"/>
                <w:color w:val="auto"/>
              </w:rPr>
            </w:pPr>
            <w:r>
              <w:rPr>
                <w:rFonts w:ascii="Arial" w:cs="Arial" w:eastAsia="Arial" w:hAnsi="Arial"/>
                <w:sz w:val="13"/>
                <w:szCs w:val="13"/>
                <w:color w:val="auto"/>
              </w:rPr>
              <w:t>2.5%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597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620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630</w:t>
            </w:r>
          </w:p>
        </w:tc>
        <w:tc>
          <w:tcPr>
            <w:tcW w:w="1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97"/>
              </w:rPr>
              <w:t>—%</w:t>
            </w:r>
          </w:p>
        </w:tc>
        <w:tc>
          <w:tcPr>
            <w:tcW w:w="1260" w:type="dxa"/>
            <w:vAlign w:val="bottom"/>
            <w:gridSpan w:val="2"/>
          </w:tcPr>
          <w:p>
            <w:pPr>
              <w:jc w:val="center"/>
              <w:ind w:left="133"/>
              <w:spacing w:after="0"/>
              <w:rPr>
                <w:sz w:val="20"/>
                <w:szCs w:val="20"/>
                <w:color w:val="auto"/>
              </w:rPr>
            </w:pPr>
            <w:r>
              <w:rPr>
                <w:rFonts w:ascii="Arial" w:cs="Arial" w:eastAsia="Arial" w:hAnsi="Arial"/>
                <w:sz w:val="13"/>
                <w:szCs w:val="13"/>
                <w:color w:val="auto"/>
                <w:w w:val="95"/>
              </w:rPr>
              <w:t>103.9%</w:t>
            </w:r>
          </w:p>
        </w:tc>
        <w:tc>
          <w:tcPr>
            <w:tcW w:w="1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92"/>
              </w:rPr>
              <w:t>3.28%</w:t>
            </w:r>
          </w:p>
        </w:tc>
        <w:tc>
          <w:tcPr>
            <w:tcW w:w="880" w:type="dxa"/>
            <w:vAlign w:val="bottom"/>
            <w:gridSpan w:val="2"/>
          </w:tcPr>
          <w:p>
            <w:pPr>
              <w:ind w:left="340"/>
              <w:spacing w:after="0"/>
              <w:rPr>
                <w:sz w:val="20"/>
                <w:szCs w:val="20"/>
                <w:color w:val="auto"/>
              </w:rPr>
            </w:pPr>
            <w:r>
              <w:rPr>
                <w:rFonts w:ascii="Arial" w:cs="Arial" w:eastAsia="Arial" w:hAnsi="Arial"/>
                <w:sz w:val="13"/>
                <w:szCs w:val="13"/>
                <w:color w:val="auto"/>
              </w:rPr>
              <w:t>1.33%</w:t>
            </w:r>
          </w:p>
        </w:tc>
        <w:tc>
          <w:tcPr>
            <w:tcW w:w="1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14"/>
                <w:szCs w:val="14"/>
                <w:color w:val="auto"/>
              </w:rPr>
            </w:pPr>
          </w:p>
        </w:tc>
        <w:tc>
          <w:tcPr>
            <w:tcW w:w="580" w:type="dxa"/>
            <w:vAlign w:val="bottom"/>
          </w:tcPr>
          <w:p>
            <w:pPr>
              <w:jc w:val="center"/>
              <w:ind w:left="253"/>
              <w:spacing w:after="0"/>
              <w:rPr>
                <w:sz w:val="20"/>
                <w:szCs w:val="20"/>
                <w:color w:val="auto"/>
              </w:rPr>
            </w:pPr>
            <w:r>
              <w:rPr>
                <w:rFonts w:ascii="Arial" w:cs="Arial" w:eastAsia="Arial" w:hAnsi="Arial"/>
                <w:sz w:val="13"/>
                <w:szCs w:val="13"/>
                <w:color w:val="auto"/>
                <w:w w:val="99"/>
              </w:rPr>
              <w:t>20%</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320" w:type="dxa"/>
            <w:vAlign w:val="bottom"/>
            <w:shd w:val="clear" w:color="auto" w:fill="CCEEFF"/>
          </w:tcPr>
          <w:p>
            <w:pPr>
              <w:ind w:left="320"/>
              <w:spacing w:after="0"/>
              <w:rPr>
                <w:sz w:val="20"/>
                <w:szCs w:val="20"/>
                <w:color w:val="auto"/>
              </w:rPr>
            </w:pPr>
            <w:r>
              <w:rPr>
                <w:rFonts w:ascii="Arial" w:cs="Arial" w:eastAsia="Arial" w:hAnsi="Arial"/>
                <w:sz w:val="13"/>
                <w:szCs w:val="13"/>
                <w:color w:val="auto"/>
              </w:rPr>
              <w:t>3.0%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98%</w:t>
            </w:r>
          </w:p>
        </w:tc>
        <w:tc>
          <w:tcPr>
            <w:tcW w:w="1260" w:type="dxa"/>
            <w:vAlign w:val="bottom"/>
            <w:gridSpan w:val="2"/>
            <w:shd w:val="clear" w:color="auto" w:fill="CCEEFF"/>
          </w:tcPr>
          <w:p>
            <w:pPr>
              <w:jc w:val="center"/>
              <w:ind w:left="133"/>
              <w:spacing w:after="0"/>
              <w:rPr>
                <w:sz w:val="20"/>
                <w:szCs w:val="20"/>
                <w:color w:val="auto"/>
              </w:rPr>
            </w:pPr>
            <w:r>
              <w:rPr>
                <w:rFonts w:ascii="Arial" w:cs="Arial" w:eastAsia="Arial" w:hAnsi="Arial"/>
                <w:sz w:val="13"/>
                <w:szCs w:val="13"/>
                <w:color w:val="auto"/>
                <w:w w:val="95"/>
              </w:rPr>
              <w:t>103.0%</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3.78%</w:t>
            </w:r>
          </w:p>
        </w:tc>
        <w:tc>
          <w:tcPr>
            <w:tcW w:w="88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2.10%</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17</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center"/>
              <w:ind w:left="253"/>
              <w:spacing w:after="0"/>
              <w:rPr>
                <w:sz w:val="20"/>
                <w:szCs w:val="20"/>
                <w:color w:val="auto"/>
              </w:rPr>
            </w:pPr>
            <w:r>
              <w:rPr>
                <w:rFonts w:ascii="Arial" w:cs="Arial" w:eastAsia="Arial" w:hAnsi="Arial"/>
                <w:sz w:val="13"/>
                <w:szCs w:val="13"/>
                <w:color w:val="auto"/>
                <w:w w:val="99"/>
              </w:rPr>
              <w:t>19%</w:t>
            </w:r>
          </w:p>
        </w:tc>
        <w:tc>
          <w:tcPr>
            <w:tcW w:w="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320" w:type="dxa"/>
            <w:vAlign w:val="bottom"/>
          </w:tcPr>
          <w:p>
            <w:pPr>
              <w:ind w:left="320"/>
              <w:spacing w:after="0"/>
              <w:rPr>
                <w:sz w:val="20"/>
                <w:szCs w:val="20"/>
                <w:color w:val="auto"/>
              </w:rPr>
            </w:pPr>
            <w:r>
              <w:rPr>
                <w:rFonts w:ascii="Arial" w:cs="Arial" w:eastAsia="Arial" w:hAnsi="Arial"/>
                <w:sz w:val="13"/>
                <w:szCs w:val="13"/>
                <w:color w:val="auto"/>
              </w:rPr>
              <w:t>3.5%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226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230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246</w:t>
            </w:r>
          </w:p>
        </w:tc>
        <w:tc>
          <w:tcPr>
            <w:tcW w:w="1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92"/>
              </w:rPr>
              <w:t>81%</w:t>
            </w:r>
          </w:p>
        </w:tc>
        <w:tc>
          <w:tcPr>
            <w:tcW w:w="1260" w:type="dxa"/>
            <w:vAlign w:val="bottom"/>
            <w:gridSpan w:val="2"/>
          </w:tcPr>
          <w:p>
            <w:pPr>
              <w:jc w:val="center"/>
              <w:ind w:left="133"/>
              <w:spacing w:after="0"/>
              <w:rPr>
                <w:sz w:val="20"/>
                <w:szCs w:val="20"/>
                <w:color w:val="auto"/>
              </w:rPr>
            </w:pPr>
            <w:r>
              <w:rPr>
                <w:rFonts w:ascii="Arial" w:cs="Arial" w:eastAsia="Arial" w:hAnsi="Arial"/>
                <w:sz w:val="13"/>
                <w:szCs w:val="13"/>
                <w:color w:val="auto"/>
                <w:w w:val="95"/>
              </w:rPr>
              <w:t>101.6%</w:t>
            </w:r>
          </w:p>
        </w:tc>
        <w:tc>
          <w:tcPr>
            <w:tcW w:w="1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92"/>
              </w:rPr>
              <w:t>4.05%</w:t>
            </w:r>
          </w:p>
        </w:tc>
        <w:tc>
          <w:tcPr>
            <w:tcW w:w="880" w:type="dxa"/>
            <w:vAlign w:val="bottom"/>
            <w:gridSpan w:val="2"/>
          </w:tcPr>
          <w:p>
            <w:pPr>
              <w:ind w:left="340"/>
              <w:spacing w:after="0"/>
              <w:rPr>
                <w:sz w:val="20"/>
                <w:szCs w:val="20"/>
                <w:color w:val="auto"/>
              </w:rPr>
            </w:pPr>
            <w:r>
              <w:rPr>
                <w:rFonts w:ascii="Arial" w:cs="Arial" w:eastAsia="Arial" w:hAnsi="Arial"/>
                <w:sz w:val="13"/>
                <w:szCs w:val="13"/>
                <w:color w:val="auto"/>
              </w:rPr>
              <w:t>2.93%</w:t>
            </w:r>
          </w:p>
        </w:tc>
        <w:tc>
          <w:tcPr>
            <w:tcW w:w="1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3"/>
                <w:szCs w:val="13"/>
                <w:color w:val="auto"/>
                <w:w w:val="82"/>
              </w:rPr>
              <w:t>89</w:t>
            </w:r>
          </w:p>
        </w:tc>
        <w:tc>
          <w:tcPr>
            <w:tcW w:w="100" w:type="dxa"/>
            <w:vAlign w:val="bottom"/>
          </w:tcPr>
          <w:p>
            <w:pPr>
              <w:spacing w:after="0"/>
              <w:rPr>
                <w:sz w:val="14"/>
                <w:szCs w:val="14"/>
                <w:color w:val="auto"/>
              </w:rPr>
            </w:pPr>
          </w:p>
        </w:tc>
        <w:tc>
          <w:tcPr>
            <w:tcW w:w="580" w:type="dxa"/>
            <w:vAlign w:val="bottom"/>
          </w:tcPr>
          <w:p>
            <w:pPr>
              <w:jc w:val="center"/>
              <w:ind w:left="253"/>
              <w:spacing w:after="0"/>
              <w:rPr>
                <w:sz w:val="20"/>
                <w:szCs w:val="20"/>
                <w:color w:val="auto"/>
              </w:rPr>
            </w:pPr>
            <w:r>
              <w:rPr>
                <w:rFonts w:ascii="Arial" w:cs="Arial" w:eastAsia="Arial" w:hAnsi="Arial"/>
                <w:sz w:val="13"/>
                <w:szCs w:val="13"/>
                <w:color w:val="auto"/>
                <w:w w:val="99"/>
              </w:rPr>
              <w:t>18%</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420" w:type="dxa"/>
            <w:vAlign w:val="bottom"/>
            <w:gridSpan w:val="2"/>
            <w:shd w:val="clear" w:color="auto" w:fill="CCEEFF"/>
          </w:tcPr>
          <w:p>
            <w:pPr>
              <w:ind w:left="320"/>
              <w:spacing w:after="0"/>
              <w:rPr>
                <w:sz w:val="20"/>
                <w:szCs w:val="20"/>
                <w:color w:val="auto"/>
              </w:rPr>
            </w:pPr>
            <w:r>
              <w:rPr>
                <w:rFonts w:ascii="Arial" w:cs="Arial" w:eastAsia="Arial" w:hAnsi="Arial"/>
                <w:sz w:val="13"/>
                <w:szCs w:val="13"/>
                <w:color w:val="auto"/>
              </w:rPr>
              <w:t>≥ 4.0%</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327</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96%</w:t>
            </w:r>
          </w:p>
        </w:tc>
        <w:tc>
          <w:tcPr>
            <w:tcW w:w="1260" w:type="dxa"/>
            <w:vAlign w:val="bottom"/>
            <w:gridSpan w:val="2"/>
            <w:shd w:val="clear" w:color="auto" w:fill="CCEEFF"/>
          </w:tcPr>
          <w:p>
            <w:pPr>
              <w:jc w:val="center"/>
              <w:ind w:left="133"/>
              <w:spacing w:after="0"/>
              <w:rPr>
                <w:sz w:val="20"/>
                <w:szCs w:val="20"/>
                <w:color w:val="auto"/>
              </w:rPr>
            </w:pPr>
            <w:r>
              <w:rPr>
                <w:rFonts w:ascii="Arial" w:cs="Arial" w:eastAsia="Arial" w:hAnsi="Arial"/>
                <w:sz w:val="13"/>
                <w:szCs w:val="13"/>
                <w:color w:val="auto"/>
                <w:w w:val="95"/>
              </w:rPr>
              <w:t>103.6%</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4.73%</w:t>
            </w:r>
          </w:p>
        </w:tc>
        <w:tc>
          <w:tcPr>
            <w:tcW w:w="88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3.05%</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48</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center"/>
              <w:ind w:left="253"/>
              <w:spacing w:after="0"/>
              <w:rPr>
                <w:sz w:val="20"/>
                <w:szCs w:val="20"/>
                <w:color w:val="auto"/>
              </w:rPr>
            </w:pPr>
            <w:r>
              <w:rPr>
                <w:rFonts w:ascii="Arial" w:cs="Arial" w:eastAsia="Arial" w:hAnsi="Arial"/>
                <w:sz w:val="13"/>
                <w:szCs w:val="13"/>
                <w:color w:val="auto"/>
                <w:w w:val="99"/>
              </w:rPr>
              <w:t>20%</w:t>
            </w:r>
          </w:p>
        </w:tc>
        <w:tc>
          <w:tcPr>
            <w:tcW w:w="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420" w:type="dxa"/>
            <w:vAlign w:val="bottom"/>
            <w:tcBorders>
              <w:bottom w:val="single" w:sz="8" w:color="CCEEFF"/>
            </w:tcBorders>
            <w:gridSpan w:val="2"/>
          </w:tcPr>
          <w:p>
            <w:pPr>
              <w:ind w:left="160"/>
              <w:spacing w:after="0"/>
              <w:rPr>
                <w:sz w:val="20"/>
                <w:szCs w:val="20"/>
                <w:color w:val="auto"/>
              </w:rPr>
            </w:pPr>
            <w:r>
              <w:rPr>
                <w:rFonts w:ascii="Arial" w:cs="Arial" w:eastAsia="Arial" w:hAnsi="Arial"/>
                <w:sz w:val="13"/>
                <w:szCs w:val="13"/>
                <w:color w:val="auto"/>
              </w:rPr>
              <w:t>Total 20-year:</w:t>
            </w:r>
          </w:p>
        </w:tc>
        <w:tc>
          <w:tcPr>
            <w:tcW w:w="10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2,335</w:t>
            </w:r>
          </w:p>
        </w:tc>
        <w:tc>
          <w:tcPr>
            <w:tcW w:w="10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2,409</w:t>
            </w:r>
          </w:p>
        </w:tc>
        <w:tc>
          <w:tcPr>
            <w:tcW w:w="10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2,470</w:t>
            </w:r>
          </w:p>
        </w:tc>
        <w:tc>
          <w:tcPr>
            <w:tcW w:w="100" w:type="dxa"/>
            <w:vAlign w:val="bottom"/>
            <w:tcBorders>
              <w:bottom w:val="single" w:sz="8" w:color="CCEEFF"/>
            </w:tcBorders>
          </w:tcPr>
          <w:p>
            <w:pPr>
              <w:spacing w:after="0"/>
              <w:rPr>
                <w:sz w:val="14"/>
                <w:szCs w:val="14"/>
                <w:color w:val="auto"/>
              </w:rPr>
            </w:pPr>
          </w:p>
        </w:tc>
        <w:tc>
          <w:tcPr>
            <w:tcW w:w="9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color w:val="auto"/>
                <w:w w:val="92"/>
              </w:rPr>
              <w:t>23%</w:t>
            </w:r>
          </w:p>
        </w:tc>
        <w:tc>
          <w:tcPr>
            <w:tcW w:w="220" w:type="dxa"/>
            <w:vAlign w:val="bottom"/>
            <w:tcBorders>
              <w:bottom w:val="single" w:sz="8" w:color="CCEEFF"/>
            </w:tcBorders>
          </w:tcPr>
          <w:p>
            <w:pPr>
              <w:spacing w:after="0"/>
              <w:rPr>
                <w:sz w:val="14"/>
                <w:szCs w:val="14"/>
                <w:color w:val="auto"/>
              </w:rPr>
            </w:pPr>
          </w:p>
        </w:tc>
        <w:tc>
          <w:tcPr>
            <w:tcW w:w="10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color w:val="auto"/>
                <w:w w:val="95"/>
              </w:rPr>
              <w:t>103.2%</w:t>
            </w:r>
          </w:p>
        </w:tc>
        <w:tc>
          <w:tcPr>
            <w:tcW w:w="120" w:type="dxa"/>
            <w:vAlign w:val="bottom"/>
            <w:tcBorders>
              <w:bottom w:val="single" w:sz="8" w:color="CCEEFF"/>
            </w:tcBorders>
          </w:tcPr>
          <w:p>
            <w:pPr>
              <w:spacing w:after="0"/>
              <w:rPr>
                <w:sz w:val="14"/>
                <w:szCs w:val="14"/>
                <w:color w:val="auto"/>
              </w:rPr>
            </w:pPr>
          </w:p>
        </w:tc>
        <w:tc>
          <w:tcPr>
            <w:tcW w:w="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color w:val="auto"/>
                <w:w w:val="92"/>
              </w:rPr>
              <w:t>3.34%</w:t>
            </w:r>
          </w:p>
        </w:tc>
        <w:tc>
          <w:tcPr>
            <w:tcW w:w="140" w:type="dxa"/>
            <w:vAlign w:val="bottom"/>
            <w:tcBorders>
              <w:bottom w:val="single" w:sz="8" w:color="CCEEFF"/>
            </w:tcBorders>
          </w:tcPr>
          <w:p>
            <w:pPr>
              <w:spacing w:after="0"/>
              <w:rPr>
                <w:sz w:val="14"/>
                <w:szCs w:val="14"/>
                <w:color w:val="auto"/>
              </w:rPr>
            </w:pPr>
          </w:p>
        </w:tc>
        <w:tc>
          <w:tcPr>
            <w:tcW w:w="74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3"/>
                <w:szCs w:val="13"/>
                <w:color w:val="auto"/>
              </w:rPr>
              <w:t>1.70%</w:t>
            </w:r>
          </w:p>
        </w:tc>
        <w:tc>
          <w:tcPr>
            <w:tcW w:w="100" w:type="dxa"/>
            <w:vAlign w:val="bottom"/>
            <w:tcBorders>
              <w:bottom w:val="single" w:sz="8" w:color="CCEEFF"/>
            </w:tcBorders>
          </w:tcPr>
          <w:p>
            <w:pPr>
              <w:spacing w:after="0"/>
              <w:rPr>
                <w:sz w:val="14"/>
                <w:szCs w:val="14"/>
                <w:color w:val="auto"/>
              </w:rPr>
            </w:pPr>
          </w:p>
        </w:tc>
        <w:tc>
          <w:tcPr>
            <w:tcW w:w="9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color w:val="auto"/>
                <w:w w:val="82"/>
              </w:rPr>
              <w:t>18</w:t>
            </w:r>
          </w:p>
        </w:tc>
        <w:tc>
          <w:tcPr>
            <w:tcW w:w="100" w:type="dxa"/>
            <w:vAlign w:val="bottom"/>
            <w:tcBorders>
              <w:bottom w:val="single" w:sz="8" w:color="CCEEFF"/>
            </w:tcBorders>
          </w:tcPr>
          <w:p>
            <w:pPr>
              <w:spacing w:after="0"/>
              <w:rPr>
                <w:sz w:val="14"/>
                <w:szCs w:val="14"/>
                <w:color w:val="auto"/>
              </w:rPr>
            </w:pPr>
          </w:p>
        </w:tc>
        <w:tc>
          <w:tcPr>
            <w:tcW w:w="580" w:type="dxa"/>
            <w:vAlign w:val="bottom"/>
            <w:tcBorders>
              <w:top w:val="single" w:sz="8" w:color="auto"/>
              <w:bottom w:val="single" w:sz="8" w:color="auto"/>
            </w:tcBorders>
          </w:tcPr>
          <w:p>
            <w:pPr>
              <w:jc w:val="center"/>
              <w:ind w:left="253"/>
              <w:spacing w:after="0"/>
              <w:rPr>
                <w:sz w:val="20"/>
                <w:szCs w:val="20"/>
                <w:color w:val="auto"/>
              </w:rPr>
            </w:pPr>
            <w:r>
              <w:rPr>
                <w:rFonts w:ascii="Arial" w:cs="Arial" w:eastAsia="Arial" w:hAnsi="Arial"/>
                <w:sz w:val="13"/>
                <w:szCs w:val="13"/>
                <w:color w:val="auto"/>
                <w:w w:val="99"/>
              </w:rPr>
              <w:t>17%</w:t>
            </w:r>
          </w:p>
        </w:tc>
        <w:tc>
          <w:tcPr>
            <w:tcW w:w="320" w:type="dxa"/>
            <w:vAlign w:val="bottom"/>
            <w:tcBorders>
              <w:top w:val="single" w:sz="8" w:color="auto"/>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42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30-year:</w:t>
            </w: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420" w:type="dxa"/>
            <w:vAlign w:val="bottom"/>
            <w:gridSpan w:val="2"/>
          </w:tcPr>
          <w:p>
            <w:pPr>
              <w:ind w:left="320"/>
              <w:spacing w:after="0"/>
              <w:rPr>
                <w:sz w:val="20"/>
                <w:szCs w:val="20"/>
                <w:color w:val="auto"/>
              </w:rPr>
            </w:pPr>
            <w:r>
              <w:rPr>
                <w:rFonts w:ascii="Arial" w:cs="Arial" w:eastAsia="Arial" w:hAnsi="Arial"/>
                <w:sz w:val="13"/>
                <w:szCs w:val="13"/>
                <w:color w:val="auto"/>
              </w:rPr>
              <w:t>≤ 2.0%</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23,805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24,445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24,628</w:t>
            </w:r>
          </w:p>
        </w:tc>
        <w:tc>
          <w:tcPr>
            <w:tcW w:w="1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97"/>
              </w:rPr>
              <w:t>—%</w:t>
            </w:r>
          </w:p>
        </w:tc>
        <w:tc>
          <w:tcPr>
            <w:tcW w:w="1260" w:type="dxa"/>
            <w:vAlign w:val="bottom"/>
            <w:gridSpan w:val="2"/>
          </w:tcPr>
          <w:p>
            <w:pPr>
              <w:jc w:val="center"/>
              <w:ind w:left="133"/>
              <w:spacing w:after="0"/>
              <w:rPr>
                <w:sz w:val="20"/>
                <w:szCs w:val="20"/>
                <w:color w:val="auto"/>
              </w:rPr>
            </w:pPr>
            <w:r>
              <w:rPr>
                <w:rFonts w:ascii="Arial" w:cs="Arial" w:eastAsia="Arial" w:hAnsi="Arial"/>
                <w:sz w:val="13"/>
                <w:szCs w:val="13"/>
                <w:color w:val="auto"/>
                <w:w w:val="95"/>
              </w:rPr>
              <w:t>103.2%</w:t>
            </w:r>
          </w:p>
        </w:tc>
        <w:tc>
          <w:tcPr>
            <w:tcW w:w="1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92"/>
              </w:rPr>
              <w:t>2.89%</w:t>
            </w:r>
          </w:p>
        </w:tc>
        <w:tc>
          <w:tcPr>
            <w:tcW w:w="880" w:type="dxa"/>
            <w:vAlign w:val="bottom"/>
            <w:gridSpan w:val="2"/>
          </w:tcPr>
          <w:p>
            <w:pPr>
              <w:ind w:left="340"/>
              <w:spacing w:after="0"/>
              <w:rPr>
                <w:sz w:val="20"/>
                <w:szCs w:val="20"/>
                <w:color w:val="auto"/>
              </w:rPr>
            </w:pPr>
            <w:r>
              <w:rPr>
                <w:rFonts w:ascii="Arial" w:cs="Arial" w:eastAsia="Arial" w:hAnsi="Arial"/>
                <w:sz w:val="13"/>
                <w:szCs w:val="13"/>
                <w:color w:val="auto"/>
              </w:rPr>
              <w:t>1.51%</w:t>
            </w:r>
          </w:p>
        </w:tc>
        <w:tc>
          <w:tcPr>
            <w:tcW w:w="100" w:type="dxa"/>
            <w:vAlign w:val="bottom"/>
          </w:tcPr>
          <w:p>
            <w:pPr>
              <w:spacing w:after="0"/>
              <w:rPr>
                <w:sz w:val="14"/>
                <w:szCs w:val="14"/>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3"/>
                <w:szCs w:val="13"/>
                <w:color w:val="auto"/>
                <w:w w:val="91"/>
              </w:rPr>
              <w:t>—</w:t>
            </w:r>
          </w:p>
        </w:tc>
        <w:tc>
          <w:tcPr>
            <w:tcW w:w="580" w:type="dxa"/>
            <w:vAlign w:val="bottom"/>
          </w:tcPr>
          <w:p>
            <w:pPr>
              <w:jc w:val="center"/>
              <w:ind w:left="273"/>
              <w:spacing w:after="0"/>
              <w:rPr>
                <w:sz w:val="20"/>
                <w:szCs w:val="20"/>
                <w:color w:val="auto"/>
              </w:rPr>
            </w:pPr>
            <w:r>
              <w:rPr>
                <w:rFonts w:ascii="Arial" w:cs="Arial" w:eastAsia="Arial" w:hAnsi="Arial"/>
                <w:sz w:val="13"/>
                <w:szCs w:val="13"/>
                <w:color w:val="auto"/>
                <w:w w:val="92"/>
              </w:rPr>
              <w:t>11%</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320" w:type="dxa"/>
            <w:vAlign w:val="bottom"/>
            <w:shd w:val="clear" w:color="auto" w:fill="CCEEFF"/>
          </w:tcPr>
          <w:p>
            <w:pPr>
              <w:ind w:left="320"/>
              <w:spacing w:after="0"/>
              <w:rPr>
                <w:sz w:val="20"/>
                <w:szCs w:val="20"/>
                <w:color w:val="auto"/>
              </w:rPr>
            </w:pPr>
            <w:r>
              <w:rPr>
                <w:rFonts w:ascii="Arial" w:cs="Arial" w:eastAsia="Arial" w:hAnsi="Arial"/>
                <w:sz w:val="13"/>
                <w:szCs w:val="13"/>
                <w:color w:val="auto"/>
              </w:rPr>
              <w:t>2.5%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8,995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9,423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9,506</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4%</w:t>
            </w:r>
          </w:p>
        </w:tc>
        <w:tc>
          <w:tcPr>
            <w:tcW w:w="1260" w:type="dxa"/>
            <w:vAlign w:val="bottom"/>
            <w:gridSpan w:val="2"/>
            <w:shd w:val="clear" w:color="auto" w:fill="CCEEFF"/>
          </w:tcPr>
          <w:p>
            <w:pPr>
              <w:jc w:val="center"/>
              <w:ind w:left="133"/>
              <w:spacing w:after="0"/>
              <w:rPr>
                <w:sz w:val="20"/>
                <w:szCs w:val="20"/>
                <w:color w:val="auto"/>
              </w:rPr>
            </w:pPr>
            <w:r>
              <w:rPr>
                <w:rFonts w:ascii="Arial" w:cs="Arial" w:eastAsia="Arial" w:hAnsi="Arial"/>
                <w:sz w:val="13"/>
                <w:szCs w:val="13"/>
                <w:color w:val="auto"/>
                <w:w w:val="95"/>
              </w:rPr>
              <w:t>105.2%</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3.43%</w:t>
            </w:r>
          </w:p>
        </w:tc>
        <w:tc>
          <w:tcPr>
            <w:tcW w:w="88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1.35%</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center"/>
              <w:ind w:left="253"/>
              <w:spacing w:after="0"/>
              <w:rPr>
                <w:sz w:val="20"/>
                <w:szCs w:val="20"/>
                <w:color w:val="auto"/>
              </w:rPr>
            </w:pPr>
            <w:r>
              <w:rPr>
                <w:rFonts w:ascii="Arial" w:cs="Arial" w:eastAsia="Arial" w:hAnsi="Arial"/>
                <w:sz w:val="13"/>
                <w:szCs w:val="13"/>
                <w:color w:val="auto"/>
                <w:w w:val="99"/>
              </w:rPr>
              <w:t>16%</w:t>
            </w:r>
          </w:p>
        </w:tc>
        <w:tc>
          <w:tcPr>
            <w:tcW w:w="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320" w:type="dxa"/>
            <w:vAlign w:val="bottom"/>
          </w:tcPr>
          <w:p>
            <w:pPr>
              <w:ind w:left="320"/>
              <w:spacing w:after="0"/>
              <w:rPr>
                <w:sz w:val="20"/>
                <w:szCs w:val="20"/>
                <w:color w:val="auto"/>
              </w:rPr>
            </w:pPr>
            <w:r>
              <w:rPr>
                <w:rFonts w:ascii="Arial" w:cs="Arial" w:eastAsia="Arial" w:hAnsi="Arial"/>
                <w:sz w:val="13"/>
                <w:szCs w:val="13"/>
                <w:color w:val="auto"/>
              </w:rPr>
              <w:t>3.0%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3,507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3,619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3,709</w:t>
            </w:r>
          </w:p>
        </w:tc>
        <w:tc>
          <w:tcPr>
            <w:tcW w:w="1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92"/>
              </w:rPr>
              <w:t>17%</w:t>
            </w:r>
          </w:p>
        </w:tc>
        <w:tc>
          <w:tcPr>
            <w:tcW w:w="1260" w:type="dxa"/>
            <w:vAlign w:val="bottom"/>
            <w:gridSpan w:val="2"/>
          </w:tcPr>
          <w:p>
            <w:pPr>
              <w:jc w:val="center"/>
              <w:ind w:left="133"/>
              <w:spacing w:after="0"/>
              <w:rPr>
                <w:sz w:val="20"/>
                <w:szCs w:val="20"/>
                <w:color w:val="auto"/>
              </w:rPr>
            </w:pPr>
            <w:r>
              <w:rPr>
                <w:rFonts w:ascii="Arial" w:cs="Arial" w:eastAsia="Arial" w:hAnsi="Arial"/>
                <w:sz w:val="13"/>
                <w:szCs w:val="13"/>
                <w:color w:val="auto"/>
                <w:w w:val="95"/>
              </w:rPr>
              <w:t>102.9%</w:t>
            </w:r>
          </w:p>
        </w:tc>
        <w:tc>
          <w:tcPr>
            <w:tcW w:w="1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92"/>
              </w:rPr>
              <w:t>3.74%</w:t>
            </w:r>
          </w:p>
        </w:tc>
        <w:tc>
          <w:tcPr>
            <w:tcW w:w="880" w:type="dxa"/>
            <w:vAlign w:val="bottom"/>
            <w:gridSpan w:val="2"/>
          </w:tcPr>
          <w:p>
            <w:pPr>
              <w:ind w:left="340"/>
              <w:spacing w:after="0"/>
              <w:rPr>
                <w:sz w:val="20"/>
                <w:szCs w:val="20"/>
                <w:color w:val="auto"/>
              </w:rPr>
            </w:pPr>
            <w:r>
              <w:rPr>
                <w:rFonts w:ascii="Arial" w:cs="Arial" w:eastAsia="Arial" w:hAnsi="Arial"/>
                <w:sz w:val="13"/>
                <w:szCs w:val="13"/>
                <w:color w:val="auto"/>
              </w:rPr>
              <w:t>2.03%</w:t>
            </w:r>
          </w:p>
        </w:tc>
        <w:tc>
          <w:tcPr>
            <w:tcW w:w="1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3"/>
                <w:szCs w:val="13"/>
                <w:color w:val="auto"/>
                <w:w w:val="82"/>
              </w:rPr>
              <w:t>33</w:t>
            </w:r>
          </w:p>
        </w:tc>
        <w:tc>
          <w:tcPr>
            <w:tcW w:w="100" w:type="dxa"/>
            <w:vAlign w:val="bottom"/>
          </w:tcPr>
          <w:p>
            <w:pPr>
              <w:spacing w:after="0"/>
              <w:rPr>
                <w:sz w:val="14"/>
                <w:szCs w:val="14"/>
                <w:color w:val="auto"/>
              </w:rPr>
            </w:pPr>
          </w:p>
        </w:tc>
        <w:tc>
          <w:tcPr>
            <w:tcW w:w="580" w:type="dxa"/>
            <w:vAlign w:val="bottom"/>
          </w:tcPr>
          <w:p>
            <w:pPr>
              <w:jc w:val="center"/>
              <w:ind w:left="253"/>
              <w:spacing w:after="0"/>
              <w:rPr>
                <w:sz w:val="20"/>
                <w:szCs w:val="20"/>
                <w:color w:val="auto"/>
              </w:rPr>
            </w:pPr>
            <w:r>
              <w:rPr>
                <w:rFonts w:ascii="Arial" w:cs="Arial" w:eastAsia="Arial" w:hAnsi="Arial"/>
                <w:sz w:val="13"/>
                <w:szCs w:val="13"/>
                <w:color w:val="auto"/>
                <w:w w:val="99"/>
              </w:rPr>
              <w:t>22%</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320" w:type="dxa"/>
            <w:vAlign w:val="bottom"/>
            <w:shd w:val="clear" w:color="auto" w:fill="CCEEFF"/>
          </w:tcPr>
          <w:p>
            <w:pPr>
              <w:ind w:left="320"/>
              <w:spacing w:after="0"/>
              <w:rPr>
                <w:sz w:val="20"/>
                <w:szCs w:val="20"/>
                <w:color w:val="auto"/>
              </w:rPr>
            </w:pPr>
            <w:r>
              <w:rPr>
                <w:rFonts w:ascii="Arial" w:cs="Arial" w:eastAsia="Arial" w:hAnsi="Arial"/>
                <w:sz w:val="13"/>
                <w:szCs w:val="13"/>
                <w:color w:val="auto"/>
              </w:rPr>
              <w:t>3.5%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12,913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13,428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14,151</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88%</w:t>
            </w:r>
          </w:p>
        </w:tc>
        <w:tc>
          <w:tcPr>
            <w:tcW w:w="1260" w:type="dxa"/>
            <w:vAlign w:val="bottom"/>
            <w:gridSpan w:val="2"/>
            <w:shd w:val="clear" w:color="auto" w:fill="CCEEFF"/>
          </w:tcPr>
          <w:p>
            <w:pPr>
              <w:jc w:val="center"/>
              <w:ind w:left="133"/>
              <w:spacing w:after="0"/>
              <w:rPr>
                <w:sz w:val="20"/>
                <w:szCs w:val="20"/>
                <w:color w:val="auto"/>
              </w:rPr>
            </w:pPr>
            <w:r>
              <w:rPr>
                <w:rFonts w:ascii="Arial" w:cs="Arial" w:eastAsia="Arial" w:hAnsi="Arial"/>
                <w:sz w:val="13"/>
                <w:szCs w:val="13"/>
                <w:color w:val="auto"/>
                <w:w w:val="95"/>
              </w:rPr>
              <w:t>104.0%</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4.07%</w:t>
            </w:r>
          </w:p>
        </w:tc>
        <w:tc>
          <w:tcPr>
            <w:tcW w:w="88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2.48%</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66</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center"/>
              <w:ind w:left="253"/>
              <w:spacing w:after="0"/>
              <w:rPr>
                <w:sz w:val="20"/>
                <w:szCs w:val="20"/>
                <w:color w:val="auto"/>
              </w:rPr>
            </w:pPr>
            <w:r>
              <w:rPr>
                <w:rFonts w:ascii="Arial" w:cs="Arial" w:eastAsia="Arial" w:hAnsi="Arial"/>
                <w:sz w:val="13"/>
                <w:szCs w:val="13"/>
                <w:color w:val="auto"/>
                <w:w w:val="99"/>
              </w:rPr>
              <w:t>17%</w:t>
            </w:r>
          </w:p>
        </w:tc>
        <w:tc>
          <w:tcPr>
            <w:tcW w:w="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2320" w:type="dxa"/>
            <w:vAlign w:val="bottom"/>
          </w:tcPr>
          <w:p>
            <w:pPr>
              <w:ind w:left="320"/>
              <w:spacing w:after="0"/>
              <w:rPr>
                <w:sz w:val="20"/>
                <w:szCs w:val="20"/>
                <w:color w:val="auto"/>
              </w:rPr>
            </w:pPr>
            <w:r>
              <w:rPr>
                <w:rFonts w:ascii="Arial" w:cs="Arial" w:eastAsia="Arial" w:hAnsi="Arial"/>
                <w:sz w:val="13"/>
                <w:szCs w:val="13"/>
                <w:color w:val="auto"/>
              </w:rPr>
              <w:t>4.0%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14,245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14,847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15,734</w:t>
            </w:r>
          </w:p>
        </w:tc>
        <w:tc>
          <w:tcPr>
            <w:tcW w:w="1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92"/>
              </w:rPr>
              <w:t>92%</w:t>
            </w:r>
          </w:p>
        </w:tc>
        <w:tc>
          <w:tcPr>
            <w:tcW w:w="1260" w:type="dxa"/>
            <w:vAlign w:val="bottom"/>
            <w:gridSpan w:val="2"/>
          </w:tcPr>
          <w:p>
            <w:pPr>
              <w:jc w:val="center"/>
              <w:ind w:left="133"/>
              <w:spacing w:after="0"/>
              <w:rPr>
                <w:sz w:val="20"/>
                <w:szCs w:val="20"/>
                <w:color w:val="auto"/>
              </w:rPr>
            </w:pPr>
            <w:r>
              <w:rPr>
                <w:rFonts w:ascii="Arial" w:cs="Arial" w:eastAsia="Arial" w:hAnsi="Arial"/>
                <w:sz w:val="13"/>
                <w:szCs w:val="13"/>
                <w:color w:val="auto"/>
                <w:w w:val="95"/>
              </w:rPr>
              <w:t>104.2%</w:t>
            </w:r>
          </w:p>
        </w:tc>
        <w:tc>
          <w:tcPr>
            <w:tcW w:w="1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92"/>
              </w:rPr>
              <w:t>4.51%</w:t>
            </w:r>
          </w:p>
        </w:tc>
        <w:tc>
          <w:tcPr>
            <w:tcW w:w="880" w:type="dxa"/>
            <w:vAlign w:val="bottom"/>
            <w:gridSpan w:val="2"/>
          </w:tcPr>
          <w:p>
            <w:pPr>
              <w:ind w:left="340"/>
              <w:spacing w:after="0"/>
              <w:rPr>
                <w:sz w:val="20"/>
                <w:szCs w:val="20"/>
                <w:color w:val="auto"/>
              </w:rPr>
            </w:pPr>
            <w:r>
              <w:rPr>
                <w:rFonts w:ascii="Arial" w:cs="Arial" w:eastAsia="Arial" w:hAnsi="Arial"/>
                <w:sz w:val="13"/>
                <w:szCs w:val="13"/>
                <w:color w:val="auto"/>
              </w:rPr>
              <w:t>2.81%</w:t>
            </w:r>
          </w:p>
        </w:tc>
        <w:tc>
          <w:tcPr>
            <w:tcW w:w="1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3"/>
                <w:szCs w:val="13"/>
                <w:color w:val="auto"/>
                <w:w w:val="82"/>
              </w:rPr>
              <w:t>52</w:t>
            </w:r>
          </w:p>
        </w:tc>
        <w:tc>
          <w:tcPr>
            <w:tcW w:w="100" w:type="dxa"/>
            <w:vAlign w:val="bottom"/>
          </w:tcPr>
          <w:p>
            <w:pPr>
              <w:spacing w:after="0"/>
              <w:rPr>
                <w:sz w:val="14"/>
                <w:szCs w:val="14"/>
                <w:color w:val="auto"/>
              </w:rPr>
            </w:pPr>
          </w:p>
        </w:tc>
        <w:tc>
          <w:tcPr>
            <w:tcW w:w="580" w:type="dxa"/>
            <w:vAlign w:val="bottom"/>
          </w:tcPr>
          <w:p>
            <w:pPr>
              <w:jc w:val="center"/>
              <w:ind w:left="253"/>
              <w:spacing w:after="0"/>
              <w:rPr>
                <w:sz w:val="20"/>
                <w:szCs w:val="20"/>
                <w:color w:val="auto"/>
              </w:rPr>
            </w:pPr>
            <w:r>
              <w:rPr>
                <w:rFonts w:ascii="Arial" w:cs="Arial" w:eastAsia="Arial" w:hAnsi="Arial"/>
                <w:sz w:val="13"/>
                <w:szCs w:val="13"/>
                <w:color w:val="auto"/>
                <w:w w:val="99"/>
              </w:rPr>
              <w:t>19%</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420" w:type="dxa"/>
            <w:vAlign w:val="bottom"/>
            <w:gridSpan w:val="2"/>
            <w:shd w:val="clear" w:color="auto" w:fill="CCEEFF"/>
          </w:tcPr>
          <w:p>
            <w:pPr>
              <w:ind w:left="320"/>
              <w:spacing w:after="0"/>
              <w:rPr>
                <w:sz w:val="20"/>
                <w:szCs w:val="20"/>
                <w:color w:val="auto"/>
              </w:rPr>
            </w:pPr>
            <w:r>
              <w:rPr>
                <w:rFonts w:ascii="Arial" w:cs="Arial" w:eastAsia="Arial" w:hAnsi="Arial"/>
                <w:sz w:val="13"/>
                <w:szCs w:val="13"/>
                <w:color w:val="auto"/>
              </w:rPr>
              <w:t>≥ 4.5%</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8,417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8,838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9,434</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98%</w:t>
            </w:r>
          </w:p>
        </w:tc>
        <w:tc>
          <w:tcPr>
            <w:tcW w:w="1260" w:type="dxa"/>
            <w:vAlign w:val="bottom"/>
            <w:gridSpan w:val="2"/>
            <w:shd w:val="clear" w:color="auto" w:fill="CCEEFF"/>
          </w:tcPr>
          <w:p>
            <w:pPr>
              <w:jc w:val="center"/>
              <w:ind w:left="133"/>
              <w:spacing w:after="0"/>
              <w:rPr>
                <w:sz w:val="20"/>
                <w:szCs w:val="20"/>
                <w:color w:val="auto"/>
              </w:rPr>
            </w:pPr>
            <w:r>
              <w:rPr>
                <w:rFonts w:ascii="Arial" w:cs="Arial" w:eastAsia="Arial" w:hAnsi="Arial"/>
                <w:sz w:val="13"/>
                <w:szCs w:val="13"/>
                <w:color w:val="auto"/>
                <w:w w:val="95"/>
              </w:rPr>
              <w:t>105.0%</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5.01%</w:t>
            </w:r>
          </w:p>
        </w:tc>
        <w:tc>
          <w:tcPr>
            <w:tcW w:w="88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3.04%</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2"/>
              </w:rPr>
              <w:t>38</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jc w:val="center"/>
              <w:ind w:left="253"/>
              <w:spacing w:after="0"/>
              <w:rPr>
                <w:sz w:val="20"/>
                <w:szCs w:val="20"/>
                <w:color w:val="auto"/>
              </w:rPr>
            </w:pPr>
            <w:r>
              <w:rPr>
                <w:rFonts w:ascii="Arial" w:cs="Arial" w:eastAsia="Arial" w:hAnsi="Arial"/>
                <w:sz w:val="13"/>
                <w:szCs w:val="13"/>
                <w:color w:val="auto"/>
                <w:w w:val="99"/>
              </w:rPr>
              <w:t>21%</w:t>
            </w:r>
          </w:p>
        </w:tc>
        <w:tc>
          <w:tcPr>
            <w:tcW w:w="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420" w:type="dxa"/>
            <w:vAlign w:val="bottom"/>
            <w:tcBorders>
              <w:bottom w:val="single" w:sz="8" w:color="CCEEFF"/>
            </w:tcBorders>
            <w:gridSpan w:val="2"/>
          </w:tcPr>
          <w:p>
            <w:pPr>
              <w:ind w:left="160"/>
              <w:spacing w:after="0"/>
              <w:rPr>
                <w:sz w:val="20"/>
                <w:szCs w:val="20"/>
                <w:color w:val="auto"/>
              </w:rPr>
            </w:pPr>
            <w:r>
              <w:rPr>
                <w:rFonts w:ascii="Arial" w:cs="Arial" w:eastAsia="Arial" w:hAnsi="Arial"/>
                <w:sz w:val="13"/>
                <w:szCs w:val="13"/>
                <w:color w:val="auto"/>
              </w:rPr>
              <w:t>Total 30-year</w:t>
            </w:r>
          </w:p>
        </w:tc>
        <w:tc>
          <w:tcPr>
            <w:tcW w:w="10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71,882</w:t>
            </w:r>
          </w:p>
        </w:tc>
        <w:tc>
          <w:tcPr>
            <w:tcW w:w="10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74,600</w:t>
            </w:r>
          </w:p>
        </w:tc>
        <w:tc>
          <w:tcPr>
            <w:tcW w:w="10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77,162</w:t>
            </w:r>
          </w:p>
        </w:tc>
        <w:tc>
          <w:tcPr>
            <w:tcW w:w="100" w:type="dxa"/>
            <w:vAlign w:val="bottom"/>
            <w:tcBorders>
              <w:bottom w:val="single" w:sz="8" w:color="CCEEFF"/>
            </w:tcBorders>
          </w:tcPr>
          <w:p>
            <w:pPr>
              <w:spacing w:after="0"/>
              <w:rPr>
                <w:sz w:val="14"/>
                <w:szCs w:val="14"/>
                <w:color w:val="auto"/>
              </w:rPr>
            </w:pPr>
          </w:p>
        </w:tc>
        <w:tc>
          <w:tcPr>
            <w:tcW w:w="9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color w:val="auto"/>
                <w:w w:val="92"/>
              </w:rPr>
              <w:t>48%</w:t>
            </w:r>
          </w:p>
        </w:tc>
        <w:tc>
          <w:tcPr>
            <w:tcW w:w="220" w:type="dxa"/>
            <w:vAlign w:val="bottom"/>
            <w:tcBorders>
              <w:bottom w:val="single" w:sz="8" w:color="CCEEFF"/>
            </w:tcBorders>
          </w:tcPr>
          <w:p>
            <w:pPr>
              <w:spacing w:after="0"/>
              <w:rPr>
                <w:sz w:val="14"/>
                <w:szCs w:val="14"/>
                <w:color w:val="auto"/>
              </w:rPr>
            </w:pPr>
          </w:p>
        </w:tc>
        <w:tc>
          <w:tcPr>
            <w:tcW w:w="10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color w:val="auto"/>
                <w:w w:val="95"/>
              </w:rPr>
              <w:t>104.3%</w:t>
            </w:r>
          </w:p>
        </w:tc>
        <w:tc>
          <w:tcPr>
            <w:tcW w:w="120" w:type="dxa"/>
            <w:vAlign w:val="bottom"/>
            <w:tcBorders>
              <w:bottom w:val="single" w:sz="8" w:color="CCEEFF"/>
            </w:tcBorders>
          </w:tcPr>
          <w:p>
            <w:pPr>
              <w:spacing w:after="0"/>
              <w:rPr>
                <w:sz w:val="14"/>
                <w:szCs w:val="14"/>
                <w:color w:val="auto"/>
              </w:rPr>
            </w:pPr>
          </w:p>
        </w:tc>
        <w:tc>
          <w:tcPr>
            <w:tcW w:w="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color w:val="auto"/>
                <w:w w:val="92"/>
              </w:rPr>
              <w:t>4.17%</w:t>
            </w:r>
          </w:p>
        </w:tc>
        <w:tc>
          <w:tcPr>
            <w:tcW w:w="140" w:type="dxa"/>
            <w:vAlign w:val="bottom"/>
            <w:tcBorders>
              <w:bottom w:val="single" w:sz="8" w:color="CCEEFF"/>
            </w:tcBorders>
          </w:tcPr>
          <w:p>
            <w:pPr>
              <w:spacing w:after="0"/>
              <w:rPr>
                <w:sz w:val="14"/>
                <w:szCs w:val="14"/>
                <w:color w:val="auto"/>
              </w:rPr>
            </w:pPr>
          </w:p>
        </w:tc>
        <w:tc>
          <w:tcPr>
            <w:tcW w:w="74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3"/>
                <w:szCs w:val="13"/>
                <w:color w:val="auto"/>
              </w:rPr>
              <w:t>2.43%</w:t>
            </w:r>
          </w:p>
        </w:tc>
        <w:tc>
          <w:tcPr>
            <w:tcW w:w="100" w:type="dxa"/>
            <w:vAlign w:val="bottom"/>
            <w:tcBorders>
              <w:bottom w:val="single" w:sz="8" w:color="CCEEFF"/>
            </w:tcBorders>
          </w:tcPr>
          <w:p>
            <w:pPr>
              <w:spacing w:after="0"/>
              <w:rPr>
                <w:sz w:val="14"/>
                <w:szCs w:val="14"/>
                <w:color w:val="auto"/>
              </w:rPr>
            </w:pPr>
          </w:p>
        </w:tc>
        <w:tc>
          <w:tcPr>
            <w:tcW w:w="9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color w:val="auto"/>
                <w:w w:val="82"/>
              </w:rPr>
              <w:t>42</w:t>
            </w:r>
          </w:p>
        </w:tc>
        <w:tc>
          <w:tcPr>
            <w:tcW w:w="100" w:type="dxa"/>
            <w:vAlign w:val="bottom"/>
            <w:tcBorders>
              <w:bottom w:val="single" w:sz="8" w:color="CCEEFF"/>
            </w:tcBorders>
          </w:tcPr>
          <w:p>
            <w:pPr>
              <w:spacing w:after="0"/>
              <w:rPr>
                <w:sz w:val="14"/>
                <w:szCs w:val="14"/>
                <w:color w:val="auto"/>
              </w:rPr>
            </w:pPr>
          </w:p>
        </w:tc>
        <w:tc>
          <w:tcPr>
            <w:tcW w:w="580" w:type="dxa"/>
            <w:vAlign w:val="bottom"/>
            <w:tcBorders>
              <w:top w:val="single" w:sz="8" w:color="auto"/>
              <w:bottom w:val="single" w:sz="8" w:color="auto"/>
            </w:tcBorders>
          </w:tcPr>
          <w:p>
            <w:pPr>
              <w:jc w:val="center"/>
              <w:ind w:left="253"/>
              <w:spacing w:after="0"/>
              <w:rPr>
                <w:sz w:val="20"/>
                <w:szCs w:val="20"/>
                <w:color w:val="auto"/>
              </w:rPr>
            </w:pPr>
            <w:r>
              <w:rPr>
                <w:rFonts w:ascii="Arial" w:cs="Arial" w:eastAsia="Arial" w:hAnsi="Arial"/>
                <w:sz w:val="13"/>
                <w:szCs w:val="13"/>
                <w:color w:val="auto"/>
                <w:w w:val="99"/>
              </w:rPr>
              <w:t>18%</w:t>
            </w:r>
          </w:p>
        </w:tc>
        <w:tc>
          <w:tcPr>
            <w:tcW w:w="320" w:type="dxa"/>
            <w:vAlign w:val="bottom"/>
            <w:tcBorders>
              <w:top w:val="single" w:sz="8" w:color="auto"/>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Total fixed rate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89,936</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93,181</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96,094</w:t>
            </w:r>
          </w:p>
        </w:tc>
        <w:tc>
          <w:tcPr>
            <w:tcW w:w="1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2"/>
              </w:rPr>
              <w:t>43%</w:t>
            </w:r>
          </w:p>
        </w:tc>
        <w:tc>
          <w:tcPr>
            <w:tcW w:w="2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5"/>
              </w:rPr>
              <w:t>104.0%</w:t>
            </w:r>
          </w:p>
        </w:tc>
        <w:tc>
          <w:tcPr>
            <w:tcW w:w="1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2"/>
              </w:rPr>
              <w:t>3.98%</w:t>
            </w:r>
          </w:p>
        </w:tc>
        <w:tc>
          <w:tcPr>
            <w:tcW w:w="14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3"/>
                <w:szCs w:val="13"/>
                <w:color w:val="auto"/>
              </w:rPr>
              <w:t>2.28%</w:t>
            </w:r>
          </w:p>
        </w:tc>
        <w:tc>
          <w:tcPr>
            <w:tcW w:w="1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82"/>
              </w:rPr>
              <w:t>37</w:t>
            </w: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center"/>
              <w:ind w:left="253"/>
              <w:spacing w:after="0"/>
              <w:rPr>
                <w:sz w:val="20"/>
                <w:szCs w:val="20"/>
                <w:color w:val="auto"/>
              </w:rPr>
            </w:pPr>
            <w:r>
              <w:rPr>
                <w:rFonts w:ascii="Arial" w:cs="Arial" w:eastAsia="Arial" w:hAnsi="Arial"/>
                <w:sz w:val="13"/>
                <w:szCs w:val="13"/>
                <w:color w:val="auto"/>
                <w:w w:val="99"/>
              </w:rPr>
              <w:t>18%</w:t>
            </w:r>
          </w:p>
        </w:tc>
        <w:tc>
          <w:tcPr>
            <w:tcW w:w="32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w:t>
      </w:r>
    </w:p>
    <w:p>
      <w:pPr>
        <w:spacing w:after="0" w:line="1" w:lineRule="exact"/>
        <w:rPr>
          <w:sz w:val="20"/>
          <w:szCs w:val="20"/>
          <w:color w:val="auto"/>
        </w:rPr>
      </w:pPr>
    </w:p>
    <w:p>
      <w:pPr>
        <w:ind w:left="600" w:hanging="300"/>
        <w:spacing w:after="0"/>
        <w:tabs>
          <w:tab w:leader="none" w:pos="6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See Note 1 of preceding table for specified pool composition. As of December 31, 2020, lower balance specified pools had a weighted average original loan balance of $117,000 and $117,000 for 15-year and 30-year securities, respectively, and HARP pools had a weighted average original LTV of 126% and 137% for 15-year and 30-year securities, respectively.</w:t>
      </w:r>
    </w:p>
    <w:p>
      <w:pPr>
        <w:ind w:left="600" w:hanging="300"/>
        <w:spacing w:after="0"/>
        <w:tabs>
          <w:tab w:leader="none" w:pos="6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WAC represents the weighted average coupon of the underlying collateral.</w:t>
      </w:r>
    </w:p>
    <w:p>
      <w:pPr>
        <w:ind w:left="600" w:hanging="300"/>
        <w:spacing w:after="0"/>
        <w:tabs>
          <w:tab w:leader="none" w:pos="6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Portfolio yield incorporates a projected life CPR based on forward rate assumptions as of December 31, 2020.</w:t>
      </w:r>
    </w:p>
    <w:p>
      <w:pPr>
        <w:spacing w:after="0" w:line="144" w:lineRule="exact"/>
        <w:rPr>
          <w:sz w:val="20"/>
          <w:szCs w:val="20"/>
          <w:color w:val="auto"/>
        </w:rPr>
      </w:pPr>
    </w:p>
    <w:p>
      <w:pPr>
        <w:jc w:val="both"/>
        <w:ind w:firstLine="412"/>
        <w:spacing w:after="0" w:line="266" w:lineRule="auto"/>
        <w:rPr>
          <w:sz w:val="20"/>
          <w:szCs w:val="20"/>
          <w:color w:val="auto"/>
        </w:rPr>
      </w:pPr>
      <w:r>
        <w:rPr>
          <w:rFonts w:ascii="Arial" w:cs="Arial" w:eastAsia="Arial" w:hAnsi="Arial"/>
          <w:sz w:val="17"/>
          <w:szCs w:val="17"/>
          <w:color w:val="auto"/>
        </w:rPr>
        <w:t>For additional details regarding our CRT and non-Agency securities, including credit ratings, as of June 30, 2021 and December 31, 2020, please refer to Note 3 of our Consolidated Financial Statements in this Form 10-Q.</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Non-GAAP Financial Measures</w:t>
      </w:r>
    </w:p>
    <w:p>
      <w:pPr>
        <w:spacing w:after="0" w:line="154" w:lineRule="exact"/>
        <w:rPr>
          <w:sz w:val="20"/>
          <w:szCs w:val="20"/>
          <w:color w:val="auto"/>
        </w:rPr>
      </w:pPr>
    </w:p>
    <w:p>
      <w:pPr>
        <w:jc w:val="both"/>
        <w:ind w:firstLine="450"/>
        <w:spacing w:after="0" w:line="252" w:lineRule="auto"/>
        <w:rPr>
          <w:sz w:val="20"/>
          <w:szCs w:val="20"/>
          <w:color w:val="auto"/>
        </w:rPr>
      </w:pPr>
      <w:r>
        <w:rPr>
          <w:rFonts w:ascii="Arial" w:cs="Arial" w:eastAsia="Arial" w:hAnsi="Arial"/>
          <w:sz w:val="17"/>
          <w:szCs w:val="17"/>
          <w:color w:val="auto"/>
        </w:rPr>
        <w:t>In addition to the results presented in accordance with GAAP, our results of operations discussed below include certain non-GAAP financial information, including "economic interest income," "economic interest expense," "net spread and dollar roll income," "net spread and dollar roll income, excluding 'catch-up' premium amortization," "estimated taxable income" and the related per common share measures and certain financial metrics derived from such non-GAAP information, such as "cost of funds" and "net interest spread."</w:t>
      </w:r>
    </w:p>
    <w:p>
      <w:pPr>
        <w:spacing w:after="0" w:line="129" w:lineRule="exact"/>
        <w:rPr>
          <w:sz w:val="20"/>
          <w:szCs w:val="20"/>
          <w:color w:val="auto"/>
        </w:rPr>
      </w:pPr>
    </w:p>
    <w:p>
      <w:pPr>
        <w:jc w:val="both"/>
        <w:ind w:firstLine="450"/>
        <w:spacing w:after="0" w:line="270" w:lineRule="auto"/>
        <w:rPr>
          <w:sz w:val="20"/>
          <w:szCs w:val="20"/>
          <w:color w:val="auto"/>
        </w:rPr>
      </w:pPr>
      <w:r>
        <w:rPr>
          <w:rFonts w:ascii="Arial" w:cs="Arial" w:eastAsia="Arial" w:hAnsi="Arial"/>
          <w:sz w:val="16"/>
          <w:szCs w:val="16"/>
          <w:color w:val="auto"/>
        </w:rPr>
        <w:t>"Economic interest income" is measured as interest income (GAAP measure), adjusted (i) to exclude "catch-up" premium amortization associated with changes in CPR estimates and (ii) to include TBA dollar roll implied interest income. "Economic interest expense" is measured as interest expense (GAAP measure) adjusted to include TBA dollar roll implied interest expense/(benefit) and interest rate swap periodic cost/(income). "Net spread and dollar roll income, excluding "catch-up" premium amortization" includes (i) the components of economic interest income and economic interest expense and other interest and dividend income (referred to as "adjusted net interest and dollar roll income"), less (ii) total operating expenses (GAAP measure).</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31" w:name="page32"/>
    <w:bookmarkEnd w:id="31"/>
    <w:p>
      <w:pPr>
        <w:jc w:val="both"/>
        <w:ind w:firstLine="450"/>
        <w:spacing w:after="0" w:line="252" w:lineRule="auto"/>
        <w:rPr>
          <w:sz w:val="20"/>
          <w:szCs w:val="20"/>
          <w:color w:val="auto"/>
        </w:rPr>
      </w:pPr>
      <w:r>
        <w:rPr>
          <w:rFonts w:ascii="Arial" w:cs="Arial" w:eastAsia="Arial" w:hAnsi="Arial"/>
          <w:sz w:val="17"/>
          <w:szCs w:val="17"/>
          <w:color w:val="auto"/>
        </w:rPr>
        <w:t>By providing such measures, in addition to the related GAAP measures, we believe we give greater transparency into the information used by our management in its financial and operational decision-making. We also believe it is important for users of our financial information to consider information related to our current financial performance without the effects of certain measures and one-time events that are not necessarily indicative of our current investment portfolio performance and operations.</w:t>
      </w:r>
    </w:p>
    <w:p>
      <w:pPr>
        <w:spacing w:after="0" w:line="129" w:lineRule="exact"/>
        <w:rPr>
          <w:sz w:val="20"/>
          <w:szCs w:val="20"/>
          <w:color w:val="auto"/>
        </w:rPr>
      </w:pPr>
    </w:p>
    <w:p>
      <w:pPr>
        <w:jc w:val="both"/>
        <w:ind w:firstLine="450"/>
        <w:spacing w:after="0" w:line="285" w:lineRule="auto"/>
        <w:rPr>
          <w:sz w:val="20"/>
          <w:szCs w:val="20"/>
          <w:color w:val="auto"/>
        </w:rPr>
      </w:pPr>
      <w:r>
        <w:rPr>
          <w:rFonts w:ascii="Arial" w:cs="Arial" w:eastAsia="Arial" w:hAnsi="Arial"/>
          <w:sz w:val="15"/>
          <w:szCs w:val="15"/>
          <w:color w:val="auto"/>
        </w:rPr>
        <w:t>Specifically, in the case of "adjusted net interest and dollar roll income," we believe the inclusion of TBA dollar roll income is meaningful as TBAs, which are accounted for under GAAP as derivative instruments with gains and losses recognized in other gain (loss) in our consolidated statement of comprehensive income, are economically equivalent to holding and financing generic Agency RMBS using short-term repurchase agreements. Similarly, we believe that the inclusion of periodic interest rate swap settlements in "economic interest expense" is meaningful as interest rate swaps are the primary instrument we use to economically hedge against fluctuations in our borrowing costs and it is more indicative of our total cost of funds than interest expense alone. In the case of "economic interest income" and "net spread and dollar roll income, excluding 'catch-up' premium amortization," we believe the exclusion of "catch-up" adjustments to premium amortization cost or benefit is meaningful as it excludes the cumulative effect from prior reporting periods due to current changes in future prepayment expectations and, therefore, exclusion of such cost or benefit is more indicative of the current earnings potential of our investment portfolio. In the case of estimated taxable income, we believe it is meaningful information because it directly relates to the amount of dividends that we are required to distribute to maintain our REIT qualification status.</w:t>
      </w:r>
    </w:p>
    <w:p>
      <w:pPr>
        <w:spacing w:after="0" w:line="106" w:lineRule="exact"/>
        <w:rPr>
          <w:sz w:val="20"/>
          <w:szCs w:val="20"/>
          <w:color w:val="auto"/>
        </w:rPr>
      </w:pPr>
    </w:p>
    <w:p>
      <w:pPr>
        <w:jc w:val="both"/>
        <w:ind w:firstLine="450"/>
        <w:spacing w:after="0" w:line="250" w:lineRule="auto"/>
        <w:rPr>
          <w:sz w:val="20"/>
          <w:szCs w:val="20"/>
          <w:color w:val="auto"/>
        </w:rPr>
      </w:pPr>
      <w:r>
        <w:rPr>
          <w:rFonts w:ascii="Arial" w:cs="Arial" w:eastAsia="Arial" w:hAnsi="Arial"/>
          <w:sz w:val="17"/>
          <w:szCs w:val="17"/>
          <w:color w:val="auto"/>
        </w:rPr>
        <w:t>However, because such measures are incomplete measures of our financial performance and involve differences from results computed in accordance with GAAP, they should be considered as supplementary to, and not as a substitute for, results computed in accordance with GAAP. In addition, because not all companies use identical calculations, our presentation of such non-GAAP measures may not be comparable to other similarly-titled measures of other companies. Furthermore, estimated taxable income can include certain information that is subject to potential adjustments up to the time of filing our income tax returns, which occurs after the end of our fiscal year.</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Selected Financial Data</w:t>
      </w:r>
    </w:p>
    <w:p>
      <w:pPr>
        <w:spacing w:after="0" w:line="229" w:lineRule="exact"/>
        <w:rPr>
          <w:sz w:val="20"/>
          <w:szCs w:val="20"/>
          <w:color w:val="auto"/>
        </w:rPr>
      </w:pPr>
    </w:p>
    <w:p>
      <w:pPr>
        <w:jc w:val="both"/>
        <w:ind w:firstLine="412"/>
        <w:spacing w:after="0" w:line="255" w:lineRule="auto"/>
        <w:rPr>
          <w:sz w:val="20"/>
          <w:szCs w:val="20"/>
          <w:color w:val="auto"/>
        </w:rPr>
      </w:pPr>
      <w:r>
        <w:rPr>
          <w:rFonts w:ascii="Arial" w:cs="Arial" w:eastAsia="Arial" w:hAnsi="Arial"/>
          <w:sz w:val="17"/>
          <w:szCs w:val="17"/>
          <w:color w:val="auto"/>
        </w:rPr>
        <w:t>The following selected financial data is derived from our interim consolidated financial statements and the notes thereto. The tables below present our condensed consolidated balance sheets as of June 30, 2021 and December 31, 2020 and condensed consolidated statements of comprehensive income and key statistics for the three and six months ended June 30, 2021 and 2020 (in millions, except per share amounts):</w:t>
      </w:r>
    </w:p>
    <w:p>
      <w:pPr>
        <w:spacing w:after="0" w:line="7" w:lineRule="exact"/>
        <w:rPr>
          <w:sz w:val="20"/>
          <w:szCs w:val="20"/>
          <w:color w:val="auto"/>
        </w:rPr>
      </w:pPr>
    </w:p>
    <w:tbl>
      <w:tblPr>
        <w:tblLayout w:type="fixed"/>
        <w:tblInd w:w="720" w:type="dxa"/>
        <w:tblCellMar>
          <w:top w:w="0" w:type="dxa"/>
          <w:left w:w="0" w:type="dxa"/>
          <w:bottom w:w="0" w:type="dxa"/>
          <w:right w:w="0" w:type="dxa"/>
        </w:tblCellMar>
      </w:tblPr>
      <w:tr>
        <w:trPr>
          <w:trHeight w:val="173"/>
        </w:trPr>
        <w:tc>
          <w:tcPr>
            <w:tcW w:w="6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2"/>
              </w:rPr>
              <w:t>June 30,</w:t>
            </w:r>
          </w:p>
        </w:tc>
        <w:tc>
          <w:tcPr>
            <w:tcW w:w="200" w:type="dxa"/>
            <w:vAlign w:val="bottom"/>
          </w:tcPr>
          <w:p>
            <w:pPr>
              <w:spacing w:after="0"/>
              <w:rPr>
                <w:sz w:val="15"/>
                <w:szCs w:val="15"/>
                <w:color w:val="auto"/>
              </w:rPr>
            </w:pPr>
          </w:p>
        </w:tc>
        <w:tc>
          <w:tcPr>
            <w:tcW w:w="1180" w:type="dxa"/>
            <w:vAlign w:val="bottom"/>
          </w:tcPr>
          <w:p>
            <w:pPr>
              <w:jc w:val="right"/>
              <w:ind w:right="227"/>
              <w:spacing w:after="0"/>
              <w:rPr>
                <w:sz w:val="20"/>
                <w:szCs w:val="20"/>
                <w:color w:val="auto"/>
              </w:rPr>
            </w:pPr>
            <w:r>
              <w:rPr>
                <w:rFonts w:ascii="Arial" w:cs="Arial" w:eastAsia="Arial" w:hAnsi="Arial"/>
                <w:sz w:val="13"/>
                <w:szCs w:val="13"/>
                <w:b w:val="1"/>
                <w:bCs w:val="1"/>
                <w:color w:val="auto"/>
              </w:rPr>
              <w:t>December 31,</w:t>
            </w:r>
          </w:p>
        </w:tc>
      </w:tr>
      <w:tr>
        <w:trPr>
          <w:trHeight w:val="180"/>
        </w:trPr>
        <w:tc>
          <w:tcPr>
            <w:tcW w:w="68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Balance Sheet Data</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27"/>
              <w:spacing w:after="0"/>
              <w:rPr>
                <w:sz w:val="20"/>
                <w:szCs w:val="20"/>
                <w:color w:val="auto"/>
              </w:rPr>
            </w:pPr>
            <w:r>
              <w:rPr>
                <w:rFonts w:ascii="Arial" w:cs="Arial" w:eastAsia="Arial" w:hAnsi="Arial"/>
                <w:sz w:val="13"/>
                <w:szCs w:val="13"/>
                <w:b w:val="1"/>
                <w:bCs w:val="1"/>
                <w:color w:val="auto"/>
                <w:w w:val="89"/>
              </w:rPr>
              <w:t>2021</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87"/>
              <w:spacing w:after="0"/>
              <w:rPr>
                <w:sz w:val="20"/>
                <w:szCs w:val="20"/>
                <w:color w:val="auto"/>
              </w:rPr>
            </w:pPr>
            <w:r>
              <w:rPr>
                <w:rFonts w:ascii="Arial" w:cs="Arial" w:eastAsia="Arial" w:hAnsi="Arial"/>
                <w:sz w:val="13"/>
                <w:szCs w:val="13"/>
                <w:b w:val="1"/>
                <w:bCs w:val="1"/>
                <w:color w:val="auto"/>
              </w:rPr>
              <w:t>2020</w:t>
            </w:r>
          </w:p>
        </w:tc>
      </w:tr>
      <w:tr>
        <w:trPr>
          <w:trHeight w:val="194"/>
        </w:trPr>
        <w:tc>
          <w:tcPr>
            <w:tcW w:w="6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5"/>
                <w:szCs w:val="15"/>
                <w:color w:val="auto"/>
                <w:w w:val="91"/>
              </w:rPr>
              <w:t>(Unaudited)</w:t>
            </w: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03"/>
        </w:trPr>
        <w:tc>
          <w:tcPr>
            <w:tcW w:w="69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Investment securities, at fair value</w:t>
            </w:r>
          </w:p>
        </w:tc>
        <w:tc>
          <w:tcPr>
            <w:tcW w:w="20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59,799</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66,414</w:t>
            </w:r>
          </w:p>
        </w:tc>
      </w:tr>
      <w:tr>
        <w:trPr>
          <w:trHeight w:val="197"/>
        </w:trPr>
        <w:tc>
          <w:tcPr>
            <w:tcW w:w="6960" w:type="dxa"/>
            <w:vAlign w:val="bottom"/>
            <w:gridSpan w:val="2"/>
          </w:tcPr>
          <w:p>
            <w:pPr>
              <w:ind w:left="20"/>
              <w:spacing w:after="0"/>
              <w:rPr>
                <w:sz w:val="20"/>
                <w:szCs w:val="20"/>
                <w:color w:val="auto"/>
              </w:rPr>
            </w:pPr>
            <w:r>
              <w:rPr>
                <w:rFonts w:ascii="Arial" w:cs="Arial" w:eastAsia="Arial" w:hAnsi="Arial"/>
                <w:sz w:val="15"/>
                <w:szCs w:val="15"/>
                <w:color w:val="auto"/>
              </w:rPr>
              <w:t>Total assets</w:t>
            </w:r>
          </w:p>
        </w:tc>
        <w:tc>
          <w:tcPr>
            <w:tcW w:w="200" w:type="dxa"/>
            <w:vAlign w:val="bottom"/>
          </w:tcPr>
          <w:p>
            <w:pPr>
              <w:jc w:val="right"/>
              <w:ind w:right="25"/>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75,055</w:t>
            </w:r>
          </w:p>
        </w:tc>
        <w:tc>
          <w:tcPr>
            <w:tcW w:w="120" w:type="dxa"/>
            <w:vAlign w:val="bottom"/>
          </w:tcPr>
          <w:p>
            <w:pPr>
              <w:spacing w:after="0"/>
              <w:rPr>
                <w:sz w:val="17"/>
                <w:szCs w:val="17"/>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81,817</w:t>
            </w:r>
          </w:p>
        </w:tc>
      </w:tr>
      <w:tr>
        <w:trPr>
          <w:trHeight w:val="203"/>
        </w:trPr>
        <w:tc>
          <w:tcPr>
            <w:tcW w:w="69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Repurchase agreements and other debt</w:t>
            </w:r>
          </w:p>
        </w:tc>
        <w:tc>
          <w:tcPr>
            <w:tcW w:w="20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48,885</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52,543</w:t>
            </w:r>
          </w:p>
        </w:tc>
      </w:tr>
      <w:tr>
        <w:trPr>
          <w:trHeight w:val="197"/>
        </w:trPr>
        <w:tc>
          <w:tcPr>
            <w:tcW w:w="6960" w:type="dxa"/>
            <w:vAlign w:val="bottom"/>
            <w:gridSpan w:val="2"/>
          </w:tcPr>
          <w:p>
            <w:pPr>
              <w:ind w:left="20"/>
              <w:spacing w:after="0"/>
              <w:rPr>
                <w:sz w:val="20"/>
                <w:szCs w:val="20"/>
                <w:color w:val="auto"/>
              </w:rPr>
            </w:pPr>
            <w:r>
              <w:rPr>
                <w:rFonts w:ascii="Arial" w:cs="Arial" w:eastAsia="Arial" w:hAnsi="Arial"/>
                <w:sz w:val="15"/>
                <w:szCs w:val="15"/>
                <w:color w:val="auto"/>
              </w:rPr>
              <w:t>Total liabilities</w:t>
            </w:r>
          </w:p>
        </w:tc>
        <w:tc>
          <w:tcPr>
            <w:tcW w:w="200" w:type="dxa"/>
            <w:vAlign w:val="bottom"/>
          </w:tcPr>
          <w:p>
            <w:pPr>
              <w:jc w:val="right"/>
              <w:ind w:right="25"/>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64,387</w:t>
            </w:r>
          </w:p>
        </w:tc>
        <w:tc>
          <w:tcPr>
            <w:tcW w:w="120" w:type="dxa"/>
            <w:vAlign w:val="bottom"/>
          </w:tcPr>
          <w:p>
            <w:pPr>
              <w:spacing w:after="0"/>
              <w:rPr>
                <w:sz w:val="17"/>
                <w:szCs w:val="17"/>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70,738</w:t>
            </w:r>
          </w:p>
        </w:tc>
      </w:tr>
      <w:tr>
        <w:trPr>
          <w:trHeight w:val="203"/>
        </w:trPr>
        <w:tc>
          <w:tcPr>
            <w:tcW w:w="69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Total stockholders' equity</w:t>
            </w:r>
          </w:p>
        </w:tc>
        <w:tc>
          <w:tcPr>
            <w:tcW w:w="20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10,668</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11,079</w:t>
            </w:r>
          </w:p>
        </w:tc>
      </w:tr>
      <w:tr>
        <w:trPr>
          <w:trHeight w:val="200"/>
        </w:trPr>
        <w:tc>
          <w:tcPr>
            <w:tcW w:w="6960" w:type="dxa"/>
            <w:vAlign w:val="bottom"/>
            <w:gridSpan w:val="2"/>
          </w:tcPr>
          <w:p>
            <w:pPr>
              <w:ind w:left="20"/>
              <w:spacing w:after="0" w:line="200" w:lineRule="exact"/>
              <w:rPr>
                <w:sz w:val="20"/>
                <w:szCs w:val="20"/>
                <w:color w:val="auto"/>
              </w:rPr>
            </w:pPr>
            <w:r>
              <w:rPr>
                <w:rFonts w:ascii="Arial" w:cs="Arial" w:eastAsia="Arial" w:hAnsi="Arial"/>
                <w:sz w:val="15"/>
                <w:szCs w:val="15"/>
                <w:color w:val="auto"/>
              </w:rPr>
              <w:t xml:space="preserve">Net book value per common share </w:t>
            </w:r>
            <w:r>
              <w:rPr>
                <w:rFonts w:ascii="Arial" w:cs="Arial" w:eastAsia="Arial" w:hAnsi="Arial"/>
                <w:sz w:val="19"/>
                <w:szCs w:val="19"/>
                <w:color w:val="auto"/>
                <w:vertAlign w:val="superscript"/>
              </w:rPr>
              <w:t>1</w:t>
            </w:r>
          </w:p>
        </w:tc>
        <w:tc>
          <w:tcPr>
            <w:tcW w:w="200" w:type="dxa"/>
            <w:vAlign w:val="bottom"/>
          </w:tcPr>
          <w:p>
            <w:pPr>
              <w:jc w:val="right"/>
              <w:ind w:right="25"/>
              <w:spacing w:after="0"/>
              <w:rPr>
                <w:sz w:val="20"/>
                <w:szCs w:val="20"/>
                <w:color w:val="auto"/>
              </w:rPr>
            </w:pPr>
            <w:r>
              <w:rPr>
                <w:rFonts w:ascii="Arial" w:cs="Arial" w:eastAsia="Arial" w:hAnsi="Arial"/>
                <w:sz w:val="15"/>
                <w:szCs w:val="15"/>
                <w:color w:val="auto"/>
                <w:w w:val="95"/>
              </w:rPr>
              <w:t>$</w:t>
            </w:r>
          </w:p>
        </w:tc>
        <w:tc>
          <w:tcPr>
            <w:tcW w:w="1140" w:type="dxa"/>
            <w:vAlign w:val="bottom"/>
          </w:tcPr>
          <w:p>
            <w:pPr>
              <w:jc w:val="right"/>
              <w:spacing w:after="0"/>
              <w:rPr>
                <w:sz w:val="20"/>
                <w:szCs w:val="20"/>
                <w:color w:val="auto"/>
              </w:rPr>
            </w:pPr>
            <w:r>
              <w:rPr>
                <w:rFonts w:ascii="Arial" w:cs="Arial" w:eastAsia="Arial" w:hAnsi="Arial"/>
                <w:sz w:val="15"/>
                <w:szCs w:val="15"/>
                <w:color w:val="auto"/>
              </w:rPr>
              <w:t>17.39</w:t>
            </w:r>
          </w:p>
        </w:tc>
        <w:tc>
          <w:tcPr>
            <w:tcW w:w="120" w:type="dxa"/>
            <w:vAlign w:val="bottom"/>
          </w:tcPr>
          <w:p>
            <w:pPr>
              <w:spacing w:after="0"/>
              <w:rPr>
                <w:sz w:val="17"/>
                <w:szCs w:val="17"/>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5"/>
                <w:szCs w:val="15"/>
                <w:color w:val="auto"/>
              </w:rPr>
              <w:t>17.68</w:t>
            </w:r>
          </w:p>
        </w:tc>
      </w:tr>
      <w:tr>
        <w:trPr>
          <w:trHeight w:val="200"/>
        </w:trPr>
        <w:tc>
          <w:tcPr>
            <w:tcW w:w="6960" w:type="dxa"/>
            <w:vAlign w:val="bottom"/>
            <w:gridSpan w:val="2"/>
            <w:shd w:val="clear" w:color="auto" w:fill="CCEEFF"/>
          </w:tcPr>
          <w:p>
            <w:pPr>
              <w:ind w:left="20"/>
              <w:spacing w:after="0" w:line="200" w:lineRule="exact"/>
              <w:rPr>
                <w:sz w:val="20"/>
                <w:szCs w:val="20"/>
                <w:color w:val="auto"/>
              </w:rPr>
            </w:pPr>
            <w:r>
              <w:rPr>
                <w:rFonts w:ascii="Arial" w:cs="Arial" w:eastAsia="Arial" w:hAnsi="Arial"/>
                <w:sz w:val="15"/>
                <w:szCs w:val="15"/>
                <w:color w:val="auto"/>
              </w:rPr>
              <w:t xml:space="preserve">Tangible net book value per common share </w:t>
            </w:r>
            <w:r>
              <w:rPr>
                <w:rFonts w:ascii="Arial" w:cs="Arial" w:eastAsia="Arial" w:hAnsi="Arial"/>
                <w:sz w:val="19"/>
                <w:szCs w:val="19"/>
                <w:color w:val="auto"/>
                <w:vertAlign w:val="superscript"/>
              </w:rPr>
              <w:t>2</w:t>
            </w:r>
          </w:p>
        </w:tc>
        <w:tc>
          <w:tcPr>
            <w:tcW w:w="20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95"/>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16.39</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16.71</w:t>
            </w:r>
          </w:p>
        </w:tc>
      </w:tr>
    </w:tbl>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2" w:name="page33"/>
    <w:bookmarkEnd w:id="32"/>
    <w:tbl>
      <w:tblPr>
        <w:tblLayout w:type="fixed"/>
        <w:tblInd w:w="20" w:type="dxa"/>
        <w:tblCellMar>
          <w:top w:w="0" w:type="dxa"/>
          <w:left w:w="0" w:type="dxa"/>
          <w:bottom w:w="0" w:type="dxa"/>
          <w:right w:w="0" w:type="dxa"/>
        </w:tblCellMar>
      </w:tblPr>
      <w:tr>
        <w:trPr>
          <w:trHeight w:val="149"/>
        </w:trPr>
        <w:tc>
          <w:tcPr>
            <w:tcW w:w="6520" w:type="dxa"/>
            <w:vAlign w:val="bottom"/>
          </w:tcPr>
          <w:p>
            <w:pPr>
              <w:spacing w:after="0"/>
              <w:rPr>
                <w:sz w:val="13"/>
                <w:szCs w:val="13"/>
                <w:color w:val="auto"/>
              </w:rPr>
            </w:pPr>
          </w:p>
        </w:tc>
        <w:tc>
          <w:tcPr>
            <w:tcW w:w="238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94"/>
              </w:rPr>
              <w:t>Three Months Ended</w:t>
            </w:r>
          </w:p>
        </w:tc>
        <w:tc>
          <w:tcPr>
            <w:tcW w:w="23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4"/>
              </w:rPr>
              <w:t>Six Months Ended</w:t>
            </w:r>
          </w:p>
        </w:tc>
      </w:tr>
      <w:tr>
        <w:trPr>
          <w:trHeight w:val="173"/>
        </w:trPr>
        <w:tc>
          <w:tcPr>
            <w:tcW w:w="65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580" w:type="dxa"/>
            <w:vAlign w:val="bottom"/>
            <w:gridSpan w:val="2"/>
          </w:tcPr>
          <w:p>
            <w:pPr>
              <w:jc w:val="center"/>
              <w:ind w:right="900"/>
              <w:spacing w:after="0"/>
              <w:rPr>
                <w:sz w:val="20"/>
                <w:szCs w:val="20"/>
                <w:color w:val="auto"/>
              </w:rPr>
            </w:pPr>
            <w:r>
              <w:rPr>
                <w:rFonts w:ascii="Arial" w:cs="Arial" w:eastAsia="Arial" w:hAnsi="Arial"/>
                <w:sz w:val="13"/>
                <w:szCs w:val="13"/>
                <w:b w:val="1"/>
                <w:bCs w:val="1"/>
                <w:color w:val="auto"/>
                <w:w w:val="92"/>
              </w:rPr>
              <w:t>June 30,</w:t>
            </w:r>
          </w:p>
        </w:tc>
        <w:tc>
          <w:tcPr>
            <w:tcW w:w="820" w:type="dxa"/>
            <w:vAlign w:val="bottom"/>
          </w:tcPr>
          <w:p>
            <w:pPr>
              <w:spacing w:after="0"/>
              <w:rPr>
                <w:sz w:val="15"/>
                <w:szCs w:val="15"/>
                <w:color w:val="auto"/>
              </w:rPr>
            </w:pPr>
          </w:p>
        </w:tc>
        <w:tc>
          <w:tcPr>
            <w:tcW w:w="1500" w:type="dxa"/>
            <w:vAlign w:val="bottom"/>
          </w:tcPr>
          <w:p>
            <w:pPr>
              <w:jc w:val="center"/>
              <w:ind w:right="753"/>
              <w:spacing w:after="0"/>
              <w:rPr>
                <w:sz w:val="20"/>
                <w:szCs w:val="20"/>
                <w:color w:val="auto"/>
              </w:rPr>
            </w:pPr>
            <w:r>
              <w:rPr>
                <w:rFonts w:ascii="Arial" w:cs="Arial" w:eastAsia="Arial" w:hAnsi="Arial"/>
                <w:sz w:val="13"/>
                <w:szCs w:val="13"/>
                <w:b w:val="1"/>
                <w:bCs w:val="1"/>
                <w:color w:val="auto"/>
                <w:w w:val="92"/>
              </w:rPr>
              <w:t>June 30,</w:t>
            </w:r>
          </w:p>
        </w:tc>
      </w:tr>
      <w:tr>
        <w:trPr>
          <w:trHeight w:val="167"/>
        </w:trPr>
        <w:tc>
          <w:tcPr>
            <w:tcW w:w="6520" w:type="dxa"/>
            <w:vAlign w:val="bottom"/>
          </w:tcPr>
          <w:p>
            <w:pPr>
              <w:spacing w:after="0"/>
              <w:rPr>
                <w:sz w:val="20"/>
                <w:szCs w:val="20"/>
                <w:color w:val="auto"/>
              </w:rPr>
            </w:pPr>
            <w:r>
              <w:rPr>
                <w:rFonts w:ascii="Arial" w:cs="Arial" w:eastAsia="Arial" w:hAnsi="Arial"/>
                <w:sz w:val="13"/>
                <w:szCs w:val="13"/>
                <w:b w:val="1"/>
                <w:bCs w:val="1"/>
                <w:color w:val="auto"/>
              </w:rPr>
              <w:t>Statement of Comprehensive Income Data (Unaudited)</w:t>
            </w:r>
          </w:p>
        </w:tc>
        <w:tc>
          <w:tcPr>
            <w:tcW w:w="800" w:type="dxa"/>
            <w:vAlign w:val="bottom"/>
            <w:tcBorders>
              <w:top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2021</w:t>
            </w:r>
          </w:p>
        </w:tc>
        <w:tc>
          <w:tcPr>
            <w:tcW w:w="1480" w:type="dxa"/>
            <w:vAlign w:val="bottom"/>
            <w:tcBorders>
              <w:top w:val="single" w:sz="8" w:color="auto"/>
            </w:tcBorders>
          </w:tcPr>
          <w:p>
            <w:pPr>
              <w:jc w:val="right"/>
              <w:ind w:right="333"/>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4"/>
                <w:szCs w:val="14"/>
                <w:color w:val="auto"/>
              </w:rPr>
            </w:pPr>
          </w:p>
        </w:tc>
        <w:tc>
          <w:tcPr>
            <w:tcW w:w="820" w:type="dxa"/>
            <w:vAlign w:val="bottom"/>
            <w:tcBorders>
              <w:top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2021</w:t>
            </w:r>
          </w:p>
        </w:tc>
        <w:tc>
          <w:tcPr>
            <w:tcW w:w="1500" w:type="dxa"/>
            <w:vAlign w:val="bottom"/>
            <w:tcBorders>
              <w:top w:val="single" w:sz="8" w:color="auto"/>
            </w:tcBorders>
          </w:tcPr>
          <w:p>
            <w:pPr>
              <w:jc w:val="right"/>
              <w:ind w:right="353"/>
              <w:spacing w:after="0"/>
              <w:rPr>
                <w:sz w:val="20"/>
                <w:szCs w:val="20"/>
                <w:color w:val="auto"/>
              </w:rPr>
            </w:pPr>
            <w:r>
              <w:rPr>
                <w:rFonts w:ascii="Arial" w:cs="Arial" w:eastAsia="Arial" w:hAnsi="Arial"/>
                <w:sz w:val="13"/>
                <w:szCs w:val="13"/>
                <w:b w:val="1"/>
                <w:bCs w:val="1"/>
                <w:color w:val="auto"/>
              </w:rPr>
              <w:t>2020</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Interest income</w:t>
            </w:r>
          </w:p>
        </w:tc>
        <w:tc>
          <w:tcPr>
            <w:tcW w:w="10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9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249</w:t>
            </w:r>
          </w:p>
        </w:tc>
        <w:tc>
          <w:tcPr>
            <w:tcW w:w="10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429</w:t>
            </w:r>
          </w:p>
        </w:tc>
        <w:tc>
          <w:tcPr>
            <w:tcW w:w="10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9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806</w:t>
            </w:r>
          </w:p>
        </w:tc>
        <w:tc>
          <w:tcPr>
            <w:tcW w:w="10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920</w:t>
            </w:r>
          </w:p>
        </w:tc>
      </w:tr>
      <w:tr>
        <w:trPr>
          <w:trHeight w:val="197"/>
        </w:trPr>
        <w:tc>
          <w:tcPr>
            <w:tcW w:w="654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Interest expense</w:t>
            </w:r>
          </w:p>
        </w:tc>
        <w:tc>
          <w:tcPr>
            <w:tcW w:w="4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134</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46</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560</w:t>
            </w:r>
          </w:p>
        </w:tc>
      </w:tr>
      <w:tr>
        <w:trPr>
          <w:trHeight w:val="192"/>
        </w:trPr>
        <w:tc>
          <w:tcPr>
            <w:tcW w:w="65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Net interest income</w:t>
            </w:r>
          </w:p>
        </w:tc>
        <w:tc>
          <w:tcPr>
            <w:tcW w:w="4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232</w:t>
            </w:r>
          </w:p>
        </w:tc>
        <w:tc>
          <w:tcPr>
            <w:tcW w:w="1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295</w:t>
            </w:r>
          </w:p>
        </w:tc>
        <w:tc>
          <w:tcPr>
            <w:tcW w:w="10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760</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360</w:t>
            </w:r>
          </w:p>
        </w:tc>
      </w:tr>
      <w:tr>
        <w:trPr>
          <w:trHeight w:val="192"/>
        </w:trPr>
        <w:tc>
          <w:tcPr>
            <w:tcW w:w="6540" w:type="dxa"/>
            <w:vAlign w:val="bottom"/>
            <w:gridSpan w:val="2"/>
          </w:tcPr>
          <w:p>
            <w:pPr>
              <w:ind w:left="20"/>
              <w:spacing w:after="0"/>
              <w:rPr>
                <w:sz w:val="20"/>
                <w:szCs w:val="20"/>
                <w:color w:val="auto"/>
              </w:rPr>
            </w:pPr>
            <w:r>
              <w:rPr>
                <w:rFonts w:ascii="Arial" w:cs="Arial" w:eastAsia="Arial" w:hAnsi="Arial"/>
                <w:sz w:val="13"/>
                <w:szCs w:val="13"/>
                <w:color w:val="auto"/>
              </w:rPr>
              <w:t>Other gain (loss), net</w:t>
            </w:r>
          </w:p>
        </w:tc>
        <w:tc>
          <w:tcPr>
            <w:tcW w:w="4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(621)</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447</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(150)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(2,016)</w:t>
            </w:r>
          </w:p>
        </w:tc>
      </w:tr>
      <w:tr>
        <w:trPr>
          <w:trHeight w:val="200"/>
        </w:trPr>
        <w:tc>
          <w:tcPr>
            <w:tcW w:w="65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Operating expenses</w:t>
            </w:r>
          </w:p>
        </w:tc>
        <w:tc>
          <w:tcPr>
            <w:tcW w:w="4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46</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47</w:t>
            </w:r>
          </w:p>
        </w:tc>
      </w:tr>
      <w:tr>
        <w:trPr>
          <w:trHeight w:val="192"/>
        </w:trPr>
        <w:tc>
          <w:tcPr>
            <w:tcW w:w="6540" w:type="dxa"/>
            <w:vAlign w:val="bottom"/>
            <w:gridSpan w:val="2"/>
          </w:tcPr>
          <w:p>
            <w:pPr>
              <w:ind w:left="20"/>
              <w:spacing w:after="0"/>
              <w:rPr>
                <w:sz w:val="20"/>
                <w:szCs w:val="20"/>
                <w:color w:val="auto"/>
              </w:rPr>
            </w:pPr>
            <w:r>
              <w:rPr>
                <w:rFonts w:ascii="Arial" w:cs="Arial" w:eastAsia="Arial" w:hAnsi="Arial"/>
                <w:sz w:val="13"/>
                <w:szCs w:val="13"/>
                <w:color w:val="auto"/>
              </w:rPr>
              <w:t>Net income (loss)</w:t>
            </w:r>
          </w:p>
        </w:tc>
        <w:tc>
          <w:tcPr>
            <w:tcW w:w="4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(411)</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718</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564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(1,703)</w:t>
            </w:r>
          </w:p>
        </w:tc>
      </w:tr>
      <w:tr>
        <w:trPr>
          <w:trHeight w:val="200"/>
        </w:trPr>
        <w:tc>
          <w:tcPr>
            <w:tcW w:w="65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Dividends on preferred stock</w:t>
            </w:r>
          </w:p>
        </w:tc>
        <w:tc>
          <w:tcPr>
            <w:tcW w:w="4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50</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46</w:t>
            </w:r>
          </w:p>
        </w:tc>
      </w:tr>
      <w:tr>
        <w:trPr>
          <w:trHeight w:val="195"/>
        </w:trPr>
        <w:tc>
          <w:tcPr>
            <w:tcW w:w="6540" w:type="dxa"/>
            <w:vAlign w:val="bottom"/>
            <w:gridSpan w:val="2"/>
          </w:tcPr>
          <w:p>
            <w:pPr>
              <w:ind w:left="20"/>
              <w:spacing w:after="0"/>
              <w:rPr>
                <w:sz w:val="20"/>
                <w:szCs w:val="20"/>
                <w:color w:val="auto"/>
              </w:rPr>
            </w:pPr>
            <w:r>
              <w:rPr>
                <w:rFonts w:ascii="Arial" w:cs="Arial" w:eastAsia="Arial" w:hAnsi="Arial"/>
                <w:sz w:val="13"/>
                <w:szCs w:val="13"/>
                <w:color w:val="auto"/>
              </w:rPr>
              <w:t>Net income (loss) available (attributable) to common stockholders</w:t>
            </w:r>
          </w:p>
        </w:tc>
        <w:tc>
          <w:tcPr>
            <w:tcW w:w="400" w:type="dxa"/>
            <w:vAlign w:val="bottom"/>
            <w:tcBorders>
              <w:bottom w:val="single" w:sz="8" w:color="auto"/>
            </w:tcBorders>
          </w:tcPr>
          <w:p>
            <w:pPr>
              <w:jc w:val="right"/>
              <w:ind w:right="225"/>
              <w:spacing w:after="0"/>
              <w:rPr>
                <w:sz w:val="20"/>
                <w:szCs w:val="20"/>
                <w:color w:val="auto"/>
              </w:rPr>
            </w:pPr>
            <w:r>
              <w:rPr>
                <w:rFonts w:ascii="Arial" w:cs="Arial" w:eastAsia="Arial" w:hAnsi="Arial"/>
                <w:sz w:val="15"/>
                <w:szCs w:val="15"/>
                <w:color w:val="auto"/>
                <w:w w:val="95"/>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(436)</w:t>
            </w:r>
          </w:p>
        </w:tc>
        <w:tc>
          <w:tcPr>
            <w:tcW w:w="100" w:type="dxa"/>
            <w:vAlign w:val="bottom"/>
          </w:tcPr>
          <w:p>
            <w:pPr>
              <w:spacing w:after="0"/>
              <w:rPr>
                <w:sz w:val="16"/>
                <w:szCs w:val="16"/>
                <w:color w:val="auto"/>
              </w:rPr>
            </w:pPr>
          </w:p>
        </w:tc>
        <w:tc>
          <w:tcPr>
            <w:tcW w:w="380" w:type="dxa"/>
            <w:vAlign w:val="bottom"/>
            <w:tcBorders>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693</w:t>
            </w:r>
          </w:p>
        </w:tc>
        <w:tc>
          <w:tcPr>
            <w:tcW w:w="100" w:type="dxa"/>
            <w:vAlign w:val="bottom"/>
          </w:tcPr>
          <w:p>
            <w:pPr>
              <w:spacing w:after="0"/>
              <w:rPr>
                <w:sz w:val="16"/>
                <w:szCs w:val="16"/>
                <w:color w:val="auto"/>
              </w:rPr>
            </w:pPr>
          </w:p>
        </w:tc>
        <w:tc>
          <w:tcPr>
            <w:tcW w:w="400" w:type="dxa"/>
            <w:vAlign w:val="bottom"/>
            <w:tcBorders>
              <w:bottom w:val="single" w:sz="8" w:color="auto"/>
            </w:tcBorders>
          </w:tcPr>
          <w:p>
            <w:pPr>
              <w:jc w:val="right"/>
              <w:ind w:right="225"/>
              <w:spacing w:after="0"/>
              <w:rPr>
                <w:sz w:val="20"/>
                <w:szCs w:val="20"/>
                <w:color w:val="auto"/>
              </w:rPr>
            </w:pPr>
            <w:r>
              <w:rPr>
                <w:rFonts w:ascii="Arial" w:cs="Arial" w:eastAsia="Arial" w:hAnsi="Arial"/>
                <w:sz w:val="15"/>
                <w:szCs w:val="15"/>
                <w:color w:val="auto"/>
                <w:w w:val="95"/>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514</w:t>
            </w:r>
          </w:p>
        </w:tc>
        <w:tc>
          <w:tcPr>
            <w:tcW w:w="100" w:type="dxa"/>
            <w:vAlign w:val="bottom"/>
          </w:tcPr>
          <w:p>
            <w:pPr>
              <w:spacing w:after="0"/>
              <w:rPr>
                <w:sz w:val="16"/>
                <w:szCs w:val="16"/>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(1,749)</w:t>
            </w:r>
          </w:p>
        </w:tc>
      </w:tr>
      <w:tr>
        <w:trPr>
          <w:trHeight w:val="20"/>
        </w:trPr>
        <w:tc>
          <w:tcPr>
            <w:tcW w:w="6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02"/>
        </w:trPr>
        <w:tc>
          <w:tcPr>
            <w:tcW w:w="6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197"/>
        </w:trPr>
        <w:tc>
          <w:tcPr>
            <w:tcW w:w="6540" w:type="dxa"/>
            <w:vAlign w:val="bottom"/>
            <w:gridSpan w:val="2"/>
          </w:tcPr>
          <w:p>
            <w:pPr>
              <w:ind w:left="20"/>
              <w:spacing w:after="0"/>
              <w:rPr>
                <w:sz w:val="20"/>
                <w:szCs w:val="20"/>
                <w:color w:val="auto"/>
              </w:rPr>
            </w:pPr>
            <w:r>
              <w:rPr>
                <w:rFonts w:ascii="Arial" w:cs="Arial" w:eastAsia="Arial" w:hAnsi="Arial"/>
                <w:sz w:val="13"/>
                <w:szCs w:val="13"/>
                <w:color w:val="auto"/>
              </w:rPr>
              <w:t>Net income (loss)</w:t>
            </w:r>
          </w:p>
        </w:tc>
        <w:tc>
          <w:tcPr>
            <w:tcW w:w="400" w:type="dxa"/>
            <w:vAlign w:val="bottom"/>
          </w:tcPr>
          <w:p>
            <w:pPr>
              <w:jc w:val="right"/>
              <w:ind w:right="225"/>
              <w:spacing w:after="0"/>
              <w:rPr>
                <w:sz w:val="20"/>
                <w:szCs w:val="20"/>
                <w:color w:val="auto"/>
              </w:rPr>
            </w:pPr>
            <w:r>
              <w:rPr>
                <w:rFonts w:ascii="Arial" w:cs="Arial" w:eastAsia="Arial" w:hAnsi="Arial"/>
                <w:sz w:val="15"/>
                <w:szCs w:val="15"/>
                <w:color w:val="auto"/>
                <w:w w:val="95"/>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(411)</w:t>
            </w:r>
          </w:p>
        </w:tc>
        <w:tc>
          <w:tcPr>
            <w:tcW w:w="100" w:type="dxa"/>
            <w:vAlign w:val="bottom"/>
          </w:tcPr>
          <w:p>
            <w:pPr>
              <w:spacing w:after="0"/>
              <w:rPr>
                <w:sz w:val="17"/>
                <w:szCs w:val="17"/>
                <w:color w:val="auto"/>
              </w:rPr>
            </w:pP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5"/>
                <w:szCs w:val="15"/>
                <w:color w:val="auto"/>
              </w:rPr>
              <w:t>718</w:t>
            </w:r>
          </w:p>
        </w:tc>
        <w:tc>
          <w:tcPr>
            <w:tcW w:w="100" w:type="dxa"/>
            <w:vAlign w:val="bottom"/>
          </w:tcPr>
          <w:p>
            <w:pPr>
              <w:spacing w:after="0"/>
              <w:rPr>
                <w:sz w:val="17"/>
                <w:szCs w:val="17"/>
                <w:color w:val="auto"/>
              </w:rPr>
            </w:pPr>
          </w:p>
        </w:tc>
        <w:tc>
          <w:tcPr>
            <w:tcW w:w="400" w:type="dxa"/>
            <w:vAlign w:val="bottom"/>
          </w:tcPr>
          <w:p>
            <w:pPr>
              <w:jc w:val="right"/>
              <w:ind w:right="225"/>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564</w:t>
            </w:r>
          </w:p>
        </w:tc>
        <w:tc>
          <w:tcPr>
            <w:tcW w:w="100" w:type="dxa"/>
            <w:vAlign w:val="bottom"/>
          </w:tcPr>
          <w:p>
            <w:pPr>
              <w:spacing w:after="0"/>
              <w:rPr>
                <w:sz w:val="17"/>
                <w:szCs w:val="17"/>
                <w:color w:val="auto"/>
              </w:rPr>
            </w:pP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(1,703)</w:t>
            </w:r>
          </w:p>
        </w:tc>
      </w:tr>
      <w:tr>
        <w:trPr>
          <w:trHeight w:val="200"/>
        </w:trPr>
        <w:tc>
          <w:tcPr>
            <w:tcW w:w="65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Other comprehensive income (loss), net</w:t>
            </w:r>
          </w:p>
        </w:tc>
        <w:tc>
          <w:tcPr>
            <w:tcW w:w="4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(77)</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203</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(314)</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667</w:t>
            </w:r>
          </w:p>
        </w:tc>
      </w:tr>
      <w:tr>
        <w:trPr>
          <w:trHeight w:val="192"/>
        </w:trPr>
        <w:tc>
          <w:tcPr>
            <w:tcW w:w="6540" w:type="dxa"/>
            <w:vAlign w:val="bottom"/>
            <w:gridSpan w:val="2"/>
          </w:tcPr>
          <w:p>
            <w:pPr>
              <w:ind w:left="20"/>
              <w:spacing w:after="0"/>
              <w:rPr>
                <w:sz w:val="20"/>
                <w:szCs w:val="20"/>
                <w:color w:val="auto"/>
              </w:rPr>
            </w:pPr>
            <w:r>
              <w:rPr>
                <w:rFonts w:ascii="Arial" w:cs="Arial" w:eastAsia="Arial" w:hAnsi="Arial"/>
                <w:sz w:val="13"/>
                <w:szCs w:val="13"/>
                <w:color w:val="auto"/>
              </w:rPr>
              <w:t>Comprehensive income (loss)</w:t>
            </w:r>
          </w:p>
        </w:tc>
        <w:tc>
          <w:tcPr>
            <w:tcW w:w="4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(488)</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921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250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(1,036)</w:t>
            </w:r>
          </w:p>
        </w:tc>
      </w:tr>
      <w:tr>
        <w:trPr>
          <w:trHeight w:val="200"/>
        </w:trPr>
        <w:tc>
          <w:tcPr>
            <w:tcW w:w="65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Dividends on preferred stock</w:t>
            </w:r>
          </w:p>
        </w:tc>
        <w:tc>
          <w:tcPr>
            <w:tcW w:w="4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50</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46</w:t>
            </w:r>
          </w:p>
        </w:tc>
      </w:tr>
      <w:tr>
        <w:trPr>
          <w:trHeight w:val="195"/>
        </w:trPr>
        <w:tc>
          <w:tcPr>
            <w:tcW w:w="6540" w:type="dxa"/>
            <w:vAlign w:val="bottom"/>
            <w:gridSpan w:val="2"/>
          </w:tcPr>
          <w:p>
            <w:pPr>
              <w:ind w:left="20"/>
              <w:spacing w:after="0"/>
              <w:rPr>
                <w:sz w:val="20"/>
                <w:szCs w:val="20"/>
                <w:color w:val="auto"/>
              </w:rPr>
            </w:pPr>
            <w:r>
              <w:rPr>
                <w:rFonts w:ascii="Arial" w:cs="Arial" w:eastAsia="Arial" w:hAnsi="Arial"/>
                <w:sz w:val="13"/>
                <w:szCs w:val="13"/>
                <w:color w:val="auto"/>
              </w:rPr>
              <w:t>Comprehensive income (loss) available (attributable) to common stockholders</w:t>
            </w:r>
          </w:p>
        </w:tc>
        <w:tc>
          <w:tcPr>
            <w:tcW w:w="400" w:type="dxa"/>
            <w:vAlign w:val="bottom"/>
            <w:tcBorders>
              <w:bottom w:val="single" w:sz="8" w:color="auto"/>
            </w:tcBorders>
          </w:tcPr>
          <w:p>
            <w:pPr>
              <w:jc w:val="right"/>
              <w:ind w:right="225"/>
              <w:spacing w:after="0"/>
              <w:rPr>
                <w:sz w:val="20"/>
                <w:szCs w:val="20"/>
                <w:color w:val="auto"/>
              </w:rPr>
            </w:pPr>
            <w:r>
              <w:rPr>
                <w:rFonts w:ascii="Arial" w:cs="Arial" w:eastAsia="Arial" w:hAnsi="Arial"/>
                <w:sz w:val="15"/>
                <w:szCs w:val="15"/>
                <w:color w:val="auto"/>
                <w:w w:val="95"/>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(513)</w:t>
            </w:r>
          </w:p>
        </w:tc>
        <w:tc>
          <w:tcPr>
            <w:tcW w:w="100" w:type="dxa"/>
            <w:vAlign w:val="bottom"/>
          </w:tcPr>
          <w:p>
            <w:pPr>
              <w:spacing w:after="0"/>
              <w:rPr>
                <w:sz w:val="16"/>
                <w:szCs w:val="16"/>
                <w:color w:val="auto"/>
              </w:rPr>
            </w:pPr>
          </w:p>
        </w:tc>
        <w:tc>
          <w:tcPr>
            <w:tcW w:w="380" w:type="dxa"/>
            <w:vAlign w:val="bottom"/>
            <w:tcBorders>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896</w:t>
            </w:r>
          </w:p>
        </w:tc>
        <w:tc>
          <w:tcPr>
            <w:tcW w:w="100" w:type="dxa"/>
            <w:vAlign w:val="bottom"/>
          </w:tcPr>
          <w:p>
            <w:pPr>
              <w:spacing w:after="0"/>
              <w:rPr>
                <w:sz w:val="16"/>
                <w:szCs w:val="16"/>
                <w:color w:val="auto"/>
              </w:rPr>
            </w:pPr>
          </w:p>
        </w:tc>
        <w:tc>
          <w:tcPr>
            <w:tcW w:w="400" w:type="dxa"/>
            <w:vAlign w:val="bottom"/>
            <w:tcBorders>
              <w:bottom w:val="single" w:sz="8" w:color="auto"/>
            </w:tcBorders>
          </w:tcPr>
          <w:p>
            <w:pPr>
              <w:jc w:val="right"/>
              <w:ind w:right="225"/>
              <w:spacing w:after="0"/>
              <w:rPr>
                <w:sz w:val="20"/>
                <w:szCs w:val="20"/>
                <w:color w:val="auto"/>
              </w:rPr>
            </w:pPr>
            <w:r>
              <w:rPr>
                <w:rFonts w:ascii="Arial" w:cs="Arial" w:eastAsia="Arial" w:hAnsi="Arial"/>
                <w:sz w:val="15"/>
                <w:szCs w:val="15"/>
                <w:color w:val="auto"/>
                <w:w w:val="95"/>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200</w:t>
            </w:r>
          </w:p>
        </w:tc>
        <w:tc>
          <w:tcPr>
            <w:tcW w:w="100" w:type="dxa"/>
            <w:vAlign w:val="bottom"/>
          </w:tcPr>
          <w:p>
            <w:pPr>
              <w:spacing w:after="0"/>
              <w:rPr>
                <w:sz w:val="16"/>
                <w:szCs w:val="16"/>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(1,082)</w:t>
            </w:r>
          </w:p>
        </w:tc>
      </w:tr>
      <w:tr>
        <w:trPr>
          <w:trHeight w:val="20"/>
        </w:trPr>
        <w:tc>
          <w:tcPr>
            <w:tcW w:w="6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02"/>
        </w:trPr>
        <w:tc>
          <w:tcPr>
            <w:tcW w:w="6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00"/>
        </w:trPr>
        <w:tc>
          <w:tcPr>
            <w:tcW w:w="6540" w:type="dxa"/>
            <w:vAlign w:val="bottom"/>
            <w:gridSpan w:val="2"/>
          </w:tcPr>
          <w:p>
            <w:pPr>
              <w:ind w:left="20"/>
              <w:spacing w:after="0"/>
              <w:rPr>
                <w:sz w:val="20"/>
                <w:szCs w:val="20"/>
                <w:color w:val="auto"/>
              </w:rPr>
            </w:pPr>
            <w:r>
              <w:rPr>
                <w:rFonts w:ascii="Arial" w:cs="Arial" w:eastAsia="Arial" w:hAnsi="Arial"/>
                <w:sz w:val="13"/>
                <w:szCs w:val="13"/>
                <w:color w:val="auto"/>
              </w:rPr>
              <w:t>Weighted average number of common shares outstanding - basic</w:t>
            </w:r>
          </w:p>
        </w:tc>
        <w:tc>
          <w:tcPr>
            <w:tcW w:w="4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526.6</w:t>
            </w: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560.3</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530.1</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554.2</w:t>
            </w:r>
          </w:p>
        </w:tc>
      </w:tr>
      <w:tr>
        <w:trPr>
          <w:trHeight w:val="20"/>
        </w:trPr>
        <w:tc>
          <w:tcPr>
            <w:tcW w:w="6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15"/>
        </w:trPr>
        <w:tc>
          <w:tcPr>
            <w:tcW w:w="6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Weighted average number of common shares outstanding - diluted</w:t>
            </w:r>
          </w:p>
        </w:tc>
        <w:tc>
          <w:tcPr>
            <w:tcW w:w="4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526.6</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560.8</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531.9</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554.2</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r>
        <w:trPr>
          <w:trHeight w:val="170"/>
        </w:trPr>
        <w:tc>
          <w:tcPr>
            <w:tcW w:w="6540" w:type="dxa"/>
            <w:vAlign w:val="bottom"/>
            <w:gridSpan w:val="2"/>
          </w:tcPr>
          <w:p>
            <w:pPr>
              <w:ind w:left="20"/>
              <w:spacing w:after="0"/>
              <w:rPr>
                <w:sz w:val="20"/>
                <w:szCs w:val="20"/>
                <w:color w:val="auto"/>
              </w:rPr>
            </w:pPr>
            <w:r>
              <w:rPr>
                <w:rFonts w:ascii="Arial" w:cs="Arial" w:eastAsia="Arial" w:hAnsi="Arial"/>
                <w:sz w:val="13"/>
                <w:szCs w:val="13"/>
                <w:color w:val="auto"/>
              </w:rPr>
              <w:t>Net income (loss) per common share - basic</w:t>
            </w:r>
          </w:p>
        </w:tc>
        <w:tc>
          <w:tcPr>
            <w:tcW w:w="400" w:type="dxa"/>
            <w:vAlign w:val="bottom"/>
            <w:tcBorders>
              <w:bottom w:val="single" w:sz="8" w:color="auto"/>
            </w:tcBorders>
          </w:tcPr>
          <w:p>
            <w:pPr>
              <w:jc w:val="right"/>
              <w:ind w:right="225"/>
              <w:spacing w:after="0" w:line="170" w:lineRule="exact"/>
              <w:rPr>
                <w:sz w:val="20"/>
                <w:szCs w:val="20"/>
                <w:color w:val="auto"/>
              </w:rPr>
            </w:pPr>
            <w:r>
              <w:rPr>
                <w:rFonts w:ascii="Arial" w:cs="Arial" w:eastAsia="Arial" w:hAnsi="Arial"/>
                <w:sz w:val="15"/>
                <w:szCs w:val="15"/>
                <w:color w:val="auto"/>
                <w:w w:val="95"/>
              </w:rPr>
              <w:t>$</w:t>
            </w:r>
          </w:p>
        </w:tc>
        <w:tc>
          <w:tcPr>
            <w:tcW w:w="7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5"/>
                <w:szCs w:val="15"/>
                <w:color w:val="auto"/>
              </w:rPr>
              <w:t>(0.83)</w:t>
            </w:r>
          </w:p>
        </w:tc>
        <w:tc>
          <w:tcPr>
            <w:tcW w:w="100" w:type="dxa"/>
            <w:vAlign w:val="bottom"/>
          </w:tcPr>
          <w:p>
            <w:pPr>
              <w:spacing w:after="0"/>
              <w:rPr>
                <w:sz w:val="14"/>
                <w:szCs w:val="14"/>
                <w:color w:val="auto"/>
              </w:rPr>
            </w:pPr>
          </w:p>
        </w:tc>
        <w:tc>
          <w:tcPr>
            <w:tcW w:w="380" w:type="dxa"/>
            <w:vAlign w:val="bottom"/>
            <w:tcBorders>
              <w:bottom w:val="single" w:sz="8" w:color="auto"/>
            </w:tcBorders>
          </w:tcPr>
          <w:p>
            <w:pPr>
              <w:jc w:val="right"/>
              <w:ind w:right="225"/>
              <w:spacing w:after="0" w:line="170" w:lineRule="exact"/>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5"/>
                <w:szCs w:val="15"/>
                <w:color w:val="auto"/>
              </w:rPr>
              <w:t>1.24</w:t>
            </w:r>
          </w:p>
        </w:tc>
        <w:tc>
          <w:tcPr>
            <w:tcW w:w="100" w:type="dxa"/>
            <w:vAlign w:val="bottom"/>
          </w:tcPr>
          <w:p>
            <w:pPr>
              <w:spacing w:after="0"/>
              <w:rPr>
                <w:sz w:val="14"/>
                <w:szCs w:val="14"/>
                <w:color w:val="auto"/>
              </w:rPr>
            </w:pPr>
          </w:p>
        </w:tc>
        <w:tc>
          <w:tcPr>
            <w:tcW w:w="400" w:type="dxa"/>
            <w:vAlign w:val="bottom"/>
            <w:tcBorders>
              <w:bottom w:val="single" w:sz="8" w:color="auto"/>
            </w:tcBorders>
          </w:tcPr>
          <w:p>
            <w:pPr>
              <w:jc w:val="right"/>
              <w:ind w:right="225"/>
              <w:spacing w:after="0" w:line="170" w:lineRule="exact"/>
              <w:rPr>
                <w:sz w:val="20"/>
                <w:szCs w:val="20"/>
                <w:color w:val="auto"/>
              </w:rPr>
            </w:pPr>
            <w:r>
              <w:rPr>
                <w:rFonts w:ascii="Arial" w:cs="Arial" w:eastAsia="Arial" w:hAnsi="Arial"/>
                <w:sz w:val="15"/>
                <w:szCs w:val="15"/>
                <w:color w:val="auto"/>
                <w:w w:val="95"/>
              </w:rPr>
              <w:t>$</w:t>
            </w:r>
          </w:p>
        </w:tc>
        <w:tc>
          <w:tcPr>
            <w:tcW w:w="7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5"/>
                <w:szCs w:val="15"/>
                <w:color w:val="auto"/>
              </w:rPr>
              <w:t>0.97</w:t>
            </w: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205"/>
              <w:spacing w:after="0" w:line="170" w:lineRule="exact"/>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5"/>
                <w:szCs w:val="15"/>
                <w:color w:val="auto"/>
              </w:rPr>
              <w:t>(3.16)</w:t>
            </w:r>
          </w:p>
        </w:tc>
      </w:tr>
      <w:tr>
        <w:trPr>
          <w:trHeight w:val="20"/>
        </w:trPr>
        <w:tc>
          <w:tcPr>
            <w:tcW w:w="6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15"/>
        </w:trPr>
        <w:tc>
          <w:tcPr>
            <w:tcW w:w="6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Net income (loss) per common share - diluted</w:t>
            </w:r>
          </w:p>
        </w:tc>
        <w:tc>
          <w:tcPr>
            <w:tcW w:w="400" w:type="dxa"/>
            <w:vAlign w:val="bottom"/>
            <w:tcBorders>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9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(0.83)</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1.24</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9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0.97</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(3.16)</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r>
        <w:trPr>
          <w:trHeight w:val="170"/>
        </w:trPr>
        <w:tc>
          <w:tcPr>
            <w:tcW w:w="6540" w:type="dxa"/>
            <w:vAlign w:val="bottom"/>
            <w:gridSpan w:val="2"/>
          </w:tcPr>
          <w:p>
            <w:pPr>
              <w:ind w:left="20"/>
              <w:spacing w:after="0"/>
              <w:rPr>
                <w:sz w:val="20"/>
                <w:szCs w:val="20"/>
                <w:color w:val="auto"/>
              </w:rPr>
            </w:pPr>
            <w:r>
              <w:rPr>
                <w:rFonts w:ascii="Arial" w:cs="Arial" w:eastAsia="Arial" w:hAnsi="Arial"/>
                <w:sz w:val="13"/>
                <w:szCs w:val="13"/>
                <w:color w:val="auto"/>
              </w:rPr>
              <w:t>Comprehensive income (loss) per common share - basic</w:t>
            </w:r>
          </w:p>
        </w:tc>
        <w:tc>
          <w:tcPr>
            <w:tcW w:w="400" w:type="dxa"/>
            <w:vAlign w:val="bottom"/>
            <w:tcBorders>
              <w:bottom w:val="single" w:sz="8" w:color="auto"/>
            </w:tcBorders>
          </w:tcPr>
          <w:p>
            <w:pPr>
              <w:jc w:val="right"/>
              <w:ind w:right="225"/>
              <w:spacing w:after="0" w:line="170" w:lineRule="exact"/>
              <w:rPr>
                <w:sz w:val="20"/>
                <w:szCs w:val="20"/>
                <w:color w:val="auto"/>
              </w:rPr>
            </w:pPr>
            <w:r>
              <w:rPr>
                <w:rFonts w:ascii="Arial" w:cs="Arial" w:eastAsia="Arial" w:hAnsi="Arial"/>
                <w:sz w:val="15"/>
                <w:szCs w:val="15"/>
                <w:color w:val="auto"/>
                <w:w w:val="95"/>
              </w:rPr>
              <w:t>$</w:t>
            </w:r>
          </w:p>
        </w:tc>
        <w:tc>
          <w:tcPr>
            <w:tcW w:w="7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5"/>
                <w:szCs w:val="15"/>
                <w:color w:val="auto"/>
              </w:rPr>
              <w:t>(0.97)</w:t>
            </w:r>
          </w:p>
        </w:tc>
        <w:tc>
          <w:tcPr>
            <w:tcW w:w="100" w:type="dxa"/>
            <w:vAlign w:val="bottom"/>
          </w:tcPr>
          <w:p>
            <w:pPr>
              <w:spacing w:after="0"/>
              <w:rPr>
                <w:sz w:val="14"/>
                <w:szCs w:val="14"/>
                <w:color w:val="auto"/>
              </w:rPr>
            </w:pPr>
          </w:p>
        </w:tc>
        <w:tc>
          <w:tcPr>
            <w:tcW w:w="380" w:type="dxa"/>
            <w:vAlign w:val="bottom"/>
            <w:tcBorders>
              <w:bottom w:val="single" w:sz="8" w:color="auto"/>
            </w:tcBorders>
          </w:tcPr>
          <w:p>
            <w:pPr>
              <w:jc w:val="right"/>
              <w:ind w:right="225"/>
              <w:spacing w:after="0" w:line="170" w:lineRule="exact"/>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5"/>
                <w:szCs w:val="15"/>
                <w:color w:val="auto"/>
              </w:rPr>
              <w:t>1.60</w:t>
            </w:r>
          </w:p>
        </w:tc>
        <w:tc>
          <w:tcPr>
            <w:tcW w:w="100" w:type="dxa"/>
            <w:vAlign w:val="bottom"/>
          </w:tcPr>
          <w:p>
            <w:pPr>
              <w:spacing w:after="0"/>
              <w:rPr>
                <w:sz w:val="14"/>
                <w:szCs w:val="14"/>
                <w:color w:val="auto"/>
              </w:rPr>
            </w:pPr>
          </w:p>
        </w:tc>
        <w:tc>
          <w:tcPr>
            <w:tcW w:w="400" w:type="dxa"/>
            <w:vAlign w:val="bottom"/>
            <w:tcBorders>
              <w:bottom w:val="single" w:sz="8" w:color="auto"/>
            </w:tcBorders>
          </w:tcPr>
          <w:p>
            <w:pPr>
              <w:jc w:val="right"/>
              <w:ind w:right="225"/>
              <w:spacing w:after="0" w:line="170" w:lineRule="exact"/>
              <w:rPr>
                <w:sz w:val="20"/>
                <w:szCs w:val="20"/>
                <w:color w:val="auto"/>
              </w:rPr>
            </w:pPr>
            <w:r>
              <w:rPr>
                <w:rFonts w:ascii="Arial" w:cs="Arial" w:eastAsia="Arial" w:hAnsi="Arial"/>
                <w:sz w:val="15"/>
                <w:szCs w:val="15"/>
                <w:color w:val="auto"/>
                <w:w w:val="95"/>
              </w:rPr>
              <w:t>$</w:t>
            </w:r>
          </w:p>
        </w:tc>
        <w:tc>
          <w:tcPr>
            <w:tcW w:w="7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5"/>
                <w:szCs w:val="15"/>
                <w:color w:val="auto"/>
              </w:rPr>
              <w:t>0.38</w:t>
            </w: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205"/>
              <w:spacing w:after="0" w:line="170" w:lineRule="exact"/>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5"/>
                <w:szCs w:val="15"/>
                <w:color w:val="auto"/>
              </w:rPr>
              <w:t>(1.95)</w:t>
            </w:r>
          </w:p>
        </w:tc>
      </w:tr>
      <w:tr>
        <w:trPr>
          <w:trHeight w:val="20"/>
        </w:trPr>
        <w:tc>
          <w:tcPr>
            <w:tcW w:w="6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15"/>
        </w:trPr>
        <w:tc>
          <w:tcPr>
            <w:tcW w:w="6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Comprehensive income (loss) per common share - diluted</w:t>
            </w:r>
          </w:p>
        </w:tc>
        <w:tc>
          <w:tcPr>
            <w:tcW w:w="400" w:type="dxa"/>
            <w:vAlign w:val="bottom"/>
            <w:tcBorders>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9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(0.97)</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1.60</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9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0.38</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(1.95)</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r>
        <w:trPr>
          <w:trHeight w:val="170"/>
        </w:trPr>
        <w:tc>
          <w:tcPr>
            <w:tcW w:w="6540" w:type="dxa"/>
            <w:vAlign w:val="bottom"/>
            <w:gridSpan w:val="2"/>
          </w:tcPr>
          <w:p>
            <w:pPr>
              <w:ind w:left="20"/>
              <w:spacing w:after="0"/>
              <w:rPr>
                <w:sz w:val="20"/>
                <w:szCs w:val="20"/>
                <w:color w:val="auto"/>
              </w:rPr>
            </w:pPr>
            <w:r>
              <w:rPr>
                <w:rFonts w:ascii="Arial" w:cs="Arial" w:eastAsia="Arial" w:hAnsi="Arial"/>
                <w:sz w:val="13"/>
                <w:szCs w:val="13"/>
                <w:color w:val="auto"/>
              </w:rPr>
              <w:t>Dividends declared per common share</w:t>
            </w:r>
          </w:p>
        </w:tc>
        <w:tc>
          <w:tcPr>
            <w:tcW w:w="400" w:type="dxa"/>
            <w:vAlign w:val="bottom"/>
            <w:tcBorders>
              <w:bottom w:val="single" w:sz="8" w:color="auto"/>
            </w:tcBorders>
          </w:tcPr>
          <w:p>
            <w:pPr>
              <w:jc w:val="right"/>
              <w:ind w:right="225"/>
              <w:spacing w:after="0" w:line="170" w:lineRule="exact"/>
              <w:rPr>
                <w:sz w:val="20"/>
                <w:szCs w:val="20"/>
                <w:color w:val="auto"/>
              </w:rPr>
            </w:pPr>
            <w:r>
              <w:rPr>
                <w:rFonts w:ascii="Arial" w:cs="Arial" w:eastAsia="Arial" w:hAnsi="Arial"/>
                <w:sz w:val="15"/>
                <w:szCs w:val="15"/>
                <w:color w:val="auto"/>
                <w:w w:val="95"/>
              </w:rPr>
              <w:t>$</w:t>
            </w:r>
          </w:p>
        </w:tc>
        <w:tc>
          <w:tcPr>
            <w:tcW w:w="7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5"/>
                <w:szCs w:val="15"/>
                <w:color w:val="auto"/>
              </w:rPr>
              <w:t>0.36</w:t>
            </w:r>
          </w:p>
        </w:tc>
        <w:tc>
          <w:tcPr>
            <w:tcW w:w="100" w:type="dxa"/>
            <w:vAlign w:val="bottom"/>
          </w:tcPr>
          <w:p>
            <w:pPr>
              <w:spacing w:after="0"/>
              <w:rPr>
                <w:sz w:val="14"/>
                <w:szCs w:val="14"/>
                <w:color w:val="auto"/>
              </w:rPr>
            </w:pPr>
          </w:p>
        </w:tc>
        <w:tc>
          <w:tcPr>
            <w:tcW w:w="380" w:type="dxa"/>
            <w:vAlign w:val="bottom"/>
            <w:tcBorders>
              <w:bottom w:val="single" w:sz="8" w:color="auto"/>
            </w:tcBorders>
          </w:tcPr>
          <w:p>
            <w:pPr>
              <w:jc w:val="right"/>
              <w:ind w:right="225"/>
              <w:spacing w:after="0" w:line="170" w:lineRule="exact"/>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5"/>
                <w:szCs w:val="15"/>
                <w:color w:val="auto"/>
              </w:rPr>
              <w:t>0.36</w:t>
            </w:r>
          </w:p>
        </w:tc>
        <w:tc>
          <w:tcPr>
            <w:tcW w:w="100" w:type="dxa"/>
            <w:vAlign w:val="bottom"/>
          </w:tcPr>
          <w:p>
            <w:pPr>
              <w:spacing w:after="0"/>
              <w:rPr>
                <w:sz w:val="14"/>
                <w:szCs w:val="14"/>
                <w:color w:val="auto"/>
              </w:rPr>
            </w:pPr>
          </w:p>
        </w:tc>
        <w:tc>
          <w:tcPr>
            <w:tcW w:w="400" w:type="dxa"/>
            <w:vAlign w:val="bottom"/>
            <w:tcBorders>
              <w:bottom w:val="single" w:sz="8" w:color="auto"/>
            </w:tcBorders>
          </w:tcPr>
          <w:p>
            <w:pPr>
              <w:jc w:val="right"/>
              <w:ind w:right="225"/>
              <w:spacing w:after="0" w:line="170" w:lineRule="exact"/>
              <w:rPr>
                <w:sz w:val="20"/>
                <w:szCs w:val="20"/>
                <w:color w:val="auto"/>
              </w:rPr>
            </w:pPr>
            <w:r>
              <w:rPr>
                <w:rFonts w:ascii="Arial" w:cs="Arial" w:eastAsia="Arial" w:hAnsi="Arial"/>
                <w:sz w:val="15"/>
                <w:szCs w:val="15"/>
                <w:color w:val="auto"/>
                <w:w w:val="95"/>
              </w:rPr>
              <w:t>$</w:t>
            </w:r>
          </w:p>
        </w:tc>
        <w:tc>
          <w:tcPr>
            <w:tcW w:w="7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5"/>
                <w:szCs w:val="15"/>
                <w:color w:val="auto"/>
              </w:rPr>
              <w:t>0.72</w:t>
            </w: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205"/>
              <w:spacing w:after="0" w:line="170" w:lineRule="exact"/>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5"/>
                <w:szCs w:val="15"/>
                <w:color w:val="auto"/>
              </w:rPr>
              <w:t>0.84</w:t>
            </w:r>
          </w:p>
        </w:tc>
      </w:tr>
      <w:tr>
        <w:trPr>
          <w:trHeight w:val="20"/>
        </w:trPr>
        <w:tc>
          <w:tcPr>
            <w:tcW w:w="6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80" w:type="dxa"/>
            <w:vAlign w:val="bottom"/>
            <w:gridSpan w:val="6"/>
          </w:tcPr>
          <w:p>
            <w:pPr>
              <w:ind w:left="340"/>
              <w:spacing w:after="0"/>
              <w:rPr>
                <w:sz w:val="20"/>
                <w:szCs w:val="20"/>
                <w:color w:val="auto"/>
              </w:rPr>
            </w:pPr>
            <w:r>
              <w:rPr>
                <w:rFonts w:ascii="Arial" w:cs="Arial" w:eastAsia="Arial" w:hAnsi="Arial"/>
                <w:sz w:val="13"/>
                <w:szCs w:val="13"/>
                <w:b w:val="1"/>
                <w:bCs w:val="1"/>
                <w:color w:val="auto"/>
              </w:rPr>
              <w:t>Three Months Ended</w:t>
            </w:r>
          </w:p>
        </w:tc>
        <w:tc>
          <w:tcPr>
            <w:tcW w:w="280" w:type="dxa"/>
            <w:vAlign w:val="bottom"/>
          </w:tcPr>
          <w:p>
            <w:pPr>
              <w:spacing w:after="0"/>
              <w:rPr>
                <w:sz w:val="13"/>
                <w:szCs w:val="13"/>
                <w:color w:val="auto"/>
              </w:rPr>
            </w:pPr>
          </w:p>
        </w:tc>
        <w:tc>
          <w:tcPr>
            <w:tcW w:w="2220" w:type="dxa"/>
            <w:vAlign w:val="bottom"/>
            <w:gridSpan w:val="5"/>
          </w:tcPr>
          <w:p>
            <w:pPr>
              <w:jc w:val="right"/>
              <w:ind w:right="646"/>
              <w:spacing w:after="0"/>
              <w:rPr>
                <w:sz w:val="20"/>
                <w:szCs w:val="20"/>
                <w:color w:val="auto"/>
              </w:rPr>
            </w:pPr>
            <w:r>
              <w:rPr>
                <w:rFonts w:ascii="Arial" w:cs="Arial" w:eastAsia="Arial" w:hAnsi="Arial"/>
                <w:sz w:val="13"/>
                <w:szCs w:val="13"/>
                <w:b w:val="1"/>
                <w:bCs w:val="1"/>
                <w:color w:val="auto"/>
              </w:rPr>
              <w:t>Six Months Ended</w:t>
            </w:r>
          </w:p>
        </w:tc>
      </w:tr>
      <w:tr>
        <w:trPr>
          <w:trHeight w:val="173"/>
        </w:trPr>
        <w:tc>
          <w:tcPr>
            <w:tcW w:w="6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3"/>
                <w:szCs w:val="13"/>
                <w:b w:val="1"/>
                <w:bCs w:val="1"/>
                <w:color w:val="auto"/>
                <w:w w:val="84"/>
              </w:rPr>
              <w:t>June 30,</w:t>
            </w: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3"/>
                <w:szCs w:val="13"/>
                <w:b w:val="1"/>
                <w:bCs w:val="1"/>
                <w:color w:val="auto"/>
                <w:w w:val="84"/>
              </w:rPr>
              <w:t>June 30,</w:t>
            </w:r>
          </w:p>
        </w:tc>
        <w:tc>
          <w:tcPr>
            <w:tcW w:w="880" w:type="dxa"/>
            <w:vAlign w:val="bottom"/>
            <w:tcBorders>
              <w:bottom w:val="single" w:sz="8" w:color="auto"/>
            </w:tcBorders>
          </w:tcPr>
          <w:p>
            <w:pPr>
              <w:spacing w:after="0"/>
              <w:rPr>
                <w:sz w:val="15"/>
                <w:szCs w:val="15"/>
                <w:color w:val="auto"/>
              </w:rPr>
            </w:pPr>
          </w:p>
        </w:tc>
      </w:tr>
      <w:tr>
        <w:trPr>
          <w:trHeight w:val="169"/>
        </w:trPr>
        <w:tc>
          <w:tcPr>
            <w:tcW w:w="60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Other Data (Unaudited) *</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07"/>
              <w:spacing w:after="0"/>
              <w:rPr>
                <w:sz w:val="20"/>
                <w:szCs w:val="20"/>
                <w:color w:val="auto"/>
              </w:rPr>
            </w:pPr>
            <w:r>
              <w:rPr>
                <w:rFonts w:ascii="Arial" w:cs="Arial" w:eastAsia="Arial" w:hAnsi="Arial"/>
                <w:sz w:val="13"/>
                <w:szCs w:val="13"/>
                <w:b w:val="1"/>
                <w:bCs w:val="1"/>
                <w:color w:val="auto"/>
              </w:rPr>
              <w:t>2021</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86"/>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27"/>
              <w:spacing w:after="0"/>
              <w:rPr>
                <w:sz w:val="20"/>
                <w:szCs w:val="20"/>
                <w:color w:val="auto"/>
              </w:rPr>
            </w:pPr>
            <w:r>
              <w:rPr>
                <w:rFonts w:ascii="Arial" w:cs="Arial" w:eastAsia="Arial" w:hAnsi="Arial"/>
                <w:sz w:val="13"/>
                <w:szCs w:val="13"/>
                <w:b w:val="1"/>
                <w:bCs w:val="1"/>
                <w:color w:val="auto"/>
              </w:rPr>
              <w:t>2021</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86"/>
              <w:spacing w:after="0"/>
              <w:rPr>
                <w:sz w:val="20"/>
                <w:szCs w:val="20"/>
                <w:color w:val="auto"/>
              </w:rPr>
            </w:pPr>
            <w:r>
              <w:rPr>
                <w:rFonts w:ascii="Arial" w:cs="Arial" w:eastAsia="Arial" w:hAnsi="Arial"/>
                <w:sz w:val="13"/>
                <w:szCs w:val="13"/>
                <w:b w:val="1"/>
                <w:bCs w:val="1"/>
                <w:color w:val="auto"/>
              </w:rPr>
              <w:t>2020</w:t>
            </w:r>
          </w:p>
        </w:tc>
      </w:tr>
      <w:tr>
        <w:trPr>
          <w:trHeight w:val="194"/>
        </w:trPr>
        <w:tc>
          <w:tcPr>
            <w:tcW w:w="61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Average investment securities - at par</w:t>
            </w:r>
          </w:p>
        </w:tc>
        <w:tc>
          <w:tcPr>
            <w:tcW w:w="28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55,246</w:t>
            </w:r>
          </w:p>
        </w:tc>
        <w:tc>
          <w:tcPr>
            <w:tcW w:w="600" w:type="dxa"/>
            <w:vAlign w:val="bottom"/>
            <w:gridSpan w:val="3"/>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68,994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55,944</w:t>
            </w:r>
          </w:p>
        </w:tc>
        <w:tc>
          <w:tcPr>
            <w:tcW w:w="600" w:type="dxa"/>
            <w:vAlign w:val="bottom"/>
            <w:gridSpan w:val="3"/>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81,964</w:t>
            </w:r>
          </w:p>
        </w:tc>
      </w:tr>
      <w:tr>
        <w:trPr>
          <w:trHeight w:val="197"/>
        </w:trPr>
        <w:tc>
          <w:tcPr>
            <w:tcW w:w="6180" w:type="dxa"/>
            <w:vAlign w:val="bottom"/>
            <w:gridSpan w:val="2"/>
          </w:tcPr>
          <w:p>
            <w:pPr>
              <w:ind w:left="20"/>
              <w:spacing w:after="0"/>
              <w:rPr>
                <w:sz w:val="20"/>
                <w:szCs w:val="20"/>
                <w:color w:val="auto"/>
              </w:rPr>
            </w:pPr>
            <w:r>
              <w:rPr>
                <w:rFonts w:ascii="Arial" w:cs="Arial" w:eastAsia="Arial" w:hAnsi="Arial"/>
                <w:sz w:val="13"/>
                <w:szCs w:val="13"/>
                <w:color w:val="auto"/>
              </w:rPr>
              <w:t>Average investment securities - at cost</w:t>
            </w:r>
          </w:p>
        </w:tc>
        <w:tc>
          <w:tcPr>
            <w:tcW w:w="280" w:type="dxa"/>
            <w:vAlign w:val="bottom"/>
          </w:tcPr>
          <w:p>
            <w:pPr>
              <w:jc w:val="right"/>
              <w:ind w:right="105"/>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57,420</w:t>
            </w:r>
          </w:p>
        </w:tc>
        <w:tc>
          <w:tcPr>
            <w:tcW w:w="600" w:type="dxa"/>
            <w:vAlign w:val="bottom"/>
            <w:gridSpan w:val="3"/>
          </w:tcPr>
          <w:p>
            <w:pPr>
              <w:jc w:val="right"/>
              <w:ind w:right="220"/>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126"/>
              <w:spacing w:after="0"/>
              <w:rPr>
                <w:sz w:val="20"/>
                <w:szCs w:val="20"/>
                <w:color w:val="auto"/>
              </w:rPr>
            </w:pPr>
            <w:r>
              <w:rPr>
                <w:rFonts w:ascii="Arial" w:cs="Arial" w:eastAsia="Arial" w:hAnsi="Arial"/>
                <w:sz w:val="15"/>
                <w:szCs w:val="15"/>
                <w:color w:val="auto"/>
              </w:rPr>
              <w:t>71,787</w:t>
            </w:r>
          </w:p>
        </w:tc>
        <w:tc>
          <w:tcPr>
            <w:tcW w:w="100" w:type="dxa"/>
            <w:vAlign w:val="bottom"/>
          </w:tcPr>
          <w:p>
            <w:pPr>
              <w:spacing w:after="0"/>
              <w:rPr>
                <w:sz w:val="17"/>
                <w:szCs w:val="17"/>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58,073</w:t>
            </w:r>
          </w:p>
        </w:tc>
        <w:tc>
          <w:tcPr>
            <w:tcW w:w="600" w:type="dxa"/>
            <w:vAlign w:val="bottom"/>
            <w:gridSpan w:val="3"/>
          </w:tcPr>
          <w:p>
            <w:pPr>
              <w:jc w:val="right"/>
              <w:ind w:right="240"/>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106"/>
              <w:spacing w:after="0"/>
              <w:rPr>
                <w:sz w:val="20"/>
                <w:szCs w:val="20"/>
                <w:color w:val="auto"/>
              </w:rPr>
            </w:pPr>
            <w:r>
              <w:rPr>
                <w:rFonts w:ascii="Arial" w:cs="Arial" w:eastAsia="Arial" w:hAnsi="Arial"/>
                <w:sz w:val="15"/>
                <w:szCs w:val="15"/>
                <w:color w:val="auto"/>
              </w:rPr>
              <w:t>84,840</w:t>
            </w:r>
          </w:p>
        </w:tc>
      </w:tr>
      <w:tr>
        <w:trPr>
          <w:trHeight w:val="203"/>
        </w:trPr>
        <w:tc>
          <w:tcPr>
            <w:tcW w:w="61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Average net TBA portfolio - at cost</w:t>
            </w:r>
          </w:p>
        </w:tc>
        <w:tc>
          <w:tcPr>
            <w:tcW w:w="28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28,082</w:t>
            </w:r>
          </w:p>
        </w:tc>
        <w:tc>
          <w:tcPr>
            <w:tcW w:w="600" w:type="dxa"/>
            <w:vAlign w:val="bottom"/>
            <w:gridSpan w:val="3"/>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15,662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30,041</w:t>
            </w:r>
          </w:p>
        </w:tc>
        <w:tc>
          <w:tcPr>
            <w:tcW w:w="600" w:type="dxa"/>
            <w:vAlign w:val="bottom"/>
            <w:gridSpan w:val="3"/>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11,575</w:t>
            </w:r>
          </w:p>
        </w:tc>
      </w:tr>
      <w:tr>
        <w:trPr>
          <w:trHeight w:val="197"/>
        </w:trPr>
        <w:tc>
          <w:tcPr>
            <w:tcW w:w="6180" w:type="dxa"/>
            <w:vAlign w:val="bottom"/>
            <w:gridSpan w:val="2"/>
          </w:tcPr>
          <w:p>
            <w:pPr>
              <w:ind w:left="20"/>
              <w:spacing w:after="0"/>
              <w:rPr>
                <w:sz w:val="20"/>
                <w:szCs w:val="20"/>
                <w:color w:val="auto"/>
              </w:rPr>
            </w:pPr>
            <w:r>
              <w:rPr>
                <w:rFonts w:ascii="Arial" w:cs="Arial" w:eastAsia="Arial" w:hAnsi="Arial"/>
                <w:sz w:val="13"/>
                <w:szCs w:val="13"/>
                <w:color w:val="auto"/>
              </w:rPr>
              <w:t>Average total assets - at fair value</w:t>
            </w:r>
          </w:p>
        </w:tc>
        <w:tc>
          <w:tcPr>
            <w:tcW w:w="280" w:type="dxa"/>
            <w:vAlign w:val="bottom"/>
          </w:tcPr>
          <w:p>
            <w:pPr>
              <w:jc w:val="right"/>
              <w:ind w:right="105"/>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77,502</w:t>
            </w:r>
          </w:p>
        </w:tc>
        <w:tc>
          <w:tcPr>
            <w:tcW w:w="600" w:type="dxa"/>
            <w:vAlign w:val="bottom"/>
            <w:gridSpan w:val="3"/>
          </w:tcPr>
          <w:p>
            <w:pPr>
              <w:jc w:val="right"/>
              <w:ind w:right="220"/>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126"/>
              <w:spacing w:after="0"/>
              <w:rPr>
                <w:sz w:val="20"/>
                <w:szCs w:val="20"/>
                <w:color w:val="auto"/>
              </w:rPr>
            </w:pPr>
            <w:r>
              <w:rPr>
                <w:rFonts w:ascii="Arial" w:cs="Arial" w:eastAsia="Arial" w:hAnsi="Arial"/>
                <w:sz w:val="15"/>
                <w:szCs w:val="15"/>
                <w:color w:val="auto"/>
              </w:rPr>
              <w:t>86,851</w:t>
            </w:r>
          </w:p>
        </w:tc>
        <w:tc>
          <w:tcPr>
            <w:tcW w:w="100" w:type="dxa"/>
            <w:vAlign w:val="bottom"/>
          </w:tcPr>
          <w:p>
            <w:pPr>
              <w:spacing w:after="0"/>
              <w:rPr>
                <w:sz w:val="17"/>
                <w:szCs w:val="17"/>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78,345</w:t>
            </w:r>
          </w:p>
        </w:tc>
        <w:tc>
          <w:tcPr>
            <w:tcW w:w="600" w:type="dxa"/>
            <w:vAlign w:val="bottom"/>
            <w:gridSpan w:val="3"/>
          </w:tcPr>
          <w:p>
            <w:pPr>
              <w:jc w:val="right"/>
              <w:ind w:right="240"/>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106"/>
              <w:spacing w:after="0"/>
              <w:rPr>
                <w:sz w:val="20"/>
                <w:szCs w:val="20"/>
                <w:color w:val="auto"/>
              </w:rPr>
            </w:pPr>
            <w:r>
              <w:rPr>
                <w:rFonts w:ascii="Arial" w:cs="Arial" w:eastAsia="Arial" w:hAnsi="Arial"/>
                <w:sz w:val="15"/>
                <w:szCs w:val="15"/>
                <w:color w:val="auto"/>
              </w:rPr>
              <w:t>100,392</w:t>
            </w:r>
          </w:p>
        </w:tc>
      </w:tr>
      <w:tr>
        <w:trPr>
          <w:trHeight w:val="203"/>
        </w:trPr>
        <w:tc>
          <w:tcPr>
            <w:tcW w:w="61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 xml:space="preserve">Average repurchase agreements and other debt outstanding </w:t>
            </w:r>
            <w:r>
              <w:rPr>
                <w:rFonts w:ascii="Arial" w:cs="Arial" w:eastAsia="Arial" w:hAnsi="Arial"/>
                <w:sz w:val="17"/>
                <w:szCs w:val="17"/>
                <w:color w:val="auto"/>
                <w:vertAlign w:val="superscript"/>
              </w:rPr>
              <w:t>3</w:t>
            </w:r>
          </w:p>
        </w:tc>
        <w:tc>
          <w:tcPr>
            <w:tcW w:w="28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95"/>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52,374</w:t>
            </w:r>
          </w:p>
        </w:tc>
        <w:tc>
          <w:tcPr>
            <w:tcW w:w="600" w:type="dxa"/>
            <w:vAlign w:val="bottom"/>
            <w:gridSpan w:val="3"/>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rPr>
              <w:t>69,552</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53,482</w:t>
            </w:r>
          </w:p>
        </w:tc>
        <w:tc>
          <w:tcPr>
            <w:tcW w:w="600" w:type="dxa"/>
            <w:vAlign w:val="bottom"/>
            <w:gridSpan w:val="3"/>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81,545</w:t>
            </w:r>
          </w:p>
        </w:tc>
      </w:tr>
      <w:tr>
        <w:trPr>
          <w:trHeight w:val="200"/>
        </w:trPr>
        <w:tc>
          <w:tcPr>
            <w:tcW w:w="6180" w:type="dxa"/>
            <w:vAlign w:val="bottom"/>
            <w:gridSpan w:val="2"/>
          </w:tcPr>
          <w:p>
            <w:pPr>
              <w:ind w:left="20"/>
              <w:spacing w:after="0"/>
              <w:rPr>
                <w:sz w:val="20"/>
                <w:szCs w:val="20"/>
                <w:color w:val="auto"/>
              </w:rPr>
            </w:pPr>
            <w:r>
              <w:rPr>
                <w:rFonts w:ascii="Arial" w:cs="Arial" w:eastAsia="Arial" w:hAnsi="Arial"/>
                <w:sz w:val="13"/>
                <w:szCs w:val="13"/>
                <w:color w:val="auto"/>
              </w:rPr>
              <w:t xml:space="preserve">Average stockholders' equity </w:t>
            </w:r>
            <w:r>
              <w:rPr>
                <w:rFonts w:ascii="Arial" w:cs="Arial" w:eastAsia="Arial" w:hAnsi="Arial"/>
                <w:sz w:val="17"/>
                <w:szCs w:val="17"/>
                <w:color w:val="auto"/>
                <w:vertAlign w:val="superscript"/>
              </w:rPr>
              <w:t>4</w:t>
            </w:r>
          </w:p>
        </w:tc>
        <w:tc>
          <w:tcPr>
            <w:tcW w:w="280" w:type="dxa"/>
            <w:vAlign w:val="bottom"/>
          </w:tcPr>
          <w:p>
            <w:pPr>
              <w:jc w:val="right"/>
              <w:ind w:right="105"/>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11,103</w:t>
            </w:r>
          </w:p>
        </w:tc>
        <w:tc>
          <w:tcPr>
            <w:tcW w:w="600" w:type="dxa"/>
            <w:vAlign w:val="bottom"/>
            <w:gridSpan w:val="3"/>
          </w:tcPr>
          <w:p>
            <w:pPr>
              <w:jc w:val="right"/>
              <w:ind w:right="220"/>
              <w:spacing w:after="0"/>
              <w:rPr>
                <w:sz w:val="20"/>
                <w:szCs w:val="20"/>
                <w:color w:val="auto"/>
              </w:rPr>
            </w:pPr>
            <w:r>
              <w:rPr>
                <w:rFonts w:ascii="Arial" w:cs="Arial" w:eastAsia="Arial" w:hAnsi="Arial"/>
                <w:sz w:val="15"/>
                <w:szCs w:val="15"/>
                <w:color w:val="auto"/>
              </w:rPr>
              <w:t>$</w:t>
            </w:r>
          </w:p>
        </w:tc>
        <w:tc>
          <w:tcPr>
            <w:tcW w:w="860" w:type="dxa"/>
            <w:vAlign w:val="bottom"/>
          </w:tcPr>
          <w:p>
            <w:pPr>
              <w:jc w:val="right"/>
              <w:ind w:right="126"/>
              <w:spacing w:after="0"/>
              <w:rPr>
                <w:sz w:val="20"/>
                <w:szCs w:val="20"/>
                <w:color w:val="auto"/>
              </w:rPr>
            </w:pPr>
            <w:r>
              <w:rPr>
                <w:rFonts w:ascii="Arial" w:cs="Arial" w:eastAsia="Arial" w:hAnsi="Arial"/>
                <w:sz w:val="15"/>
                <w:szCs w:val="15"/>
                <w:color w:val="auto"/>
              </w:rPr>
              <w:t>10,262</w:t>
            </w:r>
          </w:p>
        </w:tc>
        <w:tc>
          <w:tcPr>
            <w:tcW w:w="100" w:type="dxa"/>
            <w:vAlign w:val="bottom"/>
          </w:tcPr>
          <w:p>
            <w:pPr>
              <w:spacing w:after="0"/>
              <w:rPr>
                <w:sz w:val="17"/>
                <w:szCs w:val="17"/>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5"/>
                <w:szCs w:val="15"/>
                <w:color w:val="auto"/>
              </w:rPr>
              <w:t>11,185</w:t>
            </w:r>
          </w:p>
        </w:tc>
        <w:tc>
          <w:tcPr>
            <w:tcW w:w="600" w:type="dxa"/>
            <w:vAlign w:val="bottom"/>
            <w:gridSpan w:val="3"/>
          </w:tcPr>
          <w:p>
            <w:pPr>
              <w:jc w:val="right"/>
              <w:ind w:right="240"/>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106"/>
              <w:spacing w:after="0"/>
              <w:rPr>
                <w:sz w:val="20"/>
                <w:szCs w:val="20"/>
                <w:color w:val="auto"/>
              </w:rPr>
            </w:pPr>
            <w:r>
              <w:rPr>
                <w:rFonts w:ascii="Arial" w:cs="Arial" w:eastAsia="Arial" w:hAnsi="Arial"/>
                <w:sz w:val="15"/>
                <w:szCs w:val="15"/>
                <w:color w:val="auto"/>
              </w:rPr>
              <w:t>10,598</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 xml:space="preserve">Average tangible net book value "at risk" leverage </w:t>
            </w:r>
            <w:r>
              <w:rPr>
                <w:rFonts w:ascii="Arial" w:cs="Arial" w:eastAsia="Arial" w:hAnsi="Arial"/>
                <w:sz w:val="17"/>
                <w:szCs w:val="17"/>
                <w:color w:val="auto"/>
                <w:vertAlign w:val="superscript"/>
              </w:rPr>
              <w:t>5</w:t>
            </w:r>
          </w:p>
        </w:tc>
        <w:tc>
          <w:tcPr>
            <w:tcW w:w="2180" w:type="dxa"/>
            <w:vAlign w:val="bottom"/>
            <w:shd w:val="clear" w:color="auto" w:fill="CCEEFF"/>
          </w:tcPr>
          <w:p>
            <w:pPr>
              <w:jc w:val="right"/>
              <w:ind w:right="345"/>
              <w:spacing w:after="0"/>
              <w:rPr>
                <w:sz w:val="20"/>
                <w:szCs w:val="20"/>
                <w:color w:val="auto"/>
              </w:rPr>
            </w:pPr>
            <w:r>
              <w:rPr>
                <w:rFonts w:ascii="Arial" w:cs="Arial" w:eastAsia="Arial" w:hAnsi="Arial"/>
                <w:sz w:val="15"/>
                <w:szCs w:val="15"/>
                <w:color w:val="auto"/>
              </w:rPr>
              <w:t>7.6:1</w:t>
            </w:r>
          </w:p>
        </w:tc>
        <w:tc>
          <w:tcPr>
            <w:tcW w:w="1300" w:type="dxa"/>
            <w:vAlign w:val="bottom"/>
            <w:shd w:val="clear" w:color="auto" w:fill="CCEEFF"/>
          </w:tcPr>
          <w:p>
            <w:pPr>
              <w:jc w:val="right"/>
              <w:ind w:right="365"/>
              <w:spacing w:after="0"/>
              <w:rPr>
                <w:sz w:val="20"/>
                <w:szCs w:val="20"/>
                <w:color w:val="auto"/>
              </w:rPr>
            </w:pPr>
            <w:r>
              <w:rPr>
                <w:rFonts w:ascii="Arial" w:cs="Arial" w:eastAsia="Arial" w:hAnsi="Arial"/>
                <w:sz w:val="15"/>
                <w:szCs w:val="15"/>
                <w:color w:val="auto"/>
              </w:rPr>
              <w:t>8.8:1</w:t>
            </w:r>
          </w:p>
        </w:tc>
        <w:tc>
          <w:tcPr>
            <w:tcW w:w="1260" w:type="dxa"/>
            <w:vAlign w:val="bottom"/>
            <w:shd w:val="clear" w:color="auto" w:fill="CCEEFF"/>
          </w:tcPr>
          <w:p>
            <w:pPr>
              <w:jc w:val="right"/>
              <w:ind w:right="325"/>
              <w:spacing w:after="0"/>
              <w:rPr>
                <w:sz w:val="20"/>
                <w:szCs w:val="20"/>
                <w:color w:val="auto"/>
              </w:rPr>
            </w:pPr>
            <w:r>
              <w:rPr>
                <w:rFonts w:ascii="Arial" w:cs="Arial" w:eastAsia="Arial" w:hAnsi="Arial"/>
                <w:sz w:val="15"/>
                <w:szCs w:val="15"/>
                <w:color w:val="auto"/>
              </w:rPr>
              <w:t>7.8:1</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9.2:1</w:t>
            </w:r>
          </w:p>
        </w:tc>
      </w:tr>
      <w:tr>
        <w:trPr>
          <w:trHeight w:val="200"/>
        </w:trPr>
        <w:tc>
          <w:tcPr>
            <w:tcW w:w="5580" w:type="dxa"/>
            <w:vAlign w:val="bottom"/>
          </w:tcPr>
          <w:p>
            <w:pPr>
              <w:ind w:left="20"/>
              <w:spacing w:after="0"/>
              <w:rPr>
                <w:sz w:val="20"/>
                <w:szCs w:val="20"/>
                <w:color w:val="auto"/>
              </w:rPr>
            </w:pPr>
            <w:r>
              <w:rPr>
                <w:rFonts w:ascii="Arial" w:cs="Arial" w:eastAsia="Arial" w:hAnsi="Arial"/>
                <w:sz w:val="13"/>
                <w:szCs w:val="13"/>
                <w:color w:val="auto"/>
              </w:rPr>
              <w:t xml:space="preserve">Tangible net book value "at risk" leverage </w:t>
            </w:r>
            <w:r>
              <w:rPr>
                <w:rFonts w:ascii="Arial" w:cs="Arial" w:eastAsia="Arial" w:hAnsi="Arial"/>
                <w:sz w:val="13"/>
                <w:szCs w:val="13"/>
                <w:i w:val="1"/>
                <w:iCs w:val="1"/>
                <w:color w:val="auto"/>
              </w:rPr>
              <w:t>(as of period end)</w:t>
            </w:r>
            <w:r>
              <w:rPr>
                <w:rFonts w:ascii="Arial" w:cs="Arial" w:eastAsia="Arial" w:hAnsi="Arial"/>
                <w:sz w:val="13"/>
                <w:szCs w:val="13"/>
                <w:color w:val="auto"/>
              </w:rPr>
              <w:t xml:space="preserve"> </w:t>
            </w:r>
            <w:r>
              <w:rPr>
                <w:rFonts w:ascii="Arial" w:cs="Arial" w:eastAsia="Arial" w:hAnsi="Arial"/>
                <w:sz w:val="17"/>
                <w:szCs w:val="17"/>
                <w:color w:val="auto"/>
                <w:vertAlign w:val="superscript"/>
              </w:rPr>
              <w:t>6</w:t>
            </w:r>
          </w:p>
        </w:tc>
        <w:tc>
          <w:tcPr>
            <w:tcW w:w="2180" w:type="dxa"/>
            <w:vAlign w:val="bottom"/>
          </w:tcPr>
          <w:p>
            <w:pPr>
              <w:jc w:val="right"/>
              <w:ind w:right="345"/>
              <w:spacing w:after="0"/>
              <w:rPr>
                <w:sz w:val="20"/>
                <w:szCs w:val="20"/>
                <w:color w:val="auto"/>
              </w:rPr>
            </w:pPr>
            <w:r>
              <w:rPr>
                <w:rFonts w:ascii="Arial" w:cs="Arial" w:eastAsia="Arial" w:hAnsi="Arial"/>
                <w:sz w:val="15"/>
                <w:szCs w:val="15"/>
                <w:color w:val="auto"/>
              </w:rPr>
              <w:t>7.9:1</w:t>
            </w:r>
          </w:p>
        </w:tc>
        <w:tc>
          <w:tcPr>
            <w:tcW w:w="1300" w:type="dxa"/>
            <w:vAlign w:val="bottom"/>
          </w:tcPr>
          <w:p>
            <w:pPr>
              <w:jc w:val="right"/>
              <w:ind w:right="365"/>
              <w:spacing w:after="0"/>
              <w:rPr>
                <w:sz w:val="20"/>
                <w:szCs w:val="20"/>
                <w:color w:val="auto"/>
              </w:rPr>
            </w:pPr>
            <w:r>
              <w:rPr>
                <w:rFonts w:ascii="Arial" w:cs="Arial" w:eastAsia="Arial" w:hAnsi="Arial"/>
                <w:sz w:val="15"/>
                <w:szCs w:val="15"/>
                <w:color w:val="auto"/>
              </w:rPr>
              <w:t>9.2:1</w:t>
            </w:r>
          </w:p>
        </w:tc>
        <w:tc>
          <w:tcPr>
            <w:tcW w:w="1260" w:type="dxa"/>
            <w:vAlign w:val="bottom"/>
          </w:tcPr>
          <w:p>
            <w:pPr>
              <w:jc w:val="right"/>
              <w:ind w:right="325"/>
              <w:spacing w:after="0"/>
              <w:rPr>
                <w:sz w:val="20"/>
                <w:szCs w:val="20"/>
                <w:color w:val="auto"/>
              </w:rPr>
            </w:pPr>
            <w:r>
              <w:rPr>
                <w:rFonts w:ascii="Arial" w:cs="Arial" w:eastAsia="Arial" w:hAnsi="Arial"/>
                <w:sz w:val="15"/>
                <w:szCs w:val="15"/>
                <w:color w:val="auto"/>
              </w:rPr>
              <w:t>7.9:1</w:t>
            </w:r>
          </w:p>
        </w:tc>
        <w:tc>
          <w:tcPr>
            <w:tcW w:w="920" w:type="dxa"/>
            <w:vAlign w:val="bottom"/>
          </w:tcPr>
          <w:p>
            <w:pPr>
              <w:jc w:val="right"/>
              <w:spacing w:after="0"/>
              <w:rPr>
                <w:sz w:val="20"/>
                <w:szCs w:val="20"/>
                <w:color w:val="auto"/>
              </w:rPr>
            </w:pPr>
            <w:r>
              <w:rPr>
                <w:rFonts w:ascii="Arial" w:cs="Arial" w:eastAsia="Arial" w:hAnsi="Arial"/>
                <w:sz w:val="15"/>
                <w:szCs w:val="15"/>
                <w:color w:val="auto"/>
              </w:rPr>
              <w:t>9.2:1</w:t>
            </w:r>
          </w:p>
        </w:tc>
      </w:tr>
      <w:tr>
        <w:trPr>
          <w:trHeight w:val="200"/>
        </w:trPr>
        <w:tc>
          <w:tcPr>
            <w:tcW w:w="5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 xml:space="preserve">Economic return on tangible common equity - unannualized </w:t>
            </w:r>
            <w:r>
              <w:rPr>
                <w:rFonts w:ascii="Arial" w:cs="Arial" w:eastAsia="Arial" w:hAnsi="Arial"/>
                <w:sz w:val="17"/>
                <w:szCs w:val="17"/>
                <w:color w:val="auto"/>
                <w:vertAlign w:val="superscript"/>
              </w:rPr>
              <w:t>7</w:t>
            </w:r>
          </w:p>
        </w:tc>
        <w:tc>
          <w:tcPr>
            <w:tcW w:w="2180" w:type="dxa"/>
            <w:vAlign w:val="bottom"/>
            <w:shd w:val="clear" w:color="auto" w:fill="CCEEFF"/>
          </w:tcPr>
          <w:p>
            <w:pPr>
              <w:jc w:val="right"/>
              <w:ind w:right="345"/>
              <w:spacing w:after="0"/>
              <w:rPr>
                <w:sz w:val="20"/>
                <w:szCs w:val="20"/>
                <w:color w:val="auto"/>
              </w:rPr>
            </w:pPr>
            <w:r>
              <w:rPr>
                <w:rFonts w:ascii="Arial" w:cs="Arial" w:eastAsia="Arial" w:hAnsi="Arial"/>
                <w:sz w:val="15"/>
                <w:szCs w:val="15"/>
                <w:color w:val="auto"/>
              </w:rPr>
              <w:t>(5.5)%</w:t>
            </w:r>
          </w:p>
        </w:tc>
        <w:tc>
          <w:tcPr>
            <w:tcW w:w="1300" w:type="dxa"/>
            <w:vAlign w:val="bottom"/>
            <w:shd w:val="clear" w:color="auto" w:fill="CCEEFF"/>
          </w:tcPr>
          <w:p>
            <w:pPr>
              <w:jc w:val="right"/>
              <w:ind w:right="365"/>
              <w:spacing w:after="0"/>
              <w:rPr>
                <w:sz w:val="20"/>
                <w:szCs w:val="20"/>
                <w:color w:val="auto"/>
              </w:rPr>
            </w:pPr>
            <w:r>
              <w:rPr>
                <w:rFonts w:ascii="Arial" w:cs="Arial" w:eastAsia="Arial" w:hAnsi="Arial"/>
                <w:sz w:val="15"/>
                <w:szCs w:val="15"/>
                <w:color w:val="auto"/>
              </w:rPr>
              <w:t>12.2 %</w:t>
            </w:r>
          </w:p>
        </w:tc>
        <w:tc>
          <w:tcPr>
            <w:tcW w:w="1260" w:type="dxa"/>
            <w:vAlign w:val="bottom"/>
            <w:shd w:val="clear" w:color="auto" w:fill="CCEEFF"/>
          </w:tcPr>
          <w:p>
            <w:pPr>
              <w:jc w:val="right"/>
              <w:ind w:right="325"/>
              <w:spacing w:after="0"/>
              <w:rPr>
                <w:sz w:val="20"/>
                <w:szCs w:val="20"/>
                <w:color w:val="auto"/>
              </w:rPr>
            </w:pPr>
            <w:r>
              <w:rPr>
                <w:rFonts w:ascii="Arial" w:cs="Arial" w:eastAsia="Arial" w:hAnsi="Arial"/>
                <w:sz w:val="15"/>
                <w:szCs w:val="15"/>
                <w:color w:val="auto"/>
              </w:rPr>
              <w:t>2.4 %</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(10.8)%</w:t>
            </w:r>
          </w:p>
        </w:tc>
      </w:tr>
      <w:tr>
        <w:trPr>
          <w:trHeight w:val="197"/>
        </w:trPr>
        <w:tc>
          <w:tcPr>
            <w:tcW w:w="5580" w:type="dxa"/>
            <w:vAlign w:val="bottom"/>
          </w:tcPr>
          <w:p>
            <w:pPr>
              <w:ind w:left="20"/>
              <w:spacing w:after="0"/>
              <w:rPr>
                <w:sz w:val="20"/>
                <w:szCs w:val="20"/>
                <w:color w:val="auto"/>
              </w:rPr>
            </w:pPr>
            <w:r>
              <w:rPr>
                <w:rFonts w:ascii="Arial" w:cs="Arial" w:eastAsia="Arial" w:hAnsi="Arial"/>
                <w:sz w:val="13"/>
                <w:szCs w:val="13"/>
                <w:color w:val="auto"/>
              </w:rPr>
              <w:t>Expenses % of average total assets - annualized</w:t>
            </w:r>
          </w:p>
        </w:tc>
        <w:tc>
          <w:tcPr>
            <w:tcW w:w="2180" w:type="dxa"/>
            <w:vAlign w:val="bottom"/>
          </w:tcPr>
          <w:p>
            <w:pPr>
              <w:jc w:val="right"/>
              <w:ind w:right="345"/>
              <w:spacing w:after="0"/>
              <w:rPr>
                <w:sz w:val="20"/>
                <w:szCs w:val="20"/>
                <w:color w:val="auto"/>
              </w:rPr>
            </w:pPr>
            <w:r>
              <w:rPr>
                <w:rFonts w:ascii="Arial" w:cs="Arial" w:eastAsia="Arial" w:hAnsi="Arial"/>
                <w:sz w:val="15"/>
                <w:szCs w:val="15"/>
                <w:color w:val="auto"/>
              </w:rPr>
              <w:t>0.11 %</w:t>
            </w:r>
          </w:p>
        </w:tc>
        <w:tc>
          <w:tcPr>
            <w:tcW w:w="1300" w:type="dxa"/>
            <w:vAlign w:val="bottom"/>
          </w:tcPr>
          <w:p>
            <w:pPr>
              <w:jc w:val="right"/>
              <w:ind w:right="365"/>
              <w:spacing w:after="0"/>
              <w:rPr>
                <w:sz w:val="20"/>
                <w:szCs w:val="20"/>
                <w:color w:val="auto"/>
              </w:rPr>
            </w:pPr>
            <w:r>
              <w:rPr>
                <w:rFonts w:ascii="Arial" w:cs="Arial" w:eastAsia="Arial" w:hAnsi="Arial"/>
                <w:sz w:val="15"/>
                <w:szCs w:val="15"/>
                <w:color w:val="auto"/>
              </w:rPr>
              <w:t>0.11 %</w:t>
            </w:r>
          </w:p>
        </w:tc>
        <w:tc>
          <w:tcPr>
            <w:tcW w:w="1260" w:type="dxa"/>
            <w:vAlign w:val="bottom"/>
          </w:tcPr>
          <w:p>
            <w:pPr>
              <w:jc w:val="right"/>
              <w:ind w:right="325"/>
              <w:spacing w:after="0"/>
              <w:rPr>
                <w:sz w:val="20"/>
                <w:szCs w:val="20"/>
                <w:color w:val="auto"/>
              </w:rPr>
            </w:pPr>
            <w:r>
              <w:rPr>
                <w:rFonts w:ascii="Arial" w:cs="Arial" w:eastAsia="Arial" w:hAnsi="Arial"/>
                <w:sz w:val="15"/>
                <w:szCs w:val="15"/>
                <w:color w:val="auto"/>
              </w:rPr>
              <w:t>0.12 %</w:t>
            </w:r>
          </w:p>
        </w:tc>
        <w:tc>
          <w:tcPr>
            <w:tcW w:w="920" w:type="dxa"/>
            <w:vAlign w:val="bottom"/>
          </w:tcPr>
          <w:p>
            <w:pPr>
              <w:jc w:val="right"/>
              <w:spacing w:after="0"/>
              <w:rPr>
                <w:sz w:val="20"/>
                <w:szCs w:val="20"/>
                <w:color w:val="auto"/>
              </w:rPr>
            </w:pPr>
            <w:r>
              <w:rPr>
                <w:rFonts w:ascii="Arial" w:cs="Arial" w:eastAsia="Arial" w:hAnsi="Arial"/>
                <w:sz w:val="15"/>
                <w:szCs w:val="15"/>
                <w:color w:val="auto"/>
              </w:rPr>
              <w:t>0.09 %</w:t>
            </w:r>
          </w:p>
        </w:tc>
      </w:tr>
      <w:tr>
        <w:trPr>
          <w:trHeight w:val="203"/>
        </w:trPr>
        <w:tc>
          <w:tcPr>
            <w:tcW w:w="5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Expenses % of average assets, including average net TBA position - annualized</w:t>
            </w:r>
          </w:p>
        </w:tc>
        <w:tc>
          <w:tcPr>
            <w:tcW w:w="2180" w:type="dxa"/>
            <w:vAlign w:val="bottom"/>
            <w:shd w:val="clear" w:color="auto" w:fill="CCEEFF"/>
          </w:tcPr>
          <w:p>
            <w:pPr>
              <w:jc w:val="right"/>
              <w:ind w:right="345"/>
              <w:spacing w:after="0"/>
              <w:rPr>
                <w:sz w:val="20"/>
                <w:szCs w:val="20"/>
                <w:color w:val="auto"/>
              </w:rPr>
            </w:pPr>
            <w:r>
              <w:rPr>
                <w:rFonts w:ascii="Arial" w:cs="Arial" w:eastAsia="Arial" w:hAnsi="Arial"/>
                <w:sz w:val="15"/>
                <w:szCs w:val="15"/>
                <w:color w:val="auto"/>
              </w:rPr>
              <w:t>0.08 %</w:t>
            </w:r>
          </w:p>
        </w:tc>
        <w:tc>
          <w:tcPr>
            <w:tcW w:w="1300" w:type="dxa"/>
            <w:vAlign w:val="bottom"/>
            <w:shd w:val="clear" w:color="auto" w:fill="CCEEFF"/>
          </w:tcPr>
          <w:p>
            <w:pPr>
              <w:jc w:val="right"/>
              <w:ind w:right="365"/>
              <w:spacing w:after="0"/>
              <w:rPr>
                <w:sz w:val="20"/>
                <w:szCs w:val="20"/>
                <w:color w:val="auto"/>
              </w:rPr>
            </w:pPr>
            <w:r>
              <w:rPr>
                <w:rFonts w:ascii="Arial" w:cs="Arial" w:eastAsia="Arial" w:hAnsi="Arial"/>
                <w:sz w:val="15"/>
                <w:szCs w:val="15"/>
                <w:color w:val="auto"/>
              </w:rPr>
              <w:t>0.09 %</w:t>
            </w:r>
          </w:p>
        </w:tc>
        <w:tc>
          <w:tcPr>
            <w:tcW w:w="1260" w:type="dxa"/>
            <w:vAlign w:val="bottom"/>
            <w:shd w:val="clear" w:color="auto" w:fill="CCEEFF"/>
          </w:tcPr>
          <w:p>
            <w:pPr>
              <w:jc w:val="right"/>
              <w:ind w:right="325"/>
              <w:spacing w:after="0"/>
              <w:rPr>
                <w:sz w:val="20"/>
                <w:szCs w:val="20"/>
                <w:color w:val="auto"/>
              </w:rPr>
            </w:pPr>
            <w:r>
              <w:rPr>
                <w:rFonts w:ascii="Arial" w:cs="Arial" w:eastAsia="Arial" w:hAnsi="Arial"/>
                <w:sz w:val="15"/>
                <w:szCs w:val="15"/>
                <w:color w:val="auto"/>
              </w:rPr>
              <w:t>0.08 %</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0.08 %</w:t>
            </w:r>
          </w:p>
        </w:tc>
      </w:tr>
      <w:tr>
        <w:trPr>
          <w:trHeight w:val="194"/>
        </w:trPr>
        <w:tc>
          <w:tcPr>
            <w:tcW w:w="5580" w:type="dxa"/>
            <w:vAlign w:val="bottom"/>
          </w:tcPr>
          <w:p>
            <w:pPr>
              <w:ind w:left="20"/>
              <w:spacing w:after="0"/>
              <w:rPr>
                <w:sz w:val="20"/>
                <w:szCs w:val="20"/>
                <w:color w:val="auto"/>
              </w:rPr>
            </w:pPr>
            <w:r>
              <w:rPr>
                <w:rFonts w:ascii="Arial" w:cs="Arial" w:eastAsia="Arial" w:hAnsi="Arial"/>
                <w:sz w:val="13"/>
                <w:szCs w:val="13"/>
                <w:color w:val="auto"/>
              </w:rPr>
              <w:t>Expenses % of average stockholders' equity - annualized</w:t>
            </w:r>
          </w:p>
        </w:tc>
        <w:tc>
          <w:tcPr>
            <w:tcW w:w="2180" w:type="dxa"/>
            <w:vAlign w:val="bottom"/>
          </w:tcPr>
          <w:p>
            <w:pPr>
              <w:jc w:val="right"/>
              <w:ind w:right="345"/>
              <w:spacing w:after="0"/>
              <w:rPr>
                <w:sz w:val="20"/>
                <w:szCs w:val="20"/>
                <w:color w:val="auto"/>
              </w:rPr>
            </w:pPr>
            <w:r>
              <w:rPr>
                <w:rFonts w:ascii="Arial" w:cs="Arial" w:eastAsia="Arial" w:hAnsi="Arial"/>
                <w:sz w:val="15"/>
                <w:szCs w:val="15"/>
                <w:color w:val="auto"/>
              </w:rPr>
              <w:t>0.79 %</w:t>
            </w:r>
          </w:p>
        </w:tc>
        <w:tc>
          <w:tcPr>
            <w:tcW w:w="1300" w:type="dxa"/>
            <w:vAlign w:val="bottom"/>
          </w:tcPr>
          <w:p>
            <w:pPr>
              <w:jc w:val="right"/>
              <w:ind w:right="365"/>
              <w:spacing w:after="0"/>
              <w:rPr>
                <w:sz w:val="20"/>
                <w:szCs w:val="20"/>
                <w:color w:val="auto"/>
              </w:rPr>
            </w:pPr>
            <w:r>
              <w:rPr>
                <w:rFonts w:ascii="Arial" w:cs="Arial" w:eastAsia="Arial" w:hAnsi="Arial"/>
                <w:sz w:val="15"/>
                <w:szCs w:val="15"/>
                <w:color w:val="auto"/>
              </w:rPr>
              <w:t>0.94 %</w:t>
            </w:r>
          </w:p>
        </w:tc>
        <w:tc>
          <w:tcPr>
            <w:tcW w:w="1260" w:type="dxa"/>
            <w:vAlign w:val="bottom"/>
          </w:tcPr>
          <w:p>
            <w:pPr>
              <w:jc w:val="right"/>
              <w:ind w:right="325"/>
              <w:spacing w:after="0"/>
              <w:rPr>
                <w:sz w:val="20"/>
                <w:szCs w:val="20"/>
                <w:color w:val="auto"/>
              </w:rPr>
            </w:pPr>
            <w:r>
              <w:rPr>
                <w:rFonts w:ascii="Arial" w:cs="Arial" w:eastAsia="Arial" w:hAnsi="Arial"/>
                <w:sz w:val="15"/>
                <w:szCs w:val="15"/>
                <w:color w:val="auto"/>
              </w:rPr>
              <w:t>0.82 %</w:t>
            </w:r>
          </w:p>
        </w:tc>
        <w:tc>
          <w:tcPr>
            <w:tcW w:w="920" w:type="dxa"/>
            <w:vAlign w:val="bottom"/>
          </w:tcPr>
          <w:p>
            <w:pPr>
              <w:jc w:val="right"/>
              <w:spacing w:after="0"/>
              <w:rPr>
                <w:sz w:val="20"/>
                <w:szCs w:val="20"/>
                <w:color w:val="auto"/>
              </w:rPr>
            </w:pPr>
            <w:r>
              <w:rPr>
                <w:rFonts w:ascii="Arial" w:cs="Arial" w:eastAsia="Arial" w:hAnsi="Arial"/>
                <w:sz w:val="15"/>
                <w:szCs w:val="15"/>
                <w:color w:val="auto"/>
              </w:rPr>
              <w:t>0.89 %</w:t>
            </w:r>
          </w:p>
        </w:tc>
      </w:tr>
    </w:tbl>
    <w:p>
      <w:pPr>
        <w:spacing w:after="0" w:line="96"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3"/>
          <w:szCs w:val="13"/>
          <w:color w:val="auto"/>
        </w:rPr>
        <w:t>* Except as noted below, average numbers for each period are weighted based on days on our books and records.</w:t>
      </w:r>
    </w:p>
    <w:p>
      <w:pPr>
        <w:ind w:left="600" w:hanging="300"/>
        <w:spacing w:after="0"/>
        <w:tabs>
          <w:tab w:leader="none" w:pos="600" w:val="left"/>
        </w:tabs>
        <w:numPr>
          <w:ilvl w:val="0"/>
          <w:numId w:val="23"/>
        </w:numPr>
        <w:rPr>
          <w:rFonts w:ascii="Arial" w:cs="Arial" w:eastAsia="Arial" w:hAnsi="Arial"/>
          <w:sz w:val="12"/>
          <w:szCs w:val="12"/>
          <w:color w:val="auto"/>
        </w:rPr>
      </w:pPr>
      <w:r>
        <w:rPr>
          <w:rFonts w:ascii="Arial" w:cs="Arial" w:eastAsia="Arial" w:hAnsi="Arial"/>
          <w:sz w:val="12"/>
          <w:szCs w:val="12"/>
          <w:color w:val="auto"/>
        </w:rPr>
        <w:t>Net book value per common share is calculated as total stockholders' equity, less preferred stock liquidation preference, divided by number of common shares outstanding as of period end.</w:t>
      </w:r>
    </w:p>
    <w:p>
      <w:pPr>
        <w:spacing w:after="0" w:line="11" w:lineRule="exact"/>
        <w:rPr>
          <w:rFonts w:ascii="Arial" w:cs="Arial" w:eastAsia="Arial" w:hAnsi="Arial"/>
          <w:sz w:val="12"/>
          <w:szCs w:val="12"/>
          <w:color w:val="auto"/>
        </w:rPr>
      </w:pPr>
    </w:p>
    <w:p>
      <w:pPr>
        <w:ind w:left="600" w:hanging="300"/>
        <w:spacing w:after="0"/>
        <w:tabs>
          <w:tab w:leader="none" w:pos="6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Tangible net book value per common share excludes goodwill.</w:t>
      </w:r>
    </w:p>
    <w:p>
      <w:pPr>
        <w:ind w:left="600" w:hanging="300"/>
        <w:spacing w:after="0"/>
        <w:tabs>
          <w:tab w:leader="none" w:pos="6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Amount excludes U.S. Treasury repurchase agreements and TBA contracts. Other debt includes debt of consolidated VIEs.</w:t>
      </w:r>
    </w:p>
    <w:p>
      <w:pPr>
        <w:ind w:left="600" w:hanging="300"/>
        <w:spacing w:after="0"/>
        <w:tabs>
          <w:tab w:leader="none" w:pos="6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Average stockholders' equity calculated as average month-ended stockholders' equity during the period.</w:t>
      </w:r>
    </w:p>
    <w:p>
      <w:pPr>
        <w:jc w:val="both"/>
        <w:ind w:left="600" w:hanging="300"/>
        <w:spacing w:after="0"/>
        <w:tabs>
          <w:tab w:leader="none" w:pos="6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Average tangible net book value "at risk" leverage is calculated by dividing the sum of daily weighted average repurchase agreements used to fund our investment securities, other debt, and TBA and forward settling securities (at cost) (together "mortgage borrowings") outstanding for the period by the sum of average stockholders' equity adjusted to exclude goodwill for the period. Leverage excludes U.S. Treasury repurchase agreements.</w:t>
      </w:r>
    </w:p>
    <w:p>
      <w:pPr>
        <w:spacing w:after="0" w:line="1" w:lineRule="exact"/>
        <w:rPr>
          <w:rFonts w:ascii="Arial" w:cs="Arial" w:eastAsia="Arial" w:hAnsi="Arial"/>
          <w:sz w:val="13"/>
          <w:szCs w:val="13"/>
          <w:color w:val="auto"/>
        </w:rPr>
      </w:pPr>
    </w:p>
    <w:p>
      <w:pPr>
        <w:ind w:left="600" w:hanging="300"/>
        <w:spacing w:after="0"/>
        <w:tabs>
          <w:tab w:leader="none" w:pos="6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Tangible net book value "At risk" leverage as of period end is calculated by dividing the sum of mortgage borrowings outstanding and receivable/payable for unsettled investment securities as of period end (at cost) by the sum of total stockholders' equity adjusted to exclude goodwill as of period end. Leverage excludes U.S. Treasury repurchase agreements.</w:t>
      </w:r>
    </w:p>
    <w:p>
      <w:pPr>
        <w:ind w:left="600" w:hanging="300"/>
        <w:spacing w:after="0" w:line="255" w:lineRule="auto"/>
        <w:tabs>
          <w:tab w:leader="none" w:pos="6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Economic return on tangible common equity represents the sum of the change in tangible net book value per common share and dividends declared per share of common stock during the period over beginning tangible net book value per common share.</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852" w:right="339" w:bottom="1440" w:gutter="0" w:footer="0" w:header="0"/>
        </w:sectPr>
      </w:pPr>
    </w:p>
    <w:bookmarkStart w:id="33" w:name="page34"/>
    <w:bookmarkEnd w:id="33"/>
    <w:p>
      <w:pPr>
        <w:spacing w:after="0"/>
        <w:rPr>
          <w:sz w:val="20"/>
          <w:szCs w:val="20"/>
          <w:color w:val="auto"/>
        </w:rPr>
      </w:pPr>
      <w:r>
        <w:rPr>
          <w:rFonts w:ascii="Arial" w:cs="Arial" w:eastAsia="Arial" w:hAnsi="Arial"/>
          <w:sz w:val="17"/>
          <w:szCs w:val="17"/>
          <w:b w:val="1"/>
          <w:bCs w:val="1"/>
          <w:i w:val="1"/>
          <w:iCs w:val="1"/>
          <w:color w:val="auto"/>
        </w:rPr>
        <w:t>Economic Interest Income and Asset Yields</w:t>
      </w:r>
    </w:p>
    <w:p>
      <w:pPr>
        <w:spacing w:after="0" w:line="154" w:lineRule="exact"/>
        <w:rPr>
          <w:sz w:val="20"/>
          <w:szCs w:val="20"/>
          <w:color w:val="auto"/>
        </w:rPr>
      </w:pPr>
    </w:p>
    <w:p>
      <w:pPr>
        <w:jc w:val="both"/>
        <w:ind w:firstLine="412"/>
        <w:spacing w:after="0" w:line="252" w:lineRule="auto"/>
        <w:rPr>
          <w:sz w:val="20"/>
          <w:szCs w:val="20"/>
          <w:color w:val="auto"/>
        </w:rPr>
      </w:pPr>
      <w:r>
        <w:rPr>
          <w:rFonts w:ascii="Arial" w:cs="Arial" w:eastAsia="Arial" w:hAnsi="Arial"/>
          <w:sz w:val="17"/>
          <w:szCs w:val="17"/>
          <w:color w:val="auto"/>
        </w:rPr>
        <w:t>The following table summarizes our economic interest income (a non-GAAP measure) for the three and six months ended June 30, 2021 and 2020, which includes the combination of interest income (a GAAP measure) on our holdings reported as investment securities on our consolidated balance sheets, adjusted to exclude estimated "catch-up" premium amortization adjustments for the cumulative effect from prior reporting periods of changes in our CPR forecast, and implied interest income on our TBA securities (dollars in millions):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0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8"/>
          </w:tcPr>
          <w:p>
            <w:pPr>
              <w:jc w:val="right"/>
              <w:ind w:right="260"/>
              <w:spacing w:after="0"/>
              <w:rPr>
                <w:sz w:val="20"/>
                <w:szCs w:val="20"/>
                <w:color w:val="auto"/>
              </w:rPr>
            </w:pPr>
            <w:r>
              <w:rPr>
                <w:rFonts w:ascii="Arial" w:cs="Arial" w:eastAsia="Arial" w:hAnsi="Arial"/>
                <w:sz w:val="13"/>
                <w:szCs w:val="13"/>
                <w:b w:val="1"/>
                <w:bCs w:val="1"/>
                <w:color w:val="auto"/>
                <w:w w:val="96"/>
              </w:rPr>
              <w:t>Three Months Ended June 30,</w:t>
            </w:r>
          </w:p>
        </w:tc>
        <w:tc>
          <w:tcPr>
            <w:tcW w:w="6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6"/>
          </w:tcPr>
          <w:p>
            <w:pPr>
              <w:jc w:val="right"/>
              <w:ind w:right="360"/>
              <w:spacing w:after="0"/>
              <w:rPr>
                <w:sz w:val="20"/>
                <w:szCs w:val="20"/>
                <w:color w:val="auto"/>
              </w:rPr>
            </w:pPr>
            <w:r>
              <w:rPr>
                <w:rFonts w:ascii="Arial" w:cs="Arial" w:eastAsia="Arial" w:hAnsi="Arial"/>
                <w:sz w:val="13"/>
                <w:szCs w:val="13"/>
                <w:b w:val="1"/>
                <w:bCs w:val="1"/>
                <w:color w:val="auto"/>
                <w:w w:val="91"/>
              </w:rPr>
              <w:t>Six Months Ended June 30,</w:t>
            </w:r>
          </w:p>
        </w:tc>
        <w:tc>
          <w:tcPr>
            <w:tcW w:w="6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0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3"/>
                <w:szCs w:val="13"/>
                <w:b w:val="1"/>
                <w:bCs w:val="1"/>
                <w:color w:val="auto"/>
              </w:rPr>
              <w:t>2021</w:t>
            </w:r>
          </w:p>
        </w:tc>
        <w:tc>
          <w:tcPr>
            <w:tcW w:w="6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3"/>
                <w:szCs w:val="13"/>
                <w:b w:val="1"/>
                <w:bCs w:val="1"/>
                <w:color w:val="auto"/>
              </w:rPr>
              <w:t>2020</w:t>
            </w:r>
          </w:p>
        </w:tc>
        <w:tc>
          <w:tcPr>
            <w:tcW w:w="6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3"/>
                <w:szCs w:val="13"/>
                <w:b w:val="1"/>
                <w:bCs w:val="1"/>
                <w:color w:val="auto"/>
              </w:rPr>
              <w:t>2021</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3"/>
                <w:szCs w:val="13"/>
                <w:b w:val="1"/>
                <w:bCs w:val="1"/>
                <w:color w:val="auto"/>
              </w:rPr>
              <w:t>2020</w:t>
            </w:r>
          </w:p>
        </w:tc>
        <w:tc>
          <w:tcPr>
            <w:tcW w:w="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3"/>
          </w:tcPr>
          <w:p>
            <w:pPr>
              <w:jc w:val="right"/>
              <w:ind w:right="420"/>
              <w:spacing w:after="0"/>
              <w:rPr>
                <w:sz w:val="20"/>
                <w:szCs w:val="20"/>
                <w:color w:val="auto"/>
              </w:rPr>
            </w:pPr>
            <w:r>
              <w:rPr>
                <w:rFonts w:ascii="Arial" w:cs="Arial" w:eastAsia="Arial" w:hAnsi="Arial"/>
                <w:sz w:val="13"/>
                <w:szCs w:val="13"/>
                <w:b w:val="1"/>
                <w:bCs w:val="1"/>
                <w:color w:val="auto"/>
              </w:rPr>
              <w:t>Amount</w:t>
            </w:r>
          </w:p>
        </w:tc>
        <w:tc>
          <w:tcPr>
            <w:tcW w:w="640" w:type="dxa"/>
            <w:vAlign w:val="bottom"/>
          </w:tcPr>
          <w:p>
            <w:pPr>
              <w:jc w:val="right"/>
              <w:ind w:right="173"/>
              <w:spacing w:after="0"/>
              <w:rPr>
                <w:sz w:val="20"/>
                <w:szCs w:val="20"/>
                <w:color w:val="auto"/>
              </w:rPr>
            </w:pPr>
            <w:r>
              <w:rPr>
                <w:rFonts w:ascii="Arial" w:cs="Arial" w:eastAsia="Arial" w:hAnsi="Arial"/>
                <w:sz w:val="13"/>
                <w:szCs w:val="13"/>
                <w:b w:val="1"/>
                <w:bCs w:val="1"/>
                <w:color w:val="auto"/>
              </w:rPr>
              <w:t>Yield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3"/>
          </w:tcPr>
          <w:p>
            <w:pPr>
              <w:jc w:val="right"/>
              <w:ind w:right="440"/>
              <w:spacing w:after="0"/>
              <w:rPr>
                <w:sz w:val="20"/>
                <w:szCs w:val="20"/>
                <w:color w:val="auto"/>
              </w:rPr>
            </w:pPr>
            <w:r>
              <w:rPr>
                <w:rFonts w:ascii="Arial" w:cs="Arial" w:eastAsia="Arial" w:hAnsi="Arial"/>
                <w:sz w:val="13"/>
                <w:szCs w:val="13"/>
                <w:b w:val="1"/>
                <w:bCs w:val="1"/>
                <w:color w:val="auto"/>
              </w:rPr>
              <w:t>Amount</w:t>
            </w:r>
          </w:p>
        </w:tc>
        <w:tc>
          <w:tcPr>
            <w:tcW w:w="640" w:type="dxa"/>
            <w:vAlign w:val="bottom"/>
          </w:tcPr>
          <w:p>
            <w:pPr>
              <w:jc w:val="right"/>
              <w:ind w:right="193"/>
              <w:spacing w:after="0"/>
              <w:rPr>
                <w:sz w:val="20"/>
                <w:szCs w:val="20"/>
                <w:color w:val="auto"/>
              </w:rPr>
            </w:pPr>
            <w:r>
              <w:rPr>
                <w:rFonts w:ascii="Arial" w:cs="Arial" w:eastAsia="Arial" w:hAnsi="Arial"/>
                <w:sz w:val="13"/>
                <w:szCs w:val="13"/>
                <w:b w:val="1"/>
                <w:bCs w:val="1"/>
                <w:color w:val="auto"/>
              </w:rPr>
              <w:t>Yield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3"/>
          </w:tcPr>
          <w:p>
            <w:pPr>
              <w:jc w:val="right"/>
              <w:ind w:right="360"/>
              <w:spacing w:after="0"/>
              <w:rPr>
                <w:sz w:val="20"/>
                <w:szCs w:val="20"/>
                <w:color w:val="auto"/>
              </w:rPr>
            </w:pPr>
            <w:r>
              <w:rPr>
                <w:rFonts w:ascii="Arial" w:cs="Arial" w:eastAsia="Arial" w:hAnsi="Arial"/>
                <w:sz w:val="13"/>
                <w:szCs w:val="13"/>
                <w:b w:val="1"/>
                <w:bCs w:val="1"/>
                <w:color w:val="auto"/>
              </w:rPr>
              <w:t>Amount</w:t>
            </w:r>
          </w:p>
        </w:tc>
        <w:tc>
          <w:tcPr>
            <w:tcW w:w="740" w:type="dxa"/>
            <w:vAlign w:val="bottom"/>
          </w:tcPr>
          <w:p>
            <w:pPr>
              <w:jc w:val="right"/>
              <w:ind w:right="193"/>
              <w:spacing w:after="0"/>
              <w:rPr>
                <w:sz w:val="20"/>
                <w:szCs w:val="20"/>
                <w:color w:val="auto"/>
              </w:rPr>
            </w:pPr>
            <w:r>
              <w:rPr>
                <w:rFonts w:ascii="Arial" w:cs="Arial" w:eastAsia="Arial" w:hAnsi="Arial"/>
                <w:sz w:val="13"/>
                <w:szCs w:val="13"/>
                <w:b w:val="1"/>
                <w:bCs w:val="1"/>
                <w:color w:val="auto"/>
              </w:rPr>
              <w:t>Yield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3"/>
          </w:tcPr>
          <w:p>
            <w:pPr>
              <w:jc w:val="right"/>
              <w:ind w:right="440"/>
              <w:spacing w:after="0"/>
              <w:rPr>
                <w:sz w:val="20"/>
                <w:szCs w:val="20"/>
                <w:color w:val="auto"/>
              </w:rPr>
            </w:pPr>
            <w:r>
              <w:rPr>
                <w:rFonts w:ascii="Arial" w:cs="Arial" w:eastAsia="Arial" w:hAnsi="Arial"/>
                <w:sz w:val="13"/>
                <w:szCs w:val="13"/>
                <w:b w:val="1"/>
                <w:bCs w:val="1"/>
                <w:color w:val="auto"/>
              </w:rPr>
              <w:t>Amount</w:t>
            </w:r>
          </w:p>
        </w:tc>
        <w:tc>
          <w:tcPr>
            <w:tcW w:w="640" w:type="dxa"/>
            <w:vAlign w:val="bottom"/>
          </w:tcPr>
          <w:p>
            <w:pPr>
              <w:jc w:val="right"/>
              <w:ind w:right="173"/>
              <w:spacing w:after="0"/>
              <w:rPr>
                <w:sz w:val="20"/>
                <w:szCs w:val="20"/>
                <w:color w:val="auto"/>
              </w:rPr>
            </w:pPr>
            <w:r>
              <w:rPr>
                <w:rFonts w:ascii="Arial" w:cs="Arial" w:eastAsia="Arial" w:hAnsi="Arial"/>
                <w:sz w:val="13"/>
                <w:szCs w:val="13"/>
                <w:b w:val="1"/>
                <w:bCs w:val="1"/>
                <w:color w:val="auto"/>
              </w:rPr>
              <w:t>Yield</w:t>
            </w:r>
          </w:p>
        </w:tc>
        <w:tc>
          <w:tcPr>
            <w:tcW w:w="0" w:type="dxa"/>
            <w:vAlign w:val="bottom"/>
          </w:tcPr>
          <w:p>
            <w:pPr>
              <w:spacing w:after="0"/>
              <w:rPr>
                <w:sz w:val="1"/>
                <w:szCs w:val="1"/>
                <w:color w:val="auto"/>
              </w:rPr>
            </w:pPr>
          </w:p>
        </w:tc>
      </w:tr>
      <w:tr>
        <w:trPr>
          <w:trHeight w:val="153"/>
        </w:trPr>
        <w:tc>
          <w:tcPr>
            <w:tcW w:w="4040" w:type="dxa"/>
            <w:vAlign w:val="bottom"/>
          </w:tcPr>
          <w:p>
            <w:pPr>
              <w:ind w:left="20"/>
              <w:spacing w:after="0"/>
              <w:rPr>
                <w:sz w:val="20"/>
                <w:szCs w:val="20"/>
                <w:color w:val="auto"/>
              </w:rPr>
            </w:pPr>
            <w:r>
              <w:rPr>
                <w:rFonts w:ascii="Arial" w:cs="Arial" w:eastAsia="Arial" w:hAnsi="Arial"/>
                <w:sz w:val="13"/>
                <w:szCs w:val="13"/>
                <w:color w:val="auto"/>
              </w:rPr>
              <w:t>Interest income:</w:t>
            </w:r>
          </w:p>
        </w:tc>
        <w:tc>
          <w:tcPr>
            <w:tcW w:w="14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40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Cash/coupon interest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453</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3.28 %</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652</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3.77 %</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934</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3.34 %</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1,527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3.72 %</w:t>
            </w:r>
          </w:p>
        </w:tc>
        <w:tc>
          <w:tcPr>
            <w:tcW w:w="0" w:type="dxa"/>
            <w:vAlign w:val="bottom"/>
          </w:tcPr>
          <w:p>
            <w:pPr>
              <w:spacing w:after="0"/>
              <w:rPr>
                <w:sz w:val="1"/>
                <w:szCs w:val="1"/>
                <w:color w:val="auto"/>
              </w:rPr>
            </w:pPr>
          </w:p>
        </w:tc>
      </w:tr>
      <w:tr>
        <w:trPr>
          <w:trHeight w:val="172"/>
        </w:trPr>
        <w:tc>
          <w:tcPr>
            <w:tcW w:w="404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Net premium amortization benefit (cost)</w:t>
            </w: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(204)</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(1.55)%</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(223)</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(1.38)%</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(128)</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(0.56)%</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(607)</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(1.55)%</w:t>
            </w:r>
          </w:p>
        </w:tc>
        <w:tc>
          <w:tcPr>
            <w:tcW w:w="0" w:type="dxa"/>
            <w:vAlign w:val="bottom"/>
          </w:tcPr>
          <w:p>
            <w:pPr>
              <w:spacing w:after="0"/>
              <w:rPr>
                <w:sz w:val="1"/>
                <w:szCs w:val="1"/>
                <w:color w:val="auto"/>
              </w:rPr>
            </w:pPr>
          </w:p>
        </w:tc>
      </w:tr>
      <w:tr>
        <w:trPr>
          <w:trHeight w:val="171"/>
        </w:trPr>
        <w:tc>
          <w:tcPr>
            <w:tcW w:w="4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 income (GAAP measure)</w:t>
            </w: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249</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1.73 %</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429</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2.39 %</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806</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2.78 %</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920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2.17 %</w:t>
            </w:r>
          </w:p>
        </w:tc>
        <w:tc>
          <w:tcPr>
            <w:tcW w:w="0" w:type="dxa"/>
            <w:vAlign w:val="bottom"/>
          </w:tcPr>
          <w:p>
            <w:pPr>
              <w:spacing w:after="0"/>
              <w:rPr>
                <w:sz w:val="1"/>
                <w:szCs w:val="1"/>
                <w:color w:val="auto"/>
              </w:rPr>
            </w:pPr>
          </w:p>
        </w:tc>
      </w:tr>
      <w:tr>
        <w:trPr>
          <w:trHeight w:val="125"/>
        </w:trPr>
        <w:tc>
          <w:tcPr>
            <w:tcW w:w="4040" w:type="dxa"/>
            <w:vAlign w:val="bottom"/>
          </w:tcPr>
          <w:p>
            <w:pPr>
              <w:ind w:left="100"/>
              <w:spacing w:after="0" w:line="125" w:lineRule="exact"/>
              <w:rPr>
                <w:sz w:val="20"/>
                <w:szCs w:val="20"/>
                <w:color w:val="auto"/>
              </w:rPr>
            </w:pPr>
            <w:r>
              <w:rPr>
                <w:rFonts w:ascii="Arial" w:cs="Arial" w:eastAsia="Arial" w:hAnsi="Arial"/>
                <w:sz w:val="13"/>
                <w:szCs w:val="13"/>
                <w:color w:val="auto"/>
              </w:rPr>
              <w:t>Estimated "catch-up" premium amortization cost (benefit) due to</w:t>
            </w:r>
          </w:p>
        </w:tc>
        <w:tc>
          <w:tcPr>
            <w:tcW w:w="140" w:type="dxa"/>
            <w:vAlign w:val="bottom"/>
          </w:tcPr>
          <w:p>
            <w:pPr>
              <w:spacing w:after="0"/>
              <w:rPr>
                <w:sz w:val="10"/>
                <w:szCs w:val="10"/>
                <w:color w:val="auto"/>
              </w:rPr>
            </w:pPr>
          </w:p>
        </w:tc>
        <w:tc>
          <w:tcPr>
            <w:tcW w:w="700" w:type="dxa"/>
            <w:vAlign w:val="bottom"/>
            <w:vMerge w:val="restart"/>
          </w:tcPr>
          <w:p>
            <w:pPr>
              <w:jc w:val="right"/>
              <w:ind w:right="113"/>
              <w:spacing w:after="0"/>
              <w:rPr>
                <w:sz w:val="20"/>
                <w:szCs w:val="20"/>
                <w:color w:val="auto"/>
              </w:rPr>
            </w:pPr>
            <w:r>
              <w:rPr>
                <w:rFonts w:ascii="Arial" w:cs="Arial" w:eastAsia="Arial" w:hAnsi="Arial"/>
                <w:sz w:val="13"/>
                <w:szCs w:val="13"/>
                <w:color w:val="auto"/>
              </w:rPr>
              <w:t>71</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0.50 %</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vMerge w:val="restart"/>
          </w:tcPr>
          <w:p>
            <w:pPr>
              <w:jc w:val="right"/>
              <w:ind w:right="113"/>
              <w:spacing w:after="0"/>
              <w:rPr>
                <w:sz w:val="20"/>
                <w:szCs w:val="20"/>
                <w:color w:val="auto"/>
              </w:rPr>
            </w:pPr>
            <w:r>
              <w:rPr>
                <w:rFonts w:ascii="Arial" w:cs="Arial" w:eastAsia="Arial" w:hAnsi="Arial"/>
                <w:sz w:val="13"/>
                <w:szCs w:val="13"/>
                <w:color w:val="auto"/>
              </w:rPr>
              <w:t>57</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0.32 %</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vMerge w:val="restart"/>
          </w:tcPr>
          <w:p>
            <w:pPr>
              <w:jc w:val="right"/>
              <w:ind w:right="73"/>
              <w:spacing w:after="0"/>
              <w:rPr>
                <w:sz w:val="20"/>
                <w:szCs w:val="20"/>
                <w:color w:val="auto"/>
              </w:rPr>
            </w:pPr>
            <w:r>
              <w:rPr>
                <w:rFonts w:ascii="Arial" w:cs="Arial" w:eastAsia="Arial" w:hAnsi="Arial"/>
                <w:sz w:val="13"/>
                <w:szCs w:val="13"/>
                <w:color w:val="auto"/>
              </w:rPr>
              <w:t>(142)</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(0.49)%</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vMerge w:val="restart"/>
          </w:tcPr>
          <w:p>
            <w:pPr>
              <w:jc w:val="right"/>
              <w:ind w:right="113"/>
              <w:spacing w:after="0"/>
              <w:rPr>
                <w:sz w:val="20"/>
                <w:szCs w:val="20"/>
                <w:color w:val="auto"/>
              </w:rPr>
            </w:pPr>
            <w:r>
              <w:rPr>
                <w:rFonts w:ascii="Arial" w:cs="Arial" w:eastAsia="Arial" w:hAnsi="Arial"/>
                <w:sz w:val="13"/>
                <w:szCs w:val="13"/>
                <w:color w:val="auto"/>
              </w:rPr>
              <w:t>300</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0.71 %</w:t>
            </w:r>
          </w:p>
        </w:tc>
        <w:tc>
          <w:tcPr>
            <w:tcW w:w="0" w:type="dxa"/>
            <w:vAlign w:val="bottom"/>
          </w:tcPr>
          <w:p>
            <w:pPr>
              <w:spacing w:after="0"/>
              <w:rPr>
                <w:sz w:val="1"/>
                <w:szCs w:val="1"/>
                <w:color w:val="auto"/>
              </w:rPr>
            </w:pPr>
          </w:p>
        </w:tc>
      </w:tr>
      <w:tr>
        <w:trPr>
          <w:trHeight w:val="172"/>
        </w:trPr>
        <w:tc>
          <w:tcPr>
            <w:tcW w:w="4040" w:type="dxa"/>
            <w:vAlign w:val="bottom"/>
            <w:tcBorders>
              <w:bottom w:val="single" w:sz="8" w:color="CCEEFF"/>
            </w:tcBorders>
          </w:tcPr>
          <w:p>
            <w:pPr>
              <w:ind w:left="100"/>
              <w:spacing w:after="0"/>
              <w:rPr>
                <w:sz w:val="20"/>
                <w:szCs w:val="20"/>
                <w:color w:val="auto"/>
              </w:rPr>
            </w:pPr>
            <w:r>
              <w:rPr>
                <w:rFonts w:ascii="Arial" w:cs="Arial" w:eastAsia="Arial" w:hAnsi="Arial"/>
                <w:sz w:val="13"/>
                <w:szCs w:val="13"/>
                <w:color w:val="auto"/>
              </w:rPr>
              <w:t>change in CPR forecast</w:t>
            </w: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 income, excluding "catch-up" premium amortization</w:t>
            </w: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320</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2.23 %</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486</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2.71 %</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664</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2.29 %</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rPr>
              <w:t>1,220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2.88 %</w:t>
            </w:r>
          </w:p>
        </w:tc>
        <w:tc>
          <w:tcPr>
            <w:tcW w:w="0" w:type="dxa"/>
            <w:vAlign w:val="bottom"/>
          </w:tcPr>
          <w:p>
            <w:pPr>
              <w:spacing w:after="0"/>
              <w:rPr>
                <w:sz w:val="1"/>
                <w:szCs w:val="1"/>
                <w:color w:val="auto"/>
              </w:rPr>
            </w:pPr>
          </w:p>
        </w:tc>
      </w:tr>
      <w:tr>
        <w:trPr>
          <w:trHeight w:val="175"/>
        </w:trPr>
        <w:tc>
          <w:tcPr>
            <w:tcW w:w="4040" w:type="dxa"/>
            <w:vAlign w:val="bottom"/>
            <w:tcBorders>
              <w:bottom w:val="single" w:sz="8" w:color="CCEEFF"/>
            </w:tcBorders>
          </w:tcPr>
          <w:p>
            <w:pPr>
              <w:ind w:left="100"/>
              <w:spacing w:after="0" w:line="175" w:lineRule="exact"/>
              <w:rPr>
                <w:sz w:val="20"/>
                <w:szCs w:val="20"/>
                <w:color w:val="auto"/>
              </w:rPr>
            </w:pPr>
            <w:r>
              <w:rPr>
                <w:rFonts w:ascii="Arial" w:cs="Arial" w:eastAsia="Arial" w:hAnsi="Arial"/>
                <w:sz w:val="13"/>
                <w:szCs w:val="13"/>
                <w:color w:val="auto"/>
              </w:rPr>
              <w:t xml:space="preserve">TBA dollar roll income - implied interest income </w:t>
            </w:r>
            <w:r>
              <w:rPr>
                <w:rFonts w:ascii="Arial" w:cs="Arial" w:eastAsia="Arial" w:hAnsi="Arial"/>
                <w:sz w:val="17"/>
                <w:szCs w:val="17"/>
                <w:color w:val="auto"/>
                <w:vertAlign w:val="superscript"/>
              </w:rPr>
              <w:t>1,2</w:t>
            </w: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color w:val="auto"/>
              </w:rPr>
              <w:t>139</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1.98 %</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color w:val="auto"/>
              </w:rPr>
              <w:t>74</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1.90 %</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color w:val="auto"/>
              </w:rPr>
              <w:t>255</w:t>
            </w: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1.69 %</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color w:val="auto"/>
              </w:rPr>
              <w:t>122</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2.11 %</w:t>
            </w:r>
          </w:p>
        </w:tc>
        <w:tc>
          <w:tcPr>
            <w:tcW w:w="0" w:type="dxa"/>
            <w:vAlign w:val="bottom"/>
          </w:tcPr>
          <w:p>
            <w:pPr>
              <w:spacing w:after="0"/>
              <w:rPr>
                <w:sz w:val="1"/>
                <w:szCs w:val="1"/>
                <w:color w:val="auto"/>
              </w:rPr>
            </w:pPr>
          </w:p>
        </w:tc>
      </w:tr>
      <w:tr>
        <w:trPr>
          <w:trHeight w:val="105"/>
        </w:trPr>
        <w:tc>
          <w:tcPr>
            <w:tcW w:w="4040" w:type="dxa"/>
            <w:vAlign w:val="bottom"/>
            <w:shd w:val="clear" w:color="auto" w:fill="CCEEFF"/>
          </w:tcPr>
          <w:p>
            <w:pPr>
              <w:ind w:left="20"/>
              <w:spacing w:after="0" w:line="105" w:lineRule="exact"/>
              <w:rPr>
                <w:sz w:val="20"/>
                <w:szCs w:val="20"/>
                <w:color w:val="auto"/>
              </w:rPr>
            </w:pPr>
            <w:r>
              <w:rPr>
                <w:rFonts w:ascii="Arial" w:cs="Arial" w:eastAsia="Arial" w:hAnsi="Arial"/>
                <w:sz w:val="12"/>
                <w:szCs w:val="12"/>
                <w:color w:val="auto"/>
              </w:rPr>
              <w:t>Economic interest income, excluding "catch-up" amortization (non-</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vMerge w:val="restart"/>
            <w:shd w:val="clear" w:color="auto" w:fill="CCEEFF"/>
          </w:tcPr>
          <w:p>
            <w:pPr>
              <w:jc w:val="right"/>
              <w:ind w:right="113"/>
              <w:spacing w:after="0"/>
              <w:rPr>
                <w:sz w:val="20"/>
                <w:szCs w:val="20"/>
                <w:color w:val="auto"/>
              </w:rPr>
            </w:pPr>
            <w:r>
              <w:rPr>
                <w:rFonts w:ascii="Arial" w:cs="Arial" w:eastAsia="Arial" w:hAnsi="Arial"/>
                <w:sz w:val="13"/>
                <w:szCs w:val="13"/>
                <w:color w:val="auto"/>
              </w:rPr>
              <w:t>459</w:t>
            </w: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2.15 %</w:t>
            </w:r>
          </w:p>
        </w:tc>
        <w:tc>
          <w:tcPr>
            <w:tcW w:w="80" w:type="dxa"/>
            <w:vAlign w:val="bottom"/>
            <w:shd w:val="clear" w:color="auto" w:fill="CCEEFF"/>
          </w:tcPr>
          <w:p>
            <w:pPr>
              <w:spacing w:after="0"/>
              <w:rPr>
                <w:sz w:val="9"/>
                <w:szCs w:val="9"/>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vMerge w:val="restart"/>
            <w:shd w:val="clear" w:color="auto" w:fill="CCEEFF"/>
          </w:tcPr>
          <w:p>
            <w:pPr>
              <w:jc w:val="right"/>
              <w:ind w:right="113"/>
              <w:spacing w:after="0"/>
              <w:rPr>
                <w:sz w:val="20"/>
                <w:szCs w:val="20"/>
                <w:color w:val="auto"/>
              </w:rPr>
            </w:pPr>
            <w:r>
              <w:rPr>
                <w:rFonts w:ascii="Arial" w:cs="Arial" w:eastAsia="Arial" w:hAnsi="Arial"/>
                <w:sz w:val="13"/>
                <w:szCs w:val="13"/>
                <w:color w:val="auto"/>
              </w:rPr>
              <w:t>560</w:t>
            </w:r>
          </w:p>
        </w:tc>
        <w:tc>
          <w:tcPr>
            <w:tcW w:w="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2.56 %</w:t>
            </w:r>
          </w:p>
        </w:tc>
        <w:tc>
          <w:tcPr>
            <w:tcW w:w="80" w:type="dxa"/>
            <w:vAlign w:val="bottom"/>
            <w:shd w:val="clear" w:color="auto" w:fill="CCEEFF"/>
          </w:tcPr>
          <w:p>
            <w:pPr>
              <w:spacing w:after="0"/>
              <w:rPr>
                <w:sz w:val="9"/>
                <w:szCs w:val="9"/>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vMerge w:val="restart"/>
            <w:shd w:val="clear" w:color="auto" w:fill="CCEEFF"/>
          </w:tcPr>
          <w:p>
            <w:pPr>
              <w:jc w:val="right"/>
              <w:ind w:right="113"/>
              <w:spacing w:after="0"/>
              <w:rPr>
                <w:sz w:val="20"/>
                <w:szCs w:val="20"/>
                <w:color w:val="auto"/>
              </w:rPr>
            </w:pPr>
            <w:r>
              <w:rPr>
                <w:rFonts w:ascii="Arial" w:cs="Arial" w:eastAsia="Arial" w:hAnsi="Arial"/>
                <w:sz w:val="13"/>
                <w:szCs w:val="13"/>
                <w:color w:val="auto"/>
              </w:rPr>
              <w:t>919</w:t>
            </w: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2.08 %</w:t>
            </w:r>
          </w:p>
        </w:tc>
        <w:tc>
          <w:tcPr>
            <w:tcW w:w="100" w:type="dxa"/>
            <w:vAlign w:val="bottom"/>
            <w:shd w:val="clear" w:color="auto" w:fill="CCEEFF"/>
          </w:tcPr>
          <w:p>
            <w:pPr>
              <w:spacing w:after="0"/>
              <w:rPr>
                <w:sz w:val="9"/>
                <w:szCs w:val="9"/>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vMerge w:val="restart"/>
            <w:shd w:val="clear" w:color="auto" w:fill="CCEEFF"/>
          </w:tcPr>
          <w:p>
            <w:pPr>
              <w:jc w:val="right"/>
              <w:ind w:right="113"/>
              <w:spacing w:after="0"/>
              <w:rPr>
                <w:sz w:val="20"/>
                <w:szCs w:val="20"/>
                <w:color w:val="auto"/>
              </w:rPr>
            </w:pPr>
            <w:r>
              <w:rPr>
                <w:rFonts w:ascii="Arial" w:cs="Arial" w:eastAsia="Arial" w:hAnsi="Arial"/>
                <w:sz w:val="13"/>
                <w:szCs w:val="13"/>
                <w:color w:val="auto"/>
              </w:rPr>
              <w:t>1,342</w:t>
            </w: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2.78 %</w:t>
            </w:r>
          </w:p>
        </w:tc>
        <w:tc>
          <w:tcPr>
            <w:tcW w:w="0" w:type="dxa"/>
            <w:vAlign w:val="bottom"/>
          </w:tcPr>
          <w:p>
            <w:pPr>
              <w:spacing w:after="0"/>
              <w:rPr>
                <w:sz w:val="1"/>
                <w:szCs w:val="1"/>
                <w:color w:val="auto"/>
              </w:rPr>
            </w:pPr>
          </w:p>
        </w:tc>
      </w:tr>
      <w:tr>
        <w:trPr>
          <w:trHeight w:val="170"/>
        </w:trPr>
        <w:tc>
          <w:tcPr>
            <w:tcW w:w="4040" w:type="dxa"/>
            <w:vAlign w:val="bottom"/>
            <w:tcBorders>
              <w:bottom w:val="single" w:sz="8" w:color="CCEEFF"/>
            </w:tcBorders>
            <w:shd w:val="clear" w:color="auto" w:fill="CCEEFF"/>
          </w:tcPr>
          <w:p>
            <w:pPr>
              <w:ind w:left="20"/>
              <w:spacing w:after="0" w:line="150" w:lineRule="exact"/>
              <w:rPr>
                <w:sz w:val="20"/>
                <w:szCs w:val="20"/>
                <w:color w:val="auto"/>
              </w:rPr>
            </w:pPr>
            <w:r>
              <w:rPr>
                <w:rFonts w:ascii="Arial" w:cs="Arial" w:eastAsia="Arial" w:hAnsi="Arial"/>
                <w:sz w:val="13"/>
                <w:szCs w:val="13"/>
                <w:color w:val="auto"/>
              </w:rPr>
              <w:t xml:space="preserve">GAAP measure) </w:t>
            </w:r>
            <w:r>
              <w:rPr>
                <w:rFonts w:ascii="Arial" w:cs="Arial" w:eastAsia="Arial" w:hAnsi="Arial"/>
                <w:sz w:val="17"/>
                <w:szCs w:val="17"/>
                <w:color w:val="auto"/>
                <w:vertAlign w:val="superscript"/>
              </w:rPr>
              <w:t>3</w:t>
            </w:r>
          </w:p>
        </w:tc>
        <w:tc>
          <w:tcPr>
            <w:tcW w:w="140" w:type="dxa"/>
            <w:vAlign w:val="bottom"/>
            <w:tcBorders>
              <w:bottom w:val="single" w:sz="8" w:color="auto"/>
            </w:tcBorders>
            <w:vMerge w:val="continue"/>
            <w:shd w:val="clear" w:color="auto" w:fill="CCEEFF"/>
          </w:tcPr>
          <w:p>
            <w:pPr>
              <w:spacing w:after="0"/>
              <w:rPr>
                <w:sz w:val="14"/>
                <w:szCs w:val="14"/>
                <w:color w:val="auto"/>
              </w:rPr>
            </w:pPr>
          </w:p>
        </w:tc>
        <w:tc>
          <w:tcPr>
            <w:tcW w:w="70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vMerge w:val="continue"/>
            <w:shd w:val="clear" w:color="auto" w:fill="CCEEFF"/>
          </w:tcPr>
          <w:p>
            <w:pPr>
              <w:spacing w:after="0"/>
              <w:rPr>
                <w:sz w:val="14"/>
                <w:szCs w:val="14"/>
                <w:color w:val="auto"/>
              </w:rPr>
            </w:pPr>
          </w:p>
        </w:tc>
        <w:tc>
          <w:tcPr>
            <w:tcW w:w="70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vMerge w:val="continue"/>
            <w:shd w:val="clear" w:color="auto" w:fill="CCEEFF"/>
          </w:tcPr>
          <w:p>
            <w:pPr>
              <w:spacing w:after="0"/>
              <w:rPr>
                <w:sz w:val="14"/>
                <w:szCs w:val="14"/>
                <w:color w:val="auto"/>
              </w:rPr>
            </w:pPr>
          </w:p>
        </w:tc>
        <w:tc>
          <w:tcPr>
            <w:tcW w:w="70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vMerge w:val="continue"/>
            <w:shd w:val="clear" w:color="auto" w:fill="CCEEFF"/>
          </w:tcPr>
          <w:p>
            <w:pPr>
              <w:spacing w:after="0"/>
              <w:rPr>
                <w:sz w:val="14"/>
                <w:szCs w:val="14"/>
                <w:color w:val="auto"/>
              </w:rPr>
            </w:pPr>
          </w:p>
        </w:tc>
        <w:tc>
          <w:tcPr>
            <w:tcW w:w="70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4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4040" w:type="dxa"/>
            <w:vAlign w:val="bottom"/>
            <w:shd w:val="clear" w:color="auto" w:fill="CCEEFF"/>
          </w:tcPr>
          <w:p>
            <w:pPr>
              <w:ind w:left="20"/>
              <w:spacing w:after="0" w:line="125" w:lineRule="exact"/>
              <w:rPr>
                <w:sz w:val="20"/>
                <w:szCs w:val="20"/>
                <w:color w:val="auto"/>
              </w:rPr>
            </w:pPr>
            <w:r>
              <w:rPr>
                <w:rFonts w:ascii="Arial" w:cs="Arial" w:eastAsia="Arial" w:hAnsi="Arial"/>
                <w:sz w:val="13"/>
                <w:szCs w:val="13"/>
                <w:color w:val="auto"/>
              </w:rPr>
              <w:t>Weighted average actual portfolio CPR for investment securities held</w:t>
            </w:r>
          </w:p>
        </w:tc>
        <w:tc>
          <w:tcPr>
            <w:tcW w:w="14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25.7 %</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19.9 %</w:t>
            </w: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25.2 %</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15.4 %</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4040" w:type="dxa"/>
            <w:vAlign w:val="bottom"/>
            <w:shd w:val="clear" w:color="auto" w:fill="CCEEFF"/>
          </w:tcPr>
          <w:p>
            <w:pPr>
              <w:ind w:left="20"/>
              <w:spacing w:after="0"/>
              <w:rPr>
                <w:sz w:val="20"/>
                <w:szCs w:val="20"/>
                <w:color w:val="auto"/>
              </w:rPr>
            </w:pPr>
            <w:r>
              <w:rPr>
                <w:rFonts w:ascii="Arial" w:cs="Arial" w:eastAsia="Arial" w:hAnsi="Arial"/>
                <w:sz w:val="13"/>
                <w:szCs w:val="13"/>
                <w:color w:val="auto"/>
              </w:rPr>
              <w:t>during the period</w:t>
            </w:r>
          </w:p>
        </w:tc>
        <w:tc>
          <w:tcPr>
            <w:tcW w:w="14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4040" w:type="dxa"/>
            <w:vAlign w:val="bottom"/>
          </w:tcPr>
          <w:p>
            <w:pPr>
              <w:ind w:left="20"/>
              <w:spacing w:after="0" w:line="125" w:lineRule="exact"/>
              <w:rPr>
                <w:sz w:val="20"/>
                <w:szCs w:val="20"/>
                <w:color w:val="auto"/>
              </w:rPr>
            </w:pPr>
            <w:r>
              <w:rPr>
                <w:rFonts w:ascii="Arial" w:cs="Arial" w:eastAsia="Arial" w:hAnsi="Arial"/>
                <w:sz w:val="13"/>
                <w:szCs w:val="13"/>
                <w:color w:val="auto"/>
              </w:rPr>
              <w:t>Weighted average projected CPR for the remaining life of investment</w:t>
            </w:r>
          </w:p>
        </w:tc>
        <w:tc>
          <w:tcPr>
            <w:tcW w:w="14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11.6 %</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16.6 %</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11.6 %</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16.6 %</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4040" w:type="dxa"/>
            <w:vAlign w:val="bottom"/>
          </w:tcPr>
          <w:p>
            <w:pPr>
              <w:ind w:left="20"/>
              <w:spacing w:after="0"/>
              <w:rPr>
                <w:sz w:val="20"/>
                <w:szCs w:val="20"/>
                <w:color w:val="auto"/>
              </w:rPr>
            </w:pPr>
            <w:r>
              <w:rPr>
                <w:rFonts w:ascii="Arial" w:cs="Arial" w:eastAsia="Arial" w:hAnsi="Arial"/>
                <w:sz w:val="13"/>
                <w:szCs w:val="13"/>
                <w:color w:val="auto"/>
              </w:rPr>
              <w:t>securities held as of period end</w:t>
            </w:r>
          </w:p>
        </w:tc>
        <w:tc>
          <w:tcPr>
            <w:tcW w:w="1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4040" w:type="dxa"/>
            <w:vAlign w:val="bottom"/>
            <w:shd w:val="clear" w:color="auto" w:fill="CCEEFF"/>
          </w:tcPr>
          <w:p>
            <w:pPr>
              <w:ind w:left="20"/>
              <w:spacing w:after="0" w:line="178" w:lineRule="exact"/>
              <w:rPr>
                <w:sz w:val="20"/>
                <w:szCs w:val="20"/>
                <w:color w:val="auto"/>
              </w:rPr>
            </w:pPr>
            <w:r>
              <w:rPr>
                <w:rFonts w:ascii="Arial" w:cs="Arial" w:eastAsia="Arial" w:hAnsi="Arial"/>
                <w:sz w:val="13"/>
                <w:szCs w:val="13"/>
                <w:color w:val="auto"/>
              </w:rPr>
              <w:t xml:space="preserve">Average 30-year fixed rate mortgage rate as of period end </w:t>
            </w:r>
            <w:r>
              <w:rPr>
                <w:rFonts w:ascii="Arial" w:cs="Arial" w:eastAsia="Arial" w:hAnsi="Arial"/>
                <w:sz w:val="17"/>
                <w:szCs w:val="17"/>
                <w:color w:val="auto"/>
                <w:vertAlign w:val="superscript"/>
              </w:rPr>
              <w:t>4</w:t>
            </w: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3.02 %</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3.13 %</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3.02 %</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3.13 %</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040" w:type="dxa"/>
            <w:vAlign w:val="bottom"/>
          </w:tcPr>
          <w:p>
            <w:pPr>
              <w:ind w:left="20"/>
              <w:spacing w:after="0"/>
              <w:rPr>
                <w:sz w:val="20"/>
                <w:szCs w:val="20"/>
                <w:color w:val="auto"/>
              </w:rPr>
            </w:pPr>
            <w:r>
              <w:rPr>
                <w:rFonts w:ascii="Arial" w:cs="Arial" w:eastAsia="Arial" w:hAnsi="Arial"/>
                <w:sz w:val="13"/>
                <w:szCs w:val="13"/>
                <w:color w:val="auto"/>
              </w:rPr>
              <w:t>10-year U.S. Treasury rate as of period end</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1.47 %</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0.66 %</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1.47 %</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0.66 %</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60"/>
        <w:spacing w:after="0"/>
        <w:rPr>
          <w:sz w:val="20"/>
          <w:szCs w:val="20"/>
          <w:color w:val="auto"/>
        </w:rPr>
      </w:pPr>
      <w:r>
        <w:rPr>
          <w:rFonts w:ascii="Arial" w:cs="Arial" w:eastAsia="Arial" w:hAnsi="Arial"/>
          <w:sz w:val="10"/>
          <w:szCs w:val="10"/>
          <w:color w:val="auto"/>
        </w:rPr>
        <w:t>________________________________</w:t>
      </w:r>
    </w:p>
    <w:p>
      <w:pPr>
        <w:spacing w:after="0" w:line="1" w:lineRule="exact"/>
        <w:rPr>
          <w:sz w:val="20"/>
          <w:szCs w:val="20"/>
          <w:color w:val="auto"/>
        </w:rPr>
      </w:pPr>
    </w:p>
    <w:p>
      <w:pPr>
        <w:ind w:left="600" w:hanging="300"/>
        <w:spacing w:after="0"/>
        <w:tabs>
          <w:tab w:leader="none" w:pos="6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Reported in gain (loss) on derivatives instruments and other securities, net in the accompanying consolidated statements of operations.</w:t>
      </w:r>
    </w:p>
    <w:p>
      <w:pPr>
        <w:jc w:val="both"/>
        <w:ind w:left="600" w:hanging="300"/>
        <w:spacing w:after="0"/>
        <w:tabs>
          <w:tab w:leader="none" w:pos="6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 xml:space="preserve">Implied interest income from TBA dollar roll transactions is computed as the sum of (i) TBA dollar roll income and (ii) estimated TBA implied funding cost (see </w:t>
      </w:r>
      <w:r>
        <w:rPr>
          <w:rFonts w:ascii="Arial" w:cs="Arial" w:eastAsia="Arial" w:hAnsi="Arial"/>
          <w:sz w:val="13"/>
          <w:szCs w:val="13"/>
          <w:i w:val="1"/>
          <w:iCs w:val="1"/>
          <w:color w:val="auto"/>
        </w:rPr>
        <w:t>Economic Interest Expense and</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Aggregate Cost of Funds </w:t>
      </w:r>
      <w:r>
        <w:rPr>
          <w:rFonts w:ascii="Arial" w:cs="Arial" w:eastAsia="Arial" w:hAnsi="Arial"/>
          <w:sz w:val="13"/>
          <w:szCs w:val="13"/>
          <w:color w:val="auto"/>
        </w:rPr>
        <w:t>below). TBA dollar roll income represents the price differential, or "price drop," between the TBA price for current month settlement versus the TBA price for forward</w:t>
      </w:r>
      <w:r>
        <w:rPr>
          <w:rFonts w:ascii="Arial" w:cs="Arial" w:eastAsia="Arial" w:hAnsi="Arial"/>
          <w:sz w:val="13"/>
          <w:szCs w:val="13"/>
          <w:i w:val="1"/>
          <w:iCs w:val="1"/>
          <w:color w:val="auto"/>
        </w:rPr>
        <w:t xml:space="preserve"> </w:t>
      </w:r>
      <w:r>
        <w:rPr>
          <w:rFonts w:ascii="Arial" w:cs="Arial" w:eastAsia="Arial" w:hAnsi="Arial"/>
          <w:sz w:val="13"/>
          <w:szCs w:val="13"/>
          <w:color w:val="auto"/>
        </w:rPr>
        <w:t>month settlement and is the economic equivalent to interest income on the underlying Agency securities, less an implied funding cost, over the forward settlement period. Amount is net of TBAs used for hedging purposes. Amount excludes TBA mark-to-market adjustments.</w:t>
      </w:r>
    </w:p>
    <w:p>
      <w:pPr>
        <w:spacing w:after="0" w:line="1" w:lineRule="exact"/>
        <w:rPr>
          <w:rFonts w:ascii="Arial" w:cs="Arial" w:eastAsia="Arial" w:hAnsi="Arial"/>
          <w:sz w:val="13"/>
          <w:szCs w:val="13"/>
          <w:color w:val="auto"/>
        </w:rPr>
      </w:pPr>
    </w:p>
    <w:p>
      <w:pPr>
        <w:ind w:left="600" w:hanging="300"/>
        <w:spacing w:after="0"/>
        <w:tabs>
          <w:tab w:leader="none" w:pos="6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The combined asset yield is calculated on a weighted average basis based on our average investment and TBA balances outstanding during the period and their respective yields.</w:t>
      </w:r>
    </w:p>
    <w:p>
      <w:pPr>
        <w:ind w:left="600" w:hanging="300"/>
        <w:spacing w:after="0"/>
        <w:tabs>
          <w:tab w:leader="none" w:pos="600" w:val="left"/>
        </w:tabs>
        <w:numPr>
          <w:ilvl w:val="0"/>
          <w:numId w:val="24"/>
        </w:numPr>
        <w:rPr>
          <w:rFonts w:ascii="Arial" w:cs="Arial" w:eastAsia="Arial" w:hAnsi="Arial"/>
          <w:sz w:val="13"/>
          <w:szCs w:val="13"/>
          <w:color w:val="auto"/>
        </w:rPr>
      </w:pPr>
      <w:r>
        <w:rPr>
          <w:rFonts w:ascii="Arial" w:cs="Arial" w:eastAsia="Arial" w:hAnsi="Arial"/>
          <w:sz w:val="13"/>
          <w:szCs w:val="13"/>
          <w:color w:val="auto"/>
        </w:rPr>
        <w:t>Source: Freddie Mac Primary Fixed Mortgage Rate Mortgage Market Survey</w:t>
      </w:r>
    </w:p>
    <w:p>
      <w:pPr>
        <w:spacing w:after="0" w:line="144" w:lineRule="exact"/>
        <w:rPr>
          <w:sz w:val="20"/>
          <w:szCs w:val="20"/>
          <w:color w:val="auto"/>
        </w:rPr>
      </w:pPr>
    </w:p>
    <w:p>
      <w:pPr>
        <w:jc w:val="both"/>
        <w:ind w:firstLine="412"/>
        <w:spacing w:after="0" w:line="255" w:lineRule="auto"/>
        <w:rPr>
          <w:sz w:val="20"/>
          <w:szCs w:val="20"/>
          <w:color w:val="auto"/>
        </w:rPr>
      </w:pPr>
      <w:r>
        <w:rPr>
          <w:rFonts w:ascii="Arial" w:cs="Arial" w:eastAsia="Arial" w:hAnsi="Arial"/>
          <w:sz w:val="17"/>
          <w:szCs w:val="17"/>
          <w:color w:val="auto"/>
        </w:rPr>
        <w:t>The principal elements impacting our economic interest income are the size of our average investment portfolio and the yield (actual and implied) on our securities. The following table includes a summary of the estimated impact of each of these elements on our economic interest income for the three and six months ended June 30, 2021 compared to the prior year period (in millions):</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4" w:name="page35"/>
    <w:bookmarkEnd w:id="34"/>
    <w:p>
      <w:pPr>
        <w:jc w:val="center"/>
        <w:ind w:right="20"/>
        <w:spacing w:after="0"/>
        <w:rPr>
          <w:sz w:val="20"/>
          <w:szCs w:val="20"/>
          <w:color w:val="auto"/>
        </w:rPr>
      </w:pPr>
      <w:r>
        <w:rPr>
          <w:rFonts w:ascii="Arial" w:cs="Arial" w:eastAsia="Arial" w:hAnsi="Arial"/>
          <w:sz w:val="13"/>
          <w:szCs w:val="13"/>
          <w:b w:val="1"/>
          <w:bCs w:val="1"/>
          <w:color w:val="auto"/>
        </w:rPr>
        <w:t>Impact of Changes in the Principal Elements Impacting Economic Interest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20955</wp:posOffset>
            </wp:positionV>
            <wp:extent cx="7118985"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18985" cy="7620"/>
                    </a:xfrm>
                    <a:prstGeom prst="rect">
                      <a:avLst/>
                    </a:prstGeom>
                    <a:noFill/>
                  </pic:spPr>
                </pic:pic>
              </a:graphicData>
            </a:graphic>
          </wp:anchor>
        </w:drawing>
      </w:r>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Periods ended June 30, 2021 vs. June 30, 2020</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78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2660" w:type="dxa"/>
            <w:vAlign w:val="bottom"/>
            <w:tcBorders>
              <w:top w:val="single" w:sz="8" w:color="auto"/>
              <w:bottom w:val="single" w:sz="8" w:color="auto"/>
            </w:tcBorders>
            <w:gridSpan w:val="4"/>
          </w:tcPr>
          <w:p>
            <w:pPr>
              <w:jc w:val="right"/>
              <w:ind w:right="653"/>
              <w:spacing w:after="0"/>
              <w:rPr>
                <w:sz w:val="20"/>
                <w:szCs w:val="20"/>
                <w:color w:val="auto"/>
              </w:rPr>
            </w:pPr>
            <w:r>
              <w:rPr>
                <w:rFonts w:ascii="Arial" w:cs="Arial" w:eastAsia="Arial" w:hAnsi="Arial"/>
                <w:sz w:val="13"/>
                <w:szCs w:val="13"/>
                <w:b w:val="1"/>
                <w:bCs w:val="1"/>
                <w:color w:val="auto"/>
              </w:rPr>
              <w:t>Due to Change in Average</w:t>
            </w:r>
          </w:p>
        </w:tc>
      </w:tr>
      <w:tr>
        <w:trPr>
          <w:trHeight w:val="120"/>
        </w:trPr>
        <w:tc>
          <w:tcPr>
            <w:tcW w:w="6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40" w:type="dxa"/>
            <w:vAlign w:val="bottom"/>
            <w:gridSpan w:val="2"/>
          </w:tcPr>
          <w:p>
            <w:pPr>
              <w:jc w:val="center"/>
              <w:ind w:right="300"/>
              <w:spacing w:after="0" w:line="120" w:lineRule="exact"/>
              <w:rPr>
                <w:sz w:val="20"/>
                <w:szCs w:val="20"/>
                <w:color w:val="auto"/>
              </w:rPr>
            </w:pPr>
            <w:r>
              <w:rPr>
                <w:rFonts w:ascii="Arial" w:cs="Arial" w:eastAsia="Arial" w:hAnsi="Arial"/>
                <w:sz w:val="13"/>
                <w:szCs w:val="13"/>
                <w:b w:val="1"/>
                <w:bCs w:val="1"/>
                <w:color w:val="auto"/>
                <w:w w:val="92"/>
              </w:rPr>
              <w:t>Total Increase /</w:t>
            </w:r>
          </w:p>
        </w:tc>
        <w:tc>
          <w:tcPr>
            <w:tcW w:w="260" w:type="dxa"/>
            <w:vAlign w:val="bottom"/>
          </w:tcPr>
          <w:p>
            <w:pPr>
              <w:spacing w:after="0"/>
              <w:rPr>
                <w:sz w:val="10"/>
                <w:szCs w:val="10"/>
                <w:color w:val="auto"/>
              </w:rPr>
            </w:pPr>
          </w:p>
        </w:tc>
        <w:tc>
          <w:tcPr>
            <w:tcW w:w="1220" w:type="dxa"/>
            <w:vAlign w:val="bottom"/>
            <w:gridSpan w:val="2"/>
          </w:tcPr>
          <w:p>
            <w:pPr>
              <w:jc w:val="center"/>
              <w:ind w:right="360"/>
              <w:spacing w:after="0" w:line="120" w:lineRule="exact"/>
              <w:rPr>
                <w:sz w:val="20"/>
                <w:szCs w:val="20"/>
                <w:color w:val="auto"/>
              </w:rPr>
            </w:pPr>
            <w:r>
              <w:rPr>
                <w:rFonts w:ascii="Arial" w:cs="Arial" w:eastAsia="Arial" w:hAnsi="Arial"/>
                <w:sz w:val="13"/>
                <w:szCs w:val="13"/>
                <w:b w:val="1"/>
                <w:bCs w:val="1"/>
                <w:color w:val="auto"/>
                <w:w w:val="93"/>
              </w:rPr>
              <w:t>Portfolio</w:t>
            </w:r>
          </w:p>
        </w:tc>
        <w:tc>
          <w:tcPr>
            <w:tcW w:w="320" w:type="dxa"/>
            <w:vAlign w:val="bottom"/>
          </w:tcPr>
          <w:p>
            <w:pPr>
              <w:spacing w:after="0"/>
              <w:rPr>
                <w:sz w:val="10"/>
                <w:szCs w:val="10"/>
                <w:color w:val="auto"/>
              </w:rPr>
            </w:pPr>
          </w:p>
        </w:tc>
        <w:tc>
          <w:tcPr>
            <w:tcW w:w="1120" w:type="dxa"/>
            <w:vAlign w:val="bottom"/>
          </w:tcPr>
          <w:p>
            <w:pPr>
              <w:jc w:val="right"/>
              <w:ind w:right="513"/>
              <w:spacing w:after="0" w:line="120" w:lineRule="exact"/>
              <w:rPr>
                <w:sz w:val="20"/>
                <w:szCs w:val="20"/>
                <w:color w:val="auto"/>
              </w:rPr>
            </w:pPr>
            <w:r>
              <w:rPr>
                <w:rFonts w:ascii="Arial" w:cs="Arial" w:eastAsia="Arial" w:hAnsi="Arial"/>
                <w:sz w:val="13"/>
                <w:szCs w:val="13"/>
                <w:b w:val="1"/>
                <w:bCs w:val="1"/>
                <w:color w:val="auto"/>
              </w:rPr>
              <w:t>Asset</w:t>
            </w:r>
          </w:p>
        </w:tc>
      </w:tr>
      <w:tr>
        <w:trPr>
          <w:trHeight w:val="173"/>
        </w:trPr>
        <w:tc>
          <w:tcPr>
            <w:tcW w:w="6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0"/>
              </w:rPr>
              <w:t>(Decrease)</w:t>
            </w:r>
          </w:p>
        </w:tc>
        <w:tc>
          <w:tcPr>
            <w:tcW w:w="260" w:type="dxa"/>
            <w:vAlign w:val="bottom"/>
          </w:tcPr>
          <w:p>
            <w:pPr>
              <w:spacing w:after="0"/>
              <w:rPr>
                <w:sz w:val="15"/>
                <w:szCs w:val="15"/>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4"/>
              </w:rPr>
              <w:t>Size</w:t>
            </w:r>
          </w:p>
        </w:tc>
        <w:tc>
          <w:tcPr>
            <w:tcW w:w="320" w:type="dxa"/>
            <w:vAlign w:val="bottom"/>
          </w:tcPr>
          <w:p>
            <w:pPr>
              <w:spacing w:after="0"/>
              <w:rPr>
                <w:sz w:val="15"/>
                <w:szCs w:val="15"/>
                <w:color w:val="auto"/>
              </w:rPr>
            </w:pPr>
          </w:p>
        </w:tc>
        <w:tc>
          <w:tcPr>
            <w:tcW w:w="1120" w:type="dxa"/>
            <w:vAlign w:val="bottom"/>
          </w:tcPr>
          <w:p>
            <w:pPr>
              <w:jc w:val="right"/>
              <w:ind w:right="513"/>
              <w:spacing w:after="0"/>
              <w:rPr>
                <w:sz w:val="20"/>
                <w:szCs w:val="20"/>
                <w:color w:val="auto"/>
              </w:rPr>
            </w:pPr>
            <w:r>
              <w:rPr>
                <w:rFonts w:ascii="Arial" w:cs="Arial" w:eastAsia="Arial" w:hAnsi="Arial"/>
                <w:sz w:val="13"/>
                <w:szCs w:val="13"/>
                <w:b w:val="1"/>
                <w:bCs w:val="1"/>
                <w:color w:val="auto"/>
              </w:rPr>
              <w:t>Yield</w:t>
            </w:r>
          </w:p>
        </w:tc>
      </w:tr>
      <w:tr>
        <w:trPr>
          <w:trHeight w:val="155"/>
        </w:trPr>
        <w:tc>
          <w:tcPr>
            <w:tcW w:w="6780" w:type="dxa"/>
            <w:vAlign w:val="bottom"/>
          </w:tcPr>
          <w:p>
            <w:pPr>
              <w:ind w:left="20"/>
              <w:spacing w:after="0"/>
              <w:rPr>
                <w:sz w:val="20"/>
                <w:szCs w:val="20"/>
                <w:color w:val="auto"/>
              </w:rPr>
            </w:pPr>
            <w:r>
              <w:rPr>
                <w:rFonts w:ascii="Arial" w:cs="Arial" w:eastAsia="Arial" w:hAnsi="Arial"/>
                <w:sz w:val="13"/>
                <w:szCs w:val="13"/>
                <w:b w:val="1"/>
                <w:bCs w:val="1"/>
                <w:color w:val="auto"/>
              </w:rPr>
              <w:t>Three months ended:</w:t>
            </w:r>
          </w:p>
        </w:tc>
        <w:tc>
          <w:tcPr>
            <w:tcW w:w="18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r>
      <w:tr>
        <w:trPr>
          <w:trHeight w:val="177"/>
        </w:trPr>
        <w:tc>
          <w:tcPr>
            <w:tcW w:w="678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 Income (GAAP measure)</w:t>
            </w:r>
          </w:p>
        </w:tc>
        <w:tc>
          <w:tcPr>
            <w:tcW w:w="1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w w:val="82"/>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w w:val="82"/>
              </w:rPr>
              <w:t>$</w:t>
            </w:r>
          </w:p>
        </w:tc>
        <w:tc>
          <w:tcPr>
            <w:tcW w:w="1120" w:type="dxa"/>
            <w:vAlign w:val="bottom"/>
            <w:shd w:val="clear" w:color="auto" w:fill="CCEEFF"/>
          </w:tcPr>
          <w:p>
            <w:pPr>
              <w:jc w:val="center"/>
              <w:ind w:left="793"/>
              <w:spacing w:after="0"/>
              <w:rPr>
                <w:sz w:val="20"/>
                <w:szCs w:val="20"/>
                <w:color w:val="auto"/>
              </w:rPr>
            </w:pPr>
            <w:r>
              <w:rPr>
                <w:rFonts w:ascii="Arial" w:cs="Arial" w:eastAsia="Arial" w:hAnsi="Arial"/>
                <w:sz w:val="13"/>
                <w:szCs w:val="13"/>
                <w:color w:val="auto"/>
                <w:w w:val="94"/>
              </w:rPr>
              <w:t>(86)</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73"/>
              <w:spacing w:after="0"/>
              <w:rPr>
                <w:sz w:val="20"/>
                <w:szCs w:val="20"/>
                <w:color w:val="auto"/>
              </w:rPr>
            </w:pPr>
            <w:r>
              <w:rPr>
                <w:rFonts w:ascii="Arial" w:cs="Arial" w:eastAsia="Arial" w:hAnsi="Arial"/>
                <w:sz w:val="13"/>
                <w:szCs w:val="13"/>
                <w:color w:val="auto"/>
                <w:w w:val="82"/>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w:t>
            </w:r>
          </w:p>
        </w:tc>
      </w:tr>
      <w:tr>
        <w:trPr>
          <w:trHeight w:val="172"/>
        </w:trPr>
        <w:tc>
          <w:tcPr>
            <w:tcW w:w="6780" w:type="dxa"/>
            <w:vAlign w:val="bottom"/>
          </w:tcPr>
          <w:p>
            <w:pPr>
              <w:ind w:left="20"/>
              <w:spacing w:after="0"/>
              <w:rPr>
                <w:sz w:val="20"/>
                <w:szCs w:val="20"/>
                <w:color w:val="auto"/>
              </w:rPr>
            </w:pPr>
            <w:r>
              <w:rPr>
                <w:rFonts w:ascii="Arial" w:cs="Arial" w:eastAsia="Arial" w:hAnsi="Arial"/>
                <w:sz w:val="13"/>
                <w:szCs w:val="13"/>
                <w:color w:val="auto"/>
              </w:rPr>
              <w:t>Estimated "catch-up" premium amortization due to change in CPR forecast</w:t>
            </w:r>
          </w:p>
        </w:tc>
        <w:tc>
          <w:tcPr>
            <w:tcW w:w="1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14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2"/>
          </w:tcPr>
          <w:p>
            <w:pPr>
              <w:jc w:val="center"/>
              <w:ind w:left="713"/>
              <w:spacing w:after="0"/>
              <w:rPr>
                <w:sz w:val="20"/>
                <w:szCs w:val="20"/>
                <w:color w:val="auto"/>
              </w:rPr>
            </w:pPr>
            <w:r>
              <w:rPr>
                <w:rFonts w:ascii="Arial" w:cs="Arial" w:eastAsia="Arial" w:hAnsi="Arial"/>
                <w:sz w:val="13"/>
                <w:szCs w:val="13"/>
                <w:color w:val="auto"/>
                <w:w w:val="91"/>
              </w:rPr>
              <w:t>—</w:t>
            </w: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14</w:t>
            </w:r>
          </w:p>
        </w:tc>
      </w:tr>
      <w:tr>
        <w:trPr>
          <w:trHeight w:val="171"/>
        </w:trPr>
        <w:tc>
          <w:tcPr>
            <w:tcW w:w="6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Interest income, excluding "catch-up" premium amortization</w:t>
            </w:r>
          </w:p>
        </w:tc>
        <w:tc>
          <w:tcPr>
            <w:tcW w:w="18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(166)</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jc w:val="center"/>
              <w:ind w:left="793"/>
              <w:spacing w:after="0"/>
              <w:rPr>
                <w:sz w:val="20"/>
                <w:szCs w:val="20"/>
                <w:color w:val="auto"/>
              </w:rPr>
            </w:pPr>
            <w:r>
              <w:rPr>
                <w:rFonts w:ascii="Arial" w:cs="Arial" w:eastAsia="Arial" w:hAnsi="Arial"/>
                <w:sz w:val="13"/>
                <w:szCs w:val="13"/>
                <w:color w:val="auto"/>
                <w:w w:val="94"/>
              </w:rPr>
              <w:t>(86)</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(80)</w:t>
            </w:r>
          </w:p>
        </w:tc>
      </w:tr>
      <w:tr>
        <w:trPr>
          <w:trHeight w:val="172"/>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TBA dollar roll income - implied interest income</w:t>
            </w:r>
          </w:p>
        </w:tc>
        <w:tc>
          <w:tcPr>
            <w:tcW w:w="1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65</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left="813"/>
              <w:spacing w:after="0"/>
              <w:rPr>
                <w:sz w:val="20"/>
                <w:szCs w:val="20"/>
                <w:color w:val="auto"/>
              </w:rPr>
            </w:pPr>
            <w:r>
              <w:rPr>
                <w:rFonts w:ascii="Arial" w:cs="Arial" w:eastAsia="Arial" w:hAnsi="Arial"/>
                <w:sz w:val="13"/>
                <w:szCs w:val="13"/>
                <w:color w:val="auto"/>
                <w:w w:val="82"/>
              </w:rPr>
              <w:t>59</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w:t>
            </w:r>
          </w:p>
        </w:tc>
      </w:tr>
      <w:tr>
        <w:trPr>
          <w:trHeight w:val="196"/>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Economic interest income, excluding "catch-up" amortization (non-GAAP measure)</w:t>
            </w:r>
          </w:p>
        </w:tc>
        <w:tc>
          <w:tcPr>
            <w:tcW w:w="1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w w:val="82"/>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(101)</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shd w:val="clear" w:color="auto" w:fill="CCEEFF"/>
          </w:tcPr>
          <w:p>
            <w:pPr>
              <w:jc w:val="center"/>
              <w:ind w:left="793"/>
              <w:spacing w:after="0"/>
              <w:rPr>
                <w:sz w:val="20"/>
                <w:szCs w:val="20"/>
                <w:color w:val="auto"/>
              </w:rPr>
            </w:pPr>
            <w:r>
              <w:rPr>
                <w:rFonts w:ascii="Arial" w:cs="Arial" w:eastAsia="Arial" w:hAnsi="Arial"/>
                <w:sz w:val="13"/>
                <w:szCs w:val="13"/>
                <w:color w:val="auto"/>
                <w:w w:val="94"/>
              </w:rPr>
              <w:t>(27)</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(74)</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2660" w:type="dxa"/>
            <w:vAlign w:val="bottom"/>
            <w:tcBorders>
              <w:bottom w:val="single" w:sz="8" w:color="auto"/>
            </w:tcBorders>
            <w:gridSpan w:val="4"/>
            <w:shd w:val="clear" w:color="auto" w:fill="CCEEFF"/>
          </w:tcPr>
          <w:p>
            <w:pPr>
              <w:jc w:val="right"/>
              <w:ind w:right="653"/>
              <w:spacing w:after="0"/>
              <w:rPr>
                <w:sz w:val="20"/>
                <w:szCs w:val="20"/>
                <w:color w:val="auto"/>
              </w:rPr>
            </w:pPr>
            <w:r>
              <w:rPr>
                <w:rFonts w:ascii="Arial" w:cs="Arial" w:eastAsia="Arial" w:hAnsi="Arial"/>
                <w:sz w:val="13"/>
                <w:szCs w:val="13"/>
                <w:b w:val="1"/>
                <w:bCs w:val="1"/>
                <w:color w:val="auto"/>
              </w:rPr>
              <w:t>Due to Change in Average</w:t>
            </w:r>
          </w:p>
        </w:tc>
        <w:tc>
          <w:tcPr>
            <w:tcW w:w="0" w:type="dxa"/>
            <w:vAlign w:val="bottom"/>
          </w:tcPr>
          <w:p>
            <w:pPr>
              <w:spacing w:after="0"/>
              <w:rPr>
                <w:sz w:val="1"/>
                <w:szCs w:val="1"/>
                <w:color w:val="auto"/>
              </w:rPr>
            </w:pPr>
          </w:p>
        </w:tc>
      </w:tr>
      <w:tr>
        <w:trPr>
          <w:trHeight w:val="117"/>
        </w:trPr>
        <w:tc>
          <w:tcPr>
            <w:tcW w:w="678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Six months ended:</w:t>
            </w:r>
          </w:p>
        </w:tc>
        <w:tc>
          <w:tcPr>
            <w:tcW w:w="180" w:type="dxa"/>
            <w:vAlign w:val="bottom"/>
          </w:tcPr>
          <w:p>
            <w:pPr>
              <w:spacing w:after="0"/>
              <w:rPr>
                <w:sz w:val="10"/>
                <w:szCs w:val="10"/>
                <w:color w:val="auto"/>
              </w:rPr>
            </w:pPr>
          </w:p>
        </w:tc>
        <w:tc>
          <w:tcPr>
            <w:tcW w:w="1340" w:type="dxa"/>
            <w:vAlign w:val="bottom"/>
            <w:gridSpan w:val="2"/>
          </w:tcPr>
          <w:p>
            <w:pPr>
              <w:jc w:val="center"/>
              <w:ind w:right="300"/>
              <w:spacing w:after="0" w:line="118" w:lineRule="exact"/>
              <w:rPr>
                <w:sz w:val="20"/>
                <w:szCs w:val="20"/>
                <w:color w:val="auto"/>
              </w:rPr>
            </w:pPr>
            <w:r>
              <w:rPr>
                <w:rFonts w:ascii="Arial" w:cs="Arial" w:eastAsia="Arial" w:hAnsi="Arial"/>
                <w:sz w:val="13"/>
                <w:szCs w:val="13"/>
                <w:b w:val="1"/>
                <w:bCs w:val="1"/>
                <w:color w:val="auto"/>
                <w:w w:val="92"/>
              </w:rPr>
              <w:t>Total Increase /</w:t>
            </w:r>
          </w:p>
        </w:tc>
        <w:tc>
          <w:tcPr>
            <w:tcW w:w="260" w:type="dxa"/>
            <w:vAlign w:val="bottom"/>
          </w:tcPr>
          <w:p>
            <w:pPr>
              <w:spacing w:after="0"/>
              <w:rPr>
                <w:sz w:val="10"/>
                <w:szCs w:val="10"/>
                <w:color w:val="auto"/>
              </w:rPr>
            </w:pPr>
          </w:p>
        </w:tc>
        <w:tc>
          <w:tcPr>
            <w:tcW w:w="1220" w:type="dxa"/>
            <w:vAlign w:val="bottom"/>
            <w:gridSpan w:val="2"/>
          </w:tcPr>
          <w:p>
            <w:pPr>
              <w:jc w:val="center"/>
              <w:ind w:right="360"/>
              <w:spacing w:after="0" w:line="118" w:lineRule="exact"/>
              <w:rPr>
                <w:sz w:val="20"/>
                <w:szCs w:val="20"/>
                <w:color w:val="auto"/>
              </w:rPr>
            </w:pPr>
            <w:r>
              <w:rPr>
                <w:rFonts w:ascii="Arial" w:cs="Arial" w:eastAsia="Arial" w:hAnsi="Arial"/>
                <w:sz w:val="13"/>
                <w:szCs w:val="13"/>
                <w:b w:val="1"/>
                <w:bCs w:val="1"/>
                <w:color w:val="auto"/>
                <w:w w:val="93"/>
              </w:rPr>
              <w:t>Portfolio</w:t>
            </w:r>
          </w:p>
        </w:tc>
        <w:tc>
          <w:tcPr>
            <w:tcW w:w="320" w:type="dxa"/>
            <w:vAlign w:val="bottom"/>
          </w:tcPr>
          <w:p>
            <w:pPr>
              <w:spacing w:after="0"/>
              <w:rPr>
                <w:sz w:val="10"/>
                <w:szCs w:val="10"/>
                <w:color w:val="auto"/>
              </w:rPr>
            </w:pPr>
          </w:p>
        </w:tc>
        <w:tc>
          <w:tcPr>
            <w:tcW w:w="1120" w:type="dxa"/>
            <w:vAlign w:val="bottom"/>
          </w:tcPr>
          <w:p>
            <w:pPr>
              <w:jc w:val="right"/>
              <w:ind w:right="513"/>
              <w:spacing w:after="0" w:line="118" w:lineRule="exact"/>
              <w:rPr>
                <w:sz w:val="20"/>
                <w:szCs w:val="20"/>
                <w:color w:val="auto"/>
              </w:rPr>
            </w:pPr>
            <w:r>
              <w:rPr>
                <w:rFonts w:ascii="Arial" w:cs="Arial" w:eastAsia="Arial" w:hAnsi="Arial"/>
                <w:sz w:val="13"/>
                <w:szCs w:val="13"/>
                <w:b w:val="1"/>
                <w:bCs w:val="1"/>
                <w:color w:val="auto"/>
              </w:rPr>
              <w:t>Asset</w:t>
            </w:r>
          </w:p>
        </w:tc>
        <w:tc>
          <w:tcPr>
            <w:tcW w:w="0" w:type="dxa"/>
            <w:vAlign w:val="bottom"/>
          </w:tcPr>
          <w:p>
            <w:pPr>
              <w:spacing w:after="0"/>
              <w:rPr>
                <w:sz w:val="1"/>
                <w:szCs w:val="1"/>
                <w:color w:val="auto"/>
              </w:rPr>
            </w:pPr>
          </w:p>
        </w:tc>
      </w:tr>
      <w:tr>
        <w:trPr>
          <w:trHeight w:val="174"/>
        </w:trPr>
        <w:tc>
          <w:tcPr>
            <w:tcW w:w="67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0"/>
              </w:rPr>
              <w:t>(Decrease)</w:t>
            </w:r>
          </w:p>
        </w:tc>
        <w:tc>
          <w:tcPr>
            <w:tcW w:w="260" w:type="dxa"/>
            <w:vAlign w:val="bottom"/>
          </w:tcPr>
          <w:p>
            <w:pPr>
              <w:spacing w:after="0"/>
              <w:rPr>
                <w:sz w:val="15"/>
                <w:szCs w:val="15"/>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4"/>
              </w:rPr>
              <w:t>Size</w:t>
            </w:r>
          </w:p>
        </w:tc>
        <w:tc>
          <w:tcPr>
            <w:tcW w:w="320" w:type="dxa"/>
            <w:vAlign w:val="bottom"/>
          </w:tcPr>
          <w:p>
            <w:pPr>
              <w:spacing w:after="0"/>
              <w:rPr>
                <w:sz w:val="15"/>
                <w:szCs w:val="15"/>
                <w:color w:val="auto"/>
              </w:rPr>
            </w:pPr>
          </w:p>
        </w:tc>
        <w:tc>
          <w:tcPr>
            <w:tcW w:w="1120" w:type="dxa"/>
            <w:vAlign w:val="bottom"/>
          </w:tcPr>
          <w:p>
            <w:pPr>
              <w:jc w:val="right"/>
              <w:ind w:right="513"/>
              <w:spacing w:after="0"/>
              <w:rPr>
                <w:sz w:val="20"/>
                <w:szCs w:val="20"/>
                <w:color w:val="auto"/>
              </w:rPr>
            </w:pPr>
            <w:r>
              <w:rPr>
                <w:rFonts w:ascii="Arial" w:cs="Arial" w:eastAsia="Arial" w:hAnsi="Arial"/>
                <w:sz w:val="13"/>
                <w:szCs w:val="13"/>
                <w:b w:val="1"/>
                <w:bCs w:val="1"/>
                <w:color w:val="auto"/>
              </w:rPr>
              <w:t>Yield</w:t>
            </w:r>
          </w:p>
        </w:tc>
        <w:tc>
          <w:tcPr>
            <w:tcW w:w="0" w:type="dxa"/>
            <w:vAlign w:val="bottom"/>
          </w:tcPr>
          <w:p>
            <w:pPr>
              <w:spacing w:after="0"/>
              <w:rPr>
                <w:sz w:val="1"/>
                <w:szCs w:val="1"/>
                <w:color w:val="auto"/>
              </w:rPr>
            </w:pPr>
          </w:p>
        </w:tc>
      </w:tr>
      <w:tr>
        <w:trPr>
          <w:trHeight w:val="169"/>
        </w:trPr>
        <w:tc>
          <w:tcPr>
            <w:tcW w:w="66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Interest Income (GAAP measure)</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w w:val="82"/>
              </w:rPr>
              <w:t>$</w:t>
            </w:r>
          </w:p>
        </w:tc>
        <w:tc>
          <w:tcPr>
            <w:tcW w:w="1240" w:type="dxa"/>
            <w:vAlign w:val="bottom"/>
            <w:tcBorders>
              <w:top w:val="single" w:sz="8" w:color="auto"/>
            </w:tcBorders>
            <w:shd w:val="clear" w:color="auto" w:fill="CCEEFF"/>
          </w:tcPr>
          <w:p>
            <w:pPr>
              <w:jc w:val="center"/>
              <w:ind w:left="853"/>
              <w:spacing w:after="0"/>
              <w:rPr>
                <w:sz w:val="20"/>
                <w:szCs w:val="20"/>
                <w:color w:val="auto"/>
              </w:rPr>
            </w:pPr>
            <w:r>
              <w:rPr>
                <w:rFonts w:ascii="Arial" w:cs="Arial" w:eastAsia="Arial" w:hAnsi="Arial"/>
                <w:sz w:val="13"/>
                <w:szCs w:val="13"/>
                <w:color w:val="auto"/>
                <w:w w:val="92"/>
              </w:rPr>
              <w:t>(114)</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13"/>
              <w:spacing w:after="0"/>
              <w:rPr>
                <w:sz w:val="20"/>
                <w:szCs w:val="20"/>
                <w:color w:val="auto"/>
              </w:rPr>
            </w:pPr>
            <w:r>
              <w:rPr>
                <w:rFonts w:ascii="Arial" w:cs="Arial" w:eastAsia="Arial" w:hAnsi="Arial"/>
                <w:sz w:val="13"/>
                <w:szCs w:val="13"/>
                <w:color w:val="auto"/>
                <w:w w:val="82"/>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(290)</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73"/>
              <w:spacing w:after="0"/>
              <w:rPr>
                <w:sz w:val="20"/>
                <w:szCs w:val="20"/>
                <w:color w:val="auto"/>
              </w:rPr>
            </w:pPr>
            <w:r>
              <w:rPr>
                <w:rFonts w:ascii="Arial" w:cs="Arial" w:eastAsia="Arial" w:hAnsi="Arial"/>
                <w:sz w:val="13"/>
                <w:szCs w:val="13"/>
                <w:color w:val="auto"/>
                <w:w w:val="82"/>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176</w:t>
            </w:r>
          </w:p>
        </w:tc>
        <w:tc>
          <w:tcPr>
            <w:tcW w:w="0" w:type="dxa"/>
            <w:vAlign w:val="bottom"/>
          </w:tcPr>
          <w:p>
            <w:pPr>
              <w:spacing w:after="0"/>
              <w:rPr>
                <w:sz w:val="1"/>
                <w:szCs w:val="1"/>
                <w:color w:val="auto"/>
              </w:rPr>
            </w:pPr>
          </w:p>
        </w:tc>
      </w:tr>
      <w:tr>
        <w:trPr>
          <w:trHeight w:val="172"/>
        </w:trPr>
        <w:tc>
          <w:tcPr>
            <w:tcW w:w="6780" w:type="dxa"/>
            <w:vAlign w:val="bottom"/>
            <w:gridSpan w:val="2"/>
          </w:tcPr>
          <w:p>
            <w:pPr>
              <w:ind w:left="20"/>
              <w:spacing w:after="0"/>
              <w:rPr>
                <w:sz w:val="20"/>
                <w:szCs w:val="20"/>
                <w:color w:val="auto"/>
              </w:rPr>
            </w:pPr>
            <w:r>
              <w:rPr>
                <w:rFonts w:ascii="Arial" w:cs="Arial" w:eastAsia="Arial" w:hAnsi="Arial"/>
                <w:sz w:val="13"/>
                <w:szCs w:val="13"/>
                <w:color w:val="auto"/>
              </w:rPr>
              <w:t>Estimated "catch-up" premium amortization due to change in CPR forecast</w:t>
            </w:r>
          </w:p>
        </w:tc>
        <w:tc>
          <w:tcPr>
            <w:tcW w:w="180" w:type="dxa"/>
            <w:vAlign w:val="bottom"/>
          </w:tcPr>
          <w:p>
            <w:pPr>
              <w:spacing w:after="0"/>
              <w:rPr>
                <w:sz w:val="14"/>
                <w:szCs w:val="14"/>
                <w:color w:val="auto"/>
              </w:rPr>
            </w:pPr>
          </w:p>
        </w:tc>
        <w:tc>
          <w:tcPr>
            <w:tcW w:w="1240" w:type="dxa"/>
            <w:vAlign w:val="bottom"/>
          </w:tcPr>
          <w:p>
            <w:pPr>
              <w:jc w:val="center"/>
              <w:ind w:left="833"/>
              <w:spacing w:after="0"/>
              <w:rPr>
                <w:sz w:val="20"/>
                <w:szCs w:val="20"/>
                <w:color w:val="auto"/>
              </w:rPr>
            </w:pPr>
            <w:r>
              <w:rPr>
                <w:rFonts w:ascii="Arial" w:cs="Arial" w:eastAsia="Arial" w:hAnsi="Arial"/>
                <w:sz w:val="13"/>
                <w:szCs w:val="13"/>
                <w:color w:val="auto"/>
                <w:w w:val="98"/>
              </w:rPr>
              <w:t>(442)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(442)</w:t>
            </w:r>
          </w:p>
        </w:tc>
        <w:tc>
          <w:tcPr>
            <w:tcW w:w="0" w:type="dxa"/>
            <w:vAlign w:val="bottom"/>
          </w:tcPr>
          <w:p>
            <w:pPr>
              <w:spacing w:after="0"/>
              <w:rPr>
                <w:sz w:val="1"/>
                <w:szCs w:val="1"/>
                <w:color w:val="auto"/>
              </w:rPr>
            </w:pPr>
          </w:p>
        </w:tc>
      </w:tr>
      <w:tr>
        <w:trPr>
          <w:trHeight w:val="171"/>
        </w:trPr>
        <w:tc>
          <w:tcPr>
            <w:tcW w:w="67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Interest income, excluding "catch-up" premium amortization</w:t>
            </w:r>
          </w:p>
        </w:tc>
        <w:tc>
          <w:tcPr>
            <w:tcW w:w="18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jc w:val="center"/>
              <w:ind w:left="833"/>
              <w:spacing w:after="0"/>
              <w:rPr>
                <w:sz w:val="20"/>
                <w:szCs w:val="20"/>
                <w:color w:val="auto"/>
              </w:rPr>
            </w:pPr>
            <w:r>
              <w:rPr>
                <w:rFonts w:ascii="Arial" w:cs="Arial" w:eastAsia="Arial" w:hAnsi="Arial"/>
                <w:sz w:val="13"/>
                <w:szCs w:val="13"/>
                <w:color w:val="auto"/>
                <w:w w:val="98"/>
              </w:rPr>
              <w:t>(556)</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(290)</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(266)</w:t>
            </w:r>
          </w:p>
        </w:tc>
        <w:tc>
          <w:tcPr>
            <w:tcW w:w="0" w:type="dxa"/>
            <w:vAlign w:val="bottom"/>
          </w:tcPr>
          <w:p>
            <w:pPr>
              <w:spacing w:after="0"/>
              <w:rPr>
                <w:sz w:val="1"/>
                <w:szCs w:val="1"/>
                <w:color w:val="auto"/>
              </w:rPr>
            </w:pPr>
          </w:p>
        </w:tc>
      </w:tr>
      <w:tr>
        <w:trPr>
          <w:trHeight w:val="172"/>
        </w:trPr>
        <w:tc>
          <w:tcPr>
            <w:tcW w:w="678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TBA dollar roll income - implied interest income</w:t>
            </w:r>
          </w:p>
        </w:tc>
        <w:tc>
          <w:tcPr>
            <w:tcW w:w="1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left="853"/>
              <w:spacing w:after="0"/>
              <w:rPr>
                <w:sz w:val="20"/>
                <w:szCs w:val="20"/>
                <w:color w:val="auto"/>
              </w:rPr>
            </w:pPr>
            <w:r>
              <w:rPr>
                <w:rFonts w:ascii="Arial" w:cs="Arial" w:eastAsia="Arial" w:hAnsi="Arial"/>
                <w:sz w:val="13"/>
                <w:szCs w:val="13"/>
                <w:color w:val="auto"/>
                <w:w w:val="92"/>
              </w:rPr>
              <w:t>133</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194</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(61)</w:t>
            </w:r>
          </w:p>
        </w:tc>
        <w:tc>
          <w:tcPr>
            <w:tcW w:w="0" w:type="dxa"/>
            <w:vAlign w:val="bottom"/>
          </w:tcPr>
          <w:p>
            <w:pPr>
              <w:spacing w:after="0"/>
              <w:rPr>
                <w:sz w:val="1"/>
                <w:szCs w:val="1"/>
                <w:color w:val="auto"/>
              </w:rPr>
            </w:pPr>
          </w:p>
        </w:tc>
      </w:tr>
      <w:tr>
        <w:trPr>
          <w:trHeight w:val="196"/>
        </w:trPr>
        <w:tc>
          <w:tcPr>
            <w:tcW w:w="6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Economic interest income, excluding "catch-up" amortization (non-GAAP measure)</w:t>
            </w:r>
          </w:p>
        </w:tc>
        <w:tc>
          <w:tcPr>
            <w:tcW w:w="1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color w:val="auto"/>
                <w:w w:val="82"/>
              </w:rPr>
              <w:t>$</w:t>
            </w:r>
          </w:p>
        </w:tc>
        <w:tc>
          <w:tcPr>
            <w:tcW w:w="1240" w:type="dxa"/>
            <w:vAlign w:val="bottom"/>
            <w:tcBorders>
              <w:bottom w:val="single" w:sz="8" w:color="auto"/>
            </w:tcBorders>
            <w:shd w:val="clear" w:color="auto" w:fill="CCEEFF"/>
          </w:tcPr>
          <w:p>
            <w:pPr>
              <w:jc w:val="center"/>
              <w:ind w:left="833"/>
              <w:spacing w:after="0"/>
              <w:rPr>
                <w:sz w:val="20"/>
                <w:szCs w:val="20"/>
                <w:color w:val="auto"/>
              </w:rPr>
            </w:pPr>
            <w:r>
              <w:rPr>
                <w:rFonts w:ascii="Arial" w:cs="Arial" w:eastAsia="Arial" w:hAnsi="Arial"/>
                <w:sz w:val="13"/>
                <w:szCs w:val="13"/>
                <w:color w:val="auto"/>
                <w:w w:val="98"/>
              </w:rPr>
              <w:t>(423)</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73"/>
              <w:spacing w:after="0"/>
              <w:rPr>
                <w:sz w:val="20"/>
                <w:szCs w:val="20"/>
                <w:color w:val="auto"/>
              </w:rPr>
            </w:pPr>
            <w:r>
              <w:rPr>
                <w:rFonts w:ascii="Arial" w:cs="Arial" w:eastAsia="Arial" w:hAnsi="Arial"/>
                <w:sz w:val="13"/>
                <w:szCs w:val="13"/>
                <w:color w:val="auto"/>
                <w:w w:val="82"/>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(327)</w:t>
            </w:r>
          </w:p>
        </w:tc>
        <w:tc>
          <w:tcPr>
            <w:tcW w:w="0" w:type="dxa"/>
            <w:vAlign w:val="bottom"/>
          </w:tcPr>
          <w:p>
            <w:pPr>
              <w:spacing w:after="0"/>
              <w:rPr>
                <w:sz w:val="1"/>
                <w:szCs w:val="1"/>
                <w:color w:val="auto"/>
              </w:rPr>
            </w:pPr>
          </w:p>
        </w:tc>
      </w:tr>
      <w:tr>
        <w:trPr>
          <w:trHeight w:val="20"/>
        </w:trPr>
        <w:tc>
          <w:tcPr>
            <w:tcW w:w="6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8" w:lineRule="exact"/>
        <w:rPr>
          <w:sz w:val="20"/>
          <w:szCs w:val="20"/>
          <w:color w:val="auto"/>
        </w:rPr>
      </w:pPr>
    </w:p>
    <w:p>
      <w:pPr>
        <w:jc w:val="both"/>
        <w:ind w:firstLine="412"/>
        <w:spacing w:after="0" w:line="250" w:lineRule="auto"/>
        <w:rPr>
          <w:sz w:val="20"/>
          <w:szCs w:val="20"/>
          <w:color w:val="auto"/>
        </w:rPr>
      </w:pPr>
      <w:r>
        <w:rPr>
          <w:rFonts w:ascii="Arial" w:cs="Arial" w:eastAsia="Arial" w:hAnsi="Arial"/>
          <w:sz w:val="17"/>
          <w:szCs w:val="17"/>
          <w:color w:val="auto"/>
        </w:rPr>
        <w:t>Our average investment portfolio, inclusive of TBAs (at cost), decreased 2% and 9% for the three and six months ended June 30, 2021, respectively, compared to the prior year period, primarily due to lower operating leverage and a decline in our average stockholders' equity. The decrease in the average yield on our investment portfolio, including TBA implied asset yields and excluding "catch-up" premium amortization on our investment securities, of 41 basis points and 64 basis points for the three and six months ended June 30, 2021, respectively, compared to the prior year period, was largely due to changes in asset composition and lower prevailing yields on new asset purchases.</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Leverage</w:t>
      </w:r>
    </w:p>
    <w:p>
      <w:pPr>
        <w:spacing w:after="0" w:line="154" w:lineRule="exact"/>
        <w:rPr>
          <w:sz w:val="20"/>
          <w:szCs w:val="20"/>
          <w:color w:val="auto"/>
        </w:rPr>
      </w:pPr>
    </w:p>
    <w:p>
      <w:pPr>
        <w:jc w:val="both"/>
        <w:ind w:firstLine="412"/>
        <w:spacing w:after="0" w:line="279" w:lineRule="auto"/>
        <w:rPr>
          <w:sz w:val="20"/>
          <w:szCs w:val="20"/>
          <w:color w:val="auto"/>
        </w:rPr>
      </w:pPr>
      <w:r>
        <w:rPr>
          <w:rFonts w:ascii="Arial" w:cs="Arial" w:eastAsia="Arial" w:hAnsi="Arial"/>
          <w:sz w:val="16"/>
          <w:szCs w:val="16"/>
          <w:color w:val="auto"/>
        </w:rPr>
        <w:t>Our primary measure of leverage is our tangible net book value "at risk" leverage ratio, which is measured as the sum of our repurchase agreements and other debt used to fund our investment securities and net TBA and forward settling securities position (at cost) (together referred to as "mortgage borrowings") and our net receivable/payable for unsettled investment securities, divided by our total stockholders' equity adjusted to exclude goodwill.</w:t>
      </w:r>
    </w:p>
    <w:p>
      <w:pPr>
        <w:spacing w:after="0" w:line="108" w:lineRule="exact"/>
        <w:rPr>
          <w:sz w:val="20"/>
          <w:szCs w:val="20"/>
          <w:color w:val="auto"/>
        </w:rPr>
      </w:pPr>
    </w:p>
    <w:p>
      <w:pPr>
        <w:jc w:val="both"/>
        <w:ind w:firstLine="412"/>
        <w:spacing w:after="0" w:line="268" w:lineRule="auto"/>
        <w:rPr>
          <w:sz w:val="20"/>
          <w:szCs w:val="20"/>
          <w:color w:val="auto"/>
        </w:rPr>
      </w:pPr>
      <w:r>
        <w:rPr>
          <w:rFonts w:ascii="Arial" w:cs="Arial" w:eastAsia="Arial" w:hAnsi="Arial"/>
          <w:sz w:val="16"/>
          <w:szCs w:val="16"/>
          <w:color w:val="auto"/>
        </w:rPr>
        <w:t xml:space="preserve">We include our net TBA position in our measure of leverage because a forward contract to acquire Agency RMBS in the TBA market carries similar risks to Agency RMBS purchased in the cash market and funded with on-balance sheet liabilities. Similarly, a TBA contract for the forward sale of Agency securities has substantially the same effect as selling the underlying Agency RMBS and reducing our on-balance sheet funding commitments. (Refer to </w:t>
      </w:r>
      <w:r>
        <w:rPr>
          <w:rFonts w:ascii="Arial" w:cs="Arial" w:eastAsia="Arial" w:hAnsi="Arial"/>
          <w:sz w:val="16"/>
          <w:szCs w:val="16"/>
          <w:i w:val="1"/>
          <w:iCs w:val="1"/>
          <w:color w:val="auto"/>
        </w:rPr>
        <w:t>Liquidity and Capital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Resources </w:t>
      </w:r>
      <w:r>
        <w:rPr>
          <w:rFonts w:ascii="Arial" w:cs="Arial" w:eastAsia="Arial" w:hAnsi="Arial"/>
          <w:sz w:val="16"/>
          <w:szCs w:val="16"/>
          <w:color w:val="auto"/>
        </w:rPr>
        <w:t>for further discussion of TBA securities and dollar roll transactions). Repurchase agreements used to fund short-term investments in U.S. Treasury securities</w:t>
      </w:r>
      <w:r>
        <w:rPr>
          <w:rFonts w:ascii="Arial" w:cs="Arial" w:eastAsia="Arial" w:hAnsi="Arial"/>
          <w:sz w:val="16"/>
          <w:szCs w:val="16"/>
          <w:i w:val="1"/>
          <w:iCs w:val="1"/>
          <w:color w:val="auto"/>
        </w:rPr>
        <w:t xml:space="preserve"> </w:t>
      </w:r>
      <w:r>
        <w:rPr>
          <w:rFonts w:ascii="Arial" w:cs="Arial" w:eastAsia="Arial" w:hAnsi="Arial"/>
          <w:sz w:val="16"/>
          <w:szCs w:val="16"/>
          <w:color w:val="auto"/>
        </w:rPr>
        <w:t>("U.S. Treasury repo") are excluded from our measure of leverage due to the temporary and highly liquid nature of these investments. The following table presents a summary of our leverage ratios for the periods listed (dollars in millions):</w:t>
      </w:r>
    </w:p>
    <w:p>
      <w:pPr>
        <w:spacing w:after="0" w:line="92"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3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20" w:type="dxa"/>
            <w:vAlign w:val="bottom"/>
            <w:gridSpan w:val="7"/>
          </w:tcPr>
          <w:p>
            <w:pPr>
              <w:jc w:val="center"/>
              <w:ind w:left="495"/>
              <w:spacing w:after="0"/>
              <w:rPr>
                <w:sz w:val="20"/>
                <w:szCs w:val="20"/>
                <w:color w:val="auto"/>
              </w:rPr>
            </w:pPr>
            <w:r>
              <w:rPr>
                <w:rFonts w:ascii="Arial" w:cs="Arial" w:eastAsia="Arial" w:hAnsi="Arial"/>
                <w:sz w:val="12"/>
                <w:szCs w:val="12"/>
                <w:b w:val="1"/>
                <w:bCs w:val="1"/>
                <w:color w:val="auto"/>
                <w:w w:val="84"/>
              </w:rPr>
              <w:t>Repurchase Agreements</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gridSpan w:val="4"/>
          </w:tcPr>
          <w:p>
            <w:pPr>
              <w:jc w:val="right"/>
              <w:ind w:right="415"/>
              <w:spacing w:after="0"/>
              <w:rPr>
                <w:sz w:val="20"/>
                <w:szCs w:val="20"/>
                <w:color w:val="auto"/>
              </w:rPr>
            </w:pPr>
            <w:r>
              <w:rPr>
                <w:rFonts w:ascii="Arial" w:cs="Arial" w:eastAsia="Arial" w:hAnsi="Arial"/>
                <w:sz w:val="12"/>
                <w:szCs w:val="12"/>
                <w:b w:val="1"/>
                <w:bCs w:val="1"/>
                <w:color w:val="auto"/>
              </w:rPr>
              <w:t>Net TBA Position</w:t>
            </w: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3"/>
          </w:tcPr>
          <w:p>
            <w:pPr>
              <w:ind w:left="100"/>
              <w:spacing w:after="0"/>
              <w:rPr>
                <w:sz w:val="20"/>
                <w:szCs w:val="20"/>
                <w:color w:val="auto"/>
              </w:rPr>
            </w:pPr>
            <w:r>
              <w:rPr>
                <w:rFonts w:ascii="Arial" w:cs="Arial" w:eastAsia="Arial" w:hAnsi="Arial"/>
                <w:sz w:val="12"/>
                <w:szCs w:val="12"/>
                <w:b w:val="1"/>
                <w:bCs w:val="1"/>
                <w:color w:val="auto"/>
                <w:w w:val="89"/>
              </w:rPr>
              <w:t>and Other Debt</w:t>
            </w: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5"/>
                <w:szCs w:val="5"/>
                <w:b w:val="1"/>
                <w:bCs w:val="1"/>
                <w:color w:val="auto"/>
                <w:w w:val="70"/>
              </w:rPr>
              <w:t>1</w:t>
            </w: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right"/>
              <w:ind w:right="495"/>
              <w:spacing w:after="0" w:line="163" w:lineRule="exact"/>
              <w:rPr>
                <w:sz w:val="20"/>
                <w:szCs w:val="20"/>
                <w:color w:val="auto"/>
              </w:rPr>
            </w:pPr>
            <w:r>
              <w:rPr>
                <w:rFonts w:ascii="Arial" w:cs="Arial" w:eastAsia="Arial" w:hAnsi="Arial"/>
                <w:sz w:val="12"/>
                <w:szCs w:val="12"/>
                <w:b w:val="1"/>
                <w:bCs w:val="1"/>
                <w:color w:val="auto"/>
              </w:rPr>
              <w:t xml:space="preserve">Long/(Short) </w:t>
            </w:r>
            <w:r>
              <w:rPr>
                <w:rFonts w:ascii="Arial" w:cs="Arial" w:eastAsia="Arial" w:hAnsi="Arial"/>
                <w:sz w:val="15"/>
                <w:szCs w:val="15"/>
                <w:b w:val="1"/>
                <w:bCs w:val="1"/>
                <w:color w:val="auto"/>
                <w:vertAlign w:val="superscript"/>
              </w:rPr>
              <w:t>2</w:t>
            </w:r>
          </w:p>
        </w:tc>
        <w:tc>
          <w:tcPr>
            <w:tcW w:w="100" w:type="dxa"/>
            <w:vAlign w:val="bottom"/>
          </w:tcPr>
          <w:p>
            <w:pPr>
              <w:spacing w:after="0"/>
              <w:rPr>
                <w:sz w:val="14"/>
                <w:szCs w:val="14"/>
                <w:color w:val="auto"/>
              </w:rPr>
            </w:pPr>
          </w:p>
        </w:tc>
        <w:tc>
          <w:tcPr>
            <w:tcW w:w="1420" w:type="dxa"/>
            <w:vAlign w:val="bottom"/>
            <w:gridSpan w:val="2"/>
            <w:vMerge w:val="restart"/>
          </w:tcPr>
          <w:p>
            <w:pPr>
              <w:jc w:val="center"/>
              <w:ind w:right="100"/>
              <w:spacing w:after="0"/>
              <w:rPr>
                <w:sz w:val="20"/>
                <w:szCs w:val="20"/>
                <w:color w:val="auto"/>
              </w:rPr>
            </w:pPr>
            <w:r>
              <w:rPr>
                <w:rFonts w:ascii="Arial" w:cs="Arial" w:eastAsia="Arial" w:hAnsi="Arial"/>
                <w:sz w:val="12"/>
                <w:szCs w:val="12"/>
                <w:b w:val="1"/>
                <w:bCs w:val="1"/>
                <w:color w:val="auto"/>
                <w:w w:val="87"/>
              </w:rPr>
              <w:t>Average Tangible Net</w:t>
            </w:r>
          </w:p>
        </w:tc>
        <w:tc>
          <w:tcPr>
            <w:tcW w:w="132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86"/>
              </w:rPr>
              <w:t>Tangible Net Book Value</w:t>
            </w:r>
          </w:p>
        </w:tc>
        <w:tc>
          <w:tcPr>
            <w:tcW w:w="0" w:type="dxa"/>
            <w:vAlign w:val="bottom"/>
          </w:tcPr>
          <w:p>
            <w:pPr>
              <w:spacing w:after="0"/>
              <w:rPr>
                <w:sz w:val="1"/>
                <w:szCs w:val="1"/>
                <w:color w:val="auto"/>
              </w:rPr>
            </w:pPr>
          </w:p>
        </w:tc>
      </w:tr>
      <w:tr>
        <w:trPr>
          <w:trHeight w:val="30"/>
        </w:trPr>
        <w:tc>
          <w:tcPr>
            <w:tcW w:w="3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gridSpan w:val="2"/>
            <w:vMerge w:val="continue"/>
          </w:tcPr>
          <w:p>
            <w:pPr>
              <w:spacing w:after="0"/>
              <w:rPr>
                <w:sz w:val="2"/>
                <w:szCs w:val="2"/>
                <w:color w:val="auto"/>
              </w:rPr>
            </w:pPr>
          </w:p>
        </w:tc>
        <w:tc>
          <w:tcPr>
            <w:tcW w:w="13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2"/>
        </w:trPr>
        <w:tc>
          <w:tcPr>
            <w:tcW w:w="3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vMerge w:val="restart"/>
          </w:tcPr>
          <w:p>
            <w:pPr>
              <w:jc w:val="right"/>
              <w:ind w:right="35"/>
              <w:spacing w:after="0"/>
              <w:rPr>
                <w:sz w:val="20"/>
                <w:szCs w:val="20"/>
                <w:color w:val="auto"/>
              </w:rPr>
            </w:pPr>
            <w:r>
              <w:rPr>
                <w:rFonts w:ascii="Arial" w:cs="Arial" w:eastAsia="Arial" w:hAnsi="Arial"/>
                <w:sz w:val="12"/>
                <w:szCs w:val="12"/>
                <w:b w:val="1"/>
                <w:bCs w:val="1"/>
                <w:color w:val="auto"/>
                <w:w w:val="93"/>
              </w:rPr>
              <w:t>Average Daily</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vMerge w:val="restart"/>
          </w:tcPr>
          <w:p>
            <w:pPr>
              <w:jc w:val="center"/>
              <w:ind w:right="15"/>
              <w:spacing w:after="0"/>
              <w:rPr>
                <w:sz w:val="20"/>
                <w:szCs w:val="20"/>
                <w:color w:val="auto"/>
              </w:rPr>
            </w:pPr>
            <w:r>
              <w:rPr>
                <w:rFonts w:ascii="Arial" w:cs="Arial" w:eastAsia="Arial" w:hAnsi="Arial"/>
                <w:sz w:val="12"/>
                <w:szCs w:val="12"/>
                <w:b w:val="1"/>
                <w:bCs w:val="1"/>
                <w:color w:val="auto"/>
                <w:w w:val="93"/>
              </w:rPr>
              <w:t>Maximum</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gridSpan w:val="2"/>
            <w:vMerge w:val="restart"/>
          </w:tcPr>
          <w:p>
            <w:pPr>
              <w:jc w:val="center"/>
              <w:ind w:right="260"/>
              <w:spacing w:after="0"/>
              <w:rPr>
                <w:sz w:val="20"/>
                <w:szCs w:val="20"/>
                <w:color w:val="auto"/>
              </w:rPr>
            </w:pPr>
            <w:r>
              <w:rPr>
                <w:rFonts w:ascii="Arial" w:cs="Arial" w:eastAsia="Arial" w:hAnsi="Arial"/>
                <w:sz w:val="12"/>
                <w:szCs w:val="12"/>
                <w:b w:val="1"/>
                <w:bCs w:val="1"/>
                <w:color w:val="auto"/>
                <w:w w:val="88"/>
              </w:rPr>
              <w:t>Ending</w:t>
            </w:r>
          </w:p>
        </w:tc>
        <w:tc>
          <w:tcPr>
            <w:tcW w:w="80" w:type="dxa"/>
            <w:vAlign w:val="bottom"/>
          </w:tcPr>
          <w:p>
            <w:pPr>
              <w:spacing w:after="0"/>
              <w:rPr>
                <w:sz w:val="9"/>
                <w:szCs w:val="9"/>
                <w:color w:val="auto"/>
              </w:rPr>
            </w:pPr>
          </w:p>
        </w:tc>
        <w:tc>
          <w:tcPr>
            <w:tcW w:w="880" w:type="dxa"/>
            <w:vAlign w:val="bottom"/>
            <w:gridSpan w:val="2"/>
            <w:vMerge w:val="restart"/>
          </w:tcPr>
          <w:p>
            <w:pPr>
              <w:jc w:val="center"/>
              <w:ind w:right="180"/>
              <w:spacing w:after="0"/>
              <w:rPr>
                <w:sz w:val="20"/>
                <w:szCs w:val="20"/>
                <w:color w:val="auto"/>
              </w:rPr>
            </w:pPr>
            <w:r>
              <w:rPr>
                <w:rFonts w:ascii="Arial" w:cs="Arial" w:eastAsia="Arial" w:hAnsi="Arial"/>
                <w:sz w:val="12"/>
                <w:szCs w:val="12"/>
                <w:b w:val="1"/>
                <w:bCs w:val="1"/>
                <w:color w:val="auto"/>
                <w:w w:val="88"/>
              </w:rPr>
              <w:t>Average Daily</w:t>
            </w:r>
          </w:p>
        </w:tc>
        <w:tc>
          <w:tcPr>
            <w:tcW w:w="160" w:type="dxa"/>
            <w:vAlign w:val="bottom"/>
          </w:tcPr>
          <w:p>
            <w:pPr>
              <w:spacing w:after="0"/>
              <w:rPr>
                <w:sz w:val="9"/>
                <w:szCs w:val="9"/>
                <w:color w:val="auto"/>
              </w:rPr>
            </w:pPr>
          </w:p>
        </w:tc>
        <w:tc>
          <w:tcPr>
            <w:tcW w:w="700" w:type="dxa"/>
            <w:vAlign w:val="bottom"/>
            <w:vMerge w:val="restart"/>
          </w:tcPr>
          <w:p>
            <w:pPr>
              <w:jc w:val="right"/>
              <w:ind w:right="175"/>
              <w:spacing w:after="0"/>
              <w:rPr>
                <w:sz w:val="20"/>
                <w:szCs w:val="20"/>
                <w:color w:val="auto"/>
              </w:rPr>
            </w:pPr>
            <w:r>
              <w:rPr>
                <w:rFonts w:ascii="Arial" w:cs="Arial" w:eastAsia="Arial" w:hAnsi="Arial"/>
                <w:sz w:val="12"/>
                <w:szCs w:val="12"/>
                <w:b w:val="1"/>
                <w:bCs w:val="1"/>
                <w:color w:val="auto"/>
              </w:rPr>
              <w:t>Ending</w:t>
            </w:r>
          </w:p>
        </w:tc>
        <w:tc>
          <w:tcPr>
            <w:tcW w:w="100" w:type="dxa"/>
            <w:vAlign w:val="bottom"/>
          </w:tcPr>
          <w:p>
            <w:pPr>
              <w:spacing w:after="0"/>
              <w:rPr>
                <w:sz w:val="9"/>
                <w:szCs w:val="9"/>
                <w:color w:val="auto"/>
              </w:rPr>
            </w:pPr>
          </w:p>
        </w:tc>
        <w:tc>
          <w:tcPr>
            <w:tcW w:w="1420" w:type="dxa"/>
            <w:vAlign w:val="bottom"/>
            <w:gridSpan w:val="2"/>
          </w:tcPr>
          <w:p>
            <w:pPr>
              <w:jc w:val="center"/>
              <w:ind w:right="100"/>
              <w:spacing w:after="0" w:line="113" w:lineRule="exact"/>
              <w:rPr>
                <w:sz w:val="20"/>
                <w:szCs w:val="20"/>
                <w:color w:val="auto"/>
              </w:rPr>
            </w:pPr>
            <w:r>
              <w:rPr>
                <w:rFonts w:ascii="Arial" w:cs="Arial" w:eastAsia="Arial" w:hAnsi="Arial"/>
                <w:sz w:val="12"/>
                <w:szCs w:val="12"/>
                <w:b w:val="1"/>
                <w:bCs w:val="1"/>
                <w:color w:val="auto"/>
                <w:w w:val="85"/>
              </w:rPr>
              <w:t>Book Value</w:t>
            </w:r>
          </w:p>
        </w:tc>
        <w:tc>
          <w:tcPr>
            <w:tcW w:w="1320" w:type="dxa"/>
            <w:vAlign w:val="bottom"/>
          </w:tcPr>
          <w:p>
            <w:pPr>
              <w:jc w:val="center"/>
              <w:spacing w:after="0" w:line="113" w:lineRule="exact"/>
              <w:rPr>
                <w:sz w:val="20"/>
                <w:szCs w:val="20"/>
                <w:color w:val="auto"/>
              </w:rPr>
            </w:pPr>
            <w:r>
              <w:rPr>
                <w:rFonts w:ascii="Arial" w:cs="Arial" w:eastAsia="Arial" w:hAnsi="Arial"/>
                <w:sz w:val="12"/>
                <w:szCs w:val="12"/>
                <w:b w:val="1"/>
                <w:bCs w:val="1"/>
                <w:color w:val="auto"/>
                <w:w w:val="91"/>
              </w:rPr>
              <w:t>"At Risk" Leverage</w:t>
            </w:r>
          </w:p>
        </w:tc>
        <w:tc>
          <w:tcPr>
            <w:tcW w:w="0" w:type="dxa"/>
            <w:vAlign w:val="bottom"/>
          </w:tcPr>
          <w:p>
            <w:pPr>
              <w:spacing w:after="0"/>
              <w:rPr>
                <w:sz w:val="1"/>
                <w:szCs w:val="1"/>
                <w:color w:val="auto"/>
              </w:rPr>
            </w:pPr>
          </w:p>
        </w:tc>
      </w:tr>
      <w:tr>
        <w:trPr>
          <w:trHeight w:val="112"/>
        </w:trPr>
        <w:tc>
          <w:tcPr>
            <w:tcW w:w="36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Quarter Ended</w:t>
            </w:r>
          </w:p>
        </w:tc>
        <w:tc>
          <w:tcPr>
            <w:tcW w:w="8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gridSpan w:val="2"/>
          </w:tcPr>
          <w:p>
            <w:pPr>
              <w:jc w:val="center"/>
              <w:ind w:right="100"/>
              <w:spacing w:after="0" w:line="113" w:lineRule="exact"/>
              <w:rPr>
                <w:sz w:val="20"/>
                <w:szCs w:val="20"/>
                <w:color w:val="auto"/>
              </w:rPr>
            </w:pPr>
            <w:r>
              <w:rPr>
                <w:rFonts w:ascii="Arial" w:cs="Arial" w:eastAsia="Arial" w:hAnsi="Arial"/>
                <w:sz w:val="12"/>
                <w:szCs w:val="12"/>
                <w:b w:val="1"/>
                <w:bCs w:val="1"/>
                <w:color w:val="auto"/>
                <w:w w:val="91"/>
              </w:rPr>
              <w:t>"At Risk" Leverage</w:t>
            </w:r>
          </w:p>
        </w:tc>
        <w:tc>
          <w:tcPr>
            <w:tcW w:w="1320" w:type="dxa"/>
            <w:vAlign w:val="bottom"/>
          </w:tcPr>
          <w:p>
            <w:pPr>
              <w:jc w:val="center"/>
              <w:spacing w:after="0" w:line="113" w:lineRule="exact"/>
              <w:rPr>
                <w:sz w:val="20"/>
                <w:szCs w:val="20"/>
                <w:color w:val="auto"/>
              </w:rPr>
            </w:pPr>
            <w:r>
              <w:rPr>
                <w:rFonts w:ascii="Arial" w:cs="Arial" w:eastAsia="Arial" w:hAnsi="Arial"/>
                <w:sz w:val="12"/>
                <w:szCs w:val="12"/>
                <w:b w:val="1"/>
                <w:bCs w:val="1"/>
                <w:color w:val="auto"/>
                <w:w w:val="78"/>
              </w:rPr>
              <w:t>as of</w:t>
            </w:r>
          </w:p>
        </w:tc>
        <w:tc>
          <w:tcPr>
            <w:tcW w:w="0" w:type="dxa"/>
            <w:vAlign w:val="bottom"/>
          </w:tcPr>
          <w:p>
            <w:pPr>
              <w:spacing w:after="0"/>
              <w:rPr>
                <w:sz w:val="1"/>
                <w:szCs w:val="1"/>
                <w:color w:val="auto"/>
              </w:rPr>
            </w:pPr>
          </w:p>
        </w:tc>
      </w:tr>
      <w:tr>
        <w:trPr>
          <w:trHeight w:val="162"/>
        </w:trPr>
        <w:tc>
          <w:tcPr>
            <w:tcW w:w="36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ind w:right="175"/>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800" w:type="dxa"/>
            <w:vAlign w:val="bottom"/>
            <w:gridSpan w:val="2"/>
          </w:tcPr>
          <w:p>
            <w:pPr>
              <w:jc w:val="center"/>
              <w:spacing w:after="0"/>
              <w:rPr>
                <w:sz w:val="20"/>
                <w:szCs w:val="20"/>
                <w:color w:val="auto"/>
              </w:rPr>
            </w:pPr>
            <w:r>
              <w:rPr>
                <w:rFonts w:ascii="Arial" w:cs="Arial" w:eastAsia="Arial" w:hAnsi="Arial"/>
                <w:sz w:val="12"/>
                <w:szCs w:val="12"/>
                <w:b w:val="1"/>
                <w:bCs w:val="1"/>
                <w:color w:val="auto"/>
                <w:w w:val="90"/>
              </w:rPr>
              <w:t>Daily Amount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8"/>
              </w:rPr>
              <w:t>Amount</w:t>
            </w:r>
          </w:p>
        </w:tc>
        <w:tc>
          <w:tcPr>
            <w:tcW w:w="8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2"/>
              </w:rPr>
              <w:t>Amount</w:t>
            </w:r>
          </w:p>
        </w:tc>
        <w:tc>
          <w:tcPr>
            <w:tcW w:w="160" w:type="dxa"/>
            <w:vAlign w:val="bottom"/>
          </w:tcPr>
          <w:p>
            <w:pPr>
              <w:spacing w:after="0"/>
              <w:rPr>
                <w:sz w:val="14"/>
                <w:szCs w:val="14"/>
                <w:color w:val="auto"/>
              </w:rPr>
            </w:pPr>
          </w:p>
        </w:tc>
        <w:tc>
          <w:tcPr>
            <w:tcW w:w="700" w:type="dxa"/>
            <w:vAlign w:val="bottom"/>
          </w:tcPr>
          <w:p>
            <w:pPr>
              <w:jc w:val="right"/>
              <w:ind w:right="155"/>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1420" w:type="dxa"/>
            <w:vAlign w:val="bottom"/>
            <w:gridSpan w:val="2"/>
          </w:tcPr>
          <w:p>
            <w:pPr>
              <w:jc w:val="center"/>
              <w:ind w:right="120"/>
              <w:spacing w:after="0" w:line="163" w:lineRule="exact"/>
              <w:rPr>
                <w:sz w:val="20"/>
                <w:szCs w:val="20"/>
                <w:color w:val="auto"/>
              </w:rPr>
            </w:pPr>
            <w:r>
              <w:rPr>
                <w:rFonts w:ascii="Arial" w:cs="Arial" w:eastAsia="Arial" w:hAnsi="Arial"/>
                <w:sz w:val="12"/>
                <w:szCs w:val="12"/>
                <w:b w:val="1"/>
                <w:bCs w:val="1"/>
                <w:color w:val="auto"/>
                <w:w w:val="86"/>
              </w:rPr>
              <w:t xml:space="preserve">during the Period </w:t>
            </w:r>
            <w:r>
              <w:rPr>
                <w:rFonts w:ascii="Arial" w:cs="Arial" w:eastAsia="Arial" w:hAnsi="Arial"/>
                <w:sz w:val="15"/>
                <w:szCs w:val="15"/>
                <w:b w:val="1"/>
                <w:bCs w:val="1"/>
                <w:color w:val="auto"/>
                <w:w w:val="86"/>
                <w:vertAlign w:val="superscript"/>
              </w:rPr>
              <w:t>3</w:t>
            </w:r>
          </w:p>
        </w:tc>
        <w:tc>
          <w:tcPr>
            <w:tcW w:w="1320" w:type="dxa"/>
            <w:vAlign w:val="bottom"/>
          </w:tcPr>
          <w:p>
            <w:pPr>
              <w:jc w:val="center"/>
              <w:spacing w:after="0" w:line="163" w:lineRule="exact"/>
              <w:rPr>
                <w:sz w:val="20"/>
                <w:szCs w:val="20"/>
                <w:color w:val="auto"/>
              </w:rPr>
            </w:pPr>
            <w:r>
              <w:rPr>
                <w:rFonts w:ascii="Arial" w:cs="Arial" w:eastAsia="Arial" w:hAnsi="Arial"/>
                <w:sz w:val="12"/>
                <w:szCs w:val="12"/>
                <w:b w:val="1"/>
                <w:bCs w:val="1"/>
                <w:color w:val="auto"/>
                <w:w w:val="85"/>
              </w:rPr>
              <w:t xml:space="preserve">Period End </w:t>
            </w:r>
            <w:r>
              <w:rPr>
                <w:rFonts w:ascii="Arial" w:cs="Arial" w:eastAsia="Arial" w:hAnsi="Arial"/>
                <w:sz w:val="15"/>
                <w:szCs w:val="15"/>
                <w:b w:val="1"/>
                <w:bCs w:val="1"/>
                <w:color w:val="auto"/>
                <w:w w:val="85"/>
                <w:vertAlign w:val="superscript"/>
              </w:rPr>
              <w:t>4</w:t>
            </w:r>
          </w:p>
        </w:tc>
        <w:tc>
          <w:tcPr>
            <w:tcW w:w="0" w:type="dxa"/>
            <w:vAlign w:val="bottom"/>
          </w:tcPr>
          <w:p>
            <w:pPr>
              <w:spacing w:after="0"/>
              <w:rPr>
                <w:sz w:val="1"/>
                <w:szCs w:val="1"/>
                <w:color w:val="auto"/>
              </w:rPr>
            </w:pPr>
          </w:p>
        </w:tc>
      </w:tr>
      <w:tr>
        <w:trPr>
          <w:trHeight w:val="167"/>
        </w:trPr>
        <w:tc>
          <w:tcPr>
            <w:tcW w:w="35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June 30, 2021</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52,374</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60,186</w:t>
            </w:r>
          </w:p>
        </w:tc>
        <w:tc>
          <w:tcPr>
            <w:tcW w:w="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48,488</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28,082</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27,611</w:t>
            </w:r>
          </w:p>
        </w:tc>
        <w:tc>
          <w:tcPr>
            <w:tcW w:w="100" w:type="dxa"/>
            <w:vAlign w:val="bottom"/>
            <w:tcBorders>
              <w:top w:val="single" w:sz="8" w:color="CCEEFF"/>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6"/>
              </w:rPr>
              <w:t>7.6:1</w:t>
            </w:r>
          </w:p>
        </w:tc>
        <w:tc>
          <w:tcPr>
            <w:tcW w:w="100" w:type="dxa"/>
            <w:vAlign w:val="bottom"/>
            <w:tcBorders>
              <w:top w:val="single" w:sz="8" w:color="CCEEFF"/>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89"/>
              </w:rPr>
              <w:t>7.9:1</w:t>
            </w:r>
          </w:p>
        </w:tc>
        <w:tc>
          <w:tcPr>
            <w:tcW w:w="0" w:type="dxa"/>
            <w:vAlign w:val="bottom"/>
          </w:tcPr>
          <w:p>
            <w:pPr>
              <w:spacing w:after="0"/>
              <w:rPr>
                <w:sz w:val="1"/>
                <w:szCs w:val="1"/>
                <w:color w:val="auto"/>
              </w:rPr>
            </w:pPr>
          </w:p>
        </w:tc>
      </w:tr>
      <w:tr>
        <w:trPr>
          <w:trHeight w:val="172"/>
        </w:trPr>
        <w:tc>
          <w:tcPr>
            <w:tcW w:w="3640" w:type="dxa"/>
            <w:vAlign w:val="bottom"/>
            <w:gridSpan w:val="2"/>
          </w:tcPr>
          <w:p>
            <w:pPr>
              <w:ind w:left="20"/>
              <w:spacing w:after="0"/>
              <w:rPr>
                <w:sz w:val="20"/>
                <w:szCs w:val="20"/>
                <w:color w:val="auto"/>
              </w:rPr>
            </w:pPr>
            <w:r>
              <w:rPr>
                <w:rFonts w:ascii="Arial" w:cs="Arial" w:eastAsia="Arial" w:hAnsi="Arial"/>
                <w:sz w:val="13"/>
                <w:szCs w:val="13"/>
                <w:color w:val="auto"/>
              </w:rPr>
              <w:t>March 31, 2021</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54,602</w:t>
            </w:r>
          </w:p>
        </w:tc>
        <w:tc>
          <w:tcPr>
            <w:tcW w:w="22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57,153</w:t>
            </w:r>
          </w:p>
        </w:tc>
        <w:tc>
          <w:tcPr>
            <w:tcW w:w="30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55,221</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32,022</w:t>
            </w:r>
          </w:p>
        </w:tc>
        <w:tc>
          <w:tcPr>
            <w:tcW w:w="100" w:type="dxa"/>
            <w:vAlign w:val="bottom"/>
          </w:tcPr>
          <w:p>
            <w:pPr>
              <w:spacing w:after="0"/>
              <w:rPr>
                <w:sz w:val="14"/>
                <w:szCs w:val="14"/>
                <w:color w:val="auto"/>
              </w:rPr>
            </w:pPr>
          </w:p>
        </w:tc>
        <w:tc>
          <w:tcPr>
            <w:tcW w:w="160" w:type="dxa"/>
            <w:vAlign w:val="bottom"/>
          </w:tcPr>
          <w:p>
            <w:pPr>
              <w:jc w:val="right"/>
              <w:ind w:right="13"/>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25,355</w:t>
            </w:r>
          </w:p>
        </w:tc>
        <w:tc>
          <w:tcPr>
            <w:tcW w:w="1420" w:type="dxa"/>
            <w:vAlign w:val="bottom"/>
            <w:gridSpan w:val="2"/>
          </w:tcPr>
          <w:p>
            <w:pPr>
              <w:jc w:val="center"/>
              <w:ind w:left="33"/>
              <w:spacing w:after="0"/>
              <w:rPr>
                <w:sz w:val="20"/>
                <w:szCs w:val="20"/>
                <w:color w:val="auto"/>
              </w:rPr>
            </w:pPr>
            <w:r>
              <w:rPr>
                <w:rFonts w:ascii="Arial" w:cs="Arial" w:eastAsia="Arial" w:hAnsi="Arial"/>
                <w:sz w:val="13"/>
                <w:szCs w:val="13"/>
                <w:color w:val="auto"/>
                <w:w w:val="96"/>
              </w:rPr>
              <w:t>8.0:1</w:t>
            </w:r>
          </w:p>
        </w:tc>
        <w:tc>
          <w:tcPr>
            <w:tcW w:w="10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3"/>
                <w:szCs w:val="13"/>
                <w:color w:val="auto"/>
                <w:w w:val="89"/>
              </w:rPr>
              <w:t>7.7:1</w:t>
            </w:r>
          </w:p>
        </w:tc>
        <w:tc>
          <w:tcPr>
            <w:tcW w:w="0" w:type="dxa"/>
            <w:vAlign w:val="bottom"/>
          </w:tcPr>
          <w:p>
            <w:pPr>
              <w:spacing w:after="0"/>
              <w:rPr>
                <w:sz w:val="1"/>
                <w:szCs w:val="1"/>
                <w:color w:val="auto"/>
              </w:rPr>
            </w:pPr>
          </w:p>
        </w:tc>
      </w:tr>
      <w:tr>
        <w:trPr>
          <w:trHeight w:val="178"/>
        </w:trPr>
        <w:tc>
          <w:tcPr>
            <w:tcW w:w="36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December 31, 2020</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53,645</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55,249</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52,543</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33,753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31,204</w:t>
            </w:r>
          </w:p>
        </w:tc>
        <w:tc>
          <w:tcPr>
            <w:tcW w:w="1420" w:type="dxa"/>
            <w:vAlign w:val="bottom"/>
            <w:gridSpan w:val="2"/>
            <w:shd w:val="clear" w:color="auto" w:fill="CCEEFF"/>
          </w:tcPr>
          <w:p>
            <w:pPr>
              <w:jc w:val="center"/>
              <w:ind w:left="33"/>
              <w:spacing w:after="0"/>
              <w:rPr>
                <w:sz w:val="20"/>
                <w:szCs w:val="20"/>
                <w:color w:val="auto"/>
              </w:rPr>
            </w:pPr>
            <w:r>
              <w:rPr>
                <w:rFonts w:ascii="Arial" w:cs="Arial" w:eastAsia="Arial" w:hAnsi="Arial"/>
                <w:sz w:val="13"/>
                <w:szCs w:val="13"/>
                <w:color w:val="auto"/>
                <w:w w:val="96"/>
              </w:rPr>
              <w:t>8.4:1</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8.5:1</w:t>
            </w:r>
          </w:p>
        </w:tc>
        <w:tc>
          <w:tcPr>
            <w:tcW w:w="0" w:type="dxa"/>
            <w:vAlign w:val="bottom"/>
          </w:tcPr>
          <w:p>
            <w:pPr>
              <w:spacing w:after="0"/>
              <w:rPr>
                <w:sz w:val="1"/>
                <w:szCs w:val="1"/>
                <w:color w:val="auto"/>
              </w:rPr>
            </w:pPr>
          </w:p>
        </w:tc>
      </w:tr>
      <w:tr>
        <w:trPr>
          <w:trHeight w:val="172"/>
        </w:trPr>
        <w:tc>
          <w:tcPr>
            <w:tcW w:w="3640" w:type="dxa"/>
            <w:vAlign w:val="bottom"/>
            <w:gridSpan w:val="2"/>
          </w:tcPr>
          <w:p>
            <w:pPr>
              <w:ind w:left="20"/>
              <w:spacing w:after="0"/>
              <w:rPr>
                <w:sz w:val="20"/>
                <w:szCs w:val="20"/>
                <w:color w:val="auto"/>
              </w:rPr>
            </w:pPr>
            <w:r>
              <w:rPr>
                <w:rFonts w:ascii="Arial" w:cs="Arial" w:eastAsia="Arial" w:hAnsi="Arial"/>
                <w:sz w:val="13"/>
                <w:szCs w:val="13"/>
                <w:color w:val="auto"/>
              </w:rPr>
              <w:t>September 30, 2020</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61,008</w:t>
            </w:r>
          </w:p>
        </w:tc>
        <w:tc>
          <w:tcPr>
            <w:tcW w:w="22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69,628</w:t>
            </w:r>
          </w:p>
        </w:tc>
        <w:tc>
          <w:tcPr>
            <w:tcW w:w="30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54,558</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27,785</w:t>
            </w:r>
          </w:p>
        </w:tc>
        <w:tc>
          <w:tcPr>
            <w:tcW w:w="100" w:type="dxa"/>
            <w:vAlign w:val="bottom"/>
          </w:tcPr>
          <w:p>
            <w:pPr>
              <w:spacing w:after="0"/>
              <w:rPr>
                <w:sz w:val="14"/>
                <w:szCs w:val="14"/>
                <w:color w:val="auto"/>
              </w:rPr>
            </w:pPr>
          </w:p>
        </w:tc>
        <w:tc>
          <w:tcPr>
            <w:tcW w:w="160" w:type="dxa"/>
            <w:vAlign w:val="bottom"/>
          </w:tcPr>
          <w:p>
            <w:pPr>
              <w:jc w:val="right"/>
              <w:ind w:right="13"/>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29,460</w:t>
            </w:r>
          </w:p>
        </w:tc>
        <w:tc>
          <w:tcPr>
            <w:tcW w:w="1420" w:type="dxa"/>
            <w:vAlign w:val="bottom"/>
            <w:gridSpan w:val="2"/>
          </w:tcPr>
          <w:p>
            <w:pPr>
              <w:jc w:val="center"/>
              <w:ind w:left="33"/>
              <w:spacing w:after="0"/>
              <w:rPr>
                <w:sz w:val="20"/>
                <w:szCs w:val="20"/>
                <w:color w:val="auto"/>
              </w:rPr>
            </w:pPr>
            <w:r>
              <w:rPr>
                <w:rFonts w:ascii="Arial" w:cs="Arial" w:eastAsia="Arial" w:hAnsi="Arial"/>
                <w:sz w:val="13"/>
                <w:szCs w:val="13"/>
                <w:color w:val="auto"/>
                <w:w w:val="96"/>
              </w:rPr>
              <w:t>8.9:1</w:t>
            </w:r>
          </w:p>
        </w:tc>
        <w:tc>
          <w:tcPr>
            <w:tcW w:w="10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3"/>
                <w:szCs w:val="13"/>
                <w:color w:val="auto"/>
                <w:w w:val="89"/>
              </w:rPr>
              <w:t>8.8:1</w:t>
            </w:r>
          </w:p>
        </w:tc>
        <w:tc>
          <w:tcPr>
            <w:tcW w:w="0" w:type="dxa"/>
            <w:vAlign w:val="bottom"/>
          </w:tcPr>
          <w:p>
            <w:pPr>
              <w:spacing w:after="0"/>
              <w:rPr>
                <w:sz w:val="1"/>
                <w:szCs w:val="1"/>
                <w:color w:val="auto"/>
              </w:rPr>
            </w:pPr>
          </w:p>
        </w:tc>
      </w:tr>
      <w:tr>
        <w:trPr>
          <w:trHeight w:val="178"/>
        </w:trPr>
        <w:tc>
          <w:tcPr>
            <w:tcW w:w="36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June 30, 2020</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69,552</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72,399</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69,370</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15,662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3"/>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20,413</w:t>
            </w:r>
          </w:p>
        </w:tc>
        <w:tc>
          <w:tcPr>
            <w:tcW w:w="1420" w:type="dxa"/>
            <w:vAlign w:val="bottom"/>
            <w:gridSpan w:val="2"/>
            <w:shd w:val="clear" w:color="auto" w:fill="CCEEFF"/>
          </w:tcPr>
          <w:p>
            <w:pPr>
              <w:jc w:val="center"/>
              <w:ind w:left="33"/>
              <w:spacing w:after="0"/>
              <w:rPr>
                <w:sz w:val="20"/>
                <w:szCs w:val="20"/>
                <w:color w:val="auto"/>
              </w:rPr>
            </w:pPr>
            <w:r>
              <w:rPr>
                <w:rFonts w:ascii="Arial" w:cs="Arial" w:eastAsia="Arial" w:hAnsi="Arial"/>
                <w:sz w:val="13"/>
                <w:szCs w:val="13"/>
                <w:color w:val="auto"/>
                <w:w w:val="96"/>
              </w:rPr>
              <w:t>8.8:1</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9.2:1</w:t>
            </w:r>
          </w:p>
        </w:tc>
        <w:tc>
          <w:tcPr>
            <w:tcW w:w="0" w:type="dxa"/>
            <w:vAlign w:val="bottom"/>
          </w:tcPr>
          <w:p>
            <w:pPr>
              <w:spacing w:after="0"/>
              <w:rPr>
                <w:sz w:val="1"/>
                <w:szCs w:val="1"/>
                <w:color w:val="auto"/>
              </w:rPr>
            </w:pPr>
          </w:p>
        </w:tc>
      </w:tr>
      <w:tr>
        <w:trPr>
          <w:trHeight w:val="169"/>
        </w:trPr>
        <w:tc>
          <w:tcPr>
            <w:tcW w:w="3640" w:type="dxa"/>
            <w:vAlign w:val="bottom"/>
            <w:gridSpan w:val="2"/>
          </w:tcPr>
          <w:p>
            <w:pPr>
              <w:ind w:left="20"/>
              <w:spacing w:after="0"/>
              <w:rPr>
                <w:sz w:val="20"/>
                <w:szCs w:val="20"/>
                <w:color w:val="auto"/>
              </w:rPr>
            </w:pPr>
            <w:r>
              <w:rPr>
                <w:rFonts w:ascii="Arial" w:cs="Arial" w:eastAsia="Arial" w:hAnsi="Arial"/>
                <w:sz w:val="13"/>
                <w:szCs w:val="13"/>
                <w:color w:val="auto"/>
              </w:rPr>
              <w:t>March 31, 2020</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93,538</w:t>
            </w:r>
          </w:p>
        </w:tc>
        <w:tc>
          <w:tcPr>
            <w:tcW w:w="22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104,773</w:t>
            </w:r>
          </w:p>
        </w:tc>
        <w:tc>
          <w:tcPr>
            <w:tcW w:w="30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63,241</w:t>
            </w:r>
          </w:p>
        </w:tc>
        <w:tc>
          <w:tcPr>
            <w:tcW w:w="1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7,487</w:t>
            </w:r>
          </w:p>
        </w:tc>
        <w:tc>
          <w:tcPr>
            <w:tcW w:w="100" w:type="dxa"/>
            <w:vAlign w:val="bottom"/>
          </w:tcPr>
          <w:p>
            <w:pPr>
              <w:spacing w:after="0"/>
              <w:rPr>
                <w:sz w:val="14"/>
                <w:szCs w:val="14"/>
                <w:color w:val="auto"/>
              </w:rPr>
            </w:pPr>
          </w:p>
        </w:tc>
        <w:tc>
          <w:tcPr>
            <w:tcW w:w="160" w:type="dxa"/>
            <w:vAlign w:val="bottom"/>
          </w:tcPr>
          <w:p>
            <w:pPr>
              <w:jc w:val="right"/>
              <w:ind w:right="13"/>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20,648</w:t>
            </w:r>
          </w:p>
        </w:tc>
        <w:tc>
          <w:tcPr>
            <w:tcW w:w="1420" w:type="dxa"/>
            <w:vAlign w:val="bottom"/>
            <w:gridSpan w:val="2"/>
          </w:tcPr>
          <w:p>
            <w:pPr>
              <w:jc w:val="center"/>
              <w:ind w:left="33"/>
              <w:spacing w:after="0"/>
              <w:rPr>
                <w:sz w:val="20"/>
                <w:szCs w:val="20"/>
                <w:color w:val="auto"/>
              </w:rPr>
            </w:pPr>
            <w:r>
              <w:rPr>
                <w:rFonts w:ascii="Arial" w:cs="Arial" w:eastAsia="Arial" w:hAnsi="Arial"/>
                <w:sz w:val="13"/>
                <w:szCs w:val="13"/>
                <w:color w:val="auto"/>
                <w:w w:val="96"/>
              </w:rPr>
              <w:t>9.9:1</w:t>
            </w:r>
          </w:p>
        </w:tc>
        <w:tc>
          <w:tcPr>
            <w:tcW w:w="10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3"/>
                <w:szCs w:val="13"/>
                <w:color w:val="auto"/>
                <w:w w:val="89"/>
              </w:rPr>
              <w:t>9.4:1</w:t>
            </w:r>
          </w:p>
        </w:tc>
        <w:tc>
          <w:tcPr>
            <w:tcW w:w="0" w:type="dxa"/>
            <w:vAlign w:val="bottom"/>
          </w:tcPr>
          <w:p>
            <w:pPr>
              <w:spacing w:after="0"/>
              <w:rPr>
                <w:sz w:val="1"/>
                <w:szCs w:val="1"/>
                <w:color w:val="auto"/>
              </w:rPr>
            </w:pPr>
          </w:p>
        </w:tc>
      </w:tr>
    </w:tbl>
    <w:p>
      <w:pPr>
        <w:spacing w:after="0" w:line="97"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w:t>
      </w:r>
    </w:p>
    <w:p>
      <w:pPr>
        <w:spacing w:after="0" w:line="1" w:lineRule="exact"/>
        <w:rPr>
          <w:sz w:val="20"/>
          <w:szCs w:val="20"/>
          <w:color w:val="auto"/>
        </w:rPr>
      </w:pPr>
    </w:p>
    <w:p>
      <w:pPr>
        <w:ind w:left="600" w:hanging="300"/>
        <w:spacing w:after="0"/>
        <w:tabs>
          <w:tab w:leader="none" w:pos="6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Other debt includes debt of consolidated VIEs. Amounts exclude U.S. Treasury repo agreements.</w:t>
      </w:r>
    </w:p>
    <w:p>
      <w:pPr>
        <w:ind w:left="600" w:hanging="300"/>
        <w:spacing w:after="0"/>
        <w:tabs>
          <w:tab w:leader="none" w:pos="600" w:val="left"/>
        </w:tabs>
        <w:numPr>
          <w:ilvl w:val="0"/>
          <w:numId w:val="25"/>
        </w:numPr>
        <w:rPr>
          <w:rFonts w:ascii="Arial" w:cs="Arial" w:eastAsia="Arial" w:hAnsi="Arial"/>
          <w:sz w:val="13"/>
          <w:szCs w:val="13"/>
          <w:color w:val="auto"/>
        </w:rPr>
      </w:pPr>
      <w:r>
        <w:rPr>
          <w:rFonts w:ascii="Arial" w:cs="Arial" w:eastAsia="Arial" w:hAnsi="Arial"/>
          <w:sz w:val="13"/>
          <w:szCs w:val="13"/>
          <w:color w:val="auto"/>
        </w:rPr>
        <w:t>Daily average and ending net TBA position outstanding measured at cost.</w:t>
      </w:r>
    </w:p>
    <w:p>
      <w:pPr>
        <w:ind w:left="600" w:hanging="300"/>
        <w:spacing w:after="0" w:line="296" w:lineRule="auto"/>
        <w:tabs>
          <w:tab w:leader="none" w:pos="600" w:val="left"/>
        </w:tabs>
        <w:numPr>
          <w:ilvl w:val="0"/>
          <w:numId w:val="25"/>
        </w:numPr>
        <w:rPr>
          <w:rFonts w:ascii="Arial" w:cs="Arial" w:eastAsia="Arial" w:hAnsi="Arial"/>
          <w:sz w:val="12"/>
          <w:szCs w:val="12"/>
          <w:color w:val="auto"/>
        </w:rPr>
      </w:pPr>
      <w:r>
        <w:rPr>
          <w:rFonts w:ascii="Arial" w:cs="Arial" w:eastAsia="Arial" w:hAnsi="Arial"/>
          <w:sz w:val="12"/>
          <w:szCs w:val="12"/>
          <w:color w:val="auto"/>
        </w:rPr>
        <w:t>Average tangible net book value "at risk" leverage during the period represents the sum of our daily weighted average repurchase agreements and other debt used to fund acquisitions of investment securities and net TBA and forward settling securities position outstanding, divided by the sum of our average month-ended stockholders' equity, adjusted to exclude goodwill.</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019" w:right="339" w:bottom="1440" w:gutter="0" w:footer="0" w:header="0"/>
        </w:sectPr>
      </w:pPr>
    </w:p>
    <w:bookmarkStart w:id="35" w:name="page36"/>
    <w:bookmarkEnd w:id="35"/>
    <w:p>
      <w:pPr>
        <w:jc w:val="both"/>
        <w:ind w:left="600" w:hanging="300"/>
        <w:spacing w:after="0" w:line="256" w:lineRule="auto"/>
        <w:tabs>
          <w:tab w:leader="none" w:pos="600" w:val="left"/>
        </w:tabs>
        <w:numPr>
          <w:ilvl w:val="0"/>
          <w:numId w:val="26"/>
        </w:numPr>
        <w:rPr>
          <w:rFonts w:ascii="Arial" w:cs="Arial" w:eastAsia="Arial" w:hAnsi="Arial"/>
          <w:sz w:val="13"/>
          <w:szCs w:val="13"/>
          <w:color w:val="auto"/>
        </w:rPr>
      </w:pPr>
      <w:r>
        <w:rPr>
          <w:rFonts w:ascii="Arial" w:cs="Arial" w:eastAsia="Arial" w:hAnsi="Arial"/>
          <w:sz w:val="13"/>
          <w:szCs w:val="13"/>
          <w:color w:val="auto"/>
        </w:rPr>
        <w:t>Tangible net book value "at risk" leverage as of period end represents the sum of our repurchase agreements and other debt used to fund acquisitions of investments securities, net TBA and forward settling securities position (at cost), and net receivable/payable for unsettled investment securities outstanding as of period end, divided by total stockholders' equity, adjusted to exclude goodwill as of period end.</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Economic Interest Expense and Aggregate Cost of Funds</w:t>
      </w:r>
    </w:p>
    <w:p>
      <w:pPr>
        <w:spacing w:after="0" w:line="154" w:lineRule="exact"/>
        <w:rPr>
          <w:sz w:val="20"/>
          <w:szCs w:val="20"/>
          <w:color w:val="auto"/>
        </w:rPr>
      </w:pPr>
    </w:p>
    <w:p>
      <w:pPr>
        <w:jc w:val="both"/>
        <w:ind w:firstLine="375"/>
        <w:spacing w:after="0" w:line="255" w:lineRule="auto"/>
        <w:rPr>
          <w:sz w:val="20"/>
          <w:szCs w:val="20"/>
          <w:color w:val="auto"/>
        </w:rPr>
      </w:pPr>
      <w:r>
        <w:rPr>
          <w:rFonts w:ascii="Arial" w:cs="Arial" w:eastAsia="Arial" w:hAnsi="Arial"/>
          <w:sz w:val="17"/>
          <w:szCs w:val="17"/>
          <w:color w:val="auto"/>
        </w:rPr>
        <w:t>The following table summarizes our economic interest expense and aggregate cost of funds (non-GAAP measures) for the three and six months ended June 30, 2021 and 2020 (dollars in millions), which includes the combination of interest expense on Agency repurchase agreements and other debt (GAAP measure), implied financing cost (benefit) of our TBA securities and interest rate swap periodic interest cost (income):</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5"/>
          </w:tcPr>
          <w:p>
            <w:pPr>
              <w:ind w:left="40"/>
              <w:spacing w:after="0"/>
              <w:rPr>
                <w:sz w:val="20"/>
                <w:szCs w:val="20"/>
                <w:color w:val="auto"/>
              </w:rPr>
            </w:pPr>
            <w:r>
              <w:rPr>
                <w:rFonts w:ascii="Arial" w:cs="Arial" w:eastAsia="Arial" w:hAnsi="Arial"/>
                <w:sz w:val="13"/>
                <w:szCs w:val="13"/>
                <w:b w:val="1"/>
                <w:bCs w:val="1"/>
                <w:color w:val="auto"/>
                <w:w w:val="93"/>
              </w:rPr>
              <w:t>Three Months Ended June 30,</w:t>
            </w: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7"/>
          </w:tcPr>
          <w:p>
            <w:pPr>
              <w:jc w:val="right"/>
              <w:ind w:right="913"/>
              <w:spacing w:after="0"/>
              <w:rPr>
                <w:sz w:val="20"/>
                <w:szCs w:val="20"/>
                <w:color w:val="auto"/>
              </w:rPr>
            </w:pPr>
            <w:r>
              <w:rPr>
                <w:rFonts w:ascii="Arial" w:cs="Arial" w:eastAsia="Arial" w:hAnsi="Arial"/>
                <w:sz w:val="13"/>
                <w:szCs w:val="13"/>
                <w:b w:val="1"/>
                <w:bCs w:val="1"/>
                <w:color w:val="auto"/>
                <w:w w:val="98"/>
              </w:rPr>
              <w:t>Six Months Ended June 30,</w:t>
            </w:r>
          </w:p>
        </w:tc>
        <w:tc>
          <w:tcPr>
            <w:tcW w:w="0" w:type="dxa"/>
            <w:vAlign w:val="bottom"/>
          </w:tcPr>
          <w:p>
            <w:pPr>
              <w:spacing w:after="0"/>
              <w:rPr>
                <w:sz w:val="1"/>
                <w:szCs w:val="1"/>
                <w:color w:val="auto"/>
              </w:rPr>
            </w:pPr>
          </w:p>
        </w:tc>
      </w:tr>
      <w:tr>
        <w:trPr>
          <w:trHeight w:val="170"/>
        </w:trPr>
        <w:tc>
          <w:tcPr>
            <w:tcW w:w="4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right"/>
              <w:ind w:right="653"/>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right"/>
              <w:ind w:right="653"/>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right"/>
              <w:ind w:right="673"/>
              <w:spacing w:after="0"/>
              <w:rPr>
                <w:sz w:val="20"/>
                <w:szCs w:val="20"/>
                <w:color w:val="auto"/>
              </w:rPr>
            </w:pPr>
            <w:r>
              <w:rPr>
                <w:rFonts w:ascii="Arial" w:cs="Arial" w:eastAsia="Arial" w:hAnsi="Arial"/>
                <w:sz w:val="13"/>
                <w:szCs w:val="13"/>
                <w:b w:val="1"/>
                <w:bCs w:val="1"/>
                <w:color w:val="auto"/>
              </w:rPr>
              <w:t>2021</w:t>
            </w: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jc w:val="right"/>
              <w:ind w:right="653"/>
              <w:spacing w:after="0"/>
              <w:rPr>
                <w:sz w:val="20"/>
                <w:szCs w:val="20"/>
                <w:color w:val="auto"/>
              </w:rPr>
            </w:pPr>
            <w:r>
              <w:rPr>
                <w:rFonts w:ascii="Arial" w:cs="Arial" w:eastAsia="Arial" w:hAnsi="Arial"/>
                <w:sz w:val="13"/>
                <w:szCs w:val="13"/>
                <w:b w:val="1"/>
                <w:bCs w:val="1"/>
                <w:color w:val="auto"/>
                <w:w w:val="89"/>
              </w:rPr>
              <w:t>2020</w:t>
            </w:r>
          </w:p>
        </w:tc>
        <w:tc>
          <w:tcPr>
            <w:tcW w:w="0" w:type="dxa"/>
            <w:vAlign w:val="bottom"/>
          </w:tcPr>
          <w:p>
            <w:pPr>
              <w:spacing w:after="0"/>
              <w:rPr>
                <w:sz w:val="1"/>
                <w:szCs w:val="1"/>
                <w:color w:val="auto"/>
              </w:rPr>
            </w:pPr>
          </w:p>
        </w:tc>
      </w:tr>
      <w:tr>
        <w:trPr>
          <w:trHeight w:val="170"/>
        </w:trPr>
        <w:tc>
          <w:tcPr>
            <w:tcW w:w="4140" w:type="dxa"/>
            <w:vAlign w:val="bottom"/>
            <w:gridSpan w:val="2"/>
          </w:tcPr>
          <w:p>
            <w:pPr>
              <w:ind w:left="20"/>
              <w:spacing w:after="0" w:line="170" w:lineRule="exact"/>
              <w:rPr>
                <w:sz w:val="20"/>
                <w:szCs w:val="20"/>
                <w:color w:val="auto"/>
              </w:rPr>
            </w:pPr>
            <w:r>
              <w:rPr>
                <w:rFonts w:ascii="Arial" w:cs="Arial" w:eastAsia="Arial" w:hAnsi="Arial"/>
                <w:sz w:val="13"/>
                <w:szCs w:val="13"/>
                <w:b w:val="1"/>
                <w:bCs w:val="1"/>
                <w:color w:val="auto"/>
              </w:rPr>
              <w:t xml:space="preserve">Economic Interest Expense and Aggregate Cost of Funds </w:t>
            </w:r>
            <w:r>
              <w:rPr>
                <w:rFonts w:ascii="Arial" w:cs="Arial" w:eastAsia="Arial" w:hAnsi="Arial"/>
                <w:sz w:val="17"/>
                <w:szCs w:val="17"/>
                <w:b w:val="1"/>
                <w:bCs w:val="1"/>
                <w:color w:val="auto"/>
                <w:vertAlign w:val="superscript"/>
              </w:rPr>
              <w:t>1</w:t>
            </w:r>
          </w:p>
        </w:tc>
        <w:tc>
          <w:tcPr>
            <w:tcW w:w="10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w w:val="89"/>
              </w:rPr>
              <w:t>Cost of Funds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w w:val="91"/>
              </w:rPr>
              <w:t>Cost of Funds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w w:val="91"/>
              </w:rPr>
              <w:t>Cost of Funds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ind w:right="33"/>
              <w:spacing w:after="0"/>
              <w:rPr>
                <w:sz w:val="20"/>
                <w:szCs w:val="20"/>
                <w:color w:val="auto"/>
              </w:rPr>
            </w:pPr>
            <w:r>
              <w:rPr>
                <w:rFonts w:ascii="Arial" w:cs="Arial" w:eastAsia="Arial" w:hAnsi="Arial"/>
                <w:sz w:val="13"/>
                <w:szCs w:val="13"/>
                <w:b w:val="1"/>
                <w:bCs w:val="1"/>
                <w:color w:val="auto"/>
                <w:w w:val="97"/>
              </w:rPr>
              <w:t>Amount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w w:val="93"/>
              </w:rPr>
              <w:t>Cost of Funds</w:t>
            </w:r>
          </w:p>
        </w:tc>
        <w:tc>
          <w:tcPr>
            <w:tcW w:w="0" w:type="dxa"/>
            <w:vAlign w:val="bottom"/>
          </w:tcPr>
          <w:p>
            <w:pPr>
              <w:spacing w:after="0"/>
              <w:rPr>
                <w:sz w:val="1"/>
                <w:szCs w:val="1"/>
                <w:color w:val="auto"/>
              </w:rPr>
            </w:pPr>
          </w:p>
        </w:tc>
      </w:tr>
      <w:tr>
        <w:trPr>
          <w:trHeight w:val="167"/>
        </w:trPr>
        <w:tc>
          <w:tcPr>
            <w:tcW w:w="40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w w:val="92"/>
              </w:rPr>
              <w:t>Repurchase agreement and other debt - interest expense (GAAP measure)</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10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0.13 %</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134</w:t>
            </w:r>
          </w:p>
        </w:tc>
        <w:tc>
          <w:tcPr>
            <w:tcW w:w="10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0.76 %</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tcBorders>
            <w:shd w:val="clear" w:color="auto" w:fill="CCEEFF"/>
          </w:tcPr>
          <w:p>
            <w:pPr>
              <w:jc w:val="center"/>
              <w:ind w:left="333"/>
              <w:spacing w:after="0"/>
              <w:rPr>
                <w:sz w:val="20"/>
                <w:szCs w:val="20"/>
                <w:color w:val="auto"/>
              </w:rPr>
            </w:pPr>
            <w:r>
              <w:rPr>
                <w:rFonts w:ascii="Arial" w:cs="Arial" w:eastAsia="Arial" w:hAnsi="Arial"/>
                <w:sz w:val="13"/>
                <w:szCs w:val="13"/>
                <w:color w:val="auto"/>
                <w:w w:val="96"/>
              </w:rPr>
              <w:t>46</w:t>
            </w:r>
          </w:p>
        </w:tc>
        <w:tc>
          <w:tcPr>
            <w:tcW w:w="10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0.17 %</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560</w:t>
            </w:r>
          </w:p>
        </w:tc>
        <w:tc>
          <w:tcPr>
            <w:tcW w:w="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1.36 %</w:t>
            </w:r>
          </w:p>
        </w:tc>
        <w:tc>
          <w:tcPr>
            <w:tcW w:w="0" w:type="dxa"/>
            <w:vAlign w:val="bottom"/>
          </w:tcPr>
          <w:p>
            <w:pPr>
              <w:spacing w:after="0"/>
              <w:rPr>
                <w:sz w:val="1"/>
                <w:szCs w:val="1"/>
                <w:color w:val="auto"/>
              </w:rPr>
            </w:pPr>
          </w:p>
        </w:tc>
      </w:tr>
      <w:tr>
        <w:trPr>
          <w:trHeight w:val="175"/>
        </w:trPr>
        <w:tc>
          <w:tcPr>
            <w:tcW w:w="4140" w:type="dxa"/>
            <w:vAlign w:val="bottom"/>
            <w:tcBorders>
              <w:bottom w:val="single" w:sz="8" w:color="CCEEFF"/>
            </w:tcBorders>
            <w:gridSpan w:val="2"/>
          </w:tcPr>
          <w:p>
            <w:pPr>
              <w:ind w:left="20"/>
              <w:spacing w:after="0" w:line="175" w:lineRule="exact"/>
              <w:rPr>
                <w:sz w:val="20"/>
                <w:szCs w:val="20"/>
                <w:color w:val="auto"/>
              </w:rPr>
            </w:pPr>
            <w:r>
              <w:rPr>
                <w:rFonts w:ascii="Arial" w:cs="Arial" w:eastAsia="Arial" w:hAnsi="Arial"/>
                <w:sz w:val="13"/>
                <w:szCs w:val="13"/>
                <w:color w:val="auto"/>
              </w:rPr>
              <w:t xml:space="preserve">TBA dollar roll income - implied interest expense (benefit) </w:t>
            </w:r>
            <w:r>
              <w:rPr>
                <w:rFonts w:ascii="Arial" w:cs="Arial" w:eastAsia="Arial" w:hAnsi="Arial"/>
                <w:sz w:val="17"/>
                <w:szCs w:val="17"/>
                <w:color w:val="auto"/>
                <w:vertAlign w:val="superscript"/>
              </w:rPr>
              <w:t>2,3</w:t>
            </w: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w:t>
            </w:r>
          </w:p>
        </w:tc>
        <w:tc>
          <w:tcPr>
            <w:tcW w:w="10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(0.33)%</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w:t>
            </w:r>
          </w:p>
        </w:tc>
        <w:tc>
          <w:tcPr>
            <w:tcW w:w="10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(0.09)%</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left="293"/>
              <w:spacing w:after="0"/>
              <w:rPr>
                <w:sz w:val="20"/>
                <w:szCs w:val="20"/>
                <w:color w:val="auto"/>
              </w:rPr>
            </w:pPr>
            <w:r>
              <w:rPr>
                <w:rFonts w:ascii="Arial" w:cs="Arial" w:eastAsia="Arial" w:hAnsi="Arial"/>
                <w:sz w:val="13"/>
                <w:szCs w:val="13"/>
                <w:color w:val="auto"/>
                <w:w w:val="94"/>
              </w:rPr>
              <w:t>(61)</w:t>
            </w:r>
          </w:p>
        </w:tc>
        <w:tc>
          <w:tcPr>
            <w:tcW w:w="10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(0.41)%</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w:t>
            </w: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0.48 %</w:t>
            </w:r>
          </w:p>
        </w:tc>
        <w:tc>
          <w:tcPr>
            <w:tcW w:w="0" w:type="dxa"/>
            <w:vAlign w:val="bottom"/>
          </w:tcPr>
          <w:p>
            <w:pPr>
              <w:spacing w:after="0"/>
              <w:rPr>
                <w:sz w:val="1"/>
                <w:szCs w:val="1"/>
                <w:color w:val="auto"/>
              </w:rPr>
            </w:pPr>
          </w:p>
        </w:tc>
      </w:tr>
      <w:tr>
        <w:trPr>
          <w:trHeight w:val="105"/>
        </w:trPr>
        <w:tc>
          <w:tcPr>
            <w:tcW w:w="4140" w:type="dxa"/>
            <w:vAlign w:val="bottom"/>
            <w:gridSpan w:val="2"/>
            <w:shd w:val="clear" w:color="auto" w:fill="CCEEFF"/>
          </w:tcPr>
          <w:p>
            <w:pPr>
              <w:ind w:left="160"/>
              <w:spacing w:after="0" w:line="105" w:lineRule="exact"/>
              <w:rPr>
                <w:sz w:val="20"/>
                <w:szCs w:val="20"/>
                <w:color w:val="auto"/>
              </w:rPr>
            </w:pPr>
            <w:r>
              <w:rPr>
                <w:rFonts w:ascii="Arial" w:cs="Arial" w:eastAsia="Arial" w:hAnsi="Arial"/>
                <w:sz w:val="12"/>
                <w:szCs w:val="12"/>
                <w:color w:val="auto"/>
              </w:rPr>
              <w:t>Economic interest expense - before interest rate swap periodic cost</w:t>
            </w:r>
          </w:p>
        </w:tc>
        <w:tc>
          <w:tcPr>
            <w:tcW w:w="10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9"/>
                <w:szCs w:val="9"/>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(0.03)%</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130</w:t>
            </w:r>
          </w:p>
        </w:tc>
        <w:tc>
          <w:tcPr>
            <w:tcW w:w="100" w:type="dxa"/>
            <w:vAlign w:val="bottom"/>
            <w:shd w:val="clear" w:color="auto" w:fill="CCEEFF"/>
          </w:tcPr>
          <w:p>
            <w:pPr>
              <w:spacing w:after="0"/>
              <w:rPr>
                <w:sz w:val="9"/>
                <w:szCs w:val="9"/>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0.61 %</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center"/>
              <w:ind w:left="293"/>
              <w:spacing w:after="0"/>
              <w:rPr>
                <w:sz w:val="20"/>
                <w:szCs w:val="20"/>
                <w:color w:val="auto"/>
              </w:rPr>
            </w:pPr>
            <w:r>
              <w:rPr>
                <w:rFonts w:ascii="Arial" w:cs="Arial" w:eastAsia="Arial" w:hAnsi="Arial"/>
                <w:sz w:val="13"/>
                <w:szCs w:val="13"/>
                <w:color w:val="auto"/>
                <w:w w:val="94"/>
              </w:rPr>
              <w:t>(15)</w:t>
            </w:r>
          </w:p>
        </w:tc>
        <w:tc>
          <w:tcPr>
            <w:tcW w:w="100" w:type="dxa"/>
            <w:vAlign w:val="bottom"/>
            <w:shd w:val="clear" w:color="auto" w:fill="CCEEFF"/>
          </w:tcPr>
          <w:p>
            <w:pPr>
              <w:spacing w:after="0"/>
              <w:rPr>
                <w:sz w:val="9"/>
                <w:szCs w:val="9"/>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(0.04)%</w:t>
            </w: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588</w:t>
            </w:r>
          </w:p>
        </w:tc>
        <w:tc>
          <w:tcPr>
            <w:tcW w:w="1000" w:type="dxa"/>
            <w:vAlign w:val="bottom"/>
            <w:gridSpan w:val="3"/>
            <w:vMerge w:val="restart"/>
            <w:shd w:val="clear" w:color="auto" w:fill="CCEEFF"/>
          </w:tcPr>
          <w:p>
            <w:pPr>
              <w:jc w:val="right"/>
              <w:spacing w:after="0"/>
              <w:rPr>
                <w:sz w:val="20"/>
                <w:szCs w:val="20"/>
                <w:color w:val="auto"/>
              </w:rPr>
            </w:pPr>
            <w:r>
              <w:rPr>
                <w:rFonts w:ascii="Arial" w:cs="Arial" w:eastAsia="Arial" w:hAnsi="Arial"/>
                <w:sz w:val="13"/>
                <w:szCs w:val="13"/>
                <w:color w:val="auto"/>
              </w:rPr>
              <w:t>1.25 %</w:t>
            </w:r>
          </w:p>
        </w:tc>
        <w:tc>
          <w:tcPr>
            <w:tcW w:w="0" w:type="dxa"/>
            <w:vAlign w:val="bottom"/>
          </w:tcPr>
          <w:p>
            <w:pPr>
              <w:spacing w:after="0"/>
              <w:rPr>
                <w:sz w:val="1"/>
                <w:szCs w:val="1"/>
                <w:color w:val="auto"/>
              </w:rPr>
            </w:pPr>
          </w:p>
        </w:tc>
      </w:tr>
      <w:tr>
        <w:trPr>
          <w:trHeight w:val="175"/>
        </w:trPr>
        <w:tc>
          <w:tcPr>
            <w:tcW w:w="4140" w:type="dxa"/>
            <w:vAlign w:val="bottom"/>
            <w:gridSpan w:val="2"/>
            <w:shd w:val="clear" w:color="auto" w:fill="CCEEFF"/>
          </w:tcPr>
          <w:p>
            <w:pPr>
              <w:ind w:left="160"/>
              <w:spacing w:after="0" w:line="175" w:lineRule="exact"/>
              <w:rPr>
                <w:sz w:val="20"/>
                <w:szCs w:val="20"/>
                <w:color w:val="auto"/>
              </w:rPr>
            </w:pPr>
            <w:r>
              <w:rPr>
                <w:rFonts w:ascii="Arial" w:cs="Arial" w:eastAsia="Arial" w:hAnsi="Arial"/>
                <w:sz w:val="13"/>
                <w:szCs w:val="13"/>
                <w:color w:val="auto"/>
              </w:rPr>
              <w:t xml:space="preserve">(income), net </w:t>
            </w:r>
            <w:r>
              <w:rPr>
                <w:rFonts w:ascii="Arial" w:cs="Arial" w:eastAsia="Arial" w:hAnsi="Arial"/>
                <w:sz w:val="17"/>
                <w:szCs w:val="17"/>
                <w:color w:val="auto"/>
                <w:vertAlign w:val="superscript"/>
              </w:rPr>
              <w:t>4</w:t>
            </w:r>
          </w:p>
        </w:tc>
        <w:tc>
          <w:tcPr>
            <w:tcW w:w="10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vMerge w:val="continue"/>
            <w:shd w:val="clear" w:color="auto" w:fill="CCEEFF"/>
          </w:tcPr>
          <w:p>
            <w:pPr>
              <w:spacing w:after="0"/>
              <w:rPr>
                <w:sz w:val="15"/>
                <w:szCs w:val="15"/>
                <w:color w:val="auto"/>
              </w:rPr>
            </w:pPr>
          </w:p>
        </w:tc>
        <w:tc>
          <w:tcPr>
            <w:tcW w:w="1000" w:type="dxa"/>
            <w:vAlign w:val="bottom"/>
            <w:gridSpan w:val="3"/>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140" w:type="dxa"/>
            <w:vAlign w:val="bottom"/>
            <w:gridSpan w:val="2"/>
          </w:tcPr>
          <w:p>
            <w:pPr>
              <w:ind w:left="20"/>
              <w:spacing w:after="0" w:line="175" w:lineRule="exact"/>
              <w:rPr>
                <w:sz w:val="20"/>
                <w:szCs w:val="20"/>
                <w:color w:val="auto"/>
              </w:rPr>
            </w:pPr>
            <w:r>
              <w:rPr>
                <w:rFonts w:ascii="Arial" w:cs="Arial" w:eastAsia="Arial" w:hAnsi="Arial"/>
                <w:sz w:val="13"/>
                <w:szCs w:val="13"/>
                <w:color w:val="auto"/>
              </w:rPr>
              <w:t xml:space="preserve">Interest rate swap periodic interest expense </w:t>
            </w:r>
            <w:r>
              <w:rPr>
                <w:rFonts w:ascii="Arial" w:cs="Arial" w:eastAsia="Arial" w:hAnsi="Arial"/>
                <w:sz w:val="17"/>
                <w:szCs w:val="17"/>
                <w:color w:val="auto"/>
                <w:vertAlign w:val="superscript"/>
              </w:rPr>
              <w:t>2,5</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19</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0.09 %</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59</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0.27 %</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center"/>
              <w:ind w:left="333"/>
              <w:spacing w:after="0"/>
              <w:rPr>
                <w:sz w:val="20"/>
                <w:szCs w:val="20"/>
                <w:color w:val="auto"/>
              </w:rPr>
            </w:pPr>
            <w:r>
              <w:rPr>
                <w:rFonts w:ascii="Arial" w:cs="Arial" w:eastAsia="Arial" w:hAnsi="Arial"/>
                <w:sz w:val="13"/>
                <w:szCs w:val="13"/>
                <w:color w:val="auto"/>
                <w:w w:val="96"/>
              </w:rPr>
              <w:t>31</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0.07 %</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28</w:t>
            </w:r>
          </w:p>
        </w:tc>
        <w:tc>
          <w:tcPr>
            <w:tcW w:w="1000" w:type="dxa"/>
            <w:vAlign w:val="bottom"/>
            <w:gridSpan w:val="3"/>
          </w:tcPr>
          <w:p>
            <w:pPr>
              <w:jc w:val="right"/>
              <w:spacing w:after="0"/>
              <w:rPr>
                <w:sz w:val="20"/>
                <w:szCs w:val="20"/>
                <w:color w:val="auto"/>
              </w:rPr>
            </w:pPr>
            <w:r>
              <w:rPr>
                <w:rFonts w:ascii="Arial" w:cs="Arial" w:eastAsia="Arial" w:hAnsi="Arial"/>
                <w:sz w:val="13"/>
                <w:szCs w:val="13"/>
                <w:color w:val="auto"/>
              </w:rPr>
              <w:t>0.06 %</w:t>
            </w:r>
          </w:p>
        </w:tc>
        <w:tc>
          <w:tcPr>
            <w:tcW w:w="0" w:type="dxa"/>
            <w:vAlign w:val="bottom"/>
          </w:tcPr>
          <w:p>
            <w:pPr>
              <w:spacing w:after="0"/>
              <w:rPr>
                <w:sz w:val="1"/>
                <w:szCs w:val="1"/>
                <w:color w:val="auto"/>
              </w:rPr>
            </w:pPr>
          </w:p>
        </w:tc>
      </w:tr>
      <w:tr>
        <w:trPr>
          <w:trHeight w:val="192"/>
        </w:trPr>
        <w:tc>
          <w:tcPr>
            <w:tcW w:w="414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Arial" w:cs="Arial" w:eastAsia="Arial" w:hAnsi="Arial"/>
                <w:sz w:val="13"/>
                <w:szCs w:val="13"/>
                <w:color w:val="auto"/>
              </w:rPr>
              <w:t>Total economic interest expense (non-GAAP measure)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0.06 %</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0.88 %</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shd w:val="clear" w:color="auto" w:fill="CCEEFF"/>
          </w:tcPr>
          <w:p>
            <w:pPr>
              <w:jc w:val="center"/>
              <w:ind w:left="333"/>
              <w:spacing w:after="0"/>
              <w:rPr>
                <w:sz w:val="20"/>
                <w:szCs w:val="20"/>
                <w:color w:val="auto"/>
              </w:rPr>
            </w:pPr>
            <w:r>
              <w:rPr>
                <w:rFonts w:ascii="Arial" w:cs="Arial" w:eastAsia="Arial" w:hAnsi="Arial"/>
                <w:sz w:val="13"/>
                <w:szCs w:val="13"/>
                <w:color w:val="auto"/>
                <w:w w:val="96"/>
              </w:rPr>
              <w:t>16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0.03 %</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616</w:t>
            </w:r>
          </w:p>
        </w:tc>
        <w:tc>
          <w:tcPr>
            <w:tcW w:w="40" w:type="dxa"/>
            <w:vAlign w:val="bottom"/>
            <w:tcBorders>
              <w:top w:val="single" w:sz="8" w:color="auto"/>
              <w:bottom w:val="single" w:sz="8" w:color="auto"/>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1.31 %</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20"/>
        <w:spacing w:after="0"/>
        <w:rPr>
          <w:sz w:val="20"/>
          <w:szCs w:val="20"/>
          <w:color w:val="auto"/>
        </w:rPr>
      </w:pPr>
      <w:r>
        <w:rPr>
          <w:rFonts w:ascii="Arial" w:cs="Arial" w:eastAsia="Arial" w:hAnsi="Arial"/>
          <w:sz w:val="10"/>
          <w:szCs w:val="10"/>
          <w:color w:val="auto"/>
        </w:rPr>
        <w:t>________________________________</w:t>
      </w:r>
    </w:p>
    <w:p>
      <w:pPr>
        <w:spacing w:after="0" w:line="1" w:lineRule="exact"/>
        <w:rPr>
          <w:sz w:val="20"/>
          <w:szCs w:val="20"/>
          <w:color w:val="auto"/>
        </w:rPr>
      </w:pPr>
    </w:p>
    <w:p>
      <w:pPr>
        <w:ind w:left="600" w:hanging="300"/>
        <w:spacing w:after="0"/>
        <w:tabs>
          <w:tab w:leader="none" w:pos="6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Amounts exclude interest rate swap termination fees and variation margin settlements paid or received, forward starting swaps and the impact of other supplemental hedges, such as swaptions and U.S. Treasury positions.</w:t>
      </w:r>
    </w:p>
    <w:p>
      <w:pPr>
        <w:ind w:left="600" w:hanging="300"/>
        <w:spacing w:after="0"/>
        <w:tabs>
          <w:tab w:leader="none" w:pos="6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Reported in gain (loss) on derivative instruments and other securities, net in our consolidated statements of comprehensive income.</w:t>
      </w:r>
    </w:p>
    <w:p>
      <w:pPr>
        <w:jc w:val="both"/>
        <w:ind w:left="600" w:hanging="300"/>
        <w:spacing w:after="0"/>
        <w:tabs>
          <w:tab w:leader="none" w:pos="6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The implied funding cost (benefit) of TBA dollar roll transactions is determined using the price differential, or "price drop," between the TBA price for current month settlement versus the TBA price for forward month settlement and market based assumptions regarding the "cheapest-to-deliver" collateral that can be delivered to satisfy the TBA contract, such as the anticipated collateral’s weighted average coupon, weighted average maturity and projected 1-month CPR. The average implied funding cost (benefit) for all TBA transactions is weighted based on our daily average TBA balance outstanding for the period.</w:t>
      </w:r>
    </w:p>
    <w:p>
      <w:pPr>
        <w:spacing w:after="0" w:line="1" w:lineRule="exact"/>
        <w:rPr>
          <w:rFonts w:ascii="Arial" w:cs="Arial" w:eastAsia="Arial" w:hAnsi="Arial"/>
          <w:sz w:val="13"/>
          <w:szCs w:val="13"/>
          <w:color w:val="auto"/>
        </w:rPr>
      </w:pPr>
    </w:p>
    <w:p>
      <w:pPr>
        <w:ind w:left="600" w:hanging="300"/>
        <w:spacing w:after="0"/>
        <w:tabs>
          <w:tab w:leader="none" w:pos="6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The combined cost of funds for total mortgage borrowings outstanding, before interest rate swap costs, is calculated on a weighted average basis based on average repo, other debt and TBA balances outstanding during the period and their respective cost of funds.</w:t>
      </w:r>
    </w:p>
    <w:p>
      <w:pPr>
        <w:ind w:left="600" w:hanging="300"/>
        <w:spacing w:after="0"/>
        <w:tabs>
          <w:tab w:leader="none" w:pos="600" w:val="left"/>
        </w:tabs>
        <w:numPr>
          <w:ilvl w:val="0"/>
          <w:numId w:val="27"/>
        </w:numPr>
        <w:rPr>
          <w:rFonts w:ascii="Arial" w:cs="Arial" w:eastAsia="Arial" w:hAnsi="Arial"/>
          <w:sz w:val="13"/>
          <w:szCs w:val="13"/>
          <w:color w:val="auto"/>
        </w:rPr>
      </w:pPr>
      <w:r>
        <w:rPr>
          <w:rFonts w:ascii="Arial" w:cs="Arial" w:eastAsia="Arial" w:hAnsi="Arial"/>
          <w:sz w:val="13"/>
          <w:szCs w:val="13"/>
          <w:color w:val="auto"/>
        </w:rPr>
        <w:t>Interest rate swap periodic interest expense is measured as a percent of average mortgage borrowings outstanding for the period.</w:t>
      </w:r>
    </w:p>
    <w:p>
      <w:pPr>
        <w:spacing w:after="0" w:line="219" w:lineRule="exact"/>
        <w:rPr>
          <w:sz w:val="20"/>
          <w:szCs w:val="20"/>
          <w:color w:val="auto"/>
        </w:rPr>
      </w:pPr>
    </w:p>
    <w:p>
      <w:pPr>
        <w:jc w:val="both"/>
        <w:ind w:firstLine="412"/>
        <w:spacing w:after="0" w:line="252" w:lineRule="auto"/>
        <w:rPr>
          <w:sz w:val="20"/>
          <w:szCs w:val="20"/>
          <w:color w:val="auto"/>
        </w:rPr>
      </w:pPr>
      <w:r>
        <w:rPr>
          <w:rFonts w:ascii="Arial" w:cs="Arial" w:eastAsia="Arial" w:hAnsi="Arial"/>
          <w:sz w:val="17"/>
          <w:szCs w:val="17"/>
          <w:color w:val="auto"/>
        </w:rPr>
        <w:t>The principal elements impacting our economic interest expense are (i) the size of our average mortgage borrowings and interest rate swap portfolio outstanding during the period, (ii) the average interest rate (actual and implied) on our mortgage borrowings and (iii) the average net interest rate paid/received on our interest rate swaps. The following table includes a summary of the estimated impact of these elements on our economic interest expense for the three and six months ended June 30, 2021 compared to the prior year period (in millions):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Impact of Changes in the Principal Elements of Economic 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213995</wp:posOffset>
            </wp:positionH>
            <wp:positionV relativeFrom="paragraph">
              <wp:posOffset>20955</wp:posOffset>
            </wp:positionV>
            <wp:extent cx="6713855"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713855" cy="7620"/>
                    </a:xfrm>
                    <a:prstGeom prst="rect">
                      <a:avLst/>
                    </a:prstGeom>
                    <a:noFill/>
                  </pic:spPr>
                </pic:pic>
              </a:graphicData>
            </a:graphic>
          </wp:anchor>
        </w:drawing>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Periods ended June 30, 2021 vs. June 30, 2020</w:t>
      </w:r>
    </w:p>
    <w:p>
      <w:pPr>
        <w:spacing w:after="0" w:line="23" w:lineRule="exact"/>
        <w:rPr>
          <w:sz w:val="20"/>
          <w:szCs w:val="20"/>
          <w:color w:val="auto"/>
        </w:rPr>
      </w:pPr>
    </w:p>
    <w:tbl>
      <w:tblPr>
        <w:tblLayout w:type="fixed"/>
        <w:tblInd w:w="340" w:type="dxa"/>
        <w:tblCellMar>
          <w:top w:w="0" w:type="dxa"/>
          <w:left w:w="0" w:type="dxa"/>
          <w:bottom w:w="0" w:type="dxa"/>
          <w:right w:w="0" w:type="dxa"/>
        </w:tblCellMar>
      </w:tblPr>
      <w:tr>
        <w:trPr>
          <w:trHeight w:val="175"/>
        </w:trPr>
        <w:tc>
          <w:tcPr>
            <w:tcW w:w="62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2240" w:type="dxa"/>
            <w:vAlign w:val="bottom"/>
            <w:tcBorders>
              <w:top w:val="single" w:sz="8" w:color="auto"/>
              <w:bottom w:val="single" w:sz="8" w:color="auto"/>
            </w:tcBorders>
            <w:gridSpan w:val="3"/>
          </w:tcPr>
          <w:p>
            <w:pPr>
              <w:ind w:left="580"/>
              <w:spacing w:after="0"/>
              <w:rPr>
                <w:sz w:val="20"/>
                <w:szCs w:val="20"/>
                <w:color w:val="auto"/>
              </w:rPr>
            </w:pPr>
            <w:r>
              <w:rPr>
                <w:rFonts w:ascii="Arial" w:cs="Arial" w:eastAsia="Arial" w:hAnsi="Arial"/>
                <w:sz w:val="13"/>
                <w:szCs w:val="13"/>
                <w:b w:val="1"/>
                <w:bCs w:val="1"/>
                <w:color w:val="auto"/>
              </w:rPr>
              <w:t>Due to Change in Average</w:t>
            </w:r>
          </w:p>
        </w:tc>
        <w:tc>
          <w:tcPr>
            <w:tcW w:w="520" w:type="dxa"/>
            <w:vAlign w:val="bottom"/>
            <w:tcBorders>
              <w:top w:val="single" w:sz="8" w:color="auto"/>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6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20" w:type="dxa"/>
            <w:vAlign w:val="bottom"/>
            <w:gridSpan w:val="2"/>
          </w:tcPr>
          <w:p>
            <w:pPr>
              <w:jc w:val="center"/>
              <w:ind w:right="280"/>
              <w:spacing w:after="0" w:line="120" w:lineRule="exact"/>
              <w:rPr>
                <w:sz w:val="20"/>
                <w:szCs w:val="20"/>
                <w:color w:val="auto"/>
              </w:rPr>
            </w:pPr>
            <w:r>
              <w:rPr>
                <w:rFonts w:ascii="Arial" w:cs="Arial" w:eastAsia="Arial" w:hAnsi="Arial"/>
                <w:sz w:val="13"/>
                <w:szCs w:val="13"/>
                <w:b w:val="1"/>
                <w:bCs w:val="1"/>
                <w:color w:val="auto"/>
                <w:w w:val="92"/>
              </w:rPr>
              <w:t>Total Increase /</w:t>
            </w:r>
          </w:p>
        </w:tc>
        <w:tc>
          <w:tcPr>
            <w:tcW w:w="120" w:type="dxa"/>
            <w:vAlign w:val="bottom"/>
          </w:tcPr>
          <w:p>
            <w:pPr>
              <w:spacing w:after="0"/>
              <w:rPr>
                <w:sz w:val="10"/>
                <w:szCs w:val="10"/>
                <w:color w:val="auto"/>
              </w:rPr>
            </w:pPr>
          </w:p>
        </w:tc>
        <w:tc>
          <w:tcPr>
            <w:tcW w:w="1360" w:type="dxa"/>
            <w:vAlign w:val="bottom"/>
            <w:gridSpan w:val="2"/>
          </w:tcPr>
          <w:p>
            <w:pPr>
              <w:jc w:val="center"/>
              <w:ind w:right="220"/>
              <w:spacing w:after="0" w:line="120" w:lineRule="exact"/>
              <w:rPr>
                <w:sz w:val="20"/>
                <w:szCs w:val="20"/>
                <w:color w:val="auto"/>
              </w:rPr>
            </w:pPr>
            <w:r>
              <w:rPr>
                <w:rFonts w:ascii="Arial" w:cs="Arial" w:eastAsia="Arial" w:hAnsi="Arial"/>
                <w:sz w:val="13"/>
                <w:szCs w:val="13"/>
                <w:b w:val="1"/>
                <w:bCs w:val="1"/>
                <w:color w:val="auto"/>
                <w:w w:val="92"/>
              </w:rPr>
              <w:t>Borrowing / Swap</w:t>
            </w:r>
          </w:p>
        </w:tc>
        <w:tc>
          <w:tcPr>
            <w:tcW w:w="140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w w:val="94"/>
              </w:rPr>
              <w:t>Borrowing / Swap Rate</w:t>
            </w:r>
          </w:p>
        </w:tc>
        <w:tc>
          <w:tcPr>
            <w:tcW w:w="0" w:type="dxa"/>
            <w:vAlign w:val="bottom"/>
          </w:tcPr>
          <w:p>
            <w:pPr>
              <w:spacing w:after="0"/>
              <w:rPr>
                <w:sz w:val="1"/>
                <w:szCs w:val="1"/>
                <w:color w:val="auto"/>
              </w:rPr>
            </w:pPr>
          </w:p>
        </w:tc>
      </w:tr>
      <w:tr>
        <w:trPr>
          <w:trHeight w:val="174"/>
        </w:trPr>
        <w:tc>
          <w:tcPr>
            <w:tcW w:w="6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0"/>
              </w:rPr>
              <w:t>(Decrease)</w:t>
            </w:r>
          </w:p>
        </w:tc>
        <w:tc>
          <w:tcPr>
            <w:tcW w:w="120" w:type="dxa"/>
            <w:vAlign w:val="bottom"/>
          </w:tcPr>
          <w:p>
            <w:pPr>
              <w:spacing w:after="0"/>
              <w:rPr>
                <w:sz w:val="15"/>
                <w:szCs w:val="15"/>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Balance</w:t>
            </w:r>
          </w:p>
        </w:tc>
        <w:tc>
          <w:tcPr>
            <w:tcW w:w="14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6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Three months ended:</w:t>
            </w:r>
          </w:p>
        </w:tc>
        <w:tc>
          <w:tcPr>
            <w:tcW w:w="18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6200" w:type="dxa"/>
            <w:vAlign w:val="bottom"/>
          </w:tcPr>
          <w:p>
            <w:pPr>
              <w:ind w:left="20"/>
              <w:spacing w:after="0"/>
              <w:rPr>
                <w:sz w:val="20"/>
                <w:szCs w:val="20"/>
                <w:color w:val="auto"/>
              </w:rPr>
            </w:pPr>
            <w:r>
              <w:rPr>
                <w:rFonts w:ascii="Arial" w:cs="Arial" w:eastAsia="Arial" w:hAnsi="Arial"/>
                <w:sz w:val="13"/>
                <w:szCs w:val="13"/>
                <w:color w:val="auto"/>
              </w:rPr>
              <w:t>Repurchase agreements and other debt interest expense</w:t>
            </w:r>
          </w:p>
        </w:tc>
        <w:tc>
          <w:tcPr>
            <w:tcW w:w="18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1220" w:type="dxa"/>
            <w:vAlign w:val="bottom"/>
          </w:tcPr>
          <w:p>
            <w:pPr>
              <w:jc w:val="right"/>
              <w:spacing w:after="0"/>
              <w:rPr>
                <w:sz w:val="20"/>
                <w:szCs w:val="20"/>
                <w:color w:val="auto"/>
              </w:rPr>
            </w:pPr>
            <w:r>
              <w:rPr>
                <w:rFonts w:ascii="Arial" w:cs="Arial" w:eastAsia="Arial" w:hAnsi="Arial"/>
                <w:sz w:val="13"/>
                <w:szCs w:val="13"/>
                <w:color w:val="auto"/>
              </w:rPr>
              <w:t>(117)</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tcPr>
          <w:p>
            <w:pPr>
              <w:jc w:val="right"/>
              <w:spacing w:after="0"/>
              <w:rPr>
                <w:sz w:val="20"/>
                <w:szCs w:val="20"/>
                <w:color w:val="auto"/>
              </w:rPr>
            </w:pPr>
            <w:r>
              <w:rPr>
                <w:rFonts w:ascii="Arial" w:cs="Arial" w:eastAsia="Arial" w:hAnsi="Arial"/>
                <w:sz w:val="13"/>
                <w:szCs w:val="13"/>
                <w:color w:val="auto"/>
              </w:rPr>
              <w:t>(33)</w:t>
            </w:r>
          </w:p>
        </w:tc>
        <w:tc>
          <w:tcPr>
            <w:tcW w:w="100" w:type="dxa"/>
            <w:vAlign w:val="bottom"/>
          </w:tcPr>
          <w:p>
            <w:pPr>
              <w:spacing w:after="0"/>
              <w:rPr>
                <w:sz w:val="14"/>
                <w:szCs w:val="1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(84)</w:t>
            </w:r>
          </w:p>
        </w:tc>
        <w:tc>
          <w:tcPr>
            <w:tcW w:w="0" w:type="dxa"/>
            <w:vAlign w:val="bottom"/>
          </w:tcPr>
          <w:p>
            <w:pPr>
              <w:spacing w:after="0"/>
              <w:rPr>
                <w:sz w:val="1"/>
                <w:szCs w:val="1"/>
                <w:color w:val="auto"/>
              </w:rPr>
            </w:pPr>
          </w:p>
        </w:tc>
      </w:tr>
      <w:tr>
        <w:trPr>
          <w:trHeight w:val="178"/>
        </w:trPr>
        <w:tc>
          <w:tcPr>
            <w:tcW w:w="6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TBA dollar roll income - implied interest benefit/expense</w:t>
            </w:r>
          </w:p>
        </w:tc>
        <w:tc>
          <w:tcPr>
            <w:tcW w:w="18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72"/>
        </w:trPr>
        <w:tc>
          <w:tcPr>
            <w:tcW w:w="62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Interest rate swap periodic interest expense</w:t>
            </w:r>
          </w:p>
        </w:tc>
        <w:tc>
          <w:tcPr>
            <w:tcW w:w="1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w:t>
            </w:r>
          </w:p>
        </w:tc>
        <w:tc>
          <w:tcPr>
            <w:tcW w:w="10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w:t>
            </w:r>
          </w:p>
        </w:tc>
        <w:tc>
          <w:tcPr>
            <w:tcW w:w="0" w:type="dxa"/>
            <w:vAlign w:val="bottom"/>
          </w:tcPr>
          <w:p>
            <w:pPr>
              <w:spacing w:after="0"/>
              <w:rPr>
                <w:sz w:val="1"/>
                <w:szCs w:val="1"/>
                <w:color w:val="auto"/>
              </w:rPr>
            </w:pPr>
          </w:p>
        </w:tc>
      </w:tr>
      <w:tr>
        <w:trPr>
          <w:trHeight w:val="196"/>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 change in economic interest expense</w:t>
            </w:r>
          </w:p>
        </w:tc>
        <w:tc>
          <w:tcPr>
            <w:tcW w:w="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(176)</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w:t>
            </w:r>
          </w:p>
        </w:tc>
        <w:tc>
          <w:tcPr>
            <w:tcW w:w="1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(147)</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tbl>
      <w:tblPr>
        <w:tblLayout w:type="fixed"/>
        <w:tblInd w:w="340" w:type="dxa"/>
        <w:tblCellMar>
          <w:top w:w="0" w:type="dxa"/>
          <w:left w:w="0" w:type="dxa"/>
          <w:bottom w:w="0" w:type="dxa"/>
          <w:right w:w="0" w:type="dxa"/>
        </w:tblCellMar>
      </w:tblPr>
      <w:tr>
        <w:trPr>
          <w:trHeight w:val="175"/>
        </w:trPr>
        <w:tc>
          <w:tcPr>
            <w:tcW w:w="6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2240" w:type="dxa"/>
            <w:vAlign w:val="bottom"/>
            <w:tcBorders>
              <w:bottom w:val="single" w:sz="8" w:color="auto"/>
            </w:tcBorders>
            <w:gridSpan w:val="3"/>
            <w:shd w:val="clear" w:color="auto" w:fill="CCEEFF"/>
          </w:tcPr>
          <w:p>
            <w:pPr>
              <w:jc w:val="right"/>
              <w:ind w:right="113"/>
              <w:spacing w:after="0"/>
              <w:rPr>
                <w:sz w:val="20"/>
                <w:szCs w:val="20"/>
                <w:color w:val="auto"/>
              </w:rPr>
            </w:pPr>
            <w:r>
              <w:rPr>
                <w:rFonts w:ascii="Arial" w:cs="Arial" w:eastAsia="Arial" w:hAnsi="Arial"/>
                <w:sz w:val="13"/>
                <w:szCs w:val="13"/>
                <w:b w:val="1"/>
                <w:bCs w:val="1"/>
                <w:color w:val="auto"/>
              </w:rPr>
              <w:t>Due to Change in Average</w:t>
            </w:r>
          </w:p>
        </w:tc>
        <w:tc>
          <w:tcPr>
            <w:tcW w:w="52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Six months ended:</w:t>
            </w:r>
          </w:p>
        </w:tc>
        <w:tc>
          <w:tcPr>
            <w:tcW w:w="180" w:type="dxa"/>
            <w:vAlign w:val="bottom"/>
          </w:tcPr>
          <w:p>
            <w:pPr>
              <w:spacing w:after="0"/>
              <w:rPr>
                <w:sz w:val="10"/>
                <w:szCs w:val="10"/>
                <w:color w:val="auto"/>
              </w:rPr>
            </w:pPr>
          </w:p>
        </w:tc>
        <w:tc>
          <w:tcPr>
            <w:tcW w:w="1320" w:type="dxa"/>
            <w:vAlign w:val="bottom"/>
            <w:gridSpan w:val="2"/>
          </w:tcPr>
          <w:p>
            <w:pPr>
              <w:jc w:val="center"/>
              <w:ind w:right="280"/>
              <w:spacing w:after="0" w:line="118" w:lineRule="exact"/>
              <w:rPr>
                <w:sz w:val="20"/>
                <w:szCs w:val="20"/>
                <w:color w:val="auto"/>
              </w:rPr>
            </w:pPr>
            <w:r>
              <w:rPr>
                <w:rFonts w:ascii="Arial" w:cs="Arial" w:eastAsia="Arial" w:hAnsi="Arial"/>
                <w:sz w:val="13"/>
                <w:szCs w:val="13"/>
                <w:b w:val="1"/>
                <w:bCs w:val="1"/>
                <w:color w:val="auto"/>
                <w:w w:val="92"/>
              </w:rPr>
              <w:t>Total Increase /</w:t>
            </w:r>
          </w:p>
        </w:tc>
        <w:tc>
          <w:tcPr>
            <w:tcW w:w="120" w:type="dxa"/>
            <w:vAlign w:val="bottom"/>
          </w:tcPr>
          <w:p>
            <w:pPr>
              <w:spacing w:after="0"/>
              <w:rPr>
                <w:sz w:val="10"/>
                <w:szCs w:val="10"/>
                <w:color w:val="auto"/>
              </w:rPr>
            </w:pPr>
          </w:p>
        </w:tc>
        <w:tc>
          <w:tcPr>
            <w:tcW w:w="1360" w:type="dxa"/>
            <w:vAlign w:val="bottom"/>
            <w:gridSpan w:val="2"/>
          </w:tcPr>
          <w:p>
            <w:pPr>
              <w:jc w:val="center"/>
              <w:ind w:right="220"/>
              <w:spacing w:after="0" w:line="118" w:lineRule="exact"/>
              <w:rPr>
                <w:sz w:val="20"/>
                <w:szCs w:val="20"/>
                <w:color w:val="auto"/>
              </w:rPr>
            </w:pPr>
            <w:r>
              <w:rPr>
                <w:rFonts w:ascii="Arial" w:cs="Arial" w:eastAsia="Arial" w:hAnsi="Arial"/>
                <w:sz w:val="13"/>
                <w:szCs w:val="13"/>
                <w:b w:val="1"/>
                <w:bCs w:val="1"/>
                <w:color w:val="auto"/>
                <w:w w:val="92"/>
              </w:rPr>
              <w:t>Borrowing / Swap</w:t>
            </w:r>
          </w:p>
        </w:tc>
        <w:tc>
          <w:tcPr>
            <w:tcW w:w="140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w w:val="94"/>
              </w:rPr>
              <w:t>Borrowing / Swap Rate</w:t>
            </w:r>
          </w:p>
        </w:tc>
        <w:tc>
          <w:tcPr>
            <w:tcW w:w="0" w:type="dxa"/>
            <w:vAlign w:val="bottom"/>
          </w:tcPr>
          <w:p>
            <w:pPr>
              <w:spacing w:after="0"/>
              <w:rPr>
                <w:sz w:val="1"/>
                <w:szCs w:val="1"/>
                <w:color w:val="auto"/>
              </w:rPr>
            </w:pPr>
          </w:p>
        </w:tc>
      </w:tr>
      <w:tr>
        <w:trPr>
          <w:trHeight w:val="174"/>
        </w:trPr>
        <w:tc>
          <w:tcPr>
            <w:tcW w:w="62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0"/>
              </w:rPr>
              <w:t>(Decrease)</w:t>
            </w:r>
          </w:p>
        </w:tc>
        <w:tc>
          <w:tcPr>
            <w:tcW w:w="120" w:type="dxa"/>
            <w:vAlign w:val="bottom"/>
          </w:tcPr>
          <w:p>
            <w:pPr>
              <w:spacing w:after="0"/>
              <w:rPr>
                <w:sz w:val="15"/>
                <w:szCs w:val="15"/>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Balance</w:t>
            </w:r>
          </w:p>
        </w:tc>
        <w:tc>
          <w:tcPr>
            <w:tcW w:w="14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Repurchase agreements and other debt interest expense</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(514)</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(193)</w:t>
            </w:r>
          </w:p>
        </w:tc>
        <w:tc>
          <w:tcPr>
            <w:tcW w:w="10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jc w:val="right"/>
              <w:ind w:right="733"/>
              <w:spacing w:after="0"/>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(321)</w:t>
            </w:r>
          </w:p>
        </w:tc>
        <w:tc>
          <w:tcPr>
            <w:tcW w:w="0" w:type="dxa"/>
            <w:vAlign w:val="bottom"/>
          </w:tcPr>
          <w:p>
            <w:pPr>
              <w:spacing w:after="0"/>
              <w:rPr>
                <w:sz w:val="1"/>
                <w:szCs w:val="1"/>
                <w:color w:val="auto"/>
              </w:rPr>
            </w:pPr>
          </w:p>
        </w:tc>
      </w:tr>
      <w:tr>
        <w:trPr>
          <w:trHeight w:val="172"/>
        </w:trPr>
        <w:tc>
          <w:tcPr>
            <w:tcW w:w="6200" w:type="dxa"/>
            <w:vAlign w:val="bottom"/>
            <w:gridSpan w:val="2"/>
          </w:tcPr>
          <w:p>
            <w:pPr>
              <w:ind w:left="20"/>
              <w:spacing w:after="0"/>
              <w:rPr>
                <w:sz w:val="20"/>
                <w:szCs w:val="20"/>
                <w:color w:val="auto"/>
              </w:rPr>
            </w:pPr>
            <w:r>
              <w:rPr>
                <w:rFonts w:ascii="Arial" w:cs="Arial" w:eastAsia="Arial" w:hAnsi="Arial"/>
                <w:sz w:val="13"/>
                <w:szCs w:val="13"/>
                <w:color w:val="auto"/>
              </w:rPr>
              <w:t>TBA dollar roll income - implied interest expense</w:t>
            </w:r>
          </w:p>
        </w:tc>
        <w:tc>
          <w:tcPr>
            <w:tcW w:w="1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(89)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44</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(133)</w:t>
            </w:r>
          </w:p>
        </w:tc>
        <w:tc>
          <w:tcPr>
            <w:tcW w:w="0" w:type="dxa"/>
            <w:vAlign w:val="bottom"/>
          </w:tcPr>
          <w:p>
            <w:pPr>
              <w:spacing w:after="0"/>
              <w:rPr>
                <w:sz w:val="1"/>
                <w:szCs w:val="1"/>
                <w:color w:val="auto"/>
              </w:rPr>
            </w:pPr>
          </w:p>
        </w:tc>
      </w:tr>
      <w:tr>
        <w:trPr>
          <w:trHeight w:val="175"/>
        </w:trPr>
        <w:tc>
          <w:tcPr>
            <w:tcW w:w="620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Interest rate swap periodic interest expense</w:t>
            </w:r>
          </w:p>
        </w:tc>
        <w:tc>
          <w:tcPr>
            <w:tcW w:w="18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71"/>
        </w:trPr>
        <w:tc>
          <w:tcPr>
            <w:tcW w:w="6200" w:type="dxa"/>
            <w:vAlign w:val="bottom"/>
            <w:gridSpan w:val="2"/>
          </w:tcPr>
          <w:p>
            <w:pPr>
              <w:ind w:left="20"/>
              <w:spacing w:after="0"/>
              <w:rPr>
                <w:sz w:val="20"/>
                <w:szCs w:val="20"/>
                <w:color w:val="auto"/>
              </w:rPr>
            </w:pPr>
            <w:r>
              <w:rPr>
                <w:rFonts w:ascii="Arial" w:cs="Arial" w:eastAsia="Arial" w:hAnsi="Arial"/>
                <w:sz w:val="13"/>
                <w:szCs w:val="13"/>
                <w:color w:val="auto"/>
              </w:rPr>
              <w:t>Total change in economic interest expense</w:t>
            </w:r>
          </w:p>
        </w:tc>
        <w:tc>
          <w:tcPr>
            <w:tcW w:w="18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(600)</w:t>
            </w:r>
          </w:p>
        </w:tc>
        <w:tc>
          <w:tcPr>
            <w:tcW w:w="10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(154)</w:t>
            </w:r>
          </w:p>
        </w:tc>
        <w:tc>
          <w:tcPr>
            <w:tcW w:w="100" w:type="dxa"/>
            <w:vAlign w:val="bottom"/>
          </w:tcPr>
          <w:p>
            <w:pPr>
              <w:spacing w:after="0"/>
              <w:rPr>
                <w:sz w:val="14"/>
                <w:szCs w:val="14"/>
                <w:color w:val="auto"/>
              </w:rPr>
            </w:pPr>
          </w:p>
        </w:tc>
        <w:tc>
          <w:tcPr>
            <w:tcW w:w="880" w:type="dxa"/>
            <w:vAlign w:val="bottom"/>
            <w:tcBorders>
              <w:bottom w:val="single" w:sz="8" w:color="auto"/>
            </w:tcBorders>
          </w:tcPr>
          <w:p>
            <w:pPr>
              <w:jc w:val="right"/>
              <w:ind w:right="733"/>
              <w:spacing w:after="0"/>
              <w:rPr>
                <w:sz w:val="20"/>
                <w:szCs w:val="20"/>
                <w:color w:val="auto"/>
              </w:rPr>
            </w:pPr>
            <w:r>
              <w:rPr>
                <w:rFonts w:ascii="Arial" w:cs="Arial" w:eastAsia="Arial" w:hAnsi="Arial"/>
                <w:sz w:val="13"/>
                <w:szCs w:val="13"/>
                <w:color w:val="auto"/>
                <w:w w:val="82"/>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(446)</w:t>
            </w: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7" w:lineRule="exact"/>
        <w:rPr>
          <w:sz w:val="20"/>
          <w:szCs w:val="20"/>
          <w:color w:val="auto"/>
        </w:rPr>
      </w:pPr>
    </w:p>
    <w:p>
      <w:pPr>
        <w:jc w:val="both"/>
        <w:ind w:firstLine="412"/>
        <w:spacing w:after="0" w:line="255" w:lineRule="auto"/>
        <w:rPr>
          <w:sz w:val="20"/>
          <w:szCs w:val="20"/>
          <w:color w:val="auto"/>
        </w:rPr>
      </w:pPr>
      <w:r>
        <w:rPr>
          <w:rFonts w:ascii="Arial" w:cs="Arial" w:eastAsia="Arial" w:hAnsi="Arial"/>
          <w:sz w:val="17"/>
          <w:szCs w:val="17"/>
          <w:color w:val="auto"/>
        </w:rPr>
        <w:t>Our average mortgage borrowings, inclusive of TBAs, decreased 6% and 10% for the three and six months ended June 30, 2021, respectively, compared to the prior year period, consistent with the decline in our average investment portfolio. The decline in the average interest rate (actual and implied) on our mortgage borrowings for the three and six months ended June 30,</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836" w:right="339" w:bottom="1440" w:gutter="0" w:footer="0" w:header="0"/>
        </w:sectPr>
      </w:pPr>
    </w:p>
    <w:bookmarkStart w:id="36" w:name="page37"/>
    <w:bookmarkEnd w:id="36"/>
    <w:p>
      <w:pPr>
        <w:jc w:val="both"/>
        <w:spacing w:after="0" w:line="266" w:lineRule="auto"/>
        <w:rPr>
          <w:sz w:val="20"/>
          <w:szCs w:val="20"/>
          <w:color w:val="auto"/>
        </w:rPr>
      </w:pPr>
      <w:r>
        <w:rPr>
          <w:rFonts w:ascii="Arial" w:cs="Arial" w:eastAsia="Arial" w:hAnsi="Arial"/>
          <w:sz w:val="17"/>
          <w:szCs w:val="17"/>
          <w:color w:val="auto"/>
        </w:rPr>
        <w:t>2021 of 82 basis points and 128 basis points, respectively, was due to the combination of lower short-term interest rates and favorable technical supply and demand factors in the repo and TBA dollar roll markets.</w:t>
      </w:r>
    </w:p>
    <w:p>
      <w:pPr>
        <w:spacing w:after="0" w:line="117" w:lineRule="exact"/>
        <w:rPr>
          <w:sz w:val="20"/>
          <w:szCs w:val="20"/>
          <w:color w:val="auto"/>
        </w:rPr>
      </w:pPr>
    </w:p>
    <w:p>
      <w:pPr>
        <w:jc w:val="both"/>
        <w:ind w:firstLine="375"/>
        <w:spacing w:after="0" w:line="292" w:lineRule="auto"/>
        <w:rPr>
          <w:sz w:val="20"/>
          <w:szCs w:val="20"/>
          <w:color w:val="auto"/>
        </w:rPr>
      </w:pPr>
      <w:r>
        <w:rPr>
          <w:rFonts w:ascii="Arial" w:cs="Arial" w:eastAsia="Arial" w:hAnsi="Arial"/>
          <w:sz w:val="15"/>
          <w:szCs w:val="15"/>
          <w:color w:val="auto"/>
        </w:rPr>
        <w:t>The change in our interest rate swap periodic cost for the three and six months ended June 30, 2021 was due to the combination of the change in our average swap balance outstanding and the change in the average fixed rate paid and floating rate received on our interest rate swaps as compared to the prior year periods. The following is a summary of each of these factors for the three and six months ended June 30, 2021 as compared to the prior year periods (dollars in millions):</w:t>
      </w:r>
    </w:p>
    <w:tbl>
      <w:tblPr>
        <w:tblLayout w:type="fixed"/>
        <w:tblInd w:w="0" w:type="dxa"/>
        <w:tblCellMar>
          <w:top w:w="0" w:type="dxa"/>
          <w:left w:w="0" w:type="dxa"/>
          <w:bottom w:w="0" w:type="dxa"/>
          <w:right w:w="0" w:type="dxa"/>
        </w:tblCellMar>
      </w:tblPr>
      <w:tr>
        <w:trPr>
          <w:trHeight w:val="133"/>
        </w:trPr>
        <w:tc>
          <w:tcPr>
            <w:tcW w:w="6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120" w:type="dxa"/>
            <w:vAlign w:val="bottom"/>
            <w:gridSpan w:val="5"/>
          </w:tcPr>
          <w:p>
            <w:pPr>
              <w:ind w:left="280"/>
              <w:spacing w:after="0" w:line="133" w:lineRule="exact"/>
              <w:rPr>
                <w:sz w:val="20"/>
                <w:szCs w:val="20"/>
                <w:color w:val="auto"/>
              </w:rPr>
            </w:pPr>
            <w:r>
              <w:rPr>
                <w:rFonts w:ascii="Arial" w:cs="Arial" w:eastAsia="Arial" w:hAnsi="Arial"/>
                <w:sz w:val="13"/>
                <w:szCs w:val="13"/>
                <w:b w:val="1"/>
                <w:bCs w:val="1"/>
                <w:color w:val="auto"/>
              </w:rPr>
              <w:t>Three Months Ended</w:t>
            </w:r>
          </w:p>
        </w:tc>
        <w:tc>
          <w:tcPr>
            <w:tcW w:w="260" w:type="dxa"/>
            <w:vAlign w:val="bottom"/>
          </w:tcPr>
          <w:p>
            <w:pPr>
              <w:spacing w:after="0"/>
              <w:rPr>
                <w:sz w:val="11"/>
                <w:szCs w:val="11"/>
                <w:color w:val="auto"/>
              </w:rPr>
            </w:pPr>
          </w:p>
        </w:tc>
        <w:tc>
          <w:tcPr>
            <w:tcW w:w="2040" w:type="dxa"/>
            <w:vAlign w:val="bottom"/>
            <w:gridSpan w:val="4"/>
          </w:tcPr>
          <w:p>
            <w:pPr>
              <w:jc w:val="right"/>
              <w:ind w:right="553"/>
              <w:spacing w:after="0" w:line="133" w:lineRule="exact"/>
              <w:rPr>
                <w:sz w:val="20"/>
                <w:szCs w:val="20"/>
                <w:color w:val="auto"/>
              </w:rPr>
            </w:pPr>
            <w:r>
              <w:rPr>
                <w:rFonts w:ascii="Arial" w:cs="Arial" w:eastAsia="Arial" w:hAnsi="Arial"/>
                <w:sz w:val="13"/>
                <w:szCs w:val="13"/>
                <w:b w:val="1"/>
                <w:bCs w:val="1"/>
                <w:color w:val="auto"/>
              </w:rPr>
              <w:t>Six Months Ended</w:t>
            </w:r>
          </w:p>
        </w:tc>
      </w:tr>
      <w:tr>
        <w:trPr>
          <w:trHeight w:val="173"/>
        </w:trPr>
        <w:tc>
          <w:tcPr>
            <w:tcW w:w="6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jc w:val="right"/>
              <w:ind w:right="53"/>
              <w:spacing w:after="0"/>
              <w:rPr>
                <w:sz w:val="20"/>
                <w:szCs w:val="20"/>
                <w:color w:val="auto"/>
              </w:rPr>
            </w:pPr>
            <w:r>
              <w:rPr>
                <w:rFonts w:ascii="Arial" w:cs="Arial" w:eastAsia="Arial" w:hAnsi="Arial"/>
                <w:sz w:val="13"/>
                <w:szCs w:val="13"/>
                <w:b w:val="1"/>
                <w:bCs w:val="1"/>
                <w:color w:val="auto"/>
              </w:rPr>
              <w:t>June 30,</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3"/>
          </w:tcPr>
          <w:p>
            <w:pPr>
              <w:jc w:val="right"/>
              <w:ind w:right="53"/>
              <w:spacing w:after="0"/>
              <w:rPr>
                <w:sz w:val="20"/>
                <w:szCs w:val="20"/>
                <w:color w:val="auto"/>
              </w:rPr>
            </w:pPr>
            <w:r>
              <w:rPr>
                <w:rFonts w:ascii="Arial" w:cs="Arial" w:eastAsia="Arial" w:hAnsi="Arial"/>
                <w:sz w:val="13"/>
                <w:szCs w:val="13"/>
                <w:b w:val="1"/>
                <w:bCs w:val="1"/>
                <w:color w:val="auto"/>
              </w:rPr>
              <w:t>June 30,</w:t>
            </w:r>
          </w:p>
        </w:tc>
        <w:tc>
          <w:tcPr>
            <w:tcW w:w="780" w:type="dxa"/>
            <w:vAlign w:val="bottom"/>
            <w:tcBorders>
              <w:bottom w:val="single" w:sz="8" w:color="auto"/>
            </w:tcBorders>
          </w:tcPr>
          <w:p>
            <w:pPr>
              <w:spacing w:after="0"/>
              <w:rPr>
                <w:sz w:val="15"/>
                <w:szCs w:val="15"/>
                <w:color w:val="auto"/>
              </w:rPr>
            </w:pPr>
          </w:p>
        </w:tc>
      </w:tr>
      <w:tr>
        <w:trPr>
          <w:trHeight w:val="169"/>
        </w:trPr>
        <w:tc>
          <w:tcPr>
            <w:tcW w:w="6560" w:type="dxa"/>
            <w:vAlign w:val="bottom"/>
            <w:gridSpan w:val="2"/>
          </w:tcPr>
          <w:p>
            <w:pPr>
              <w:ind w:left="20"/>
              <w:spacing w:after="0"/>
              <w:rPr>
                <w:sz w:val="20"/>
                <w:szCs w:val="20"/>
                <w:color w:val="auto"/>
              </w:rPr>
            </w:pPr>
            <w:r>
              <w:rPr>
                <w:rFonts w:ascii="Arial" w:cs="Arial" w:eastAsia="Arial" w:hAnsi="Arial"/>
                <w:sz w:val="13"/>
                <w:szCs w:val="13"/>
                <w:b w:val="1"/>
                <w:bCs w:val="1"/>
                <w:color w:val="auto"/>
                <w:w w:val="94"/>
              </w:rPr>
              <w:t>Average Ratio of Interest Rate Swaps (Excluding Forward Starting Swaps) to Mortgage Borrowings Outstanding</w:t>
            </w:r>
          </w:p>
        </w:tc>
        <w:tc>
          <w:tcPr>
            <w:tcW w:w="260" w:type="dxa"/>
            <w:vAlign w:val="bottom"/>
          </w:tcPr>
          <w:p>
            <w:pPr>
              <w:spacing w:after="0"/>
              <w:rPr>
                <w:sz w:val="14"/>
                <w:szCs w:val="14"/>
                <w:color w:val="auto"/>
              </w:rPr>
            </w:pPr>
          </w:p>
        </w:tc>
        <w:tc>
          <w:tcPr>
            <w:tcW w:w="840" w:type="dxa"/>
            <w:vAlign w:val="bottom"/>
          </w:tcPr>
          <w:p>
            <w:pPr>
              <w:jc w:val="right"/>
              <w:ind w:right="353"/>
              <w:spacing w:after="0"/>
              <w:rPr>
                <w:sz w:val="20"/>
                <w:szCs w:val="20"/>
                <w:color w:val="auto"/>
              </w:rPr>
            </w:pPr>
            <w:r>
              <w:rPr>
                <w:rFonts w:ascii="Arial" w:cs="Arial" w:eastAsia="Arial" w:hAnsi="Arial"/>
                <w:sz w:val="13"/>
                <w:szCs w:val="13"/>
                <w:b w:val="1"/>
                <w:bCs w:val="1"/>
                <w:color w:val="auto"/>
              </w:rPr>
              <w:t>2021</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jc w:val="right"/>
              <w:ind w:right="333"/>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ind w:right="333"/>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jc w:val="right"/>
              <w:ind w:right="333"/>
              <w:spacing w:after="0"/>
              <w:rPr>
                <w:sz w:val="20"/>
                <w:szCs w:val="20"/>
                <w:color w:val="auto"/>
              </w:rPr>
            </w:pPr>
            <w:r>
              <w:rPr>
                <w:rFonts w:ascii="Arial" w:cs="Arial" w:eastAsia="Arial" w:hAnsi="Arial"/>
                <w:sz w:val="13"/>
                <w:szCs w:val="13"/>
                <w:b w:val="1"/>
                <w:bCs w:val="1"/>
                <w:color w:val="auto"/>
              </w:rPr>
              <w:t>2020</w:t>
            </w:r>
          </w:p>
        </w:tc>
      </w:tr>
      <w:tr>
        <w:trPr>
          <w:trHeight w:val="169"/>
        </w:trPr>
        <w:tc>
          <w:tcPr>
            <w:tcW w:w="6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Average Agency repo and other debt outstanding</w:t>
            </w: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13"/>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tcBorders>
            <w:shd w:val="clear" w:color="auto" w:fill="CCEEFF"/>
          </w:tcPr>
          <w:p>
            <w:pPr>
              <w:jc w:val="right"/>
              <w:ind w:right="93"/>
              <w:spacing w:after="0"/>
              <w:rPr>
                <w:sz w:val="20"/>
                <w:szCs w:val="20"/>
                <w:color w:val="auto"/>
              </w:rPr>
            </w:pPr>
            <w:r>
              <w:rPr>
                <w:rFonts w:ascii="Arial" w:cs="Arial" w:eastAsia="Arial" w:hAnsi="Arial"/>
                <w:sz w:val="13"/>
                <w:szCs w:val="13"/>
                <w:color w:val="auto"/>
              </w:rPr>
              <w:t>52,374</w:t>
            </w: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53"/>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tcBorders>
            <w:shd w:val="clear" w:color="auto" w:fill="CCEEFF"/>
          </w:tcPr>
          <w:p>
            <w:pPr>
              <w:jc w:val="right"/>
              <w:ind w:right="93"/>
              <w:spacing w:after="0"/>
              <w:rPr>
                <w:sz w:val="20"/>
                <w:szCs w:val="20"/>
                <w:color w:val="auto"/>
              </w:rPr>
            </w:pPr>
            <w:r>
              <w:rPr>
                <w:rFonts w:ascii="Arial" w:cs="Arial" w:eastAsia="Arial" w:hAnsi="Arial"/>
                <w:sz w:val="13"/>
                <w:szCs w:val="13"/>
                <w:color w:val="auto"/>
              </w:rPr>
              <w:t>69,552</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93"/>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auto"/>
            </w:tcBorders>
            <w:shd w:val="clear" w:color="auto" w:fill="CCEEFF"/>
          </w:tcPr>
          <w:p>
            <w:pPr>
              <w:jc w:val="right"/>
              <w:ind w:right="93"/>
              <w:spacing w:after="0"/>
              <w:rPr>
                <w:sz w:val="20"/>
                <w:szCs w:val="20"/>
                <w:color w:val="auto"/>
              </w:rPr>
            </w:pPr>
            <w:r>
              <w:rPr>
                <w:rFonts w:ascii="Arial" w:cs="Arial" w:eastAsia="Arial" w:hAnsi="Arial"/>
                <w:sz w:val="13"/>
                <w:szCs w:val="13"/>
                <w:color w:val="auto"/>
              </w:rPr>
              <w:t>53,482</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53"/>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tcBorders>
            <w:shd w:val="clear" w:color="auto" w:fill="CCEEFF"/>
          </w:tcPr>
          <w:p>
            <w:pPr>
              <w:jc w:val="right"/>
              <w:ind w:right="93"/>
              <w:spacing w:after="0"/>
              <w:rPr>
                <w:sz w:val="20"/>
                <w:szCs w:val="20"/>
                <w:color w:val="auto"/>
              </w:rPr>
            </w:pPr>
            <w:r>
              <w:rPr>
                <w:rFonts w:ascii="Arial" w:cs="Arial" w:eastAsia="Arial" w:hAnsi="Arial"/>
                <w:sz w:val="13"/>
                <w:szCs w:val="13"/>
                <w:color w:val="auto"/>
              </w:rPr>
              <w:t>81,545</w:t>
            </w:r>
          </w:p>
        </w:tc>
      </w:tr>
      <w:tr>
        <w:trPr>
          <w:trHeight w:val="172"/>
        </w:trPr>
        <w:tc>
          <w:tcPr>
            <w:tcW w:w="656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Average net TBA portfolio outstanding - at cost</w:t>
            </w:r>
          </w:p>
        </w:tc>
        <w:tc>
          <w:tcPr>
            <w:tcW w:w="26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28,082</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15,662</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30,041</w:t>
            </w: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11,575</w:t>
            </w:r>
          </w:p>
        </w:tc>
      </w:tr>
      <w:tr>
        <w:trPr>
          <w:trHeight w:val="171"/>
        </w:trPr>
        <w:tc>
          <w:tcPr>
            <w:tcW w:w="65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Average mortgage borrowings outstanding</w:t>
            </w:r>
          </w:p>
        </w:tc>
        <w:tc>
          <w:tcPr>
            <w:tcW w:w="26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80,456</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85,214</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83,523</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93,120</w:t>
            </w:r>
          </w:p>
        </w:tc>
      </w:tr>
      <w:tr>
        <w:trPr>
          <w:trHeight w:val="169"/>
        </w:trPr>
        <w:tc>
          <w:tcPr>
            <w:tcW w:w="6560" w:type="dxa"/>
            <w:vAlign w:val="bottom"/>
            <w:gridSpan w:val="2"/>
          </w:tcPr>
          <w:p>
            <w:pPr>
              <w:ind w:left="20"/>
              <w:spacing w:after="0"/>
              <w:rPr>
                <w:sz w:val="20"/>
                <w:szCs w:val="20"/>
                <w:color w:val="auto"/>
              </w:rPr>
            </w:pPr>
            <w:r>
              <w:rPr>
                <w:rFonts w:ascii="Arial" w:cs="Arial" w:eastAsia="Arial" w:hAnsi="Arial"/>
                <w:sz w:val="13"/>
                <w:szCs w:val="13"/>
                <w:color w:val="auto"/>
              </w:rPr>
              <w:t>Average notional amount of interest rate swaps outstanding (excluding forward starting swaps)</w:t>
            </w:r>
          </w:p>
        </w:tc>
        <w:tc>
          <w:tcPr>
            <w:tcW w:w="260" w:type="dxa"/>
            <w:vAlign w:val="bottom"/>
          </w:tcPr>
          <w:p>
            <w:pPr>
              <w:jc w:val="right"/>
              <w:ind w:right="113"/>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ind w:right="93"/>
              <w:spacing w:after="0"/>
              <w:rPr>
                <w:sz w:val="20"/>
                <w:szCs w:val="20"/>
                <w:color w:val="auto"/>
              </w:rPr>
            </w:pPr>
            <w:r>
              <w:rPr>
                <w:rFonts w:ascii="Arial" w:cs="Arial" w:eastAsia="Arial" w:hAnsi="Arial"/>
                <w:sz w:val="13"/>
                <w:szCs w:val="13"/>
                <w:color w:val="auto"/>
              </w:rPr>
              <w:t>49,725</w:t>
            </w:r>
          </w:p>
        </w:tc>
        <w:tc>
          <w:tcPr>
            <w:tcW w:w="80" w:type="dxa"/>
            <w:vAlign w:val="bottom"/>
          </w:tcPr>
          <w:p>
            <w:pPr>
              <w:spacing w:after="0"/>
              <w:rPr>
                <w:sz w:val="14"/>
                <w:szCs w:val="14"/>
                <w:color w:val="auto"/>
              </w:rPr>
            </w:pPr>
          </w:p>
        </w:tc>
        <w:tc>
          <w:tcPr>
            <w:tcW w:w="32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93"/>
              <w:spacing w:after="0"/>
              <w:rPr>
                <w:sz w:val="20"/>
                <w:szCs w:val="20"/>
                <w:color w:val="auto"/>
              </w:rPr>
            </w:pPr>
            <w:r>
              <w:rPr>
                <w:rFonts w:ascii="Arial" w:cs="Arial" w:eastAsia="Arial" w:hAnsi="Arial"/>
                <w:sz w:val="13"/>
                <w:szCs w:val="13"/>
                <w:color w:val="auto"/>
              </w:rPr>
              <w:t>44,173</w:t>
            </w:r>
          </w:p>
        </w:tc>
        <w:tc>
          <w:tcPr>
            <w:tcW w:w="100" w:type="dxa"/>
            <w:vAlign w:val="bottom"/>
          </w:tcPr>
          <w:p>
            <w:pPr>
              <w:spacing w:after="0"/>
              <w:rPr>
                <w:sz w:val="14"/>
                <w:szCs w:val="14"/>
                <w:color w:val="auto"/>
              </w:rPr>
            </w:pPr>
          </w:p>
        </w:tc>
        <w:tc>
          <w:tcPr>
            <w:tcW w:w="260" w:type="dxa"/>
            <w:vAlign w:val="bottom"/>
          </w:tcPr>
          <w:p>
            <w:pPr>
              <w:jc w:val="right"/>
              <w:ind w:right="93"/>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93"/>
              <w:spacing w:after="0"/>
              <w:rPr>
                <w:sz w:val="20"/>
                <w:szCs w:val="20"/>
                <w:color w:val="auto"/>
              </w:rPr>
            </w:pPr>
            <w:r>
              <w:rPr>
                <w:rFonts w:ascii="Arial" w:cs="Arial" w:eastAsia="Arial" w:hAnsi="Arial"/>
                <w:sz w:val="13"/>
                <w:szCs w:val="13"/>
                <w:color w:val="auto"/>
              </w:rPr>
              <w:t>47,480</w:t>
            </w:r>
          </w:p>
        </w:tc>
        <w:tc>
          <w:tcPr>
            <w:tcW w:w="100" w:type="dxa"/>
            <w:vAlign w:val="bottom"/>
          </w:tcPr>
          <w:p>
            <w:pPr>
              <w:spacing w:after="0"/>
              <w:rPr>
                <w:sz w:val="14"/>
                <w:szCs w:val="14"/>
                <w:color w:val="auto"/>
              </w:rPr>
            </w:pPr>
          </w:p>
        </w:tc>
        <w:tc>
          <w:tcPr>
            <w:tcW w:w="32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93"/>
              <w:spacing w:after="0"/>
              <w:rPr>
                <w:sz w:val="20"/>
                <w:szCs w:val="20"/>
                <w:color w:val="auto"/>
              </w:rPr>
            </w:pPr>
            <w:r>
              <w:rPr>
                <w:rFonts w:ascii="Arial" w:cs="Arial" w:eastAsia="Arial" w:hAnsi="Arial"/>
                <w:sz w:val="13"/>
                <w:szCs w:val="13"/>
                <w:color w:val="auto"/>
              </w:rPr>
              <w:t>57,916</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6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Ratio of average interest rate swaps to mortgage borrowings outstanding</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62 %</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52 %</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57 %</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62 %</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82"/>
        </w:trPr>
        <w:tc>
          <w:tcPr>
            <w:tcW w:w="65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5"/>
        </w:trPr>
        <w:tc>
          <w:tcPr>
            <w:tcW w:w="6560" w:type="dxa"/>
            <w:vAlign w:val="bottom"/>
            <w:shd w:val="clear" w:color="auto" w:fill="CCEEFF"/>
          </w:tcPr>
          <w:p>
            <w:pPr>
              <w:ind w:left="20"/>
              <w:spacing w:after="0"/>
              <w:rPr>
                <w:sz w:val="20"/>
                <w:szCs w:val="20"/>
                <w:color w:val="auto"/>
              </w:rPr>
            </w:pPr>
            <w:r>
              <w:rPr>
                <w:rFonts w:ascii="Arial" w:cs="Arial" w:eastAsia="Arial" w:hAnsi="Arial"/>
                <w:sz w:val="13"/>
                <w:szCs w:val="13"/>
                <w:color w:val="auto"/>
              </w:rPr>
              <w:t>Average interest rate swap pay-fixed rate (excluding forward starting swaps)</w:t>
            </w: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0.18 %</w:t>
            </w:r>
          </w:p>
        </w:tc>
        <w:tc>
          <w:tcPr>
            <w:tcW w:w="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0.65 %</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0.17 %</w:t>
            </w: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1.00 %</w:t>
            </w:r>
          </w:p>
        </w:tc>
      </w:tr>
      <w:tr>
        <w:trPr>
          <w:trHeight w:val="172"/>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Average interest rate swap receive-floating rate</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(0.03)%</w:t>
            </w:r>
          </w:p>
        </w:tc>
        <w:tc>
          <w:tcPr>
            <w:tcW w:w="8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(0.11)%</w:t>
            </w:r>
          </w:p>
        </w:tc>
        <w:tc>
          <w:tcPr>
            <w:tcW w:w="10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(0.04)%</w:t>
            </w:r>
          </w:p>
        </w:tc>
        <w:tc>
          <w:tcPr>
            <w:tcW w:w="10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(0.90)%</w:t>
            </w:r>
          </w:p>
        </w:tc>
      </w:tr>
      <w:tr>
        <w:trPr>
          <w:trHeight w:val="196"/>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Average interest rate swap net pay/(receive) rate</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0.15 %</w:t>
            </w:r>
          </w:p>
        </w:tc>
        <w:tc>
          <w:tcPr>
            <w:tcW w:w="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0.54 %</w:t>
            </w:r>
          </w:p>
        </w:tc>
        <w:tc>
          <w:tcPr>
            <w:tcW w:w="1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0.13 %</w:t>
            </w:r>
          </w:p>
        </w:tc>
        <w:tc>
          <w:tcPr>
            <w:tcW w:w="1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0.10 %</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37" w:lineRule="exact"/>
        <w:rPr>
          <w:sz w:val="20"/>
          <w:szCs w:val="20"/>
          <w:color w:val="auto"/>
        </w:rPr>
      </w:pPr>
    </w:p>
    <w:p>
      <w:pPr>
        <w:jc w:val="both"/>
        <w:ind w:firstLine="412"/>
        <w:spacing w:after="0" w:line="270" w:lineRule="auto"/>
        <w:rPr>
          <w:sz w:val="20"/>
          <w:szCs w:val="20"/>
          <w:color w:val="auto"/>
        </w:rPr>
      </w:pPr>
      <w:r>
        <w:rPr>
          <w:rFonts w:ascii="Arial" w:cs="Arial" w:eastAsia="Arial" w:hAnsi="Arial"/>
          <w:sz w:val="16"/>
          <w:szCs w:val="16"/>
          <w:color w:val="auto"/>
        </w:rPr>
        <w:t>For the three and six months ended June 30, 2021, we had a forward starting swap average balance of zero and $0.1 billion, respectively, and, for the three and six months ended June 30, 2020, an average balance of $0.9 billion and $1.2 billion, respectively. Forward starting interest rate swaps do not impact our economic interest expense and aggregate cost of funds until they commence accruing net interest settlements on their forward start dates. Including forward starting swaps, our average ratio of interest rate swaps outstanding to our average mortgage borrowings for the three and six months ended June 30, 2021 was 62% and 57%, respectively, and 53% and 63% for the three and six months ended June 30, 2020, respectively.</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Interest Spread</w:t>
      </w:r>
    </w:p>
    <w:p>
      <w:pPr>
        <w:spacing w:after="0" w:line="154" w:lineRule="exact"/>
        <w:rPr>
          <w:sz w:val="20"/>
          <w:szCs w:val="20"/>
          <w:color w:val="auto"/>
        </w:rPr>
      </w:pPr>
    </w:p>
    <w:p>
      <w:pPr>
        <w:ind w:left="380"/>
        <w:spacing w:after="0"/>
        <w:rPr>
          <w:sz w:val="20"/>
          <w:szCs w:val="20"/>
          <w:color w:val="auto"/>
        </w:rPr>
      </w:pPr>
      <w:r>
        <w:rPr>
          <w:rFonts w:ascii="Arial" w:cs="Arial" w:eastAsia="Arial" w:hAnsi="Arial"/>
          <w:sz w:val="15"/>
          <w:szCs w:val="15"/>
          <w:color w:val="auto"/>
        </w:rPr>
        <w:t>The following table presents a summary of our net interest spread (including the impact of TBA dollar roll income, interest rate swaps and excluding "catch-up"</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premium amortization) for the three and six months ended June 30, 2021 and 2020:</w:t>
      </w:r>
    </w:p>
    <w:p>
      <w:pPr>
        <w:spacing w:after="0" w:line="155" w:lineRule="exact"/>
        <w:rPr>
          <w:sz w:val="20"/>
          <w:szCs w:val="20"/>
          <w:color w:val="auto"/>
        </w:rPr>
      </w:pPr>
    </w:p>
    <w:tbl>
      <w:tblPr>
        <w:tblLayout w:type="fixed"/>
        <w:tblInd w:w="80" w:type="dxa"/>
        <w:tblCellMar>
          <w:top w:w="0" w:type="dxa"/>
          <w:left w:w="0" w:type="dxa"/>
          <w:bottom w:w="0" w:type="dxa"/>
          <w:right w:w="0" w:type="dxa"/>
        </w:tblCellMar>
      </w:tblPr>
      <w:tr>
        <w:trPr>
          <w:trHeight w:val="149"/>
        </w:trPr>
        <w:tc>
          <w:tcPr>
            <w:tcW w:w="6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80" w:type="dxa"/>
            <w:vAlign w:val="bottom"/>
            <w:gridSpan w:val="4"/>
            <w:vMerge w:val="restart"/>
          </w:tcPr>
          <w:p>
            <w:pPr>
              <w:ind w:left="180"/>
              <w:spacing w:after="0"/>
              <w:rPr>
                <w:sz w:val="20"/>
                <w:szCs w:val="20"/>
                <w:color w:val="auto"/>
              </w:rPr>
            </w:pPr>
            <w:r>
              <w:rPr>
                <w:rFonts w:ascii="Arial" w:cs="Arial" w:eastAsia="Arial" w:hAnsi="Arial"/>
                <w:sz w:val="13"/>
                <w:szCs w:val="13"/>
                <w:b w:val="1"/>
                <w:bCs w:val="1"/>
                <w:color w:val="auto"/>
              </w:rPr>
              <w:t>Three Months Ended June 30,</w:t>
            </w:r>
          </w:p>
        </w:tc>
        <w:tc>
          <w:tcPr>
            <w:tcW w:w="2280" w:type="dxa"/>
            <w:vAlign w:val="bottom"/>
            <w:gridSpan w:val="4"/>
          </w:tcPr>
          <w:p>
            <w:pPr>
              <w:jc w:val="center"/>
              <w:spacing w:after="0"/>
              <w:rPr>
                <w:sz w:val="20"/>
                <w:szCs w:val="20"/>
                <w:color w:val="auto"/>
              </w:rPr>
            </w:pPr>
            <w:r>
              <w:rPr>
                <w:rFonts w:ascii="Arial" w:cs="Arial" w:eastAsia="Arial" w:hAnsi="Arial"/>
                <w:sz w:val="13"/>
                <w:szCs w:val="13"/>
                <w:b w:val="1"/>
                <w:bCs w:val="1"/>
                <w:color w:val="auto"/>
                <w:w w:val="92"/>
              </w:rPr>
              <w:t>Six Months Ended</w:t>
            </w:r>
          </w:p>
        </w:tc>
        <w:tc>
          <w:tcPr>
            <w:tcW w:w="0" w:type="dxa"/>
            <w:vAlign w:val="bottom"/>
          </w:tcPr>
          <w:p>
            <w:pPr>
              <w:spacing w:after="0"/>
              <w:rPr>
                <w:sz w:val="1"/>
                <w:szCs w:val="1"/>
                <w:color w:val="auto"/>
              </w:rPr>
            </w:pPr>
          </w:p>
        </w:tc>
      </w:tr>
      <w:tr>
        <w:trPr>
          <w:trHeight w:val="173"/>
        </w:trPr>
        <w:tc>
          <w:tcPr>
            <w:tcW w:w="6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80" w:type="dxa"/>
            <w:vAlign w:val="bottom"/>
            <w:gridSpan w:val="4"/>
            <w:vMerge w:val="continue"/>
          </w:tcPr>
          <w:p>
            <w:pPr>
              <w:spacing w:after="0"/>
              <w:rPr>
                <w:sz w:val="15"/>
                <w:szCs w:val="15"/>
                <w:color w:val="auto"/>
              </w:rPr>
            </w:pPr>
          </w:p>
        </w:tc>
        <w:tc>
          <w:tcPr>
            <w:tcW w:w="1480" w:type="dxa"/>
            <w:vAlign w:val="bottom"/>
            <w:gridSpan w:val="3"/>
          </w:tcPr>
          <w:p>
            <w:pPr>
              <w:jc w:val="center"/>
              <w:ind w:left="733"/>
              <w:spacing w:after="0"/>
              <w:rPr>
                <w:sz w:val="20"/>
                <w:szCs w:val="20"/>
                <w:color w:val="auto"/>
              </w:rPr>
            </w:pPr>
            <w:r>
              <w:rPr>
                <w:rFonts w:ascii="Arial" w:cs="Arial" w:eastAsia="Arial" w:hAnsi="Arial"/>
                <w:sz w:val="13"/>
                <w:szCs w:val="13"/>
                <w:b w:val="1"/>
                <w:bCs w:val="1"/>
                <w:color w:val="auto"/>
                <w:w w:val="92"/>
              </w:rPr>
              <w:t>June 30,</w:t>
            </w: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640" w:type="dxa"/>
            <w:vAlign w:val="bottom"/>
            <w:gridSpan w:val="2"/>
          </w:tcPr>
          <w:p>
            <w:pPr>
              <w:ind w:left="20"/>
              <w:spacing w:after="0"/>
              <w:rPr>
                <w:sz w:val="20"/>
                <w:szCs w:val="20"/>
                <w:color w:val="auto"/>
              </w:rPr>
            </w:pPr>
            <w:r>
              <w:rPr>
                <w:rFonts w:ascii="Arial" w:cs="Arial" w:eastAsia="Arial" w:hAnsi="Arial"/>
                <w:sz w:val="13"/>
                <w:szCs w:val="13"/>
                <w:b w:val="1"/>
                <w:bCs w:val="1"/>
                <w:color w:val="auto"/>
              </w:rPr>
              <w:t>Investment and TBA Securities - Net Interest Spread</w:t>
            </w:r>
          </w:p>
        </w:tc>
        <w:tc>
          <w:tcPr>
            <w:tcW w:w="1000" w:type="dxa"/>
            <w:vAlign w:val="bottom"/>
            <w:tcBorders>
              <w:top w:val="single" w:sz="8" w:color="auto"/>
            </w:tcBorders>
          </w:tcPr>
          <w:p>
            <w:pPr>
              <w:jc w:val="right"/>
              <w:ind w:right="313"/>
              <w:spacing w:after="0"/>
              <w:rPr>
                <w:sz w:val="20"/>
                <w:szCs w:val="20"/>
                <w:color w:val="auto"/>
              </w:rPr>
            </w:pPr>
            <w:r>
              <w:rPr>
                <w:rFonts w:ascii="Arial" w:cs="Arial" w:eastAsia="Arial" w:hAnsi="Arial"/>
                <w:sz w:val="13"/>
                <w:szCs w:val="13"/>
                <w:b w:val="1"/>
                <w:bCs w:val="1"/>
                <w:color w:val="auto"/>
              </w:rPr>
              <w:t>2021</w:t>
            </w:r>
          </w:p>
        </w:tc>
        <w:tc>
          <w:tcPr>
            <w:tcW w:w="8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ind w:right="293"/>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4"/>
                <w:szCs w:val="14"/>
                <w:color w:val="auto"/>
              </w:rPr>
            </w:pPr>
          </w:p>
        </w:tc>
        <w:tc>
          <w:tcPr>
            <w:tcW w:w="1080" w:type="dxa"/>
            <w:vAlign w:val="bottom"/>
            <w:tcBorders>
              <w:top w:val="single" w:sz="8" w:color="auto"/>
            </w:tcBorders>
          </w:tcPr>
          <w:p>
            <w:pPr>
              <w:jc w:val="right"/>
              <w:ind w:right="333"/>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ind w:right="353"/>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169"/>
        </w:trPr>
        <w:tc>
          <w:tcPr>
            <w:tcW w:w="65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Average asset yield, excluding "catch-up" premium amortization</w:t>
            </w:r>
          </w:p>
        </w:tc>
        <w:tc>
          <w:tcPr>
            <w:tcW w:w="10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2.15 %</w:t>
            </w:r>
          </w:p>
        </w:tc>
        <w:tc>
          <w:tcPr>
            <w:tcW w:w="80" w:type="dxa"/>
            <w:vAlign w:val="bottom"/>
            <w:tcBorders>
              <w:top w:val="single" w:sz="8" w:color="CCEEFF"/>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2.56 %</w:t>
            </w:r>
          </w:p>
        </w:tc>
        <w:tc>
          <w:tcPr>
            <w:tcW w:w="100" w:type="dxa"/>
            <w:vAlign w:val="bottom"/>
            <w:tcBorders>
              <w:top w:val="single" w:sz="8" w:color="CCEEFF"/>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2.08 %</w:t>
            </w: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2.78 %</w:t>
            </w:r>
          </w:p>
        </w:tc>
        <w:tc>
          <w:tcPr>
            <w:tcW w:w="0" w:type="dxa"/>
            <w:vAlign w:val="bottom"/>
          </w:tcPr>
          <w:p>
            <w:pPr>
              <w:spacing w:after="0"/>
              <w:rPr>
                <w:sz w:val="1"/>
                <w:szCs w:val="1"/>
                <w:color w:val="auto"/>
              </w:rPr>
            </w:pPr>
          </w:p>
        </w:tc>
      </w:tr>
      <w:tr>
        <w:trPr>
          <w:trHeight w:val="172"/>
        </w:trPr>
        <w:tc>
          <w:tcPr>
            <w:tcW w:w="6640" w:type="dxa"/>
            <w:vAlign w:val="bottom"/>
            <w:tcBorders>
              <w:bottom w:val="single" w:sz="8" w:color="CCEEFF"/>
            </w:tcBorders>
            <w:gridSpan w:val="2"/>
          </w:tcPr>
          <w:p>
            <w:pPr>
              <w:ind w:left="20"/>
              <w:spacing w:after="0"/>
              <w:rPr>
                <w:sz w:val="20"/>
                <w:szCs w:val="20"/>
                <w:color w:val="auto"/>
              </w:rPr>
            </w:pPr>
            <w:r>
              <w:rPr>
                <w:rFonts w:ascii="Arial" w:cs="Arial" w:eastAsia="Arial" w:hAnsi="Arial"/>
                <w:sz w:val="13"/>
                <w:szCs w:val="13"/>
                <w:color w:val="auto"/>
              </w:rPr>
              <w:t>Average aggregate cost of funds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(0.06)%</w:t>
            </w:r>
          </w:p>
        </w:tc>
        <w:tc>
          <w:tcPr>
            <w:tcW w:w="8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(0.88)%</w:t>
            </w:r>
          </w:p>
        </w:tc>
        <w:tc>
          <w:tcPr>
            <w:tcW w:w="10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(0.03)%</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(1.31)%</w:t>
            </w:r>
          </w:p>
        </w:tc>
        <w:tc>
          <w:tcPr>
            <w:tcW w:w="0" w:type="dxa"/>
            <w:vAlign w:val="bottom"/>
          </w:tcPr>
          <w:p>
            <w:pPr>
              <w:spacing w:after="0"/>
              <w:rPr>
                <w:sz w:val="1"/>
                <w:szCs w:val="1"/>
                <w:color w:val="auto"/>
              </w:rPr>
            </w:pPr>
          </w:p>
        </w:tc>
      </w:tr>
      <w:tr>
        <w:trPr>
          <w:trHeight w:val="196"/>
        </w:trPr>
        <w:tc>
          <w:tcPr>
            <w:tcW w:w="66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Average net interest spread, excluding "catch-up" premium amortization</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2.09 %</w:t>
            </w:r>
          </w:p>
        </w:tc>
        <w:tc>
          <w:tcPr>
            <w:tcW w:w="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1.68 %</w:t>
            </w:r>
          </w:p>
        </w:tc>
        <w:tc>
          <w:tcPr>
            <w:tcW w:w="1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2.05 %</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1.47 %</w:t>
            </w: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002" w:right="339" w:bottom="1440" w:gutter="0" w:footer="0" w:header="0"/>
        </w:sectPr>
      </w:pPr>
    </w:p>
    <w:bookmarkStart w:id="37" w:name="page38"/>
    <w:bookmarkEnd w:id="37"/>
    <w:p>
      <w:pPr>
        <w:spacing w:after="0"/>
        <w:rPr>
          <w:sz w:val="20"/>
          <w:szCs w:val="20"/>
          <w:color w:val="auto"/>
        </w:rPr>
      </w:pPr>
      <w:r>
        <w:rPr>
          <w:rFonts w:ascii="Arial" w:cs="Arial" w:eastAsia="Arial" w:hAnsi="Arial"/>
          <w:sz w:val="17"/>
          <w:szCs w:val="17"/>
          <w:b w:val="1"/>
          <w:bCs w:val="1"/>
          <w:i w:val="1"/>
          <w:iCs w:val="1"/>
          <w:color w:val="auto"/>
        </w:rPr>
        <w:t>Net Spread and Dollar Roll Income</w:t>
      </w:r>
    </w:p>
    <w:p>
      <w:pPr>
        <w:spacing w:after="0" w:line="154" w:lineRule="exact"/>
        <w:rPr>
          <w:sz w:val="20"/>
          <w:szCs w:val="20"/>
          <w:color w:val="auto"/>
        </w:rPr>
      </w:pPr>
    </w:p>
    <w:p>
      <w:pPr>
        <w:jc w:val="both"/>
        <w:ind w:firstLine="375"/>
        <w:spacing w:after="0" w:line="255" w:lineRule="auto"/>
        <w:rPr>
          <w:sz w:val="20"/>
          <w:szCs w:val="20"/>
          <w:color w:val="auto"/>
        </w:rPr>
      </w:pPr>
      <w:r>
        <w:rPr>
          <w:rFonts w:ascii="Arial" w:cs="Arial" w:eastAsia="Arial" w:hAnsi="Arial"/>
          <w:sz w:val="17"/>
          <w:szCs w:val="17"/>
          <w:color w:val="auto"/>
        </w:rPr>
        <w:t>The following table presents a summary of our net spread and dollar roll income, excluding estimated "catch-up" premium amortization, per diluted common share (a non-GAAP financial measure) and a reconciliation to our net interest income (the most comparable GAAP financial measure) for the three and six months ended June 30, 2021 and 2020 (dollars in millions):</w:t>
      </w:r>
    </w:p>
    <w:p>
      <w:pPr>
        <w:spacing w:after="0" w:line="77" w:lineRule="exact"/>
        <w:rPr>
          <w:sz w:val="20"/>
          <w:szCs w:val="20"/>
          <w:color w:val="auto"/>
        </w:rPr>
      </w:pPr>
    </w:p>
    <w:tbl>
      <w:tblPr>
        <w:tblLayout w:type="fixed"/>
        <w:tblInd w:w="80" w:type="dxa"/>
        <w:tblCellMar>
          <w:top w:w="0" w:type="dxa"/>
          <w:left w:w="0" w:type="dxa"/>
          <w:bottom w:w="0" w:type="dxa"/>
          <w:right w:w="0" w:type="dxa"/>
        </w:tblCellMar>
      </w:tblPr>
      <w:tr>
        <w:trPr>
          <w:trHeight w:val="149"/>
        </w:trPr>
        <w:tc>
          <w:tcPr>
            <w:tcW w:w="7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20" w:type="dxa"/>
            <w:vAlign w:val="bottom"/>
            <w:gridSpan w:val="5"/>
            <w:vMerge w:val="restart"/>
          </w:tcPr>
          <w:p>
            <w:pPr>
              <w:spacing w:after="0"/>
              <w:rPr>
                <w:sz w:val="20"/>
                <w:szCs w:val="20"/>
                <w:color w:val="auto"/>
              </w:rPr>
            </w:pPr>
            <w:r>
              <w:rPr>
                <w:rFonts w:ascii="Arial" w:cs="Arial" w:eastAsia="Arial" w:hAnsi="Arial"/>
                <w:sz w:val="13"/>
                <w:szCs w:val="13"/>
                <w:b w:val="1"/>
                <w:bCs w:val="1"/>
                <w:color w:val="auto"/>
              </w:rPr>
              <w:t>Three Months Ended June 30,</w:t>
            </w:r>
          </w:p>
        </w:tc>
        <w:tc>
          <w:tcPr>
            <w:tcW w:w="220" w:type="dxa"/>
            <w:vAlign w:val="bottom"/>
          </w:tcPr>
          <w:p>
            <w:pPr>
              <w:spacing w:after="0"/>
              <w:rPr>
                <w:sz w:val="13"/>
                <w:szCs w:val="13"/>
                <w:color w:val="auto"/>
              </w:rPr>
            </w:pPr>
          </w:p>
        </w:tc>
        <w:tc>
          <w:tcPr>
            <w:tcW w:w="1840" w:type="dxa"/>
            <w:vAlign w:val="bottom"/>
            <w:gridSpan w:val="4"/>
          </w:tcPr>
          <w:p>
            <w:pPr>
              <w:jc w:val="right"/>
              <w:ind w:right="433"/>
              <w:spacing w:after="0"/>
              <w:rPr>
                <w:sz w:val="20"/>
                <w:szCs w:val="20"/>
                <w:color w:val="auto"/>
              </w:rPr>
            </w:pPr>
            <w:r>
              <w:rPr>
                <w:rFonts w:ascii="Arial" w:cs="Arial" w:eastAsia="Arial" w:hAnsi="Arial"/>
                <w:sz w:val="13"/>
                <w:szCs w:val="13"/>
                <w:b w:val="1"/>
                <w:bCs w:val="1"/>
                <w:color w:val="auto"/>
              </w:rPr>
              <w:t>Six Months Ended</w:t>
            </w:r>
          </w:p>
        </w:tc>
        <w:tc>
          <w:tcPr>
            <w:tcW w:w="0" w:type="dxa"/>
            <w:vAlign w:val="bottom"/>
          </w:tcPr>
          <w:p>
            <w:pPr>
              <w:spacing w:after="0"/>
              <w:rPr>
                <w:sz w:val="1"/>
                <w:szCs w:val="1"/>
                <w:color w:val="auto"/>
              </w:rPr>
            </w:pPr>
          </w:p>
        </w:tc>
      </w:tr>
      <w:tr>
        <w:trPr>
          <w:trHeight w:val="174"/>
        </w:trPr>
        <w:tc>
          <w:tcPr>
            <w:tcW w:w="7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gridSpan w:val="5"/>
            <w:vMerge w:val="continue"/>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3"/>
          </w:tcPr>
          <w:p>
            <w:pPr>
              <w:jc w:val="right"/>
              <w:ind w:right="33"/>
              <w:spacing w:after="0"/>
              <w:rPr>
                <w:sz w:val="20"/>
                <w:szCs w:val="20"/>
                <w:color w:val="auto"/>
              </w:rPr>
            </w:pPr>
            <w:r>
              <w:rPr>
                <w:rFonts w:ascii="Arial" w:cs="Arial" w:eastAsia="Arial" w:hAnsi="Arial"/>
                <w:sz w:val="13"/>
                <w:szCs w:val="13"/>
                <w:b w:val="1"/>
                <w:bCs w:val="1"/>
                <w:color w:val="auto"/>
              </w:rPr>
              <w:t>June 30,</w:t>
            </w: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7040" w:type="dxa"/>
            <w:vAlign w:val="bottom"/>
            <w:tcBorders>
              <w:bottom w:val="single" w:sz="8" w:color="CCEEFF"/>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253"/>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top w:val="single" w:sz="8" w:color="auto"/>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ind w:right="253"/>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3"/>
                <w:szCs w:val="13"/>
                <w:b w:val="1"/>
                <w:bCs w:val="1"/>
                <w:color w:val="auto"/>
              </w:rPr>
              <w:t>2021</w:t>
            </w:r>
          </w:p>
        </w:tc>
        <w:tc>
          <w:tcPr>
            <w:tcW w:w="140" w:type="dxa"/>
            <w:vAlign w:val="bottom"/>
            <w:tcBorders>
              <w:top w:val="single" w:sz="8" w:color="auto"/>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169"/>
        </w:trPr>
        <w:tc>
          <w:tcPr>
            <w:tcW w:w="7040" w:type="dxa"/>
            <w:vAlign w:val="bottom"/>
            <w:shd w:val="clear" w:color="auto" w:fill="CCEEFF"/>
          </w:tcPr>
          <w:p>
            <w:pPr>
              <w:spacing w:after="0"/>
              <w:rPr>
                <w:sz w:val="20"/>
                <w:szCs w:val="20"/>
                <w:color w:val="auto"/>
              </w:rPr>
            </w:pPr>
            <w:r>
              <w:rPr>
                <w:rFonts w:ascii="Arial" w:cs="Arial" w:eastAsia="Arial" w:hAnsi="Arial"/>
                <w:sz w:val="13"/>
                <w:szCs w:val="13"/>
                <w:color w:val="auto"/>
              </w:rPr>
              <w:t>Net interest income (GAAP measure)</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760</w:t>
            </w: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360</w:t>
            </w:r>
          </w:p>
        </w:tc>
        <w:tc>
          <w:tcPr>
            <w:tcW w:w="0" w:type="dxa"/>
            <w:vAlign w:val="bottom"/>
          </w:tcPr>
          <w:p>
            <w:pPr>
              <w:spacing w:after="0"/>
              <w:rPr>
                <w:sz w:val="1"/>
                <w:szCs w:val="1"/>
                <w:color w:val="auto"/>
              </w:rPr>
            </w:pPr>
          </w:p>
        </w:tc>
      </w:tr>
      <w:tr>
        <w:trPr>
          <w:trHeight w:val="175"/>
        </w:trPr>
        <w:tc>
          <w:tcPr>
            <w:tcW w:w="7040" w:type="dxa"/>
            <w:vAlign w:val="bottom"/>
          </w:tcPr>
          <w:p>
            <w:pPr>
              <w:ind w:left="120"/>
              <w:spacing w:after="0" w:line="175" w:lineRule="exact"/>
              <w:rPr>
                <w:sz w:val="20"/>
                <w:szCs w:val="20"/>
                <w:color w:val="auto"/>
              </w:rPr>
            </w:pPr>
            <w:r>
              <w:rPr>
                <w:rFonts w:ascii="Arial" w:cs="Arial" w:eastAsia="Arial" w:hAnsi="Arial"/>
                <w:sz w:val="13"/>
                <w:szCs w:val="13"/>
                <w:color w:val="auto"/>
              </w:rPr>
              <w:t xml:space="preserve">TBA dollar roll income, net </w:t>
            </w:r>
            <w:r>
              <w:rPr>
                <w:rFonts w:ascii="Arial" w:cs="Arial" w:eastAsia="Arial" w:hAnsi="Arial"/>
                <w:sz w:val="17"/>
                <w:szCs w:val="17"/>
                <w:color w:val="auto"/>
                <w:vertAlign w:val="superscript"/>
              </w:rPr>
              <w:t>1</w:t>
            </w: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162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78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316</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94</w:t>
            </w:r>
          </w:p>
        </w:tc>
        <w:tc>
          <w:tcPr>
            <w:tcW w:w="0" w:type="dxa"/>
            <w:vAlign w:val="bottom"/>
          </w:tcPr>
          <w:p>
            <w:pPr>
              <w:spacing w:after="0"/>
              <w:rPr>
                <w:sz w:val="1"/>
                <w:szCs w:val="1"/>
                <w:color w:val="auto"/>
              </w:rPr>
            </w:pPr>
          </w:p>
        </w:tc>
      </w:tr>
      <w:tr>
        <w:trPr>
          <w:trHeight w:val="175"/>
        </w:trPr>
        <w:tc>
          <w:tcPr>
            <w:tcW w:w="7040" w:type="dxa"/>
            <w:vAlign w:val="bottom"/>
            <w:shd w:val="clear" w:color="auto" w:fill="CCEEFF"/>
          </w:tcPr>
          <w:p>
            <w:pPr>
              <w:ind w:left="120"/>
              <w:spacing w:after="0" w:line="175" w:lineRule="exact"/>
              <w:rPr>
                <w:sz w:val="20"/>
                <w:szCs w:val="20"/>
                <w:color w:val="auto"/>
              </w:rPr>
            </w:pPr>
            <w:r>
              <w:rPr>
                <w:rFonts w:ascii="Arial" w:cs="Arial" w:eastAsia="Arial" w:hAnsi="Arial"/>
                <w:sz w:val="13"/>
                <w:szCs w:val="13"/>
                <w:color w:val="auto"/>
              </w:rPr>
              <w:t xml:space="preserve">Interest rate swap periodic cost, net </w:t>
            </w:r>
            <w:r>
              <w:rPr>
                <w:rFonts w:ascii="Arial" w:cs="Arial" w:eastAsia="Arial" w:hAnsi="Arial"/>
                <w:sz w:val="17"/>
                <w:szCs w:val="17"/>
                <w:color w:val="auto"/>
                <w:vertAlign w:val="superscript"/>
              </w:rPr>
              <w:t>1</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w:t>
            </w: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w:t>
            </w:r>
          </w:p>
        </w:tc>
        <w:tc>
          <w:tcPr>
            <w:tcW w:w="0" w:type="dxa"/>
            <w:vAlign w:val="bottom"/>
          </w:tcPr>
          <w:p>
            <w:pPr>
              <w:spacing w:after="0"/>
              <w:rPr>
                <w:sz w:val="1"/>
                <w:szCs w:val="1"/>
                <w:color w:val="auto"/>
              </w:rPr>
            </w:pPr>
          </w:p>
        </w:tc>
      </w:tr>
      <w:tr>
        <w:trPr>
          <w:trHeight w:val="175"/>
        </w:trPr>
        <w:tc>
          <w:tcPr>
            <w:tcW w:w="7040" w:type="dxa"/>
            <w:vAlign w:val="bottom"/>
          </w:tcPr>
          <w:p>
            <w:pPr>
              <w:ind w:left="120"/>
              <w:spacing w:after="0" w:line="175" w:lineRule="exact"/>
              <w:rPr>
                <w:sz w:val="20"/>
                <w:szCs w:val="20"/>
                <w:color w:val="auto"/>
              </w:rPr>
            </w:pPr>
            <w:r>
              <w:rPr>
                <w:rFonts w:ascii="Arial" w:cs="Arial" w:eastAsia="Arial" w:hAnsi="Arial"/>
                <w:sz w:val="13"/>
                <w:szCs w:val="13"/>
                <w:color w:val="auto"/>
              </w:rPr>
              <w:t xml:space="preserve">Other interest and dividend income </w:t>
            </w:r>
            <w:r>
              <w:rPr>
                <w:rFonts w:ascii="Arial" w:cs="Arial" w:eastAsia="Arial" w:hAnsi="Arial"/>
                <w:sz w:val="17"/>
                <w:szCs w:val="17"/>
                <w:color w:val="auto"/>
                <w:vertAlign w:val="superscript"/>
              </w:rPr>
              <w:t>1</w:t>
            </w:r>
          </w:p>
        </w:tc>
        <w:tc>
          <w:tcPr>
            <w:tcW w:w="8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67"/>
        </w:trPr>
        <w:tc>
          <w:tcPr>
            <w:tcW w:w="7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3"/>
                <w:szCs w:val="13"/>
                <w:color w:val="auto"/>
              </w:rPr>
              <w:t>Adjusted net interest and dollar roll income</w:t>
            </w:r>
          </w:p>
        </w:tc>
        <w:tc>
          <w:tcPr>
            <w:tcW w:w="8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375</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315</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1,045</w:t>
            </w:r>
          </w:p>
        </w:tc>
        <w:tc>
          <w:tcPr>
            <w:tcW w:w="14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429</w:t>
            </w:r>
          </w:p>
        </w:tc>
        <w:tc>
          <w:tcPr>
            <w:tcW w:w="0" w:type="dxa"/>
            <w:vAlign w:val="bottom"/>
          </w:tcPr>
          <w:p>
            <w:pPr>
              <w:spacing w:after="0"/>
              <w:rPr>
                <w:sz w:val="1"/>
                <w:szCs w:val="1"/>
                <w:color w:val="auto"/>
              </w:rPr>
            </w:pPr>
          </w:p>
        </w:tc>
      </w:tr>
      <w:tr>
        <w:trPr>
          <w:trHeight w:val="172"/>
        </w:trPr>
        <w:tc>
          <w:tcPr>
            <w:tcW w:w="704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Operating expense</w:t>
            </w: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w:t>
            </w:r>
          </w:p>
        </w:tc>
        <w:tc>
          <w:tcPr>
            <w:tcW w:w="14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w:t>
            </w:r>
          </w:p>
        </w:tc>
        <w:tc>
          <w:tcPr>
            <w:tcW w:w="0" w:type="dxa"/>
            <w:vAlign w:val="bottom"/>
          </w:tcPr>
          <w:p>
            <w:pPr>
              <w:spacing w:after="0"/>
              <w:rPr>
                <w:sz w:val="1"/>
                <w:szCs w:val="1"/>
                <w:color w:val="auto"/>
              </w:rPr>
            </w:pPr>
          </w:p>
        </w:tc>
      </w:tr>
      <w:tr>
        <w:trPr>
          <w:trHeight w:val="171"/>
        </w:trPr>
        <w:tc>
          <w:tcPr>
            <w:tcW w:w="7040" w:type="dxa"/>
            <w:vAlign w:val="bottom"/>
            <w:shd w:val="clear" w:color="auto" w:fill="CCEEFF"/>
          </w:tcPr>
          <w:p>
            <w:pPr>
              <w:spacing w:after="0"/>
              <w:rPr>
                <w:sz w:val="20"/>
                <w:szCs w:val="20"/>
                <w:color w:val="auto"/>
              </w:rPr>
            </w:pPr>
            <w:r>
              <w:rPr>
                <w:rFonts w:ascii="Arial" w:cs="Arial" w:eastAsia="Arial" w:hAnsi="Arial"/>
                <w:sz w:val="13"/>
                <w:szCs w:val="13"/>
                <w:color w:val="auto"/>
              </w:rPr>
              <w:t>Net spread and dollar roll income</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999</w:t>
            </w: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382</w:t>
            </w:r>
          </w:p>
        </w:tc>
        <w:tc>
          <w:tcPr>
            <w:tcW w:w="0" w:type="dxa"/>
            <w:vAlign w:val="bottom"/>
          </w:tcPr>
          <w:p>
            <w:pPr>
              <w:spacing w:after="0"/>
              <w:rPr>
                <w:sz w:val="1"/>
                <w:szCs w:val="1"/>
                <w:color w:val="auto"/>
              </w:rPr>
            </w:pPr>
          </w:p>
        </w:tc>
      </w:tr>
      <w:tr>
        <w:trPr>
          <w:trHeight w:val="172"/>
        </w:trPr>
        <w:tc>
          <w:tcPr>
            <w:tcW w:w="704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Dividend on preferred stock</w:t>
            </w: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w:t>
            </w:r>
          </w:p>
        </w:tc>
        <w:tc>
          <w:tcPr>
            <w:tcW w:w="14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w:t>
            </w:r>
          </w:p>
        </w:tc>
        <w:tc>
          <w:tcPr>
            <w:tcW w:w="0" w:type="dxa"/>
            <w:vAlign w:val="bottom"/>
          </w:tcPr>
          <w:p>
            <w:pPr>
              <w:spacing w:after="0"/>
              <w:rPr>
                <w:sz w:val="1"/>
                <w:szCs w:val="1"/>
                <w:color w:val="auto"/>
              </w:rPr>
            </w:pPr>
          </w:p>
        </w:tc>
      </w:tr>
      <w:tr>
        <w:trPr>
          <w:trHeight w:val="171"/>
        </w:trPr>
        <w:tc>
          <w:tcPr>
            <w:tcW w:w="7040" w:type="dxa"/>
            <w:vAlign w:val="bottom"/>
            <w:shd w:val="clear" w:color="auto" w:fill="CCEEFF"/>
          </w:tcPr>
          <w:p>
            <w:pPr>
              <w:spacing w:after="0"/>
              <w:rPr>
                <w:sz w:val="20"/>
                <w:szCs w:val="20"/>
                <w:color w:val="auto"/>
              </w:rPr>
            </w:pPr>
            <w:r>
              <w:rPr>
                <w:rFonts w:ascii="Arial" w:cs="Arial" w:eastAsia="Arial" w:hAnsi="Arial"/>
                <w:sz w:val="13"/>
                <w:szCs w:val="13"/>
                <w:color w:val="auto"/>
              </w:rPr>
              <w:t>Net spread and dollar roll income available to common stockholders (non-GAAP measure)</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266</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949</w:t>
            </w: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336</w:t>
            </w:r>
          </w:p>
        </w:tc>
        <w:tc>
          <w:tcPr>
            <w:tcW w:w="0" w:type="dxa"/>
            <w:vAlign w:val="bottom"/>
          </w:tcPr>
          <w:p>
            <w:pPr>
              <w:spacing w:after="0"/>
              <w:rPr>
                <w:sz w:val="1"/>
                <w:szCs w:val="1"/>
                <w:color w:val="auto"/>
              </w:rPr>
            </w:pPr>
          </w:p>
        </w:tc>
      </w:tr>
      <w:tr>
        <w:trPr>
          <w:trHeight w:val="172"/>
        </w:trPr>
        <w:tc>
          <w:tcPr>
            <w:tcW w:w="704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Estimated "catch-up" premium amortization cost (benefit) due to change in CPR forecast</w:t>
            </w: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71</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(142)</w:t>
            </w:r>
          </w:p>
        </w:tc>
        <w:tc>
          <w:tcPr>
            <w:tcW w:w="14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300</w:t>
            </w:r>
          </w:p>
        </w:tc>
        <w:tc>
          <w:tcPr>
            <w:tcW w:w="0" w:type="dxa"/>
            <w:vAlign w:val="bottom"/>
          </w:tcPr>
          <w:p>
            <w:pPr>
              <w:spacing w:after="0"/>
              <w:rPr>
                <w:sz w:val="1"/>
                <w:szCs w:val="1"/>
                <w:color w:val="auto"/>
              </w:rPr>
            </w:pPr>
          </w:p>
        </w:tc>
      </w:tr>
      <w:tr>
        <w:trPr>
          <w:trHeight w:val="108"/>
        </w:trPr>
        <w:tc>
          <w:tcPr>
            <w:tcW w:w="7040" w:type="dxa"/>
            <w:vAlign w:val="bottom"/>
            <w:shd w:val="clear" w:color="auto" w:fill="CCEEFF"/>
          </w:tcPr>
          <w:p>
            <w:pPr>
              <w:spacing w:after="0" w:line="109" w:lineRule="exact"/>
              <w:rPr>
                <w:sz w:val="20"/>
                <w:szCs w:val="20"/>
                <w:color w:val="auto"/>
              </w:rPr>
            </w:pPr>
            <w:r>
              <w:rPr>
                <w:rFonts w:ascii="Arial" w:cs="Arial" w:eastAsia="Arial" w:hAnsi="Arial"/>
                <w:sz w:val="12"/>
                <w:szCs w:val="12"/>
                <w:color w:val="auto"/>
              </w:rPr>
              <w:t>Net spread and dollar roll income, excluding "catch-up" premium amortization, available to common stockholders (non-GAAP</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399</w:t>
            </w:r>
          </w:p>
        </w:tc>
        <w:tc>
          <w:tcPr>
            <w:tcW w:w="100" w:type="dxa"/>
            <w:vAlign w:val="bottom"/>
            <w:shd w:val="clear" w:color="auto" w:fill="CCEEFF"/>
          </w:tcPr>
          <w:p>
            <w:pPr>
              <w:spacing w:after="0"/>
              <w:rPr>
                <w:sz w:val="9"/>
                <w:szCs w:val="9"/>
                <w:color w:val="auto"/>
              </w:rPr>
            </w:pPr>
          </w:p>
        </w:tc>
        <w:tc>
          <w:tcPr>
            <w:tcW w:w="200" w:type="dxa"/>
            <w:vAlign w:val="bottom"/>
            <w:vMerge w:val="restart"/>
            <w:shd w:val="clear" w:color="auto" w:fill="CCEEFF"/>
          </w:tcPr>
          <w:p>
            <w:pPr>
              <w:jc w:val="right"/>
              <w:ind w:right="53"/>
              <w:spacing w:after="0"/>
              <w:rPr>
                <w:sz w:val="20"/>
                <w:szCs w:val="20"/>
                <w:color w:val="auto"/>
              </w:rPr>
            </w:pPr>
            <w:r>
              <w:rPr>
                <w:rFonts w:ascii="Arial" w:cs="Arial" w:eastAsia="Arial" w:hAnsi="Arial"/>
                <w:sz w:val="13"/>
                <w:szCs w:val="13"/>
                <w:color w:val="auto"/>
                <w:w w:val="82"/>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323</w:t>
            </w:r>
          </w:p>
        </w:tc>
        <w:tc>
          <w:tcPr>
            <w:tcW w:w="100" w:type="dxa"/>
            <w:vAlign w:val="bottom"/>
            <w:shd w:val="clear" w:color="auto" w:fill="CCEEFF"/>
          </w:tcPr>
          <w:p>
            <w:pPr>
              <w:spacing w:after="0"/>
              <w:rPr>
                <w:sz w:val="9"/>
                <w:szCs w:val="9"/>
                <w:color w:val="auto"/>
              </w:rPr>
            </w:pPr>
          </w:p>
        </w:tc>
        <w:tc>
          <w:tcPr>
            <w:tcW w:w="220" w:type="dxa"/>
            <w:vAlign w:val="bottom"/>
            <w:vMerge w:val="restart"/>
            <w:shd w:val="clear" w:color="auto" w:fill="CCEEFF"/>
          </w:tcPr>
          <w:p>
            <w:pPr>
              <w:jc w:val="right"/>
              <w:ind w:right="73"/>
              <w:spacing w:after="0"/>
              <w:rPr>
                <w:sz w:val="20"/>
                <w:szCs w:val="20"/>
                <w:color w:val="auto"/>
              </w:rPr>
            </w:pPr>
            <w:r>
              <w:rPr>
                <w:rFonts w:ascii="Arial" w:cs="Arial" w:eastAsia="Arial" w:hAnsi="Arial"/>
                <w:sz w:val="13"/>
                <w:szCs w:val="13"/>
                <w:color w:val="auto"/>
                <w:w w:val="82"/>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807</w:t>
            </w:r>
          </w:p>
        </w:tc>
        <w:tc>
          <w:tcPr>
            <w:tcW w:w="140" w:type="dxa"/>
            <w:vAlign w:val="bottom"/>
            <w:shd w:val="clear" w:color="auto" w:fill="CCEEFF"/>
          </w:tcPr>
          <w:p>
            <w:pPr>
              <w:spacing w:after="0"/>
              <w:rPr>
                <w:sz w:val="9"/>
                <w:szCs w:val="9"/>
                <w:color w:val="auto"/>
              </w:rPr>
            </w:pPr>
          </w:p>
        </w:tc>
        <w:tc>
          <w:tcPr>
            <w:tcW w:w="260" w:type="dxa"/>
            <w:vAlign w:val="bottom"/>
            <w:vMerge w:val="restart"/>
            <w:shd w:val="clear" w:color="auto" w:fill="CCEEFF"/>
          </w:tcPr>
          <w:p>
            <w:pPr>
              <w:jc w:val="right"/>
              <w:ind w:right="113"/>
              <w:spacing w:after="0"/>
              <w:rPr>
                <w:sz w:val="20"/>
                <w:szCs w:val="20"/>
                <w:color w:val="auto"/>
              </w:rPr>
            </w:pPr>
            <w:r>
              <w:rPr>
                <w:rFonts w:ascii="Arial" w:cs="Arial" w:eastAsia="Arial" w:hAnsi="Arial"/>
                <w:sz w:val="13"/>
                <w:szCs w:val="13"/>
                <w:color w:val="auto"/>
                <w:w w:val="82"/>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636</w:t>
            </w:r>
          </w:p>
        </w:tc>
        <w:tc>
          <w:tcPr>
            <w:tcW w:w="0" w:type="dxa"/>
            <w:vAlign w:val="bottom"/>
          </w:tcPr>
          <w:p>
            <w:pPr>
              <w:spacing w:after="0"/>
              <w:rPr>
                <w:sz w:val="1"/>
                <w:szCs w:val="1"/>
                <w:color w:val="auto"/>
              </w:rPr>
            </w:pPr>
          </w:p>
        </w:tc>
      </w:tr>
      <w:tr>
        <w:trPr>
          <w:trHeight w:val="170"/>
        </w:trPr>
        <w:tc>
          <w:tcPr>
            <w:tcW w:w="7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measure)</w:t>
            </w:r>
          </w:p>
        </w:tc>
        <w:tc>
          <w:tcPr>
            <w:tcW w:w="80" w:type="dxa"/>
            <w:vAlign w:val="bottom"/>
            <w:tcBorders>
              <w:bottom w:val="single" w:sz="8" w:color="auto"/>
            </w:tcBorders>
            <w:vMerge w:val="continue"/>
            <w:shd w:val="clear" w:color="auto" w:fill="CCEEFF"/>
          </w:tcPr>
          <w:p>
            <w:pPr>
              <w:spacing w:after="0"/>
              <w:rPr>
                <w:sz w:val="14"/>
                <w:szCs w:val="14"/>
                <w:color w:val="auto"/>
              </w:rPr>
            </w:pPr>
          </w:p>
        </w:tc>
        <w:tc>
          <w:tcPr>
            <w:tcW w:w="82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vMerge w:val="continue"/>
            <w:shd w:val="clear" w:color="auto" w:fill="CCEEFF"/>
          </w:tcPr>
          <w:p>
            <w:pPr>
              <w:spacing w:after="0"/>
              <w:rPr>
                <w:sz w:val="14"/>
                <w:szCs w:val="14"/>
                <w:color w:val="auto"/>
              </w:rPr>
            </w:pPr>
          </w:p>
        </w:tc>
        <w:tc>
          <w:tcPr>
            <w:tcW w:w="70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vMerge w:val="continue"/>
            <w:shd w:val="clear" w:color="auto" w:fill="CCEEFF"/>
          </w:tcPr>
          <w:p>
            <w:pPr>
              <w:spacing w:after="0"/>
              <w:rPr>
                <w:sz w:val="14"/>
                <w:szCs w:val="14"/>
                <w:color w:val="auto"/>
              </w:rPr>
            </w:pPr>
          </w:p>
        </w:tc>
        <w:tc>
          <w:tcPr>
            <w:tcW w:w="740" w:type="dxa"/>
            <w:vAlign w:val="bottom"/>
            <w:tcBorders>
              <w:bottom w:val="single" w:sz="8" w:color="auto"/>
            </w:tcBorders>
            <w:vMerge w:val="continue"/>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vMerge w:val="continue"/>
            <w:shd w:val="clear" w:color="auto" w:fill="CCEEFF"/>
          </w:tcPr>
          <w:p>
            <w:pPr>
              <w:spacing w:after="0"/>
              <w:rPr>
                <w:sz w:val="14"/>
                <w:szCs w:val="14"/>
                <w:color w:val="auto"/>
              </w:rPr>
            </w:pPr>
          </w:p>
        </w:tc>
        <w:tc>
          <w:tcPr>
            <w:tcW w:w="70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7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7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Weighted average number of common shares outstanding - basic</w:t>
            </w:r>
          </w:p>
        </w:tc>
        <w:tc>
          <w:tcPr>
            <w:tcW w:w="8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526.6</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560.3</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530.1</w:t>
            </w:r>
          </w:p>
        </w:tc>
        <w:tc>
          <w:tcPr>
            <w:tcW w:w="14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554.2</w:t>
            </w:r>
          </w:p>
        </w:tc>
        <w:tc>
          <w:tcPr>
            <w:tcW w:w="0" w:type="dxa"/>
            <w:vAlign w:val="bottom"/>
          </w:tcPr>
          <w:p>
            <w:pPr>
              <w:spacing w:after="0"/>
              <w:rPr>
                <w:sz w:val="1"/>
                <w:szCs w:val="1"/>
                <w:color w:val="auto"/>
              </w:rPr>
            </w:pP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7040" w:type="dxa"/>
            <w:vAlign w:val="bottom"/>
          </w:tcPr>
          <w:p>
            <w:pPr>
              <w:spacing w:after="0" w:line="145" w:lineRule="exact"/>
              <w:rPr>
                <w:sz w:val="20"/>
                <w:szCs w:val="20"/>
                <w:color w:val="auto"/>
              </w:rPr>
            </w:pPr>
            <w:r>
              <w:rPr>
                <w:rFonts w:ascii="Arial" w:cs="Arial" w:eastAsia="Arial" w:hAnsi="Arial"/>
                <w:sz w:val="13"/>
                <w:szCs w:val="13"/>
                <w:color w:val="auto"/>
              </w:rPr>
              <w:t>Weighted average number of common shares outstanding - diluted</w:t>
            </w: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3"/>
                <w:szCs w:val="13"/>
                <w:color w:val="auto"/>
              </w:rPr>
              <w:t>528.3</w:t>
            </w: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3"/>
                <w:szCs w:val="13"/>
                <w:color w:val="auto"/>
              </w:rPr>
              <w:t>560.8</w:t>
            </w: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3"/>
                <w:szCs w:val="13"/>
                <w:color w:val="auto"/>
              </w:rPr>
              <w:t>531.9</w:t>
            </w:r>
          </w:p>
        </w:tc>
        <w:tc>
          <w:tcPr>
            <w:tcW w:w="1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3"/>
                <w:szCs w:val="13"/>
                <w:color w:val="auto"/>
              </w:rPr>
              <w:t>555.0</w:t>
            </w:r>
          </w:p>
        </w:tc>
        <w:tc>
          <w:tcPr>
            <w:tcW w:w="0" w:type="dxa"/>
            <w:vAlign w:val="bottom"/>
          </w:tcPr>
          <w:p>
            <w:pPr>
              <w:spacing w:after="0"/>
              <w:rPr>
                <w:sz w:val="1"/>
                <w:szCs w:val="1"/>
                <w:color w:val="auto"/>
              </w:rPr>
            </w:pPr>
          </w:p>
        </w:tc>
      </w:tr>
      <w:tr>
        <w:trPr>
          <w:trHeight w:val="20"/>
        </w:trPr>
        <w:tc>
          <w:tcPr>
            <w:tcW w:w="70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Net spread and dollar roll income per common share - basic</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0.62</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0.47</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1.79</w:t>
            </w:r>
          </w:p>
        </w:tc>
        <w:tc>
          <w:tcPr>
            <w:tcW w:w="14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0.61</w:t>
            </w:r>
          </w:p>
        </w:tc>
        <w:tc>
          <w:tcPr>
            <w:tcW w:w="0" w:type="dxa"/>
            <w:vAlign w:val="bottom"/>
          </w:tcPr>
          <w:p>
            <w:pPr>
              <w:spacing w:after="0"/>
              <w:rPr>
                <w:sz w:val="1"/>
                <w:szCs w:val="1"/>
                <w:color w:val="auto"/>
              </w:rPr>
            </w:pP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7040" w:type="dxa"/>
            <w:vAlign w:val="bottom"/>
          </w:tcPr>
          <w:p>
            <w:pPr>
              <w:spacing w:after="0" w:line="145" w:lineRule="exact"/>
              <w:rPr>
                <w:sz w:val="20"/>
                <w:szCs w:val="20"/>
                <w:color w:val="auto"/>
              </w:rPr>
            </w:pPr>
            <w:r>
              <w:rPr>
                <w:rFonts w:ascii="Arial" w:cs="Arial" w:eastAsia="Arial" w:hAnsi="Arial"/>
                <w:sz w:val="13"/>
                <w:szCs w:val="13"/>
                <w:color w:val="auto"/>
              </w:rPr>
              <w:t>Net spread and dollar roll income per common share - diluted</w:t>
            </w:r>
          </w:p>
        </w:tc>
        <w:tc>
          <w:tcPr>
            <w:tcW w:w="8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3"/>
                <w:szCs w:val="13"/>
                <w:color w:val="auto"/>
              </w:rPr>
              <w:t>0.62</w:t>
            </w:r>
          </w:p>
        </w:tc>
        <w:tc>
          <w:tcPr>
            <w:tcW w:w="100" w:type="dxa"/>
            <w:vAlign w:val="bottom"/>
          </w:tcPr>
          <w:p>
            <w:pPr>
              <w:spacing w:after="0"/>
              <w:rPr>
                <w:sz w:val="12"/>
                <w:szCs w:val="12"/>
                <w:color w:val="auto"/>
              </w:rPr>
            </w:pPr>
          </w:p>
        </w:tc>
        <w:tc>
          <w:tcPr>
            <w:tcW w:w="200" w:type="dxa"/>
            <w:vAlign w:val="bottom"/>
            <w:tcBorders>
              <w:bottom w:val="single" w:sz="8" w:color="auto"/>
            </w:tcBorders>
          </w:tcPr>
          <w:p>
            <w:pPr>
              <w:jc w:val="right"/>
              <w:ind w:right="53"/>
              <w:spacing w:after="0" w:line="145" w:lineRule="exact"/>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3"/>
                <w:szCs w:val="13"/>
                <w:color w:val="auto"/>
              </w:rPr>
              <w:t>0.47</w:t>
            </w:r>
          </w:p>
        </w:tc>
        <w:tc>
          <w:tcPr>
            <w:tcW w:w="100" w:type="dxa"/>
            <w:vAlign w:val="bottom"/>
          </w:tcPr>
          <w:p>
            <w:pPr>
              <w:spacing w:after="0"/>
              <w:rPr>
                <w:sz w:val="12"/>
                <w:szCs w:val="12"/>
                <w:color w:val="auto"/>
              </w:rPr>
            </w:pPr>
          </w:p>
        </w:tc>
        <w:tc>
          <w:tcPr>
            <w:tcW w:w="220" w:type="dxa"/>
            <w:vAlign w:val="bottom"/>
            <w:tcBorders>
              <w:bottom w:val="single" w:sz="8" w:color="auto"/>
            </w:tcBorders>
          </w:tcPr>
          <w:p>
            <w:pPr>
              <w:jc w:val="right"/>
              <w:ind w:right="73"/>
              <w:spacing w:after="0" w:line="145" w:lineRule="exact"/>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3"/>
                <w:szCs w:val="13"/>
                <w:color w:val="auto"/>
              </w:rPr>
              <w:t>1.78</w:t>
            </w:r>
          </w:p>
        </w:tc>
        <w:tc>
          <w:tcPr>
            <w:tcW w:w="140" w:type="dxa"/>
            <w:vAlign w:val="bottom"/>
          </w:tcPr>
          <w:p>
            <w:pPr>
              <w:spacing w:after="0"/>
              <w:rPr>
                <w:sz w:val="12"/>
                <w:szCs w:val="12"/>
                <w:color w:val="auto"/>
              </w:rPr>
            </w:pPr>
          </w:p>
        </w:tc>
        <w:tc>
          <w:tcPr>
            <w:tcW w:w="260" w:type="dxa"/>
            <w:vAlign w:val="bottom"/>
            <w:tcBorders>
              <w:bottom w:val="single" w:sz="8" w:color="auto"/>
            </w:tcBorders>
          </w:tcPr>
          <w:p>
            <w:pPr>
              <w:jc w:val="right"/>
              <w:ind w:right="113"/>
              <w:spacing w:after="0" w:line="145" w:lineRule="exact"/>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3"/>
                <w:szCs w:val="13"/>
                <w:color w:val="auto"/>
              </w:rPr>
              <w:t>0.61</w:t>
            </w:r>
          </w:p>
        </w:tc>
        <w:tc>
          <w:tcPr>
            <w:tcW w:w="0" w:type="dxa"/>
            <w:vAlign w:val="bottom"/>
          </w:tcPr>
          <w:p>
            <w:pPr>
              <w:spacing w:after="0"/>
              <w:rPr>
                <w:sz w:val="1"/>
                <w:szCs w:val="1"/>
                <w:color w:val="auto"/>
              </w:rPr>
            </w:pPr>
          </w:p>
        </w:tc>
      </w:tr>
      <w:tr>
        <w:trPr>
          <w:trHeight w:val="20"/>
        </w:trPr>
        <w:tc>
          <w:tcPr>
            <w:tcW w:w="70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Net spread and dollar roll income, excluding "catch-up" premium amortization, per common share - basic</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0.76</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0.58</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1.52</w:t>
            </w:r>
          </w:p>
        </w:tc>
        <w:tc>
          <w:tcPr>
            <w:tcW w:w="14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1.15</w:t>
            </w:r>
          </w:p>
        </w:tc>
        <w:tc>
          <w:tcPr>
            <w:tcW w:w="0" w:type="dxa"/>
            <w:vAlign w:val="bottom"/>
          </w:tcPr>
          <w:p>
            <w:pPr>
              <w:spacing w:after="0"/>
              <w:rPr>
                <w:sz w:val="1"/>
                <w:szCs w:val="1"/>
                <w:color w:val="auto"/>
              </w:rPr>
            </w:pP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7040" w:type="dxa"/>
            <w:vAlign w:val="bottom"/>
          </w:tcPr>
          <w:p>
            <w:pPr>
              <w:spacing w:after="0" w:line="145" w:lineRule="exact"/>
              <w:rPr>
                <w:sz w:val="20"/>
                <w:szCs w:val="20"/>
                <w:color w:val="auto"/>
              </w:rPr>
            </w:pPr>
            <w:r>
              <w:rPr>
                <w:rFonts w:ascii="Arial" w:cs="Arial" w:eastAsia="Arial" w:hAnsi="Arial"/>
                <w:sz w:val="13"/>
                <w:szCs w:val="13"/>
                <w:color w:val="auto"/>
              </w:rPr>
              <w:t>Net spread and dollar roll income, excluding "catch-up" premium amortization, per common share - diluted</w:t>
            </w:r>
          </w:p>
        </w:tc>
        <w:tc>
          <w:tcPr>
            <w:tcW w:w="8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3"/>
                <w:szCs w:val="13"/>
                <w:color w:val="auto"/>
              </w:rPr>
              <w:t>0.76</w:t>
            </w:r>
          </w:p>
        </w:tc>
        <w:tc>
          <w:tcPr>
            <w:tcW w:w="100" w:type="dxa"/>
            <w:vAlign w:val="bottom"/>
          </w:tcPr>
          <w:p>
            <w:pPr>
              <w:spacing w:after="0"/>
              <w:rPr>
                <w:sz w:val="12"/>
                <w:szCs w:val="12"/>
                <w:color w:val="auto"/>
              </w:rPr>
            </w:pPr>
          </w:p>
        </w:tc>
        <w:tc>
          <w:tcPr>
            <w:tcW w:w="200" w:type="dxa"/>
            <w:vAlign w:val="bottom"/>
            <w:tcBorders>
              <w:bottom w:val="single" w:sz="8" w:color="auto"/>
            </w:tcBorders>
          </w:tcPr>
          <w:p>
            <w:pPr>
              <w:jc w:val="right"/>
              <w:ind w:right="53"/>
              <w:spacing w:after="0" w:line="145" w:lineRule="exact"/>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3"/>
                <w:szCs w:val="13"/>
                <w:color w:val="auto"/>
              </w:rPr>
              <w:t>0.58</w:t>
            </w:r>
          </w:p>
        </w:tc>
        <w:tc>
          <w:tcPr>
            <w:tcW w:w="100" w:type="dxa"/>
            <w:vAlign w:val="bottom"/>
          </w:tcPr>
          <w:p>
            <w:pPr>
              <w:spacing w:after="0"/>
              <w:rPr>
                <w:sz w:val="12"/>
                <w:szCs w:val="12"/>
                <w:color w:val="auto"/>
              </w:rPr>
            </w:pPr>
          </w:p>
        </w:tc>
        <w:tc>
          <w:tcPr>
            <w:tcW w:w="220" w:type="dxa"/>
            <w:vAlign w:val="bottom"/>
            <w:tcBorders>
              <w:bottom w:val="single" w:sz="8" w:color="auto"/>
            </w:tcBorders>
          </w:tcPr>
          <w:p>
            <w:pPr>
              <w:jc w:val="right"/>
              <w:ind w:right="73"/>
              <w:spacing w:after="0" w:line="145" w:lineRule="exact"/>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3"/>
                <w:szCs w:val="13"/>
                <w:color w:val="auto"/>
              </w:rPr>
              <w:t>1.52</w:t>
            </w:r>
          </w:p>
        </w:tc>
        <w:tc>
          <w:tcPr>
            <w:tcW w:w="140" w:type="dxa"/>
            <w:vAlign w:val="bottom"/>
          </w:tcPr>
          <w:p>
            <w:pPr>
              <w:spacing w:after="0"/>
              <w:rPr>
                <w:sz w:val="12"/>
                <w:szCs w:val="12"/>
                <w:color w:val="auto"/>
              </w:rPr>
            </w:pPr>
          </w:p>
        </w:tc>
        <w:tc>
          <w:tcPr>
            <w:tcW w:w="260" w:type="dxa"/>
            <w:vAlign w:val="bottom"/>
            <w:tcBorders>
              <w:bottom w:val="single" w:sz="8" w:color="auto"/>
            </w:tcBorders>
          </w:tcPr>
          <w:p>
            <w:pPr>
              <w:jc w:val="right"/>
              <w:ind w:right="113"/>
              <w:spacing w:after="0" w:line="145" w:lineRule="exact"/>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3"/>
                <w:szCs w:val="13"/>
                <w:color w:val="auto"/>
              </w:rPr>
              <w:t>1.15</w:t>
            </w: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w:t>
      </w:r>
    </w:p>
    <w:p>
      <w:pPr>
        <w:spacing w:after="0" w:line="1" w:lineRule="exact"/>
        <w:rPr>
          <w:sz w:val="20"/>
          <w:szCs w:val="20"/>
          <w:color w:val="auto"/>
        </w:rPr>
      </w:pPr>
    </w:p>
    <w:p>
      <w:pPr>
        <w:ind w:left="600" w:hanging="300"/>
        <w:spacing w:after="0"/>
        <w:tabs>
          <w:tab w:leader="none" w:pos="600" w:val="left"/>
        </w:tabs>
        <w:numPr>
          <w:ilvl w:val="0"/>
          <w:numId w:val="28"/>
        </w:numPr>
        <w:rPr>
          <w:rFonts w:ascii="Arial" w:cs="Arial" w:eastAsia="Arial" w:hAnsi="Arial"/>
          <w:sz w:val="13"/>
          <w:szCs w:val="13"/>
          <w:color w:val="auto"/>
        </w:rPr>
      </w:pPr>
      <w:r>
        <w:rPr>
          <w:rFonts w:ascii="Arial" w:cs="Arial" w:eastAsia="Arial" w:hAnsi="Arial"/>
          <w:sz w:val="13"/>
          <w:szCs w:val="13"/>
          <w:color w:val="auto"/>
        </w:rPr>
        <w:t>Reported in gain (loss) on derivative instruments and other securities, net in our consolidated statements of comprehensive income</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Gain (Loss) on Investment Securities, Net</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is a summary of our net gain (loss) on investment securities for the three and six months ended June 30, 2021 and 2020 (in millions):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gridSpan w:val="5"/>
            <w:vMerge w:val="restart"/>
          </w:tcPr>
          <w:p>
            <w:pPr>
              <w:ind w:left="20"/>
              <w:spacing w:after="0"/>
              <w:rPr>
                <w:sz w:val="20"/>
                <w:szCs w:val="20"/>
                <w:color w:val="auto"/>
              </w:rPr>
            </w:pPr>
            <w:r>
              <w:rPr>
                <w:rFonts w:ascii="Arial" w:cs="Arial" w:eastAsia="Arial" w:hAnsi="Arial"/>
                <w:sz w:val="13"/>
                <w:szCs w:val="13"/>
                <w:b w:val="1"/>
                <w:bCs w:val="1"/>
                <w:color w:val="auto"/>
              </w:rPr>
              <w:t>Three Months Ended June 30,</w:t>
            </w:r>
          </w:p>
        </w:tc>
        <w:tc>
          <w:tcPr>
            <w:tcW w:w="240" w:type="dxa"/>
            <w:vAlign w:val="bottom"/>
          </w:tcPr>
          <w:p>
            <w:pPr>
              <w:spacing w:after="0"/>
              <w:rPr>
                <w:sz w:val="12"/>
                <w:szCs w:val="12"/>
                <w:color w:val="auto"/>
              </w:rPr>
            </w:pPr>
          </w:p>
        </w:tc>
        <w:tc>
          <w:tcPr>
            <w:tcW w:w="1940" w:type="dxa"/>
            <w:vAlign w:val="bottom"/>
            <w:gridSpan w:val="4"/>
          </w:tcPr>
          <w:p>
            <w:pPr>
              <w:jc w:val="right"/>
              <w:ind w:right="493"/>
              <w:spacing w:after="0"/>
              <w:rPr>
                <w:sz w:val="20"/>
                <w:szCs w:val="20"/>
                <w:color w:val="auto"/>
              </w:rPr>
            </w:pPr>
            <w:r>
              <w:rPr>
                <w:rFonts w:ascii="Arial" w:cs="Arial" w:eastAsia="Arial" w:hAnsi="Arial"/>
                <w:sz w:val="13"/>
                <w:szCs w:val="13"/>
                <w:b w:val="1"/>
                <w:bCs w:val="1"/>
                <w:color w:val="auto"/>
              </w:rPr>
              <w:t>Six Months Ended</w:t>
            </w:r>
          </w:p>
        </w:tc>
        <w:tc>
          <w:tcPr>
            <w:tcW w:w="0" w:type="dxa"/>
            <w:vAlign w:val="bottom"/>
          </w:tcPr>
          <w:p>
            <w:pPr>
              <w:spacing w:after="0"/>
              <w:rPr>
                <w:sz w:val="1"/>
                <w:szCs w:val="1"/>
                <w:color w:val="auto"/>
              </w:rPr>
            </w:pPr>
          </w:p>
        </w:tc>
      </w:tr>
      <w:tr>
        <w:trPr>
          <w:trHeight w:val="173"/>
        </w:trPr>
        <w:tc>
          <w:tcPr>
            <w:tcW w:w="6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gridSpan w:val="5"/>
            <w:vMerge w:val="continue"/>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gridSpan w:val="3"/>
          </w:tcPr>
          <w:p>
            <w:pPr>
              <w:jc w:val="right"/>
              <w:ind w:right="33"/>
              <w:spacing w:after="0"/>
              <w:rPr>
                <w:sz w:val="20"/>
                <w:szCs w:val="20"/>
                <w:color w:val="auto"/>
              </w:rPr>
            </w:pPr>
            <w:r>
              <w:rPr>
                <w:rFonts w:ascii="Arial" w:cs="Arial" w:eastAsia="Arial" w:hAnsi="Arial"/>
                <w:sz w:val="13"/>
                <w:szCs w:val="13"/>
                <w:b w:val="1"/>
                <w:bCs w:val="1"/>
                <w:color w:val="auto"/>
              </w:rPr>
              <w:t>June 30,</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7020" w:type="dxa"/>
            <w:vAlign w:val="bottom"/>
            <w:gridSpan w:val="2"/>
          </w:tcPr>
          <w:p>
            <w:pPr>
              <w:ind w:left="20"/>
              <w:spacing w:after="0" w:line="170" w:lineRule="exact"/>
              <w:rPr>
                <w:sz w:val="20"/>
                <w:szCs w:val="20"/>
                <w:color w:val="auto"/>
              </w:rPr>
            </w:pPr>
            <w:r>
              <w:rPr>
                <w:rFonts w:ascii="Arial" w:cs="Arial" w:eastAsia="Arial" w:hAnsi="Arial"/>
                <w:sz w:val="13"/>
                <w:szCs w:val="13"/>
                <w:b w:val="1"/>
                <w:bCs w:val="1"/>
                <w:color w:val="auto"/>
              </w:rPr>
              <w:t xml:space="preserve">Gain (Loss) on Investment Securities, Net </w:t>
            </w:r>
            <w:r>
              <w:rPr>
                <w:rFonts w:ascii="Arial" w:cs="Arial" w:eastAsia="Arial" w:hAnsi="Arial"/>
                <w:sz w:val="17"/>
                <w:szCs w:val="17"/>
                <w:b w:val="1"/>
                <w:bCs w:val="1"/>
                <w:color w:val="auto"/>
                <w:vertAlign w:val="superscript"/>
              </w:rPr>
              <w:t>1</w:t>
            </w:r>
          </w:p>
        </w:tc>
        <w:tc>
          <w:tcPr>
            <w:tcW w:w="1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ind w:right="253"/>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ind w:right="253"/>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jc w:val="right"/>
              <w:ind w:right="313"/>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ind w:right="313"/>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167"/>
        </w:trPr>
        <w:tc>
          <w:tcPr>
            <w:tcW w:w="69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Gain on sale of investment securities, net</w:t>
            </w: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tcBorders>
            <w:shd w:val="clear" w:color="auto" w:fill="CCEEFF"/>
          </w:tcPr>
          <w:p>
            <w:pPr>
              <w:jc w:val="center"/>
              <w:ind w:left="533"/>
              <w:spacing w:after="0"/>
              <w:rPr>
                <w:sz w:val="20"/>
                <w:szCs w:val="20"/>
                <w:color w:val="auto"/>
              </w:rPr>
            </w:pPr>
            <w:r>
              <w:rPr>
                <w:rFonts w:ascii="Arial" w:cs="Arial" w:eastAsia="Arial" w:hAnsi="Arial"/>
                <w:sz w:val="13"/>
                <w:szCs w:val="13"/>
                <w:color w:val="auto"/>
                <w:w w:val="96"/>
              </w:rPr>
              <w:t>25</w:t>
            </w: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153</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93"/>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jc w:val="right"/>
              <w:ind w:right="153"/>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647</w:t>
            </w:r>
          </w:p>
        </w:tc>
        <w:tc>
          <w:tcPr>
            <w:tcW w:w="0" w:type="dxa"/>
            <w:vAlign w:val="bottom"/>
          </w:tcPr>
          <w:p>
            <w:pPr>
              <w:spacing w:after="0"/>
              <w:rPr>
                <w:sz w:val="1"/>
                <w:szCs w:val="1"/>
                <w:color w:val="auto"/>
              </w:rPr>
            </w:pPr>
          </w:p>
        </w:tc>
      </w:tr>
      <w:tr>
        <w:trPr>
          <w:trHeight w:val="175"/>
        </w:trPr>
        <w:tc>
          <w:tcPr>
            <w:tcW w:w="7020" w:type="dxa"/>
            <w:vAlign w:val="bottom"/>
            <w:gridSpan w:val="2"/>
          </w:tcPr>
          <w:p>
            <w:pPr>
              <w:ind w:left="20"/>
              <w:spacing w:after="0" w:line="175" w:lineRule="exact"/>
              <w:rPr>
                <w:sz w:val="20"/>
                <w:szCs w:val="20"/>
                <w:color w:val="auto"/>
              </w:rPr>
            </w:pPr>
            <w:r>
              <w:rPr>
                <w:rFonts w:ascii="Arial" w:cs="Arial" w:eastAsia="Arial" w:hAnsi="Arial"/>
                <w:sz w:val="13"/>
                <w:szCs w:val="13"/>
                <w:color w:val="auto"/>
              </w:rPr>
              <w:t xml:space="preserve">Unrealized gain (loss) on investment securities measured at fair value through net income, net </w:t>
            </w:r>
            <w:r>
              <w:rPr>
                <w:rFonts w:ascii="Arial" w:cs="Arial" w:eastAsia="Arial" w:hAnsi="Arial"/>
                <w:sz w:val="17"/>
                <w:szCs w:val="17"/>
                <w:color w:val="auto"/>
                <w:vertAlign w:val="superscript"/>
              </w:rPr>
              <w:t>2</w:t>
            </w:r>
          </w:p>
        </w:tc>
        <w:tc>
          <w:tcPr>
            <w:tcW w:w="100" w:type="dxa"/>
            <w:vAlign w:val="bottom"/>
          </w:tcPr>
          <w:p>
            <w:pPr>
              <w:spacing w:after="0"/>
              <w:rPr>
                <w:sz w:val="15"/>
                <w:szCs w:val="15"/>
                <w:color w:val="auto"/>
              </w:rPr>
            </w:pPr>
          </w:p>
        </w:tc>
        <w:tc>
          <w:tcPr>
            <w:tcW w:w="820" w:type="dxa"/>
            <w:vAlign w:val="bottom"/>
          </w:tcPr>
          <w:p>
            <w:pPr>
              <w:jc w:val="center"/>
              <w:ind w:left="493"/>
              <w:spacing w:after="0"/>
              <w:rPr>
                <w:sz w:val="20"/>
                <w:szCs w:val="20"/>
                <w:color w:val="auto"/>
              </w:rPr>
            </w:pPr>
            <w:r>
              <w:rPr>
                <w:rFonts w:ascii="Arial" w:cs="Arial" w:eastAsia="Arial" w:hAnsi="Arial"/>
                <w:sz w:val="13"/>
                <w:szCs w:val="13"/>
                <w:color w:val="auto"/>
                <w:w w:val="94"/>
              </w:rPr>
              <w:t>(28)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679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(983)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876</w:t>
            </w:r>
          </w:p>
        </w:tc>
        <w:tc>
          <w:tcPr>
            <w:tcW w:w="0" w:type="dxa"/>
            <w:vAlign w:val="bottom"/>
          </w:tcPr>
          <w:p>
            <w:pPr>
              <w:spacing w:after="0"/>
              <w:rPr>
                <w:sz w:val="1"/>
                <w:szCs w:val="1"/>
                <w:color w:val="auto"/>
              </w:rPr>
            </w:pPr>
          </w:p>
        </w:tc>
      </w:tr>
      <w:tr>
        <w:trPr>
          <w:trHeight w:val="172"/>
        </w:trPr>
        <w:tc>
          <w:tcPr>
            <w:tcW w:w="70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Unrealized gain (loss) on investment securities measured at fair value through other comprehensive income, net</w:t>
            </w:r>
          </w:p>
        </w:tc>
        <w:tc>
          <w:tcPr>
            <w:tcW w:w="10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center"/>
              <w:ind w:left="493"/>
              <w:spacing w:after="0"/>
              <w:rPr>
                <w:sz w:val="20"/>
                <w:szCs w:val="20"/>
                <w:color w:val="auto"/>
              </w:rPr>
            </w:pPr>
            <w:r>
              <w:rPr>
                <w:rFonts w:ascii="Arial" w:cs="Arial" w:eastAsia="Arial" w:hAnsi="Arial"/>
                <w:sz w:val="13"/>
                <w:szCs w:val="13"/>
                <w:color w:val="auto"/>
                <w:w w:val="94"/>
              </w:rPr>
              <w:t>(77)</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203</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(314)</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667</w:t>
            </w:r>
          </w:p>
        </w:tc>
        <w:tc>
          <w:tcPr>
            <w:tcW w:w="0" w:type="dxa"/>
            <w:vAlign w:val="bottom"/>
          </w:tcPr>
          <w:p>
            <w:pPr>
              <w:spacing w:after="0"/>
              <w:rPr>
                <w:sz w:val="1"/>
                <w:szCs w:val="1"/>
                <w:color w:val="auto"/>
              </w:rPr>
            </w:pPr>
          </w:p>
        </w:tc>
      </w:tr>
      <w:tr>
        <w:trPr>
          <w:trHeight w:val="171"/>
        </w:trPr>
        <w:tc>
          <w:tcPr>
            <w:tcW w:w="7020" w:type="dxa"/>
            <w:vAlign w:val="bottom"/>
            <w:gridSpan w:val="2"/>
          </w:tcPr>
          <w:p>
            <w:pPr>
              <w:ind w:left="20"/>
              <w:spacing w:after="0"/>
              <w:rPr>
                <w:sz w:val="20"/>
                <w:szCs w:val="20"/>
                <w:color w:val="auto"/>
              </w:rPr>
            </w:pPr>
            <w:r>
              <w:rPr>
                <w:rFonts w:ascii="Arial" w:cs="Arial" w:eastAsia="Arial" w:hAnsi="Arial"/>
                <w:sz w:val="13"/>
                <w:szCs w:val="13"/>
                <w:color w:val="auto"/>
              </w:rPr>
              <w:t>Total gain (loss) on investment securities, net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tcPr>
          <w:p>
            <w:pPr>
              <w:jc w:val="center"/>
              <w:ind w:left="493"/>
              <w:spacing w:after="0"/>
              <w:rPr>
                <w:sz w:val="20"/>
                <w:szCs w:val="20"/>
                <w:color w:val="auto"/>
              </w:rPr>
            </w:pPr>
            <w:r>
              <w:rPr>
                <w:rFonts w:ascii="Arial" w:cs="Arial" w:eastAsia="Arial" w:hAnsi="Arial"/>
                <w:sz w:val="13"/>
                <w:szCs w:val="13"/>
                <w:color w:val="auto"/>
                <w:w w:val="94"/>
              </w:rPr>
              <w:t>(80)</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1,035</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(1,285)</w:t>
            </w: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153"/>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2,190</w:t>
            </w: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w:t>
      </w:r>
    </w:p>
    <w:p>
      <w:pPr>
        <w:spacing w:after="0" w:line="1" w:lineRule="exact"/>
        <w:rPr>
          <w:sz w:val="20"/>
          <w:szCs w:val="20"/>
          <w:color w:val="auto"/>
        </w:rPr>
      </w:pPr>
    </w:p>
    <w:p>
      <w:pPr>
        <w:ind w:left="600" w:hanging="300"/>
        <w:spacing w:after="0"/>
        <w:tabs>
          <w:tab w:leader="none" w:pos="600" w:val="left"/>
        </w:tabs>
        <w:numPr>
          <w:ilvl w:val="0"/>
          <w:numId w:val="29"/>
        </w:numPr>
        <w:rPr>
          <w:rFonts w:ascii="Arial" w:cs="Arial" w:eastAsia="Arial" w:hAnsi="Arial"/>
          <w:sz w:val="12"/>
          <w:szCs w:val="12"/>
          <w:color w:val="auto"/>
        </w:rPr>
      </w:pPr>
      <w:r>
        <w:rPr>
          <w:rFonts w:ascii="Arial" w:cs="Arial" w:eastAsia="Arial" w:hAnsi="Arial"/>
          <w:sz w:val="12"/>
          <w:szCs w:val="12"/>
          <w:color w:val="auto"/>
        </w:rPr>
        <w:t>Amounts exclude gain (loss) on TBA securities, which are reported in gain (loss) on derivative instruments and other securities, net in our Consolidated Statements of Comprehensive Income.</w:t>
      </w:r>
    </w:p>
    <w:p>
      <w:pPr>
        <w:spacing w:after="0" w:line="11" w:lineRule="exact"/>
        <w:rPr>
          <w:rFonts w:ascii="Arial" w:cs="Arial" w:eastAsia="Arial" w:hAnsi="Arial"/>
          <w:sz w:val="12"/>
          <w:szCs w:val="12"/>
          <w:color w:val="auto"/>
        </w:rPr>
      </w:pPr>
    </w:p>
    <w:p>
      <w:pPr>
        <w:ind w:left="600" w:hanging="300"/>
        <w:spacing w:after="0"/>
        <w:tabs>
          <w:tab w:leader="none" w:pos="600" w:val="left"/>
        </w:tabs>
        <w:numPr>
          <w:ilvl w:val="0"/>
          <w:numId w:val="29"/>
        </w:numPr>
        <w:rPr>
          <w:rFonts w:ascii="Arial" w:cs="Arial" w:eastAsia="Arial" w:hAnsi="Arial"/>
          <w:sz w:val="13"/>
          <w:szCs w:val="13"/>
          <w:color w:val="auto"/>
        </w:rPr>
      </w:pPr>
      <w:r>
        <w:rPr>
          <w:rFonts w:ascii="Arial" w:cs="Arial" w:eastAsia="Arial" w:hAnsi="Arial"/>
          <w:sz w:val="13"/>
          <w:szCs w:val="13"/>
          <w:color w:val="auto"/>
        </w:rPr>
        <w:t>Investment securities acquired after fiscal year 2016 are measured at fair value through net income (see Note 2 of our Consolidated Financial Statements in this Form 10-Q).</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8" w:name="page39"/>
    <w:bookmarkEnd w:id="38"/>
    <w:p>
      <w:pPr>
        <w:spacing w:after="0"/>
        <w:rPr>
          <w:sz w:val="20"/>
          <w:szCs w:val="20"/>
          <w:color w:val="auto"/>
        </w:rPr>
      </w:pPr>
      <w:r>
        <w:rPr>
          <w:rFonts w:ascii="Arial" w:cs="Arial" w:eastAsia="Arial" w:hAnsi="Arial"/>
          <w:sz w:val="17"/>
          <w:szCs w:val="17"/>
          <w:b w:val="1"/>
          <w:bCs w:val="1"/>
          <w:i w:val="1"/>
          <w:iCs w:val="1"/>
          <w:color w:val="auto"/>
        </w:rPr>
        <w:t>Gain (Loss) on Derivative Instruments and Other Securities, Net</w:t>
      </w:r>
    </w:p>
    <w:p>
      <w:pPr>
        <w:spacing w:after="0" w:line="154" w:lineRule="exact"/>
        <w:rPr>
          <w:sz w:val="20"/>
          <w:szCs w:val="20"/>
          <w:color w:val="auto"/>
        </w:rPr>
      </w:pPr>
    </w:p>
    <w:p>
      <w:pPr>
        <w:jc w:val="both"/>
        <w:ind w:firstLine="412"/>
        <w:spacing w:after="0" w:line="266" w:lineRule="auto"/>
        <w:rPr>
          <w:sz w:val="20"/>
          <w:szCs w:val="20"/>
          <w:color w:val="auto"/>
        </w:rPr>
      </w:pPr>
      <w:r>
        <w:rPr>
          <w:rFonts w:ascii="Arial" w:cs="Arial" w:eastAsia="Arial" w:hAnsi="Arial"/>
          <w:sz w:val="17"/>
          <w:szCs w:val="17"/>
          <w:color w:val="auto"/>
        </w:rPr>
        <w:t>The following table is a summary of our gain (loss) on derivative instruments and other securities, net for the three and six months ended June 30, 2021 and 2020 (in millions):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160" w:type="dxa"/>
            <w:vAlign w:val="bottom"/>
          </w:tcPr>
          <w:p>
            <w:pPr>
              <w:spacing w:after="0"/>
              <w:rPr>
                <w:sz w:val="13"/>
                <w:szCs w:val="13"/>
                <w:color w:val="auto"/>
              </w:rPr>
            </w:pPr>
          </w:p>
        </w:tc>
        <w:tc>
          <w:tcPr>
            <w:tcW w:w="2060" w:type="dxa"/>
            <w:vAlign w:val="bottom"/>
            <w:gridSpan w:val="6"/>
            <w:vMerge w:val="restart"/>
          </w:tcPr>
          <w:p>
            <w:pPr>
              <w:ind w:left="100"/>
              <w:spacing w:after="0"/>
              <w:rPr>
                <w:sz w:val="20"/>
                <w:szCs w:val="20"/>
                <w:color w:val="auto"/>
              </w:rPr>
            </w:pPr>
            <w:r>
              <w:rPr>
                <w:rFonts w:ascii="Arial" w:cs="Arial" w:eastAsia="Arial" w:hAnsi="Arial"/>
                <w:sz w:val="13"/>
                <w:szCs w:val="13"/>
                <w:b w:val="1"/>
                <w:bCs w:val="1"/>
                <w:color w:val="auto"/>
              </w:rPr>
              <w:t>Three Months Ended June 30,</w:t>
            </w:r>
          </w:p>
        </w:tc>
        <w:tc>
          <w:tcPr>
            <w:tcW w:w="220" w:type="dxa"/>
            <w:vAlign w:val="bottom"/>
          </w:tcPr>
          <w:p>
            <w:pPr>
              <w:spacing w:after="0"/>
              <w:rPr>
                <w:sz w:val="13"/>
                <w:szCs w:val="13"/>
                <w:color w:val="auto"/>
              </w:rPr>
            </w:pPr>
          </w:p>
        </w:tc>
        <w:tc>
          <w:tcPr>
            <w:tcW w:w="1800" w:type="dxa"/>
            <w:vAlign w:val="bottom"/>
            <w:gridSpan w:val="4"/>
          </w:tcPr>
          <w:p>
            <w:pPr>
              <w:jc w:val="right"/>
              <w:ind w:right="413"/>
              <w:spacing w:after="0"/>
              <w:rPr>
                <w:sz w:val="20"/>
                <w:szCs w:val="20"/>
                <w:color w:val="auto"/>
              </w:rPr>
            </w:pPr>
            <w:r>
              <w:rPr>
                <w:rFonts w:ascii="Arial" w:cs="Arial" w:eastAsia="Arial" w:hAnsi="Arial"/>
                <w:sz w:val="13"/>
                <w:szCs w:val="13"/>
                <w:b w:val="1"/>
                <w:bCs w:val="1"/>
                <w:color w:val="auto"/>
              </w:rPr>
              <w:t>Six Months Ended</w:t>
            </w:r>
          </w:p>
        </w:tc>
        <w:tc>
          <w:tcPr>
            <w:tcW w:w="0" w:type="dxa"/>
            <w:vAlign w:val="bottom"/>
          </w:tcPr>
          <w:p>
            <w:pPr>
              <w:spacing w:after="0"/>
              <w:rPr>
                <w:sz w:val="1"/>
                <w:szCs w:val="1"/>
                <w:color w:val="auto"/>
              </w:rPr>
            </w:pPr>
          </w:p>
        </w:tc>
      </w:tr>
      <w:tr>
        <w:trPr>
          <w:trHeight w:val="174"/>
        </w:trPr>
        <w:tc>
          <w:tcPr>
            <w:tcW w:w="7160" w:type="dxa"/>
            <w:vAlign w:val="bottom"/>
          </w:tcPr>
          <w:p>
            <w:pPr>
              <w:spacing w:after="0"/>
              <w:rPr>
                <w:sz w:val="15"/>
                <w:szCs w:val="15"/>
                <w:color w:val="auto"/>
              </w:rPr>
            </w:pPr>
          </w:p>
        </w:tc>
        <w:tc>
          <w:tcPr>
            <w:tcW w:w="2060" w:type="dxa"/>
            <w:vAlign w:val="bottom"/>
            <w:gridSpan w:val="6"/>
            <w:vMerge w:val="continue"/>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gridSpan w:val="3"/>
          </w:tcPr>
          <w:p>
            <w:pPr>
              <w:jc w:val="right"/>
              <w:spacing w:after="0"/>
              <w:rPr>
                <w:sz w:val="20"/>
                <w:szCs w:val="20"/>
                <w:color w:val="auto"/>
              </w:rPr>
            </w:pPr>
            <w:r>
              <w:rPr>
                <w:rFonts w:ascii="Arial" w:cs="Arial" w:eastAsia="Arial" w:hAnsi="Arial"/>
                <w:sz w:val="13"/>
                <w:szCs w:val="13"/>
                <w:b w:val="1"/>
                <w:bCs w:val="1"/>
                <w:color w:val="auto"/>
              </w:rPr>
              <w:t>June 30,</w:t>
            </w: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7160" w:type="dxa"/>
            <w:vAlign w:val="bottom"/>
            <w:tcBorders>
              <w:bottom w:val="single" w:sz="8" w:color="CCEEFF"/>
            </w:tcBorders>
          </w:tcPr>
          <w:p>
            <w:pPr>
              <w:spacing w:after="0"/>
              <w:rPr>
                <w:sz w:val="14"/>
                <w:szCs w:val="1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32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253"/>
              <w:spacing w:after="0"/>
              <w:rPr>
                <w:sz w:val="20"/>
                <w:szCs w:val="20"/>
                <w:color w:val="auto"/>
              </w:rPr>
            </w:pPr>
            <w:r>
              <w:rPr>
                <w:rFonts w:ascii="Arial" w:cs="Arial" w:eastAsia="Arial" w:hAnsi="Arial"/>
                <w:sz w:val="13"/>
                <w:szCs w:val="13"/>
                <w:b w:val="1"/>
                <w:bCs w:val="1"/>
                <w:color w:val="auto"/>
              </w:rPr>
              <w:t>2020</w:t>
            </w:r>
          </w:p>
        </w:tc>
        <w:tc>
          <w:tcPr>
            <w:tcW w:w="140" w:type="dxa"/>
            <w:vAlign w:val="bottom"/>
            <w:tcBorders>
              <w:bottom w:val="single" w:sz="8" w:color="CCEEFF"/>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top w:val="single" w:sz="8" w:color="auto"/>
              <w:bottom w:val="single" w:sz="8" w:color="CCEEFF"/>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169"/>
        </w:trPr>
        <w:tc>
          <w:tcPr>
            <w:tcW w:w="7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TBA securities, dollar roll income</w:t>
            </w:r>
          </w:p>
        </w:tc>
        <w:tc>
          <w:tcPr>
            <w:tcW w:w="600" w:type="dxa"/>
            <w:vAlign w:val="bottom"/>
            <w:shd w:val="clear" w:color="auto" w:fill="CCEEFF"/>
          </w:tcPr>
          <w:p>
            <w:pPr>
              <w:jc w:val="right"/>
              <w:ind w:right="453"/>
              <w:spacing w:after="0"/>
              <w:rPr>
                <w:sz w:val="20"/>
                <w:szCs w:val="20"/>
                <w:color w:val="auto"/>
              </w:rPr>
            </w:pPr>
            <w:r>
              <w:rPr>
                <w:rFonts w:ascii="Arial" w:cs="Arial" w:eastAsia="Arial" w:hAnsi="Arial"/>
                <w:sz w:val="13"/>
                <w:szCs w:val="13"/>
                <w:color w:val="auto"/>
                <w:w w:val="82"/>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162</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w:t>
            </w: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3"/>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0" w:type="dxa"/>
            <w:vAlign w:val="bottom"/>
          </w:tcPr>
          <w:p>
            <w:pPr>
              <w:spacing w:after="0"/>
              <w:rPr>
                <w:sz w:val="1"/>
                <w:szCs w:val="1"/>
                <w:color w:val="auto"/>
              </w:rPr>
            </w:pPr>
          </w:p>
        </w:tc>
      </w:tr>
      <w:tr>
        <w:trPr>
          <w:trHeight w:val="172"/>
        </w:trPr>
        <w:tc>
          <w:tcPr>
            <w:tcW w:w="7160" w:type="dxa"/>
            <w:vAlign w:val="bottom"/>
          </w:tcPr>
          <w:p>
            <w:pPr>
              <w:ind w:left="20"/>
              <w:spacing w:after="0"/>
              <w:rPr>
                <w:sz w:val="20"/>
                <w:szCs w:val="20"/>
                <w:color w:val="auto"/>
              </w:rPr>
            </w:pPr>
            <w:r>
              <w:rPr>
                <w:rFonts w:ascii="Arial" w:cs="Arial" w:eastAsia="Arial" w:hAnsi="Arial"/>
                <w:sz w:val="13"/>
                <w:szCs w:val="13"/>
                <w:color w:val="auto"/>
              </w:rPr>
              <w:t>TBA securities, mark-to-market gain/(loss)</w:t>
            </w:r>
          </w:p>
        </w:tc>
        <w:tc>
          <w:tcPr>
            <w:tcW w:w="60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234</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142</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(846)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819</w:t>
            </w:r>
          </w:p>
        </w:tc>
        <w:tc>
          <w:tcPr>
            <w:tcW w:w="0" w:type="dxa"/>
            <w:vAlign w:val="bottom"/>
          </w:tcPr>
          <w:p>
            <w:pPr>
              <w:spacing w:after="0"/>
              <w:rPr>
                <w:sz w:val="1"/>
                <w:szCs w:val="1"/>
                <w:color w:val="auto"/>
              </w:rPr>
            </w:pPr>
          </w:p>
        </w:tc>
      </w:tr>
      <w:tr>
        <w:trPr>
          <w:trHeight w:val="178"/>
        </w:trPr>
        <w:tc>
          <w:tcPr>
            <w:tcW w:w="7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Interest rate swaps, periodic cost</w:t>
            </w:r>
          </w:p>
        </w:tc>
        <w:tc>
          <w:tcPr>
            <w:tcW w:w="60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w:t>
            </w: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w:t>
            </w:r>
          </w:p>
        </w:tc>
        <w:tc>
          <w:tcPr>
            <w:tcW w:w="0" w:type="dxa"/>
            <w:vAlign w:val="bottom"/>
          </w:tcPr>
          <w:p>
            <w:pPr>
              <w:spacing w:after="0"/>
              <w:rPr>
                <w:sz w:val="1"/>
                <w:szCs w:val="1"/>
                <w:color w:val="auto"/>
              </w:rPr>
            </w:pPr>
          </w:p>
        </w:tc>
      </w:tr>
      <w:tr>
        <w:trPr>
          <w:trHeight w:val="172"/>
        </w:trPr>
        <w:tc>
          <w:tcPr>
            <w:tcW w:w="7160" w:type="dxa"/>
            <w:vAlign w:val="bottom"/>
          </w:tcPr>
          <w:p>
            <w:pPr>
              <w:ind w:left="20"/>
              <w:spacing w:after="0"/>
              <w:rPr>
                <w:sz w:val="20"/>
                <w:szCs w:val="20"/>
                <w:color w:val="auto"/>
              </w:rPr>
            </w:pPr>
            <w:r>
              <w:rPr>
                <w:rFonts w:ascii="Arial" w:cs="Arial" w:eastAsia="Arial" w:hAnsi="Arial"/>
                <w:sz w:val="13"/>
                <w:szCs w:val="13"/>
                <w:color w:val="auto"/>
              </w:rPr>
              <w:t>Interest rate swaps, mark-to-market gain/(loss)</w:t>
            </w:r>
          </w:p>
        </w:tc>
        <w:tc>
          <w:tcPr>
            <w:tcW w:w="60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w w:val="85"/>
              </w:rPr>
              <w:t>(381)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(320)</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755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(3,146)</w:t>
            </w:r>
          </w:p>
        </w:tc>
        <w:tc>
          <w:tcPr>
            <w:tcW w:w="0" w:type="dxa"/>
            <w:vAlign w:val="bottom"/>
          </w:tcPr>
          <w:p>
            <w:pPr>
              <w:spacing w:after="0"/>
              <w:rPr>
                <w:sz w:val="1"/>
                <w:szCs w:val="1"/>
                <w:color w:val="auto"/>
              </w:rPr>
            </w:pPr>
          </w:p>
        </w:tc>
      </w:tr>
      <w:tr>
        <w:trPr>
          <w:trHeight w:val="178"/>
        </w:trPr>
        <w:tc>
          <w:tcPr>
            <w:tcW w:w="7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Payer swaptions</w:t>
            </w:r>
          </w:p>
        </w:tc>
        <w:tc>
          <w:tcPr>
            <w:tcW w:w="60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5"/>
              </w:rPr>
              <w:t>(313)</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w:t>
            </w:r>
          </w:p>
        </w:tc>
        <w:tc>
          <w:tcPr>
            <w:tcW w:w="0" w:type="dxa"/>
            <w:vAlign w:val="bottom"/>
          </w:tcPr>
          <w:p>
            <w:pPr>
              <w:spacing w:after="0"/>
              <w:rPr>
                <w:sz w:val="1"/>
                <w:szCs w:val="1"/>
                <w:color w:val="auto"/>
              </w:rPr>
            </w:pPr>
          </w:p>
        </w:tc>
      </w:tr>
      <w:tr>
        <w:trPr>
          <w:trHeight w:val="172"/>
        </w:trPr>
        <w:tc>
          <w:tcPr>
            <w:tcW w:w="7160" w:type="dxa"/>
            <w:vAlign w:val="bottom"/>
          </w:tcPr>
          <w:p>
            <w:pPr>
              <w:ind w:left="20"/>
              <w:spacing w:after="0"/>
              <w:rPr>
                <w:sz w:val="20"/>
                <w:szCs w:val="20"/>
                <w:color w:val="auto"/>
              </w:rPr>
            </w:pPr>
            <w:r>
              <w:rPr>
                <w:rFonts w:ascii="Arial" w:cs="Arial" w:eastAsia="Arial" w:hAnsi="Arial"/>
                <w:sz w:val="13"/>
                <w:szCs w:val="13"/>
                <w:color w:val="auto"/>
              </w:rPr>
              <w:t>U.S. Treasury securities - short position</w:t>
            </w:r>
          </w:p>
        </w:tc>
        <w:tc>
          <w:tcPr>
            <w:tcW w:w="60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w w:val="85"/>
              </w:rPr>
              <w:t>(333)</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(60)</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474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(997)</w:t>
            </w:r>
          </w:p>
        </w:tc>
        <w:tc>
          <w:tcPr>
            <w:tcW w:w="0" w:type="dxa"/>
            <w:vAlign w:val="bottom"/>
          </w:tcPr>
          <w:p>
            <w:pPr>
              <w:spacing w:after="0"/>
              <w:rPr>
                <w:sz w:val="1"/>
                <w:szCs w:val="1"/>
                <w:color w:val="auto"/>
              </w:rPr>
            </w:pPr>
          </w:p>
        </w:tc>
      </w:tr>
      <w:tr>
        <w:trPr>
          <w:trHeight w:val="178"/>
        </w:trPr>
        <w:tc>
          <w:tcPr>
            <w:tcW w:w="7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U.S. Treasury securities - long position</w:t>
            </w:r>
          </w:p>
        </w:tc>
        <w:tc>
          <w:tcPr>
            <w:tcW w:w="600" w:type="dxa"/>
            <w:vAlign w:val="bottom"/>
            <w:shd w:val="clear" w:color="auto" w:fill="CCEEFF"/>
          </w:tcPr>
          <w:p>
            <w:pPr>
              <w:spacing w:after="0"/>
              <w:rPr>
                <w:sz w:val="15"/>
                <w:szCs w:val="15"/>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w:t>
            </w:r>
          </w:p>
        </w:tc>
        <w:tc>
          <w:tcPr>
            <w:tcW w:w="0" w:type="dxa"/>
            <w:vAlign w:val="bottom"/>
          </w:tcPr>
          <w:p>
            <w:pPr>
              <w:spacing w:after="0"/>
              <w:rPr>
                <w:sz w:val="1"/>
                <w:szCs w:val="1"/>
                <w:color w:val="auto"/>
              </w:rPr>
            </w:pPr>
          </w:p>
        </w:tc>
      </w:tr>
      <w:tr>
        <w:trPr>
          <w:trHeight w:val="172"/>
        </w:trPr>
        <w:tc>
          <w:tcPr>
            <w:tcW w:w="7160" w:type="dxa"/>
            <w:vAlign w:val="bottom"/>
          </w:tcPr>
          <w:p>
            <w:pPr>
              <w:ind w:left="20"/>
              <w:spacing w:after="0"/>
              <w:rPr>
                <w:sz w:val="20"/>
                <w:szCs w:val="20"/>
                <w:color w:val="auto"/>
              </w:rPr>
            </w:pPr>
            <w:r>
              <w:rPr>
                <w:rFonts w:ascii="Arial" w:cs="Arial" w:eastAsia="Arial" w:hAnsi="Arial"/>
                <w:sz w:val="13"/>
                <w:szCs w:val="13"/>
                <w:color w:val="auto"/>
              </w:rPr>
              <w:t>U.S. Treasury futures contracts - short position</w:t>
            </w:r>
          </w:p>
        </w:tc>
        <w:tc>
          <w:tcPr>
            <w:tcW w:w="600" w:type="dxa"/>
            <w:vAlign w:val="bottom"/>
          </w:tcPr>
          <w:p>
            <w:pPr>
              <w:spacing w:after="0"/>
              <w:rPr>
                <w:sz w:val="14"/>
                <w:szCs w:val="14"/>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(29)</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(8)</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(112)</w:t>
            </w:r>
          </w:p>
        </w:tc>
        <w:tc>
          <w:tcPr>
            <w:tcW w:w="0" w:type="dxa"/>
            <w:vAlign w:val="bottom"/>
          </w:tcPr>
          <w:p>
            <w:pPr>
              <w:spacing w:after="0"/>
              <w:rPr>
                <w:sz w:val="1"/>
                <w:szCs w:val="1"/>
                <w:color w:val="auto"/>
              </w:rPr>
            </w:pPr>
          </w:p>
        </w:tc>
      </w:tr>
      <w:tr>
        <w:trPr>
          <w:trHeight w:val="175"/>
        </w:trPr>
        <w:tc>
          <w:tcPr>
            <w:tcW w:w="7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w:t>
            </w:r>
          </w:p>
        </w:tc>
        <w:tc>
          <w:tcPr>
            <w:tcW w:w="600" w:type="dxa"/>
            <w:vAlign w:val="bottom"/>
            <w:tcBorders>
              <w:bottom w:val="single" w:sz="8" w:color="auto"/>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62</w:t>
            </w: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(148)</w:t>
            </w:r>
          </w:p>
        </w:tc>
        <w:tc>
          <w:tcPr>
            <w:tcW w:w="14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(122)</w:t>
            </w:r>
          </w:p>
        </w:tc>
        <w:tc>
          <w:tcPr>
            <w:tcW w:w="0" w:type="dxa"/>
            <w:vAlign w:val="bottom"/>
          </w:tcPr>
          <w:p>
            <w:pPr>
              <w:spacing w:after="0"/>
              <w:rPr>
                <w:sz w:val="1"/>
                <w:szCs w:val="1"/>
                <w:color w:val="auto"/>
              </w:rPr>
            </w:pPr>
          </w:p>
        </w:tc>
      </w:tr>
      <w:tr>
        <w:trPr>
          <w:trHeight w:val="171"/>
        </w:trPr>
        <w:tc>
          <w:tcPr>
            <w:tcW w:w="7160" w:type="dxa"/>
            <w:vAlign w:val="bottom"/>
          </w:tcPr>
          <w:p>
            <w:pPr>
              <w:ind w:left="20"/>
              <w:spacing w:after="0"/>
              <w:rPr>
                <w:sz w:val="20"/>
                <w:szCs w:val="20"/>
                <w:color w:val="auto"/>
              </w:rPr>
            </w:pPr>
            <w:r>
              <w:rPr>
                <w:rFonts w:ascii="Arial" w:cs="Arial" w:eastAsia="Arial" w:hAnsi="Arial"/>
                <w:sz w:val="13"/>
                <w:szCs w:val="13"/>
                <w:color w:val="auto"/>
              </w:rPr>
              <w:t>Total gain (loss) on derivative instruments and other securities, net</w:t>
            </w:r>
          </w:p>
        </w:tc>
        <w:tc>
          <w:tcPr>
            <w:tcW w:w="600" w:type="dxa"/>
            <w:vAlign w:val="bottom"/>
            <w:tcBorders>
              <w:bottom w:val="single" w:sz="8" w:color="auto"/>
            </w:tcBorders>
          </w:tcPr>
          <w:p>
            <w:pPr>
              <w:jc w:val="right"/>
              <w:ind w:right="453"/>
              <w:spacing w:after="0"/>
              <w:rPr>
                <w:sz w:val="20"/>
                <w:szCs w:val="20"/>
                <w:color w:val="auto"/>
              </w:rPr>
            </w:pPr>
            <w:r>
              <w:rPr>
                <w:rFonts w:ascii="Arial" w:cs="Arial" w:eastAsia="Arial" w:hAnsi="Arial"/>
                <w:sz w:val="13"/>
                <w:szCs w:val="13"/>
                <w:color w:val="auto"/>
                <w:w w:val="82"/>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5"/>
              </w:rPr>
              <w:t>(618)</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(385)</w:t>
            </w:r>
          </w:p>
        </w:tc>
        <w:tc>
          <w:tcPr>
            <w:tcW w:w="140" w:type="dxa"/>
            <w:vAlign w:val="bottom"/>
          </w:tcPr>
          <w:p>
            <w:pPr>
              <w:spacing w:after="0"/>
              <w:rPr>
                <w:sz w:val="14"/>
                <w:szCs w:val="14"/>
                <w:color w:val="auto"/>
              </w:rPr>
            </w:pPr>
          </w:p>
        </w:tc>
        <w:tc>
          <w:tcPr>
            <w:tcW w:w="22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821</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(3,539)</w:t>
            </w: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8" w:lineRule="exact"/>
        <w:rPr>
          <w:sz w:val="20"/>
          <w:szCs w:val="20"/>
          <w:color w:val="auto"/>
        </w:rPr>
      </w:pPr>
    </w:p>
    <w:p>
      <w:pPr>
        <w:jc w:val="both"/>
        <w:ind w:firstLine="412"/>
        <w:spacing w:after="0" w:line="266" w:lineRule="auto"/>
        <w:rPr>
          <w:sz w:val="20"/>
          <w:szCs w:val="20"/>
          <w:color w:val="auto"/>
        </w:rPr>
      </w:pPr>
      <w:r>
        <w:rPr>
          <w:rFonts w:ascii="Arial" w:cs="Arial" w:eastAsia="Arial" w:hAnsi="Arial"/>
          <w:sz w:val="17"/>
          <w:szCs w:val="17"/>
          <w:color w:val="auto"/>
        </w:rPr>
        <w:t>For further details regarding our use of derivative instruments and related activity refer to Notes 2 and 5 of our Consolidated Financial Statements in this Form 10-Q.</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Estimated Taxable Income (Loss)</w:t>
      </w:r>
    </w:p>
    <w:p>
      <w:pPr>
        <w:spacing w:after="0" w:line="154" w:lineRule="exact"/>
        <w:rPr>
          <w:sz w:val="20"/>
          <w:szCs w:val="20"/>
          <w:color w:val="auto"/>
        </w:rPr>
      </w:pPr>
    </w:p>
    <w:p>
      <w:pPr>
        <w:jc w:val="both"/>
        <w:ind w:firstLine="412"/>
        <w:spacing w:after="0" w:line="264" w:lineRule="auto"/>
        <w:rPr>
          <w:sz w:val="20"/>
          <w:szCs w:val="20"/>
          <w:color w:val="auto"/>
        </w:rPr>
      </w:pPr>
      <w:r>
        <w:rPr>
          <w:rFonts w:ascii="Arial" w:cs="Arial" w:eastAsia="Arial" w:hAnsi="Arial"/>
          <w:sz w:val="16"/>
          <w:szCs w:val="16"/>
          <w:color w:val="auto"/>
        </w:rPr>
        <w:t>For the three months ended June 30, 2021 and 2020, we had estimated taxable loss attributable to common stockholders of $(158) million and $(4) million, respectively, or $(0.30) and $(0.01) per diluted common share, respectively. For the six months ended June 30, 2021 and 2020, we had estimated taxable income (loss) available (attributable) to common stockholders of $(322) million and $107 million, respectively, or $(0.61) and $0.19 per diluted common share, respectively. Income determined under GAAP differs from income determined under U.S. federal income tax rules because of both temporary and permanent differences in income and expense recognition. The primary differences are (i) unrealized gains and losses on investment securities and derivative instruments marked-to-market in current income for GAAP purposes, but excluded from taxable income until realized, settled or amortized over the instrument's original term, (ii) timing differences, both temporary and potentially permanent, in the recognition of certain realized gains and losses and (iii) temporary differences related to the amortization of premiums and discounts on investments. Furthermore, our estimated taxable income is subject to potential adjustments up to the time of filing our appropriate tax returns, which occurs after the end of our fiscal year. The following is a reconciliation of our GAAP net income to our estimated taxable income for the three and six months ended June 30, 2021 and 2020 (dollars in millions, except per share amounts):</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178"/>
        </w:trPr>
        <w:tc>
          <w:tcPr>
            <w:tcW w:w="6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gridSpan w:val="5"/>
          </w:tcPr>
          <w:p>
            <w:pPr>
              <w:spacing w:after="0"/>
              <w:rPr>
                <w:sz w:val="20"/>
                <w:szCs w:val="20"/>
                <w:color w:val="auto"/>
              </w:rPr>
            </w:pPr>
            <w:r>
              <w:rPr>
                <w:rFonts w:ascii="Arial" w:cs="Arial" w:eastAsia="Arial" w:hAnsi="Arial"/>
                <w:sz w:val="13"/>
                <w:szCs w:val="13"/>
                <w:b w:val="1"/>
                <w:bCs w:val="1"/>
                <w:color w:val="auto"/>
              </w:rPr>
              <w:t>Three Months Ended June 30,</w:t>
            </w:r>
          </w:p>
        </w:tc>
        <w:tc>
          <w:tcPr>
            <w:tcW w:w="140" w:type="dxa"/>
            <w:vAlign w:val="bottom"/>
          </w:tcPr>
          <w:p>
            <w:pPr>
              <w:spacing w:after="0"/>
              <w:rPr>
                <w:sz w:val="15"/>
                <w:szCs w:val="15"/>
                <w:color w:val="auto"/>
              </w:rPr>
            </w:pPr>
          </w:p>
        </w:tc>
        <w:tc>
          <w:tcPr>
            <w:tcW w:w="1800" w:type="dxa"/>
            <w:vAlign w:val="bottom"/>
            <w:gridSpan w:val="4"/>
          </w:tcPr>
          <w:p>
            <w:pPr>
              <w:jc w:val="right"/>
              <w:ind w:right="153"/>
              <w:spacing w:after="0"/>
              <w:rPr>
                <w:sz w:val="20"/>
                <w:szCs w:val="20"/>
                <w:color w:val="auto"/>
              </w:rPr>
            </w:pPr>
            <w:r>
              <w:rPr>
                <w:rFonts w:ascii="Arial" w:cs="Arial" w:eastAsia="Arial" w:hAnsi="Arial"/>
                <w:sz w:val="13"/>
                <w:szCs w:val="13"/>
                <w:b w:val="1"/>
                <w:bCs w:val="1"/>
                <w:color w:val="auto"/>
                <w:w w:val="94"/>
              </w:rPr>
              <w:t>Six Months EndedJune 30,</w:t>
            </w:r>
          </w:p>
        </w:tc>
      </w:tr>
      <w:tr>
        <w:trPr>
          <w:trHeight w:val="171"/>
        </w:trPr>
        <w:tc>
          <w:tcPr>
            <w:tcW w:w="6440" w:type="dxa"/>
            <w:vAlign w:val="bottom"/>
            <w:tcBorders>
              <w:bottom w:val="single" w:sz="8" w:color="CCEEFF"/>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253"/>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top w:val="single" w:sz="8" w:color="auto"/>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CEEFF"/>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273"/>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top w:val="single" w:sz="8" w:color="auto"/>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253"/>
              <w:spacing w:after="0"/>
              <w:rPr>
                <w:sz w:val="20"/>
                <w:szCs w:val="20"/>
                <w:color w:val="auto"/>
              </w:rPr>
            </w:pPr>
            <w:r>
              <w:rPr>
                <w:rFonts w:ascii="Arial" w:cs="Arial" w:eastAsia="Arial" w:hAnsi="Arial"/>
                <w:sz w:val="13"/>
                <w:szCs w:val="13"/>
                <w:b w:val="1"/>
                <w:bCs w:val="1"/>
                <w:color w:val="auto"/>
              </w:rPr>
              <w:t>2020</w:t>
            </w:r>
          </w:p>
        </w:tc>
      </w:tr>
      <w:tr>
        <w:trPr>
          <w:trHeight w:val="169"/>
        </w:trPr>
        <w:tc>
          <w:tcPr>
            <w:tcW w:w="6440" w:type="dxa"/>
            <w:vAlign w:val="bottom"/>
            <w:shd w:val="clear" w:color="auto" w:fill="CCEEFF"/>
          </w:tcPr>
          <w:p>
            <w:pPr>
              <w:spacing w:after="0"/>
              <w:rPr>
                <w:sz w:val="20"/>
                <w:szCs w:val="20"/>
                <w:color w:val="auto"/>
              </w:rPr>
            </w:pPr>
            <w:r>
              <w:rPr>
                <w:rFonts w:ascii="Arial" w:cs="Arial" w:eastAsia="Arial" w:hAnsi="Arial"/>
                <w:sz w:val="13"/>
                <w:szCs w:val="13"/>
                <w:color w:val="auto"/>
              </w:rPr>
              <w:t>Net income/(loss)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718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(1,703)</w:t>
            </w:r>
          </w:p>
        </w:tc>
      </w:tr>
      <w:tr>
        <w:trPr>
          <w:trHeight w:val="172"/>
        </w:trPr>
        <w:tc>
          <w:tcPr>
            <w:tcW w:w="6440" w:type="dxa"/>
            <w:vAlign w:val="bottom"/>
          </w:tcPr>
          <w:p>
            <w:pPr>
              <w:spacing w:after="0"/>
              <w:rPr>
                <w:sz w:val="20"/>
                <w:szCs w:val="20"/>
                <w:color w:val="auto"/>
              </w:rPr>
            </w:pPr>
            <w:r>
              <w:rPr>
                <w:rFonts w:ascii="Arial" w:cs="Arial" w:eastAsia="Arial" w:hAnsi="Arial"/>
                <w:sz w:val="13"/>
                <w:szCs w:val="13"/>
                <w:color w:val="auto"/>
              </w:rPr>
              <w:t>Book to tax differences:</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8"/>
        </w:trPr>
        <w:tc>
          <w:tcPr>
            <w:tcW w:w="64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Premium amortization, net</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259</w:t>
            </w:r>
          </w:p>
        </w:tc>
      </w:tr>
      <w:tr>
        <w:trPr>
          <w:trHeight w:val="172"/>
        </w:trPr>
        <w:tc>
          <w:tcPr>
            <w:tcW w:w="6440" w:type="dxa"/>
            <w:vAlign w:val="bottom"/>
          </w:tcPr>
          <w:p>
            <w:pPr>
              <w:ind w:left="120"/>
              <w:spacing w:after="0"/>
              <w:rPr>
                <w:sz w:val="20"/>
                <w:szCs w:val="20"/>
                <w:color w:val="auto"/>
              </w:rPr>
            </w:pPr>
            <w:r>
              <w:rPr>
                <w:rFonts w:ascii="Arial" w:cs="Arial" w:eastAsia="Arial" w:hAnsi="Arial"/>
                <w:sz w:val="13"/>
                <w:szCs w:val="13"/>
                <w:color w:val="auto"/>
              </w:rPr>
              <w:t>Realized gain/loss, net</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43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(1,451)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2,555</w:t>
            </w:r>
          </w:p>
        </w:tc>
      </w:tr>
      <w:tr>
        <w:trPr>
          <w:trHeight w:val="178"/>
        </w:trPr>
        <w:tc>
          <w:tcPr>
            <w:tcW w:w="64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Net capital loss/(utilization of net capital loss carryforward)</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(394)</w:t>
            </w:r>
          </w:p>
        </w:tc>
      </w:tr>
      <w:tr>
        <w:trPr>
          <w:trHeight w:val="172"/>
        </w:trPr>
        <w:tc>
          <w:tcPr>
            <w:tcW w:w="6440" w:type="dxa"/>
            <w:vAlign w:val="bottom"/>
          </w:tcPr>
          <w:p>
            <w:pPr>
              <w:ind w:left="120"/>
              <w:spacing w:after="0"/>
              <w:rPr>
                <w:sz w:val="20"/>
                <w:szCs w:val="20"/>
                <w:color w:val="auto"/>
              </w:rPr>
            </w:pPr>
            <w:r>
              <w:rPr>
                <w:rFonts w:ascii="Arial" w:cs="Arial" w:eastAsia="Arial" w:hAnsi="Arial"/>
                <w:sz w:val="13"/>
                <w:szCs w:val="13"/>
                <w:color w:val="auto"/>
              </w:rPr>
              <w:t>Unrealized (gain)/loss, net</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152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(291)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697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(554)</w:t>
            </w:r>
          </w:p>
        </w:tc>
      </w:tr>
      <w:tr>
        <w:trPr>
          <w:trHeight w:val="178"/>
        </w:trPr>
        <w:tc>
          <w:tcPr>
            <w:tcW w:w="64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Other</w:t>
            </w:r>
          </w:p>
        </w:tc>
        <w:tc>
          <w:tcPr>
            <w:tcW w:w="10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w:t>
            </w:r>
          </w:p>
        </w:tc>
      </w:tr>
      <w:tr>
        <w:trPr>
          <w:trHeight w:val="164"/>
        </w:trPr>
        <w:tc>
          <w:tcPr>
            <w:tcW w:w="6440" w:type="dxa"/>
            <w:vAlign w:val="bottom"/>
            <w:tcBorders>
              <w:bottom w:val="single" w:sz="8" w:color="CCEEFF"/>
            </w:tcBorders>
          </w:tcPr>
          <w:p>
            <w:pPr>
              <w:ind w:left="500"/>
              <w:spacing w:after="0"/>
              <w:rPr>
                <w:sz w:val="20"/>
                <w:szCs w:val="20"/>
                <w:color w:val="auto"/>
              </w:rPr>
            </w:pPr>
            <w:r>
              <w:rPr>
                <w:rFonts w:ascii="Arial" w:cs="Arial" w:eastAsia="Arial" w:hAnsi="Arial"/>
                <w:sz w:val="13"/>
                <w:szCs w:val="13"/>
                <w:color w:val="auto"/>
              </w:rPr>
              <w:t>Total book to tax differences</w:t>
            </w: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253</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(697)</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(886)</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1,856</w:t>
            </w:r>
          </w:p>
        </w:tc>
      </w:tr>
      <w:tr>
        <w:trPr>
          <w:trHeight w:val="171"/>
        </w:trPr>
        <w:tc>
          <w:tcPr>
            <w:tcW w:w="6440" w:type="dxa"/>
            <w:vAlign w:val="bottom"/>
            <w:shd w:val="clear" w:color="auto" w:fill="CCEEFF"/>
          </w:tcPr>
          <w:p>
            <w:pPr>
              <w:spacing w:after="0"/>
              <w:rPr>
                <w:sz w:val="20"/>
                <w:szCs w:val="20"/>
                <w:color w:val="auto"/>
              </w:rPr>
            </w:pPr>
            <w:r>
              <w:rPr>
                <w:rFonts w:ascii="Arial" w:cs="Arial" w:eastAsia="Arial" w:hAnsi="Arial"/>
                <w:sz w:val="13"/>
                <w:szCs w:val="13"/>
                <w:color w:val="auto"/>
              </w:rPr>
              <w:t>REIT taxable income (loss)</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w:t>
            </w:r>
          </w:p>
        </w:tc>
      </w:tr>
      <w:tr>
        <w:trPr>
          <w:trHeight w:val="172"/>
        </w:trPr>
        <w:tc>
          <w:tcPr>
            <w:tcW w:w="6440" w:type="dxa"/>
            <w:vAlign w:val="bottom"/>
          </w:tcPr>
          <w:p>
            <w:pPr>
              <w:ind w:left="120"/>
              <w:spacing w:after="0"/>
              <w:rPr>
                <w:sz w:val="20"/>
                <w:szCs w:val="20"/>
                <w:color w:val="auto"/>
              </w:rPr>
            </w:pPr>
            <w:r>
              <w:rPr>
                <w:rFonts w:ascii="Arial" w:cs="Arial" w:eastAsia="Arial" w:hAnsi="Arial"/>
                <w:sz w:val="13"/>
                <w:szCs w:val="13"/>
                <w:color w:val="auto"/>
              </w:rPr>
              <w:t>REIT taxable income attributed to preferred stock</w:t>
            </w:r>
          </w:p>
        </w:tc>
        <w:tc>
          <w:tcPr>
            <w:tcW w:w="10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46</w:t>
            </w:r>
          </w:p>
        </w:tc>
      </w:tr>
      <w:tr>
        <w:trPr>
          <w:trHeight w:val="196"/>
        </w:trPr>
        <w:tc>
          <w:tcPr>
            <w:tcW w:w="6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REIT taxable income (loss), attributed to common stock</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107</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r>
        <w:trPr>
          <w:trHeight w:val="145"/>
        </w:trPr>
        <w:tc>
          <w:tcPr>
            <w:tcW w:w="6440" w:type="dxa"/>
            <w:vAlign w:val="bottom"/>
          </w:tcPr>
          <w:p>
            <w:pPr>
              <w:spacing w:after="0" w:line="145" w:lineRule="exact"/>
              <w:rPr>
                <w:sz w:val="20"/>
                <w:szCs w:val="20"/>
                <w:color w:val="auto"/>
              </w:rPr>
            </w:pPr>
            <w:r>
              <w:rPr>
                <w:rFonts w:ascii="Arial" w:cs="Arial" w:eastAsia="Arial" w:hAnsi="Arial"/>
                <w:sz w:val="13"/>
                <w:szCs w:val="13"/>
                <w:color w:val="auto"/>
              </w:rPr>
              <w:t>Weighted average common shares outstanding - basic</w:t>
            </w: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3"/>
                <w:szCs w:val="13"/>
                <w:color w:val="auto"/>
              </w:rPr>
              <w:t>526.6</w:t>
            </w: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3"/>
                <w:szCs w:val="13"/>
                <w:color w:val="auto"/>
              </w:rPr>
              <w:t>560.3</w:t>
            </w: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3"/>
                <w:szCs w:val="13"/>
                <w:color w:val="auto"/>
              </w:rPr>
              <w:t>530.1</w:t>
            </w: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3"/>
                <w:szCs w:val="13"/>
                <w:color w:val="auto"/>
              </w:rPr>
              <w:t>554.2</w:t>
            </w:r>
          </w:p>
        </w:tc>
      </w:tr>
      <w:tr>
        <w:trPr>
          <w:trHeight w:val="20"/>
        </w:trPr>
        <w:tc>
          <w:tcPr>
            <w:tcW w:w="6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190"/>
        </w:trPr>
        <w:tc>
          <w:tcPr>
            <w:tcW w:w="6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Weighted average common shares outstanding - diluted</w:t>
            </w:r>
          </w:p>
        </w:tc>
        <w:tc>
          <w:tcPr>
            <w:tcW w:w="1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526.6</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560.3</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530.1</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555.0</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r>
        <w:trPr>
          <w:trHeight w:val="145"/>
        </w:trPr>
        <w:tc>
          <w:tcPr>
            <w:tcW w:w="6440" w:type="dxa"/>
            <w:vAlign w:val="bottom"/>
          </w:tcPr>
          <w:p>
            <w:pPr>
              <w:spacing w:after="0" w:line="145" w:lineRule="exact"/>
              <w:rPr>
                <w:sz w:val="20"/>
                <w:szCs w:val="20"/>
                <w:color w:val="auto"/>
              </w:rPr>
            </w:pPr>
            <w:r>
              <w:rPr>
                <w:rFonts w:ascii="Arial" w:cs="Arial" w:eastAsia="Arial" w:hAnsi="Arial"/>
                <w:sz w:val="13"/>
                <w:szCs w:val="13"/>
                <w:color w:val="auto"/>
              </w:rPr>
              <w:t>REIT taxable income (loss) per common share - basic</w:t>
            </w:r>
          </w:p>
        </w:tc>
        <w:tc>
          <w:tcPr>
            <w:tcW w:w="10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3"/>
                <w:szCs w:val="13"/>
                <w:color w:val="auto"/>
              </w:rPr>
              <w:t>(0.30)</w:t>
            </w:r>
          </w:p>
        </w:tc>
        <w:tc>
          <w:tcPr>
            <w:tcW w:w="100" w:type="dxa"/>
            <w:vAlign w:val="bottom"/>
          </w:tcPr>
          <w:p>
            <w:pPr>
              <w:spacing w:after="0"/>
              <w:rPr>
                <w:sz w:val="12"/>
                <w:szCs w:val="12"/>
                <w:color w:val="auto"/>
              </w:rPr>
            </w:pPr>
          </w:p>
        </w:tc>
        <w:tc>
          <w:tcPr>
            <w:tcW w:w="200" w:type="dxa"/>
            <w:vAlign w:val="bottom"/>
            <w:tcBorders>
              <w:bottom w:val="single" w:sz="8" w:color="auto"/>
            </w:tcBorders>
          </w:tcPr>
          <w:p>
            <w:pPr>
              <w:jc w:val="right"/>
              <w:ind w:right="53"/>
              <w:spacing w:after="0" w:line="145" w:lineRule="exact"/>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3"/>
                <w:szCs w:val="13"/>
                <w:color w:val="auto"/>
              </w:rPr>
              <w:t>(0.01)</w:t>
            </w:r>
          </w:p>
        </w:tc>
        <w:tc>
          <w:tcPr>
            <w:tcW w:w="100" w:type="dxa"/>
            <w:vAlign w:val="bottom"/>
          </w:tcPr>
          <w:p>
            <w:pPr>
              <w:spacing w:after="0"/>
              <w:rPr>
                <w:sz w:val="12"/>
                <w:szCs w:val="12"/>
                <w:color w:val="auto"/>
              </w:rPr>
            </w:pPr>
          </w:p>
        </w:tc>
        <w:tc>
          <w:tcPr>
            <w:tcW w:w="14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3"/>
                <w:szCs w:val="13"/>
                <w:color w:val="auto"/>
              </w:rPr>
              <w:t>(0.61)</w:t>
            </w:r>
          </w:p>
        </w:tc>
        <w:tc>
          <w:tcPr>
            <w:tcW w:w="100" w:type="dxa"/>
            <w:vAlign w:val="bottom"/>
          </w:tcPr>
          <w:p>
            <w:pPr>
              <w:spacing w:after="0"/>
              <w:rPr>
                <w:sz w:val="12"/>
                <w:szCs w:val="12"/>
                <w:color w:val="auto"/>
              </w:rPr>
            </w:pPr>
          </w:p>
        </w:tc>
        <w:tc>
          <w:tcPr>
            <w:tcW w:w="200" w:type="dxa"/>
            <w:vAlign w:val="bottom"/>
            <w:tcBorders>
              <w:bottom w:val="single" w:sz="8" w:color="auto"/>
            </w:tcBorders>
          </w:tcPr>
          <w:p>
            <w:pPr>
              <w:jc w:val="right"/>
              <w:ind w:right="53"/>
              <w:spacing w:after="0" w:line="145" w:lineRule="exact"/>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tcPr>
          <w:p>
            <w:pPr>
              <w:jc w:val="right"/>
              <w:spacing w:after="0" w:line="145" w:lineRule="exact"/>
              <w:rPr>
                <w:sz w:val="20"/>
                <w:szCs w:val="20"/>
                <w:color w:val="auto"/>
              </w:rPr>
            </w:pPr>
            <w:r>
              <w:rPr>
                <w:rFonts w:ascii="Arial" w:cs="Arial" w:eastAsia="Arial" w:hAnsi="Arial"/>
                <w:sz w:val="13"/>
                <w:szCs w:val="13"/>
                <w:color w:val="auto"/>
              </w:rPr>
              <w:t>0.19</w:t>
            </w:r>
          </w:p>
        </w:tc>
      </w:tr>
      <w:tr>
        <w:trPr>
          <w:trHeight w:val="20"/>
        </w:trPr>
        <w:tc>
          <w:tcPr>
            <w:tcW w:w="6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190"/>
        </w:trPr>
        <w:tc>
          <w:tcPr>
            <w:tcW w:w="6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REIT taxable income (loss) per common share - diluted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(0.30)</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(0.01)</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(0.61)</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0.19</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r>
        <w:trPr>
          <w:trHeight w:val="145"/>
        </w:trPr>
        <w:tc>
          <w:tcPr>
            <w:tcW w:w="6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75"/>
        </w:trPr>
        <w:tc>
          <w:tcPr>
            <w:tcW w:w="6440" w:type="dxa"/>
            <w:vAlign w:val="bottom"/>
            <w:shd w:val="clear" w:color="auto" w:fill="CCEEFF"/>
          </w:tcPr>
          <w:p>
            <w:pPr>
              <w:spacing w:after="0"/>
              <w:rPr>
                <w:sz w:val="20"/>
                <w:szCs w:val="20"/>
                <w:color w:val="auto"/>
              </w:rPr>
            </w:pPr>
            <w:r>
              <w:rPr>
                <w:rFonts w:ascii="Arial" w:cs="Arial" w:eastAsia="Arial" w:hAnsi="Arial"/>
                <w:sz w:val="13"/>
                <w:szCs w:val="13"/>
                <w:color w:val="auto"/>
              </w:rPr>
              <w:t>Beginning net capital loss carryforward</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394</w:t>
            </w:r>
          </w:p>
        </w:tc>
      </w:tr>
      <w:tr>
        <w:trPr>
          <w:trHeight w:val="172"/>
        </w:trPr>
        <w:tc>
          <w:tcPr>
            <w:tcW w:w="644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Increase (decrease) in net capital loss carryforward</w:t>
            </w: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(426)</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141</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(394)</w:t>
            </w:r>
          </w:p>
        </w:tc>
      </w:tr>
      <w:tr>
        <w:trPr>
          <w:trHeight w:val="171"/>
        </w:trPr>
        <w:tc>
          <w:tcPr>
            <w:tcW w:w="6440" w:type="dxa"/>
            <w:vAlign w:val="bottom"/>
            <w:shd w:val="clear" w:color="auto" w:fill="CCEEFF"/>
          </w:tcPr>
          <w:p>
            <w:pPr>
              <w:spacing w:after="0"/>
              <w:rPr>
                <w:sz w:val="20"/>
                <w:szCs w:val="20"/>
                <w:color w:val="auto"/>
              </w:rPr>
            </w:pPr>
            <w:r>
              <w:rPr>
                <w:rFonts w:ascii="Arial" w:cs="Arial" w:eastAsia="Arial" w:hAnsi="Arial"/>
                <w:sz w:val="13"/>
                <w:szCs w:val="13"/>
                <w:color w:val="auto"/>
              </w:rPr>
              <w:t>Ending net capital loss carryforward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141</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141</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7"/>
        </w:trPr>
        <w:tc>
          <w:tcPr>
            <w:tcW w:w="6440" w:type="dxa"/>
            <w:vAlign w:val="bottom"/>
          </w:tcPr>
          <w:p>
            <w:pPr>
              <w:spacing w:after="0"/>
              <w:rPr>
                <w:sz w:val="20"/>
                <w:szCs w:val="20"/>
                <w:color w:val="auto"/>
              </w:rPr>
            </w:pPr>
            <w:r>
              <w:rPr>
                <w:rFonts w:ascii="Arial" w:cs="Arial" w:eastAsia="Arial" w:hAnsi="Arial"/>
                <w:sz w:val="13"/>
                <w:szCs w:val="13"/>
                <w:color w:val="auto"/>
              </w:rPr>
              <w:t>Ending net capital loss carryforward per common share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0.27</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0.27</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color w:val="auto"/>
                <w:w w:val="82"/>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20"/>
        </w:trPr>
        <w:tc>
          <w:tcPr>
            <w:tcW w:w="6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400"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-278765</wp:posOffset>
            </wp:positionH>
            <wp:positionV relativeFrom="paragraph">
              <wp:posOffset>61595</wp:posOffset>
            </wp:positionV>
            <wp:extent cx="7167880" cy="412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0420"/>
          </w:cols>
          <w:pgMar w:left="740" w:top="957" w:right="739" w:bottom="1440" w:gutter="0" w:footer="0" w:header="0"/>
        </w:sectPr>
      </w:pPr>
    </w:p>
    <w:bookmarkStart w:id="40" w:name="page41"/>
    <w:bookmarkEnd w:id="40"/>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58" w:lineRule="exact"/>
        <w:rPr>
          <w:sz w:val="20"/>
          <w:szCs w:val="20"/>
          <w:color w:val="auto"/>
        </w:rPr>
      </w:pPr>
    </w:p>
    <w:p>
      <w:pPr>
        <w:jc w:val="both"/>
        <w:ind w:firstLine="412"/>
        <w:spacing w:after="0" w:line="270" w:lineRule="auto"/>
        <w:rPr>
          <w:sz w:val="20"/>
          <w:szCs w:val="20"/>
          <w:color w:val="auto"/>
        </w:rPr>
      </w:pPr>
      <w:r>
        <w:rPr>
          <w:rFonts w:ascii="Arial" w:cs="Arial" w:eastAsia="Arial" w:hAnsi="Arial"/>
          <w:sz w:val="16"/>
          <w:szCs w:val="16"/>
          <w:color w:val="auto"/>
        </w:rPr>
        <w:t>Our business is dependent on our ability to maintain adequate levels of liquidity and capital resources to fund day-to-day operations, fulfill collateral requirements under our funding and derivative agreements, and to satisfy our dividend distribution requirement of at least 90% of our taxable income to maintain our qualification as a REIT. Our primary sources of liquidity are unencumbered cash and securities, borrowings available under repurchase agreements, TBA dollar roll financing and monthly receipts of principal and interest payments. We may also conduct asset sales, change our asset or funding mix, issue equity or undertake other capital enhancing actions to maintain adequate levels of liquidity and capital resources.</w:t>
      </w:r>
    </w:p>
    <w:p>
      <w:pPr>
        <w:spacing w:after="0" w:line="115" w:lineRule="exact"/>
        <w:rPr>
          <w:sz w:val="20"/>
          <w:szCs w:val="20"/>
          <w:color w:val="auto"/>
        </w:rPr>
      </w:pPr>
    </w:p>
    <w:p>
      <w:pPr>
        <w:jc w:val="both"/>
        <w:ind w:firstLine="412"/>
        <w:spacing w:after="0" w:line="273" w:lineRule="auto"/>
        <w:rPr>
          <w:sz w:val="20"/>
          <w:szCs w:val="20"/>
          <w:color w:val="auto"/>
        </w:rPr>
      </w:pPr>
      <w:r>
        <w:rPr>
          <w:rFonts w:ascii="Arial" w:cs="Arial" w:eastAsia="Arial" w:hAnsi="Arial"/>
          <w:sz w:val="16"/>
          <w:szCs w:val="16"/>
          <w:color w:val="auto"/>
        </w:rPr>
        <w:t xml:space="preserve">We believe that we have sufficient liquidity and capital resources available to meet our obligations and execute our business strategy. In assessing our liquidity, we consider a number of factors, including our current leverage, collateral levels, access to capital markets, overall market conditions, and the sensitivity of our tangible net book value over a range of scenarios. However, these and other factors impacting our liquidity are subject to numerous risks and uncertainties, including as described in the </w:t>
      </w:r>
      <w:r>
        <w:rPr>
          <w:rFonts w:ascii="Arial" w:cs="Arial" w:eastAsia="Arial" w:hAnsi="Arial"/>
          <w:sz w:val="16"/>
          <w:szCs w:val="16"/>
          <w:i w:val="1"/>
          <w:iCs w:val="1"/>
          <w:color w:val="auto"/>
        </w:rPr>
        <w:t>Quantitative and Qualitative Disclosures of Market Risks</w:t>
      </w:r>
      <w:r>
        <w:rPr>
          <w:rFonts w:ascii="Arial" w:cs="Arial" w:eastAsia="Arial" w:hAnsi="Arial"/>
          <w:sz w:val="16"/>
          <w:szCs w:val="16"/>
          <w:color w:val="auto"/>
        </w:rPr>
        <w:t xml:space="preserve"> and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sections of this Form 10-Q.</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Leverage and Financing Sources</w:t>
      </w:r>
    </w:p>
    <w:p>
      <w:pPr>
        <w:spacing w:after="0" w:line="154" w:lineRule="exact"/>
        <w:rPr>
          <w:sz w:val="20"/>
          <w:szCs w:val="20"/>
          <w:color w:val="auto"/>
        </w:rPr>
      </w:pPr>
    </w:p>
    <w:p>
      <w:pPr>
        <w:jc w:val="both"/>
        <w:ind w:firstLine="412"/>
        <w:spacing w:after="0" w:line="249" w:lineRule="auto"/>
        <w:rPr>
          <w:sz w:val="20"/>
          <w:szCs w:val="20"/>
          <w:color w:val="auto"/>
        </w:rPr>
      </w:pPr>
      <w:r>
        <w:rPr>
          <w:rFonts w:ascii="Arial" w:cs="Arial" w:eastAsia="Arial" w:hAnsi="Arial"/>
          <w:sz w:val="17"/>
          <w:szCs w:val="17"/>
          <w:color w:val="auto"/>
        </w:rPr>
        <w:t>Our leverage will vary depending on market conditions and our assessment of relative risks and returns, but we generally expect our leverage to be between six and twelve times the amount of our tangible stockholders' equity, measured as the sum of our total mortgage borrowings and net payable / (receivable) for unsettled investment securities, divided by the sum of our total stockholders' equity adjusted to exclude goodwill. Our tangible net book value "at risk" leverage ratio was 7.9x and 8.5x as of June 30, 2021 and December 31, 2020, respectively. The following table includes a summary of our mortgage borrowings outstanding as of June 30, 2021 and December 31, 2020 (dollars in millions). For additional details of our mortgage borrowings refer to Notes 2, 4 and 5 to our Consolidated Financial Statements in this Form 10-Q.</w:t>
      </w:r>
    </w:p>
    <w:p>
      <w:pPr>
        <w:spacing w:after="0" w:line="100" w:lineRule="exact"/>
        <w:rPr>
          <w:sz w:val="20"/>
          <w:szCs w:val="20"/>
          <w:color w:val="auto"/>
        </w:rPr>
      </w:pPr>
    </w:p>
    <w:tbl>
      <w:tblPr>
        <w:tblLayout w:type="fixed"/>
        <w:tblInd w:w="20" w:type="dxa"/>
        <w:tblCellMar>
          <w:top w:w="0" w:type="dxa"/>
          <w:left w:w="0" w:type="dxa"/>
          <w:bottom w:w="0" w:type="dxa"/>
          <w:right w:w="0" w:type="dxa"/>
        </w:tblCellMar>
      </w:tblPr>
      <w:tr>
        <w:trPr>
          <w:trHeight w:val="175"/>
        </w:trPr>
        <w:tc>
          <w:tcPr>
            <w:tcW w:w="5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ind w:left="680"/>
              <w:spacing w:after="0"/>
              <w:rPr>
                <w:sz w:val="20"/>
                <w:szCs w:val="20"/>
                <w:color w:val="auto"/>
              </w:rPr>
            </w:pPr>
            <w:r>
              <w:rPr>
                <w:rFonts w:ascii="Arial" w:cs="Arial" w:eastAsia="Arial" w:hAnsi="Arial"/>
                <w:sz w:val="13"/>
                <w:szCs w:val="13"/>
                <w:b w:val="1"/>
                <w:bCs w:val="1"/>
                <w:color w:val="auto"/>
              </w:rPr>
              <w:t>June 30, 2021</w:t>
            </w:r>
          </w:p>
        </w:tc>
        <w:tc>
          <w:tcPr>
            <w:tcW w:w="3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ind w:left="540"/>
              <w:spacing w:after="0"/>
              <w:rPr>
                <w:sz w:val="20"/>
                <w:szCs w:val="20"/>
                <w:color w:val="auto"/>
              </w:rPr>
            </w:pPr>
            <w:r>
              <w:rPr>
                <w:rFonts w:ascii="Arial" w:cs="Arial" w:eastAsia="Arial" w:hAnsi="Arial"/>
                <w:sz w:val="13"/>
                <w:szCs w:val="13"/>
                <w:b w:val="1"/>
                <w:bCs w:val="1"/>
                <w:color w:val="auto"/>
                <w:w w:val="92"/>
              </w:rPr>
              <w:t>December 31, 2020</w:t>
            </w:r>
          </w:p>
        </w:tc>
        <w:tc>
          <w:tcPr>
            <w:tcW w:w="740" w:type="dxa"/>
            <w:vAlign w:val="bottom"/>
            <w:tcBorders>
              <w:bottom w:val="single" w:sz="8" w:color="auto"/>
            </w:tcBorders>
          </w:tcPr>
          <w:p>
            <w:pPr>
              <w:spacing w:after="0"/>
              <w:rPr>
                <w:sz w:val="15"/>
                <w:szCs w:val="15"/>
                <w:color w:val="auto"/>
              </w:rPr>
            </w:pPr>
          </w:p>
        </w:tc>
      </w:tr>
      <w:tr>
        <w:trPr>
          <w:trHeight w:val="174"/>
        </w:trPr>
        <w:tc>
          <w:tcPr>
            <w:tcW w:w="5860" w:type="dxa"/>
            <w:vAlign w:val="bottom"/>
            <w:gridSpan w:val="2"/>
          </w:tcPr>
          <w:p>
            <w:pPr>
              <w:spacing w:after="0"/>
              <w:rPr>
                <w:sz w:val="20"/>
                <w:szCs w:val="20"/>
                <w:color w:val="auto"/>
              </w:rPr>
            </w:pPr>
            <w:r>
              <w:rPr>
                <w:rFonts w:ascii="Arial" w:cs="Arial" w:eastAsia="Arial" w:hAnsi="Arial"/>
                <w:sz w:val="13"/>
                <w:szCs w:val="13"/>
                <w:b w:val="1"/>
                <w:bCs w:val="1"/>
                <w:color w:val="auto"/>
              </w:rPr>
              <w:t>Mortgage Borrowings</w:t>
            </w:r>
          </w:p>
        </w:tc>
        <w:tc>
          <w:tcPr>
            <w:tcW w:w="220" w:type="dxa"/>
            <w:vAlign w:val="bottom"/>
          </w:tcPr>
          <w:p>
            <w:pPr>
              <w:spacing w:after="0"/>
              <w:rPr>
                <w:sz w:val="15"/>
                <w:szCs w:val="15"/>
                <w:color w:val="auto"/>
              </w:rPr>
            </w:pPr>
          </w:p>
        </w:tc>
        <w:tc>
          <w:tcPr>
            <w:tcW w:w="1560" w:type="dxa"/>
            <w:vAlign w:val="bottom"/>
            <w:gridSpan w:val="3"/>
          </w:tcPr>
          <w:p>
            <w:pPr>
              <w:ind w:left="140"/>
              <w:spacing w:after="0"/>
              <w:rPr>
                <w:sz w:val="20"/>
                <w:szCs w:val="20"/>
                <w:color w:val="auto"/>
              </w:rPr>
            </w:pPr>
            <w:r>
              <w:rPr>
                <w:rFonts w:ascii="Arial" w:cs="Arial" w:eastAsia="Arial" w:hAnsi="Arial"/>
                <w:sz w:val="13"/>
                <w:szCs w:val="13"/>
                <w:b w:val="1"/>
                <w:bCs w:val="1"/>
                <w:color w:val="auto"/>
              </w:rPr>
              <w:t>Amount</w:t>
            </w:r>
          </w:p>
        </w:tc>
        <w:tc>
          <w:tcPr>
            <w:tcW w:w="320" w:type="dxa"/>
            <w:vAlign w:val="bottom"/>
          </w:tcPr>
          <w:p>
            <w:pPr>
              <w:jc w:val="right"/>
              <w:ind w:right="33"/>
              <w:spacing w:after="0"/>
              <w:rPr>
                <w:sz w:val="20"/>
                <w:szCs w:val="20"/>
                <w:color w:val="auto"/>
              </w:rPr>
            </w:pPr>
            <w:r>
              <w:rPr>
                <w:rFonts w:ascii="Arial" w:cs="Arial" w:eastAsia="Arial" w:hAnsi="Arial"/>
                <w:sz w:val="13"/>
                <w:szCs w:val="13"/>
                <w:b w:val="1"/>
                <w:bCs w:val="1"/>
                <w:color w:val="auto"/>
              </w:rPr>
              <w:t>%</w:t>
            </w: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40" w:type="dxa"/>
            <w:vAlign w:val="bottom"/>
            <w:gridSpan w:val="3"/>
          </w:tcPr>
          <w:p>
            <w:pPr>
              <w:ind w:left="140"/>
              <w:spacing w:after="0"/>
              <w:rPr>
                <w:sz w:val="20"/>
                <w:szCs w:val="20"/>
                <w:color w:val="auto"/>
              </w:rPr>
            </w:pPr>
            <w:r>
              <w:rPr>
                <w:rFonts w:ascii="Arial" w:cs="Arial" w:eastAsia="Arial" w:hAnsi="Arial"/>
                <w:sz w:val="13"/>
                <w:szCs w:val="13"/>
                <w:b w:val="1"/>
                <w:bCs w:val="1"/>
                <w:color w:val="auto"/>
              </w:rPr>
              <w:t>Amount</w:t>
            </w:r>
          </w:p>
        </w:tc>
        <w:tc>
          <w:tcPr>
            <w:tcW w:w="740" w:type="dxa"/>
            <w:vAlign w:val="bottom"/>
          </w:tcPr>
          <w:p>
            <w:pPr>
              <w:jc w:val="right"/>
              <w:ind w:right="513"/>
              <w:spacing w:after="0"/>
              <w:rPr>
                <w:sz w:val="20"/>
                <w:szCs w:val="20"/>
                <w:color w:val="auto"/>
              </w:rPr>
            </w:pPr>
            <w:r>
              <w:rPr>
                <w:rFonts w:ascii="Arial" w:cs="Arial" w:eastAsia="Arial" w:hAnsi="Arial"/>
                <w:sz w:val="13"/>
                <w:szCs w:val="13"/>
                <w:b w:val="1"/>
                <w:bCs w:val="1"/>
                <w:color w:val="auto"/>
              </w:rPr>
              <w:t>%</w:t>
            </w:r>
          </w:p>
        </w:tc>
      </w:tr>
      <w:tr>
        <w:trPr>
          <w:trHeight w:val="169"/>
        </w:trPr>
        <w:tc>
          <w:tcPr>
            <w:tcW w:w="5760" w:type="dxa"/>
            <w:vAlign w:val="bottom"/>
            <w:tcBorders>
              <w:top w:val="single" w:sz="8" w:color="auto"/>
            </w:tcBorders>
            <w:shd w:val="clear" w:color="auto" w:fill="CCEEFF"/>
          </w:tcPr>
          <w:p>
            <w:pPr>
              <w:spacing w:after="0" w:line="169" w:lineRule="exact"/>
              <w:rPr>
                <w:sz w:val="20"/>
                <w:szCs w:val="20"/>
                <w:color w:val="auto"/>
              </w:rPr>
            </w:pPr>
            <w:r>
              <w:rPr>
                <w:rFonts w:ascii="Arial" w:cs="Arial" w:eastAsia="Arial" w:hAnsi="Arial"/>
                <w:sz w:val="13"/>
                <w:szCs w:val="13"/>
                <w:color w:val="auto"/>
              </w:rPr>
              <w:t xml:space="preserve">Repurchase agreements </w:t>
            </w:r>
            <w:r>
              <w:rPr>
                <w:rFonts w:ascii="Arial" w:cs="Arial" w:eastAsia="Arial" w:hAnsi="Arial"/>
                <w:sz w:val="17"/>
                <w:szCs w:val="17"/>
                <w:color w:val="auto"/>
                <w:vertAlign w:val="superscript"/>
              </w:rPr>
              <w:t>1</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48,340</w:t>
            </w:r>
          </w:p>
        </w:tc>
        <w:tc>
          <w:tcPr>
            <w:tcW w:w="10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64 %</w:t>
            </w:r>
          </w:p>
        </w:tc>
        <w:tc>
          <w:tcPr>
            <w:tcW w:w="1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52,366</w:t>
            </w:r>
          </w:p>
        </w:tc>
        <w:tc>
          <w:tcPr>
            <w:tcW w:w="10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63 %</w:t>
            </w:r>
          </w:p>
        </w:tc>
      </w:tr>
      <w:tr>
        <w:trPr>
          <w:trHeight w:val="172"/>
        </w:trPr>
        <w:tc>
          <w:tcPr>
            <w:tcW w:w="5860" w:type="dxa"/>
            <w:vAlign w:val="bottom"/>
            <w:gridSpan w:val="2"/>
          </w:tcPr>
          <w:p>
            <w:pPr>
              <w:spacing w:after="0"/>
              <w:rPr>
                <w:sz w:val="20"/>
                <w:szCs w:val="20"/>
                <w:color w:val="auto"/>
              </w:rPr>
            </w:pPr>
            <w:r>
              <w:rPr>
                <w:rFonts w:ascii="Arial" w:cs="Arial" w:eastAsia="Arial" w:hAnsi="Arial"/>
                <w:sz w:val="13"/>
                <w:szCs w:val="13"/>
                <w:color w:val="auto"/>
              </w:rPr>
              <w:t>Debt of consolidated variable interest entities, at fair value</w:t>
            </w: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148</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 %</w:t>
            </w: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177</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 %</w:t>
            </w:r>
          </w:p>
        </w:tc>
      </w:tr>
      <w:tr>
        <w:trPr>
          <w:trHeight w:val="171"/>
        </w:trPr>
        <w:tc>
          <w:tcPr>
            <w:tcW w:w="58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Total debt</w:t>
            </w:r>
          </w:p>
        </w:tc>
        <w:tc>
          <w:tcPr>
            <w:tcW w:w="22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48,488</w:t>
            </w:r>
          </w:p>
        </w:tc>
        <w:tc>
          <w:tcPr>
            <w:tcW w:w="10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64 %</w:t>
            </w:r>
          </w:p>
        </w:tc>
        <w:tc>
          <w:tcPr>
            <w:tcW w:w="1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52,543</w:t>
            </w:r>
          </w:p>
        </w:tc>
        <w:tc>
          <w:tcPr>
            <w:tcW w:w="10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63 %</w:t>
            </w:r>
          </w:p>
        </w:tc>
      </w:tr>
      <w:tr>
        <w:trPr>
          <w:trHeight w:val="172"/>
        </w:trPr>
        <w:tc>
          <w:tcPr>
            <w:tcW w:w="586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color w:val="auto"/>
              </w:rPr>
              <w:t>Net TBA position, at cost</w:t>
            </w: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27,307</w:t>
            </w:r>
          </w:p>
        </w:tc>
        <w:tc>
          <w:tcPr>
            <w:tcW w:w="10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36 %</w:t>
            </w:r>
          </w:p>
        </w:tc>
        <w:tc>
          <w:tcPr>
            <w:tcW w:w="1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31,204</w:t>
            </w:r>
          </w:p>
        </w:tc>
        <w:tc>
          <w:tcPr>
            <w:tcW w:w="1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37 %</w:t>
            </w:r>
          </w:p>
        </w:tc>
      </w:tr>
      <w:tr>
        <w:trPr>
          <w:trHeight w:val="196"/>
        </w:trPr>
        <w:tc>
          <w:tcPr>
            <w:tcW w:w="5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Total mortgage borrowings</w:t>
            </w:r>
          </w:p>
        </w:tc>
        <w:tc>
          <w:tcPr>
            <w:tcW w:w="2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75,795</w:t>
            </w: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100 %</w:t>
            </w:r>
          </w:p>
        </w:tc>
        <w:tc>
          <w:tcPr>
            <w:tcW w:w="1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83,747</w:t>
            </w: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100 %</w:t>
            </w: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w:t>
      </w:r>
    </w:p>
    <w:p>
      <w:pPr>
        <w:spacing w:after="0" w:line="1" w:lineRule="exact"/>
        <w:rPr>
          <w:sz w:val="20"/>
          <w:szCs w:val="20"/>
          <w:color w:val="auto"/>
        </w:rPr>
      </w:pPr>
    </w:p>
    <w:p>
      <w:pPr>
        <w:ind w:left="600" w:hanging="300"/>
        <w:spacing w:after="0"/>
        <w:tabs>
          <w:tab w:leader="none" w:pos="600" w:val="left"/>
        </w:tabs>
        <w:numPr>
          <w:ilvl w:val="0"/>
          <w:numId w:val="30"/>
        </w:numPr>
        <w:rPr>
          <w:rFonts w:ascii="Arial" w:cs="Arial" w:eastAsia="Arial" w:hAnsi="Arial"/>
          <w:sz w:val="12"/>
          <w:szCs w:val="12"/>
          <w:color w:val="auto"/>
        </w:rPr>
      </w:pPr>
      <w:r>
        <w:rPr>
          <w:rFonts w:ascii="Arial" w:cs="Arial" w:eastAsia="Arial" w:hAnsi="Arial"/>
          <w:sz w:val="12"/>
          <w:szCs w:val="12"/>
          <w:color w:val="auto"/>
        </w:rPr>
        <w:t>As of June 30, 2021 and December 31, 2020, 43% and 46%, respectively, of our repurchase agreements were funded through the Fixed Income Clearing Corporation's GCF Repo service.</w:t>
      </w:r>
    </w:p>
    <w:p>
      <w:pPr>
        <w:spacing w:after="0" w:line="156" w:lineRule="exact"/>
        <w:rPr>
          <w:sz w:val="20"/>
          <w:szCs w:val="20"/>
          <w:color w:val="auto"/>
        </w:rPr>
      </w:pPr>
    </w:p>
    <w:p>
      <w:pPr>
        <w:jc w:val="both"/>
        <w:ind w:firstLine="412"/>
        <w:spacing w:after="0" w:line="270" w:lineRule="auto"/>
        <w:rPr>
          <w:sz w:val="20"/>
          <w:szCs w:val="20"/>
          <w:color w:val="auto"/>
        </w:rPr>
      </w:pPr>
      <w:r>
        <w:rPr>
          <w:rFonts w:ascii="Arial" w:cs="Arial" w:eastAsia="Arial" w:hAnsi="Arial"/>
          <w:sz w:val="16"/>
          <w:szCs w:val="16"/>
          <w:color w:val="auto"/>
        </w:rPr>
        <w:t>Our primary financing sources are collateralized borrowings structured as repurchase agreements. We enter into repurchase agreements, or "repo," through bi-lateral arrangements with financial institutions and independent dealers. We also enter into third-party repurchase agreements through our wholly-owned registered broker-dealer subsidiary, Bethesda Securities, LLC, such as tri-party repo offered through the FICC's GCF Repo service. We manage our repurchase agreement funding position through a variety of methods, including diversification of counterparties, maintaining a staggered maturity profile and utilization of interest rate hedging strategies. We also use TBA dollar roll transactions as a means of synthetically financing Agency RMBS.</w:t>
      </w:r>
    </w:p>
    <w:p>
      <w:pPr>
        <w:spacing w:after="0" w:line="115" w:lineRule="exact"/>
        <w:rPr>
          <w:sz w:val="20"/>
          <w:szCs w:val="20"/>
          <w:color w:val="auto"/>
        </w:rPr>
      </w:pPr>
    </w:p>
    <w:p>
      <w:pPr>
        <w:jc w:val="both"/>
        <w:ind w:firstLine="412"/>
        <w:spacing w:after="0" w:line="249" w:lineRule="auto"/>
        <w:rPr>
          <w:sz w:val="20"/>
          <w:szCs w:val="20"/>
          <w:color w:val="auto"/>
        </w:rPr>
      </w:pPr>
      <w:r>
        <w:rPr>
          <w:rFonts w:ascii="Arial" w:cs="Arial" w:eastAsia="Arial" w:hAnsi="Arial"/>
          <w:sz w:val="17"/>
          <w:szCs w:val="17"/>
          <w:color w:val="auto"/>
        </w:rPr>
        <w:t>The terms and conditions of our repurchase agreements are determined on a transaction-by-transaction basis when each such borrowing is initiated or renewed and, in the case of GCF Repo, by the variable margin requirements calculated by the FICC, which acts as the central counterparty. The amount borrowed is generally equal to the fair value of the securities pledged, as determined by the lending counterparty, less an agreed-upon discount, referred to as a "haircut," which reflects the underlying risk of the specific collateral and protects the counterparty against a change in its value. Interest rates are generally fixed based on prevailing rates corresponding to the term of the borrowing. None of our repo counterparties are obligated to renew or otherwise enter into new borrowings at the conclusion of our existing borrowings.</w:t>
      </w:r>
    </w:p>
    <w:p>
      <w:pPr>
        <w:spacing w:after="0" w:line="133" w:lineRule="exact"/>
        <w:rPr>
          <w:sz w:val="20"/>
          <w:szCs w:val="20"/>
          <w:color w:val="auto"/>
        </w:rPr>
      </w:pPr>
    </w:p>
    <w:p>
      <w:pPr>
        <w:jc w:val="both"/>
        <w:ind w:firstLine="412"/>
        <w:spacing w:after="0" w:line="252" w:lineRule="auto"/>
        <w:rPr>
          <w:sz w:val="20"/>
          <w:szCs w:val="20"/>
          <w:color w:val="auto"/>
        </w:rPr>
      </w:pPr>
      <w:r>
        <w:rPr>
          <w:rFonts w:ascii="Arial" w:cs="Arial" w:eastAsia="Arial" w:hAnsi="Arial"/>
          <w:sz w:val="17"/>
          <w:szCs w:val="17"/>
          <w:color w:val="auto"/>
        </w:rPr>
        <w:t>The use of TBA dollar roll transactions increases our funding diversification, expands our available pool of assets, and increases our overall liquidity position, as TBA contracts typically have lower implied haircuts relative to Agency RMBS pools funded with repo financing. However, if it were to become uneconomical to roll our TBA contracts into future months it may be necessary to take physical delivery of the underlying securities and fund those assets with cash or other financing sources, which could reduce our liquidity position.</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1" w:name="page42"/>
    <w:bookmarkEnd w:id="41"/>
    <w:p>
      <w:pPr>
        <w:spacing w:after="0"/>
        <w:rPr>
          <w:sz w:val="20"/>
          <w:szCs w:val="20"/>
          <w:color w:val="auto"/>
        </w:rPr>
      </w:pPr>
      <w:r>
        <w:rPr>
          <w:rFonts w:ascii="Arial" w:cs="Arial" w:eastAsia="Arial" w:hAnsi="Arial"/>
          <w:sz w:val="17"/>
          <w:szCs w:val="17"/>
          <w:b w:val="1"/>
          <w:bCs w:val="1"/>
          <w:i w:val="1"/>
          <w:iCs w:val="1"/>
          <w:color w:val="auto"/>
        </w:rPr>
        <w:t>Collateral Requirements and Unencumbered Assets</w:t>
      </w:r>
    </w:p>
    <w:p>
      <w:pPr>
        <w:spacing w:after="0" w:line="154" w:lineRule="exact"/>
        <w:rPr>
          <w:sz w:val="20"/>
          <w:szCs w:val="20"/>
          <w:color w:val="auto"/>
        </w:rPr>
      </w:pPr>
    </w:p>
    <w:p>
      <w:pPr>
        <w:jc w:val="both"/>
        <w:ind w:firstLine="412"/>
        <w:spacing w:after="0" w:line="250" w:lineRule="auto"/>
        <w:rPr>
          <w:sz w:val="20"/>
          <w:szCs w:val="20"/>
          <w:color w:val="auto"/>
        </w:rPr>
      </w:pPr>
      <w:r>
        <w:rPr>
          <w:rFonts w:ascii="Arial" w:cs="Arial" w:eastAsia="Arial" w:hAnsi="Arial"/>
          <w:sz w:val="17"/>
          <w:szCs w:val="17"/>
          <w:color w:val="auto"/>
        </w:rPr>
        <w:t>Amounts available to be borrowed under our repurchase agreements are dependent upon prevailing interest rates, the lender’s "haircut" requirements and collateral value. Each of these elements may fluctuate with changes in interest rates, credit quality and liquidity conditions within the financial markets. To help manage the adverse impact of interest rate changes on our borrowings, we utilize an interest rate risk management strategy involving the use of derivative financial instruments. In particular, we attempt to mitigate the risk of the cost of our short-term funding liabilities increasing at a faster rate than the earnings of our long-term fixed rate assets during a period of rising interest rates.</w:t>
      </w:r>
    </w:p>
    <w:p>
      <w:pPr>
        <w:spacing w:after="0" w:line="132" w:lineRule="exact"/>
        <w:rPr>
          <w:sz w:val="20"/>
          <w:szCs w:val="20"/>
          <w:color w:val="auto"/>
        </w:rPr>
      </w:pPr>
    </w:p>
    <w:p>
      <w:pPr>
        <w:jc w:val="both"/>
        <w:ind w:firstLine="412"/>
        <w:spacing w:after="0" w:line="267" w:lineRule="auto"/>
        <w:rPr>
          <w:sz w:val="20"/>
          <w:szCs w:val="20"/>
          <w:color w:val="auto"/>
        </w:rPr>
      </w:pPr>
      <w:r>
        <w:rPr>
          <w:rFonts w:ascii="Arial" w:cs="Arial" w:eastAsia="Arial" w:hAnsi="Arial"/>
          <w:sz w:val="16"/>
          <w:szCs w:val="16"/>
          <w:color w:val="auto"/>
        </w:rPr>
        <w:t>The collateral requirements, or haircut levels, under our repo agreements are typically determined on an individual transaction basis or by the prevailing requirements established by the FICC for GCF tri-party repo. Consequently, haircut levels and minimum margin requirements can change over time and may increase during periods of elevated market volatility. If the fair value of our collateral declines, our counterparties will typically require that we post additional collateral to re-establish the agreed-upon collateral levels, referred to as "margin calls." Similarly, if the estimated fair value of our investment securities increases, we may request that counterparties release collateral back to us. Our counterparties typically have the sole discretion to determine the value of pledged collateral but are required to act in good faith in making determinations of value. Our agreements generally provide that in the event of a margin call, collateral must be posted on the same business day, subject to notice requirements. As of June 30, 2021, we had met all our margin requirements.</w:t>
      </w:r>
    </w:p>
    <w:p>
      <w:pPr>
        <w:spacing w:after="0" w:line="117" w:lineRule="exact"/>
        <w:rPr>
          <w:sz w:val="20"/>
          <w:szCs w:val="20"/>
          <w:color w:val="auto"/>
        </w:rPr>
      </w:pPr>
    </w:p>
    <w:p>
      <w:pPr>
        <w:jc w:val="both"/>
        <w:ind w:firstLine="412"/>
        <w:spacing w:after="0" w:line="264" w:lineRule="auto"/>
        <w:rPr>
          <w:sz w:val="20"/>
          <w:szCs w:val="20"/>
          <w:color w:val="auto"/>
        </w:rPr>
      </w:pPr>
      <w:r>
        <w:rPr>
          <w:rFonts w:ascii="Arial" w:cs="Arial" w:eastAsia="Arial" w:hAnsi="Arial"/>
          <w:sz w:val="16"/>
          <w:szCs w:val="16"/>
          <w:color w:val="auto"/>
        </w:rPr>
        <w:t>The value of Agency RMBS collateral is impacted by market factors and is reduced by monthly principal pay-downs on the underlying mortgage pools. Fannie Mae and Freddie Mac publish monthly security pay-down factors for their mortgage pools on the fifth day after month-end, but do not remit payment to security holders until generally the 25th day after month-end. Bi-lateral repo counterparties assess margin to account for the reduction in value of Agency collateral when factors are released. The FICC assesses margin on the last day of each month, prior to the factor release date, based on its internally projected pay-down rates (referred to as the "blackout period exposure adjustment" or "blackout margin"). On the factor release date, the blackout margin is released and collateralization requirements are adjusted to actual factor data. Due to the timing difference between associated margin calls and our receipt of principal pay-downs, our liquidity is temporarily reduced each month for principal repayments. We attempt to manage the liquidity risk associated with principal pay-downs by monitoring conditions impacting prepayment rates and through asset selection. As of June 30, 2021, our portfolio largely consisted of lower coupon 30 and 15-year TBA securities, which are not subject to monthly principal pay-downs, and higher coupon holdings concentrated in high quality, specified Agency RMBS pools, which have a lower risk of prepayment than similar coupon generic Agency RMBS.</w:t>
      </w:r>
    </w:p>
    <w:p>
      <w:pPr>
        <w:spacing w:after="0" w:line="126" w:lineRule="exact"/>
        <w:rPr>
          <w:sz w:val="20"/>
          <w:szCs w:val="20"/>
          <w:color w:val="auto"/>
        </w:rPr>
      </w:pPr>
    </w:p>
    <w:p>
      <w:pPr>
        <w:jc w:val="both"/>
        <w:ind w:firstLine="412"/>
        <w:spacing w:after="0" w:line="266" w:lineRule="auto"/>
        <w:rPr>
          <w:sz w:val="20"/>
          <w:szCs w:val="20"/>
          <w:color w:val="auto"/>
        </w:rPr>
      </w:pPr>
      <w:r>
        <w:rPr>
          <w:rFonts w:ascii="Arial" w:cs="Arial" w:eastAsia="Arial" w:hAnsi="Arial"/>
          <w:sz w:val="16"/>
          <w:szCs w:val="16"/>
          <w:color w:val="auto"/>
        </w:rPr>
        <w:t>Collateral requirements under our derivative agreements are subject to our counterparties' assessment of their maximum risk of loss associated with the derivative instrument measured over a certain period of time, referred to as the initial or minimum margin requirement. We are also subject to daily variation margin requirements based on changes in the value of the derivative instrument and/or collateral pledged. Daily variation margin requirements also entitle us to receive collateral if the value of amounts owed to us under the derivative agreement exceeds the minimum margin requirement. The collateral requirements under our TBA contracts are governed by the Mortgage-Backed Securities Division ("MBSD") of the FICC and, if applicable, by our third-party brokerage agreements, which may establish margin levels in excess of the MBSD. Collateral levels for interest rate derivative agreements are typically governed by the central clearing exchange and the associated futures commission merchants ("FCMs"), which may establish margin levels in excess of the clearing exchange. Collateral levels for interest rate derivative agreements not subject to central clearing are established by the counterparty financial institution.</w:t>
      </w:r>
    </w:p>
    <w:p>
      <w:pPr>
        <w:spacing w:after="0" w:line="118" w:lineRule="exact"/>
        <w:rPr>
          <w:sz w:val="20"/>
          <w:szCs w:val="20"/>
          <w:color w:val="auto"/>
        </w:rPr>
      </w:pPr>
    </w:p>
    <w:p>
      <w:pPr>
        <w:jc w:val="both"/>
        <w:ind w:firstLine="412"/>
        <w:spacing w:after="0" w:line="279" w:lineRule="auto"/>
        <w:rPr>
          <w:sz w:val="20"/>
          <w:szCs w:val="20"/>
          <w:color w:val="auto"/>
        </w:rPr>
      </w:pPr>
      <w:r>
        <w:rPr>
          <w:rFonts w:ascii="Arial" w:cs="Arial" w:eastAsia="Arial" w:hAnsi="Arial"/>
          <w:sz w:val="16"/>
          <w:szCs w:val="16"/>
          <w:color w:val="auto"/>
        </w:rPr>
        <w:t>Haircut levels and minimum margin requirements imposed by our counterparties reduce the amount of our unencumbered assets and limit the amount we can borrow against our investment securities. During the six months ended June 30, 2021, haircuts remained stable, and, as of June 30, 2021, the weighted average haircut on our repurchase agreements was approximately 4.1% of the value of our collateral, compared to 4.6% as of December 31, 2020.</w:t>
      </w:r>
    </w:p>
    <w:p>
      <w:pPr>
        <w:spacing w:after="0" w:line="108" w:lineRule="exact"/>
        <w:rPr>
          <w:sz w:val="20"/>
          <w:szCs w:val="20"/>
          <w:color w:val="auto"/>
        </w:rPr>
      </w:pPr>
    </w:p>
    <w:p>
      <w:pPr>
        <w:jc w:val="both"/>
        <w:ind w:firstLine="412"/>
        <w:spacing w:after="0" w:line="289" w:lineRule="auto"/>
        <w:rPr>
          <w:sz w:val="20"/>
          <w:szCs w:val="20"/>
          <w:color w:val="auto"/>
        </w:rPr>
      </w:pPr>
      <w:r>
        <w:rPr>
          <w:rFonts w:ascii="Arial" w:cs="Arial" w:eastAsia="Arial" w:hAnsi="Arial"/>
          <w:sz w:val="15"/>
          <w:szCs w:val="15"/>
          <w:color w:val="auto"/>
        </w:rPr>
        <w:t>To mitigate the risk of future margins calls, we seek to maintain excess liquidity by holding unencumbered liquid assets that can be used to satisfy collateral requirements, collateralize additional borrowings or sold for cash. As of June 30, 2021, our unencumbered assets totaled 62% of our tangible net equity, compared to 60% as of December 31, 2020. The majority of our liquidity is held at AGNC, but we also maintain capital and excess liquidity at Bethesda Securities to meet regulatory standards, satisfy counterparty and clearing organization expectations, and for risk management purposes. As of June 30, 2021, we had cash and unencumbered Agency RMBS and U.S. Treasury securities totaling $4.7 billion, or 47% of our tangible equity, which excludes unencumbered CRT securities, non-Agency securities and assets held at Bethesda Securities, compared to $5.4 billion and 51%, respectively, as of December 31, 2020.</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42" w:name="page43"/>
    <w:bookmarkEnd w:id="42"/>
    <w:p>
      <w:pPr>
        <w:spacing w:after="0"/>
        <w:rPr>
          <w:sz w:val="20"/>
          <w:szCs w:val="20"/>
          <w:color w:val="auto"/>
        </w:rPr>
      </w:pPr>
      <w:r>
        <w:rPr>
          <w:rFonts w:ascii="Arial" w:cs="Arial" w:eastAsia="Arial" w:hAnsi="Arial"/>
          <w:sz w:val="17"/>
          <w:szCs w:val="17"/>
          <w:b w:val="1"/>
          <w:bCs w:val="1"/>
          <w:i w:val="1"/>
          <w:iCs w:val="1"/>
          <w:color w:val="auto"/>
        </w:rPr>
        <w:t>Counterparty Risk</w:t>
      </w:r>
    </w:p>
    <w:p>
      <w:pPr>
        <w:spacing w:after="0" w:line="154" w:lineRule="exact"/>
        <w:rPr>
          <w:sz w:val="20"/>
          <w:szCs w:val="20"/>
          <w:color w:val="auto"/>
        </w:rPr>
      </w:pPr>
    </w:p>
    <w:p>
      <w:pPr>
        <w:jc w:val="both"/>
        <w:ind w:firstLine="412"/>
        <w:spacing w:after="0" w:line="255" w:lineRule="auto"/>
        <w:rPr>
          <w:sz w:val="20"/>
          <w:szCs w:val="20"/>
          <w:color w:val="auto"/>
        </w:rPr>
      </w:pPr>
      <w:r>
        <w:rPr>
          <w:rFonts w:ascii="Arial" w:cs="Arial" w:eastAsia="Arial" w:hAnsi="Arial"/>
          <w:sz w:val="17"/>
          <w:szCs w:val="17"/>
          <w:color w:val="auto"/>
        </w:rPr>
        <w:t>Collateral requirements imposed by counterparties subject us to the risk that the counterparty does not return pledged assets to us as and when required. We attempt to manage this risk by monitoring our collateral positions and limiting our counterparties to registered clearinghouses and major financial institutions with acceptable credit ratings. We also diversify our funding across multiple counterparties and by region.</w:t>
      </w:r>
    </w:p>
    <w:p>
      <w:pPr>
        <w:spacing w:after="0" w:line="127" w:lineRule="exact"/>
        <w:rPr>
          <w:sz w:val="20"/>
          <w:szCs w:val="20"/>
          <w:color w:val="auto"/>
        </w:rPr>
      </w:pPr>
    </w:p>
    <w:p>
      <w:pPr>
        <w:jc w:val="both"/>
        <w:ind w:firstLine="412"/>
        <w:spacing w:after="0" w:line="250" w:lineRule="auto"/>
        <w:rPr>
          <w:sz w:val="20"/>
          <w:szCs w:val="20"/>
          <w:color w:val="auto"/>
        </w:rPr>
      </w:pPr>
      <w:r>
        <w:rPr>
          <w:rFonts w:ascii="Arial" w:cs="Arial" w:eastAsia="Arial" w:hAnsi="Arial"/>
          <w:sz w:val="17"/>
          <w:szCs w:val="17"/>
          <w:color w:val="auto"/>
        </w:rPr>
        <w:t>As of June 30, 2021, our maximum amount at risk (or the excess/shortfall of the value of collateral pledged/received over our repurchase agreement liabilities/reverse repurchase agreement receivables) with any of our repurchase agreement counterparties, excluding the FICC, was less than 2% of our tangible stockholders' equity, with our top five repo counterparties, excluding the FICC, representing less than 5% of our tangible stockholders' equity. As of June 30, 2021, approximately 8% of our tangible stockholder's equity was at risk with the FICC. Excluding central clearing exchanges, as of June 30, 2021, our amount at risk with any counterparty to our derivative agreements was less than 1% of our stockholders' equity.</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Asset Sales</w:t>
      </w:r>
    </w:p>
    <w:p>
      <w:pPr>
        <w:spacing w:after="0" w:line="154" w:lineRule="exact"/>
        <w:rPr>
          <w:sz w:val="20"/>
          <w:szCs w:val="20"/>
          <w:color w:val="auto"/>
        </w:rPr>
      </w:pPr>
    </w:p>
    <w:p>
      <w:pPr>
        <w:jc w:val="both"/>
        <w:ind w:firstLine="412"/>
        <w:spacing w:after="0" w:line="249" w:lineRule="auto"/>
        <w:rPr>
          <w:sz w:val="20"/>
          <w:szCs w:val="20"/>
          <w:color w:val="auto"/>
        </w:rPr>
      </w:pPr>
      <w:r>
        <w:rPr>
          <w:rFonts w:ascii="Arial" w:cs="Arial" w:eastAsia="Arial" w:hAnsi="Arial"/>
          <w:sz w:val="17"/>
          <w:szCs w:val="17"/>
          <w:color w:val="auto"/>
        </w:rPr>
        <w:t>Agency RMBS securities are among the most liquid fixed income securities, and the TBA market is the second most liquid market (after the U.S. Treasury market). The vitality of these markets enables us to sell assets under most market conditions to generate liquidity through direct sales or delivery into TBA contracts, subject to "good delivery" provisions promulgated by the Securities Industry and Financial Markets Association ("SIFMA"). Under certain market conditions, however, we may be unable to realize the full "pay-up" value of our specified pool securities, or premium relative to generic Agency RMBS. We attempt to manage this risk by maintaining a minimum level of securities that trade at or near TBA values that in our estimation enhances our portfolio liquidity across a wide range of market conditions.</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Capital Markets</w:t>
      </w:r>
    </w:p>
    <w:p>
      <w:pPr>
        <w:spacing w:after="0" w:line="154" w:lineRule="exact"/>
        <w:rPr>
          <w:sz w:val="20"/>
          <w:szCs w:val="20"/>
          <w:color w:val="auto"/>
        </w:rPr>
      </w:pPr>
    </w:p>
    <w:p>
      <w:pPr>
        <w:jc w:val="both"/>
        <w:ind w:firstLine="412"/>
        <w:spacing w:after="0" w:line="313" w:lineRule="auto"/>
        <w:rPr>
          <w:sz w:val="20"/>
          <w:szCs w:val="20"/>
          <w:color w:val="auto"/>
        </w:rPr>
      </w:pPr>
      <w:r>
        <w:rPr>
          <w:rFonts w:ascii="Arial" w:cs="Arial" w:eastAsia="Arial" w:hAnsi="Arial"/>
          <w:sz w:val="14"/>
          <w:szCs w:val="14"/>
          <w:color w:val="auto"/>
        </w:rPr>
        <w:t>The equity capital markets serve as a source of capital to grow our business and to meet potential liquidity needs of our business. The availability of equity capital is dependent on market conditions and investor demand for our common and preferred stock. We will typically not issue common stock when the price of our common stock trades below our tangible net book value or issue preferred equity when its cost exceeds acceptable hurdle rates of return on our equity. There can be no assurance that we will be able to raise additional equity capital at any particular time or on any particular terms. Furthermore, when the trading price of our common stock is less than our estimate of our current tangible net book value per common share, among other conditions, we may repurchase shares of our common stock. Please refer to Note 9 of our Consolidated Financial Statements in this Form 10-Q for further details regarding our recent equity capital transactions and our stock repurchase plan.</w:t>
      </w:r>
    </w:p>
    <w:p>
      <w:pPr>
        <w:spacing w:after="0" w:line="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158" w:lineRule="exact"/>
        <w:rPr>
          <w:sz w:val="20"/>
          <w:szCs w:val="20"/>
          <w:color w:val="auto"/>
        </w:rPr>
      </w:pPr>
    </w:p>
    <w:p>
      <w:pPr>
        <w:jc w:val="both"/>
        <w:ind w:firstLine="412"/>
        <w:spacing w:after="0" w:line="252" w:lineRule="auto"/>
        <w:rPr>
          <w:sz w:val="20"/>
          <w:szCs w:val="20"/>
          <w:color w:val="auto"/>
        </w:rPr>
      </w:pPr>
      <w:r>
        <w:rPr>
          <w:rFonts w:ascii="Arial" w:cs="Arial" w:eastAsia="Arial" w:hAnsi="Arial"/>
          <w:sz w:val="17"/>
          <w:szCs w:val="17"/>
          <w:color w:val="auto"/>
        </w:rPr>
        <w:t>As of June 30, 2021, we did not maintain relationships with unconsolidated entities or financial partnerships, such as entities often referred to as structured finance, or special purpose or variable interest entities, established to facilitate off-balance sheet arrangements or other contractually narrow or limited purposes. Additionally, as of June 30, 2021, we had not guaranteed obligations of unconsolidated entities or entered into a commitment or intent to provide funding to such entities.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FORWARD-LOOKING STATEMENTS</w:t>
      </w:r>
    </w:p>
    <w:p>
      <w:pPr>
        <w:spacing w:after="0" w:line="158" w:lineRule="exact"/>
        <w:rPr>
          <w:sz w:val="20"/>
          <w:szCs w:val="20"/>
          <w:color w:val="auto"/>
        </w:rPr>
      </w:pPr>
    </w:p>
    <w:p>
      <w:pPr>
        <w:jc w:val="both"/>
        <w:ind w:firstLine="375"/>
        <w:spacing w:after="0" w:line="296" w:lineRule="auto"/>
        <w:rPr>
          <w:sz w:val="20"/>
          <w:szCs w:val="20"/>
          <w:color w:val="auto"/>
        </w:rPr>
      </w:pPr>
      <w:r>
        <w:rPr>
          <w:rFonts w:ascii="Arial" w:cs="Arial" w:eastAsia="Arial" w:hAnsi="Arial"/>
          <w:sz w:val="15"/>
          <w:szCs w:val="15"/>
          <w:color w:val="auto"/>
        </w:rPr>
        <w:t>The statements contained in this Quarterly Report that are not historical facts, including estimates, projections, beliefs, expectations concerning conditions, events, or the outlook for our business, strategy, performance, operations or the markets or industries in which we operate, are forward-looking statements within the meaning of the Private Securities Litigation Reform Act. Forward-looking statements are typically identified by words such as “believe,” “plan,” “expect,” “anticipate,” “see,” “intend,” “outlook,” “potential,” “forecast,” “estimate,” “will,” “could,” “should,” “likely” and other similar, correlative or comparable words and expressions.</w:t>
      </w:r>
    </w:p>
    <w:p>
      <w:pPr>
        <w:spacing w:after="0" w:line="99" w:lineRule="exact"/>
        <w:rPr>
          <w:sz w:val="20"/>
          <w:szCs w:val="20"/>
          <w:color w:val="auto"/>
        </w:rPr>
      </w:pPr>
    </w:p>
    <w:p>
      <w:pPr>
        <w:jc w:val="both"/>
        <w:ind w:firstLine="375"/>
        <w:spacing w:after="0" w:line="279" w:lineRule="auto"/>
        <w:rPr>
          <w:sz w:val="20"/>
          <w:szCs w:val="20"/>
          <w:color w:val="auto"/>
        </w:rPr>
      </w:pPr>
      <w:r>
        <w:rPr>
          <w:rFonts w:ascii="Arial" w:cs="Arial" w:eastAsia="Arial" w:hAnsi="Arial"/>
          <w:sz w:val="16"/>
          <w:szCs w:val="16"/>
          <w:color w:val="auto"/>
        </w:rPr>
        <w:t>Forward looking statements are based on management’s assumptions, projections and beliefs as of the date of this Quarterly Report, but they involve a number of risks and uncertainties. Actual results may differ materially from those anticipated in forward-looking statements, as well as from historical performance. Factors that could cause actual results to vary from our forward-looking statements include, but are not limited to, the following:</w:t>
      </w:r>
    </w:p>
    <w:p>
      <w:pPr>
        <w:spacing w:after="0" w:line="108" w:lineRule="exact"/>
        <w:rPr>
          <w:sz w:val="20"/>
          <w:szCs w:val="20"/>
          <w:color w:val="auto"/>
        </w:rPr>
      </w:pPr>
    </w:p>
    <w:p>
      <w:pPr>
        <w:ind w:left="600" w:hanging="225"/>
        <w:spacing w:after="0" w:line="266" w:lineRule="auto"/>
        <w:tabs>
          <w:tab w:leader="none" w:pos="596"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impact of the COVID-19 pandemic and of measures taken in response to the COVID-19 pandemic by various governmental authorities, businesses and other third parties;</w:t>
      </w:r>
    </w:p>
    <w:p>
      <w:pPr>
        <w:spacing w:after="0" w:line="16" w:lineRule="exact"/>
        <w:rPr>
          <w:rFonts w:ascii="Arial" w:cs="Arial" w:eastAsia="Arial" w:hAnsi="Arial"/>
          <w:sz w:val="17"/>
          <w:szCs w:val="17"/>
          <w:color w:val="auto"/>
        </w:rPr>
      </w:pPr>
    </w:p>
    <w:p>
      <w:pPr>
        <w:ind w:left="600" w:hanging="225"/>
        <w:spacing w:after="0"/>
        <w:tabs>
          <w:tab w:leader="none" w:pos="6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actions by the federal, state, or local governments to stabilize the economy, the housing sector or financial markets;</w:t>
      </w:r>
    </w:p>
    <w:p>
      <w:pPr>
        <w:spacing w:after="0" w:line="54" w:lineRule="exact"/>
        <w:rPr>
          <w:rFonts w:ascii="Arial" w:cs="Arial" w:eastAsia="Arial" w:hAnsi="Arial"/>
          <w:sz w:val="17"/>
          <w:szCs w:val="17"/>
          <w:color w:val="auto"/>
        </w:rPr>
      </w:pPr>
    </w:p>
    <w:p>
      <w:pPr>
        <w:ind w:left="600" w:hanging="225"/>
        <w:spacing w:after="0"/>
        <w:tabs>
          <w:tab w:leader="none" w:pos="6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changes in U.S. monetary policy or interest rates, including Fed purchases of Agency RMBS;</w:t>
      </w:r>
    </w:p>
    <w:p>
      <w:pPr>
        <w:spacing w:after="0" w:line="54" w:lineRule="exact"/>
        <w:rPr>
          <w:rFonts w:ascii="Arial" w:cs="Arial" w:eastAsia="Arial" w:hAnsi="Arial"/>
          <w:sz w:val="17"/>
          <w:szCs w:val="17"/>
          <w:color w:val="auto"/>
        </w:rPr>
      </w:pPr>
    </w:p>
    <w:p>
      <w:pPr>
        <w:ind w:left="600" w:hanging="225"/>
        <w:spacing w:after="0"/>
        <w:tabs>
          <w:tab w:leader="none" w:pos="6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fluctuations in the yield curve;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43" w:name="page44"/>
    <w:bookmarkEnd w:id="43"/>
    <w:p>
      <w:pPr>
        <w:ind w:left="600" w:hanging="225"/>
        <w:spacing w:after="0"/>
        <w:tabs>
          <w:tab w:leader="none" w:pos="6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fluctuations in mortgage prepayment rates on the loans underlying our Agency RMBS;</w:t>
      </w:r>
    </w:p>
    <w:p>
      <w:pPr>
        <w:spacing w:after="0" w:line="54" w:lineRule="exact"/>
        <w:rPr>
          <w:rFonts w:ascii="Arial" w:cs="Arial" w:eastAsia="Arial" w:hAnsi="Arial"/>
          <w:sz w:val="17"/>
          <w:szCs w:val="17"/>
          <w:color w:val="auto"/>
        </w:rPr>
      </w:pPr>
    </w:p>
    <w:p>
      <w:pPr>
        <w:ind w:left="600" w:hanging="225"/>
        <w:spacing w:after="0"/>
        <w:tabs>
          <w:tab w:leader="none" w:pos="6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availability and terms of financing;</w:t>
      </w:r>
    </w:p>
    <w:p>
      <w:pPr>
        <w:spacing w:after="0" w:line="54" w:lineRule="exact"/>
        <w:rPr>
          <w:rFonts w:ascii="Arial" w:cs="Arial" w:eastAsia="Arial" w:hAnsi="Arial"/>
          <w:sz w:val="17"/>
          <w:szCs w:val="17"/>
          <w:color w:val="auto"/>
        </w:rPr>
      </w:pPr>
    </w:p>
    <w:p>
      <w:pPr>
        <w:ind w:left="600" w:hanging="225"/>
        <w:spacing w:after="0"/>
        <w:tabs>
          <w:tab w:leader="none" w:pos="6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changes in the market value of our assets, including from changes in net interest spreads, and changes in market liquidity or depth;</w:t>
      </w:r>
    </w:p>
    <w:p>
      <w:pPr>
        <w:spacing w:after="0" w:line="54" w:lineRule="exact"/>
        <w:rPr>
          <w:rFonts w:ascii="Arial" w:cs="Arial" w:eastAsia="Arial" w:hAnsi="Arial"/>
          <w:sz w:val="17"/>
          <w:szCs w:val="17"/>
          <w:color w:val="auto"/>
        </w:rPr>
      </w:pPr>
    </w:p>
    <w:p>
      <w:pPr>
        <w:ind w:left="600" w:hanging="225"/>
        <w:spacing w:after="0"/>
        <w:tabs>
          <w:tab w:leader="none" w:pos="6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effectiveness of our risk mitigation strategies;</w:t>
      </w:r>
    </w:p>
    <w:p>
      <w:pPr>
        <w:spacing w:after="0" w:line="54" w:lineRule="exact"/>
        <w:rPr>
          <w:rFonts w:ascii="Arial" w:cs="Arial" w:eastAsia="Arial" w:hAnsi="Arial"/>
          <w:sz w:val="17"/>
          <w:szCs w:val="17"/>
          <w:color w:val="auto"/>
        </w:rPr>
      </w:pPr>
    </w:p>
    <w:p>
      <w:pPr>
        <w:ind w:left="600" w:hanging="225"/>
        <w:spacing w:after="0"/>
        <w:tabs>
          <w:tab w:leader="none" w:pos="6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conditions in the market for Agency RMBS and other mortgage securities;</w:t>
      </w:r>
    </w:p>
    <w:p>
      <w:pPr>
        <w:spacing w:after="0" w:line="54" w:lineRule="exact"/>
        <w:rPr>
          <w:rFonts w:ascii="Arial" w:cs="Arial" w:eastAsia="Arial" w:hAnsi="Arial"/>
          <w:sz w:val="17"/>
          <w:szCs w:val="17"/>
          <w:color w:val="auto"/>
        </w:rPr>
      </w:pPr>
    </w:p>
    <w:p>
      <w:pPr>
        <w:ind w:left="600" w:hanging="225"/>
        <w:spacing w:after="0" w:line="266" w:lineRule="auto"/>
        <w:tabs>
          <w:tab w:leader="none" w:pos="596" w:val="left"/>
        </w:tabs>
        <w:numPr>
          <w:ilvl w:val="0"/>
          <w:numId w:val="32"/>
        </w:numPr>
        <w:rPr>
          <w:rFonts w:ascii="Arial" w:cs="Arial" w:eastAsia="Arial" w:hAnsi="Arial"/>
          <w:sz w:val="17"/>
          <w:szCs w:val="17"/>
          <w:color w:val="auto"/>
        </w:rPr>
      </w:pPr>
      <w:r>
        <w:rPr>
          <w:rFonts w:ascii="Arial" w:cs="Arial" w:eastAsia="Arial" w:hAnsi="Arial"/>
          <w:sz w:val="17"/>
          <w:szCs w:val="17"/>
          <w:color w:val="auto"/>
        </w:rPr>
        <w:t>legislative or regulatory changes that affect our status as a REIT, our exemption from the Investment Company Act of 1940 or the mortgage markets in which we participate; and</w:t>
      </w:r>
    </w:p>
    <w:p>
      <w:pPr>
        <w:spacing w:after="0" w:line="16" w:lineRule="exact"/>
        <w:rPr>
          <w:rFonts w:ascii="Arial" w:cs="Arial" w:eastAsia="Arial" w:hAnsi="Arial"/>
          <w:sz w:val="17"/>
          <w:szCs w:val="17"/>
          <w:color w:val="auto"/>
        </w:rPr>
      </w:pPr>
    </w:p>
    <w:p>
      <w:pPr>
        <w:ind w:left="600" w:hanging="225"/>
        <w:spacing w:after="0"/>
        <w:tabs>
          <w:tab w:leader="none" w:pos="6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other risks discussed under the heading “Risk Factors” herein and in our Annual Report on Form 10-K.</w:t>
      </w:r>
    </w:p>
    <w:p>
      <w:pPr>
        <w:spacing w:after="0" w:line="154" w:lineRule="exact"/>
        <w:rPr>
          <w:sz w:val="20"/>
          <w:szCs w:val="20"/>
          <w:color w:val="auto"/>
        </w:rPr>
      </w:pPr>
    </w:p>
    <w:p>
      <w:pPr>
        <w:jc w:val="both"/>
        <w:ind w:firstLine="375"/>
        <w:spacing w:after="0" w:line="306" w:lineRule="auto"/>
        <w:rPr>
          <w:sz w:val="20"/>
          <w:szCs w:val="20"/>
          <w:color w:val="auto"/>
        </w:rPr>
      </w:pPr>
      <w:r>
        <w:rPr>
          <w:rFonts w:ascii="Arial" w:cs="Arial" w:eastAsia="Arial" w:hAnsi="Arial"/>
          <w:sz w:val="15"/>
          <w:szCs w:val="15"/>
          <w:color w:val="auto"/>
        </w:rPr>
        <w:t xml:space="preserve">Forward-looking statements speak only as of the date made, and we do not assume any duty and do not undertake to update forward-looking statements. A further discussion of risks and uncertainties that could cause actual results to differ from any of our forward-looking statements is included in our most recent Annual Report on Form 10-K and this document under Item 1A. </w:t>
      </w:r>
      <w:r>
        <w:rPr>
          <w:rFonts w:ascii="Arial" w:cs="Arial" w:eastAsia="Arial" w:hAnsi="Arial"/>
          <w:sz w:val="15"/>
          <w:szCs w:val="15"/>
          <w:i w:val="1"/>
          <w:iCs w:val="1"/>
          <w:color w:val="auto"/>
        </w:rPr>
        <w:t>Risk Factors</w:t>
      </w:r>
      <w:r>
        <w:rPr>
          <w:rFonts w:ascii="Arial" w:cs="Arial" w:eastAsia="Arial" w:hAnsi="Arial"/>
          <w:sz w:val="15"/>
          <w:szCs w:val="15"/>
          <w:color w:val="auto"/>
        </w:rPr>
        <w:t>. We caution readers not to place undue reliance on our forward-looking statements.</w:t>
      </w:r>
    </w:p>
    <w:p>
      <w:pPr>
        <w:spacing w:after="0" w:line="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3. </w:t>
      </w:r>
      <w:r>
        <w:rPr>
          <w:rFonts w:ascii="Arial" w:cs="Arial" w:eastAsia="Arial" w:hAnsi="Arial"/>
          <w:sz w:val="17"/>
          <w:szCs w:val="17"/>
          <w:b w:val="1"/>
          <w:bCs w:val="1"/>
          <w:i w:val="1"/>
          <w:iCs w:val="1"/>
          <w:color w:val="auto"/>
        </w:rPr>
        <w:t>Quantitative and Qualitative Disclosures about Market Risk</w:t>
      </w:r>
    </w:p>
    <w:p>
      <w:pPr>
        <w:spacing w:after="0" w:line="158" w:lineRule="exact"/>
        <w:rPr>
          <w:sz w:val="20"/>
          <w:szCs w:val="20"/>
          <w:color w:val="auto"/>
        </w:rPr>
      </w:pPr>
    </w:p>
    <w:p>
      <w:pPr>
        <w:jc w:val="both"/>
        <w:ind w:firstLine="412"/>
        <w:spacing w:after="0" w:line="266" w:lineRule="auto"/>
        <w:rPr>
          <w:sz w:val="20"/>
          <w:szCs w:val="20"/>
          <w:color w:val="auto"/>
        </w:rPr>
      </w:pPr>
      <w:r>
        <w:rPr>
          <w:rFonts w:ascii="Arial" w:cs="Arial" w:eastAsia="Arial" w:hAnsi="Arial"/>
          <w:sz w:val="17"/>
          <w:szCs w:val="17"/>
          <w:color w:val="auto"/>
        </w:rPr>
        <w:t>Market risk is the exposure to loss resulting from changes in market factors such as interest rates, foreign currency exchange rates, commodity prices and equity prices. The primary market risks that we are exposed to are interest rate, prepayment, spread, liquidity, extension and credit risk.</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Rate Risk</w:t>
      </w:r>
    </w:p>
    <w:p>
      <w:pPr>
        <w:spacing w:after="0" w:line="154" w:lineRule="exact"/>
        <w:rPr>
          <w:sz w:val="20"/>
          <w:szCs w:val="20"/>
          <w:color w:val="auto"/>
        </w:rPr>
      </w:pPr>
    </w:p>
    <w:p>
      <w:pPr>
        <w:jc w:val="both"/>
        <w:ind w:firstLine="412"/>
        <w:spacing w:after="0" w:line="270" w:lineRule="auto"/>
        <w:rPr>
          <w:sz w:val="20"/>
          <w:szCs w:val="20"/>
          <w:color w:val="auto"/>
        </w:rPr>
      </w:pPr>
      <w:r>
        <w:rPr>
          <w:rFonts w:ascii="Arial" w:cs="Arial" w:eastAsia="Arial" w:hAnsi="Arial"/>
          <w:sz w:val="16"/>
          <w:szCs w:val="16"/>
          <w:color w:val="auto"/>
        </w:rPr>
        <w:t>We are subject to interest rate risk in connection with the fixed income nature of our assets and the short-term, variable rate nature of our financing obligations. Our operating results depend in large part on differences between the income earned on our assets and our cost of borrowing and hedging activities. The costs associated with our borrowings are generally based on prevailing market interest rates. During a period of rising interest rates, our borrowing costs generally will increase while the yields earned on our existing portfolio of leveraged fixed-rate assets will largely remain static. This can result in a decline in our net interest spread. Changes in the level of interest rates can also affect the rate of mortgage prepayments and the value of our assets.</w:t>
      </w:r>
    </w:p>
    <w:p>
      <w:pPr>
        <w:spacing w:after="0" w:line="115" w:lineRule="exact"/>
        <w:rPr>
          <w:sz w:val="20"/>
          <w:szCs w:val="20"/>
          <w:color w:val="auto"/>
        </w:rPr>
      </w:pPr>
    </w:p>
    <w:p>
      <w:pPr>
        <w:jc w:val="both"/>
        <w:ind w:firstLine="412"/>
        <w:spacing w:after="0" w:line="289" w:lineRule="auto"/>
        <w:rPr>
          <w:sz w:val="20"/>
          <w:szCs w:val="20"/>
          <w:color w:val="auto"/>
        </w:rPr>
      </w:pPr>
      <w:r>
        <w:rPr>
          <w:rFonts w:ascii="Arial" w:cs="Arial" w:eastAsia="Arial" w:hAnsi="Arial"/>
          <w:sz w:val="15"/>
          <w:szCs w:val="15"/>
          <w:color w:val="auto"/>
        </w:rPr>
        <w:t>Interest rates are highly sensitive to many factors, including fiscal and monetary policies and domestic and international economic and political considerations, as well as other factors beyond our control. Subject to maintaining our qualification as a REIT, we engage in a variety of interest rate management techniques to mitigate the influence of interest rate changes on our net interest income and fluctuations of our tangible net book value. The principal instruments that we use to hedge our interest rate risk are interest rate swaps, swaptions, U.S. Treasury securities and U.S. Treasury futures contracts. Our hedging techniques are highly complex and are partly based on assumed levels of prepayments of our assets. If prepayments are slower or faster than assumed, the maturity of our investments will also differ from our expectations, which could reduce the effectiveness of our hedging strategies and may cause losses on such transactions and adversely affect our cash flow.</w:t>
      </w:r>
    </w:p>
    <w:p>
      <w:pPr>
        <w:spacing w:after="0" w:line="104" w:lineRule="exact"/>
        <w:rPr>
          <w:sz w:val="20"/>
          <w:szCs w:val="20"/>
          <w:color w:val="auto"/>
        </w:rPr>
      </w:pPr>
    </w:p>
    <w:p>
      <w:pPr>
        <w:jc w:val="both"/>
        <w:ind w:firstLine="412"/>
        <w:spacing w:after="0" w:line="292" w:lineRule="auto"/>
        <w:rPr>
          <w:sz w:val="20"/>
          <w:szCs w:val="20"/>
          <w:color w:val="auto"/>
        </w:rPr>
      </w:pPr>
      <w:r>
        <w:rPr>
          <w:rFonts w:ascii="Arial" w:cs="Arial" w:eastAsia="Arial" w:hAnsi="Arial"/>
          <w:sz w:val="15"/>
          <w:szCs w:val="15"/>
          <w:color w:val="auto"/>
        </w:rPr>
        <w:t>The severity of potential declines in our tangible net book value due to fluctuations in interest rates would depend on our asset, liability, and hedge composition at the time, as well as the magnitude and duration of the interest rate change. Primary measures of an instrument's price sensitivity to interest rate fluctuations are its duration and convexity. Duration measures the estimated percentage change in market value of an instrument that would be caused by a parallel change in short and long-term interest rates. The duration of our assets will vary with changes in interest rates and tends to increase when interest rates rise and decrease when interest rates fall. This "negative convexity" generally increases the interest rate exposure of our investment portfolio in excess of what is measured by duration alone.</w:t>
      </w:r>
    </w:p>
    <w:p>
      <w:pPr>
        <w:spacing w:after="0" w:line="101" w:lineRule="exact"/>
        <w:rPr>
          <w:sz w:val="20"/>
          <w:szCs w:val="20"/>
          <w:color w:val="auto"/>
        </w:rPr>
      </w:pPr>
    </w:p>
    <w:p>
      <w:pPr>
        <w:jc w:val="both"/>
        <w:ind w:firstLine="412"/>
        <w:spacing w:after="0" w:line="255" w:lineRule="auto"/>
        <w:rPr>
          <w:sz w:val="20"/>
          <w:szCs w:val="20"/>
          <w:color w:val="auto"/>
        </w:rPr>
      </w:pPr>
      <w:r>
        <w:rPr>
          <w:rFonts w:ascii="Arial" w:cs="Arial" w:eastAsia="Arial" w:hAnsi="Arial"/>
          <w:sz w:val="17"/>
          <w:szCs w:val="17"/>
          <w:color w:val="auto"/>
        </w:rPr>
        <w:t>We estimate the duration and convexity of our assets using a third-party risk management system and market data. We review the duration estimates from the third-party model and may make adjustments based on our judgment to better reflect any unique characteristics and market trading conventions associated with certain types of securities.</w:t>
      </w:r>
    </w:p>
    <w:p>
      <w:pPr>
        <w:spacing w:after="0" w:line="127" w:lineRule="exact"/>
        <w:rPr>
          <w:sz w:val="20"/>
          <w:szCs w:val="20"/>
          <w:color w:val="auto"/>
        </w:rPr>
      </w:pPr>
    </w:p>
    <w:p>
      <w:pPr>
        <w:jc w:val="both"/>
        <w:ind w:firstLine="412"/>
        <w:spacing w:after="0" w:line="250" w:lineRule="auto"/>
        <w:rPr>
          <w:sz w:val="20"/>
          <w:szCs w:val="20"/>
          <w:color w:val="auto"/>
        </w:rPr>
      </w:pPr>
      <w:r>
        <w:rPr>
          <w:rFonts w:ascii="Arial" w:cs="Arial" w:eastAsia="Arial" w:hAnsi="Arial"/>
          <w:sz w:val="17"/>
          <w:szCs w:val="17"/>
          <w:color w:val="auto"/>
        </w:rPr>
        <w:t>The table below quantifies the estimated changes in the fair value of our investment portfolio (including derivatives and other securities used for hedging purposes) and in our tangible net book value per common share as of June 30, 2021 and December 31, 2020 should interest rates go up or down by 25, 50 and 75 basis points, assuming instantaneous parallel shifts in the yield curve and including the impact of both duration and convexity. All values in the table below are measured as percentage changes from the base interest rate scenario. The base interest rate scenario assumes interest rates and prepayment projections as of June 30, 2021 and December 31, 2020.</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44" w:name="page45"/>
    <w:bookmarkEnd w:id="44"/>
    <w:p>
      <w:pPr>
        <w:jc w:val="both"/>
        <w:ind w:firstLine="412"/>
        <w:spacing w:after="0" w:line="252" w:lineRule="auto"/>
        <w:rPr>
          <w:sz w:val="20"/>
          <w:szCs w:val="20"/>
          <w:color w:val="auto"/>
        </w:rPr>
      </w:pPr>
      <w:r>
        <w:rPr>
          <w:rFonts w:ascii="Arial" w:cs="Arial" w:eastAsia="Arial" w:hAnsi="Arial"/>
          <w:sz w:val="17"/>
          <w:szCs w:val="17"/>
          <w:color w:val="auto"/>
        </w:rPr>
        <w:t>To the extent that these estimates or other assumptions do not hold true, which is likely in a period of high volatility, actual results could differ materially from our projections. Moreover, if different models were employed in the analysis, materially different projections could result. Lastly, while the table below reflects the estimated impact of interest rate changes on a static portfolio, we actively manage our portfolio and we continuously adjust the size and composition of our asset and hedge portfolio.</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 xml:space="preserve">Interest Rate Sensitivity </w:t>
      </w:r>
      <w:r>
        <w:rPr>
          <w:rFonts w:ascii="Arial" w:cs="Arial" w:eastAsia="Arial" w:hAnsi="Arial"/>
          <w:sz w:val="17"/>
          <w:szCs w:val="17"/>
          <w:b w:val="1"/>
          <w:bCs w:val="1"/>
          <w:color w:val="auto"/>
          <w:vertAlign w:val="superscript"/>
        </w:rPr>
        <w:t>1,2</w:t>
      </w:r>
    </w:p>
    <w:tbl>
      <w:tblPr>
        <w:tblLayout w:type="fixed"/>
        <w:tblInd w:w="1240" w:type="dxa"/>
        <w:tblCellMar>
          <w:top w:w="0" w:type="dxa"/>
          <w:left w:w="0" w:type="dxa"/>
          <w:bottom w:w="0" w:type="dxa"/>
          <w:right w:w="0" w:type="dxa"/>
        </w:tblCellMar>
      </w:tblPr>
      <w:tr>
        <w:trPr>
          <w:trHeight w:val="167"/>
        </w:trPr>
        <w:tc>
          <w:tcPr>
            <w:tcW w:w="29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2900" w:type="dxa"/>
            <w:vAlign w:val="bottom"/>
            <w:tcBorders>
              <w:top w:val="single" w:sz="8" w:color="auto"/>
            </w:tcBorders>
            <w:gridSpan w:val="4"/>
          </w:tcPr>
          <w:p>
            <w:pPr>
              <w:ind w:left="960"/>
              <w:spacing w:after="0"/>
              <w:rPr>
                <w:sz w:val="20"/>
                <w:szCs w:val="20"/>
                <w:color w:val="auto"/>
              </w:rPr>
            </w:pPr>
            <w:r>
              <w:rPr>
                <w:rFonts w:ascii="Arial" w:cs="Arial" w:eastAsia="Arial" w:hAnsi="Arial"/>
                <w:sz w:val="13"/>
                <w:szCs w:val="13"/>
                <w:b w:val="1"/>
                <w:bCs w:val="1"/>
                <w:color w:val="auto"/>
              </w:rPr>
              <w:t>June 30, 2021</w:t>
            </w:r>
          </w:p>
        </w:tc>
        <w:tc>
          <w:tcPr>
            <w:tcW w:w="2800" w:type="dxa"/>
            <w:vAlign w:val="bottom"/>
            <w:tcBorders>
              <w:top w:val="single" w:sz="8" w:color="auto"/>
            </w:tcBorders>
            <w:gridSpan w:val="3"/>
          </w:tcPr>
          <w:p>
            <w:pPr>
              <w:ind w:left="840"/>
              <w:spacing w:after="0"/>
              <w:rPr>
                <w:sz w:val="20"/>
                <w:szCs w:val="20"/>
                <w:color w:val="auto"/>
              </w:rPr>
            </w:pPr>
            <w:r>
              <w:rPr>
                <w:rFonts w:ascii="Arial" w:cs="Arial" w:eastAsia="Arial" w:hAnsi="Arial"/>
                <w:sz w:val="13"/>
                <w:szCs w:val="13"/>
                <w:b w:val="1"/>
                <w:bCs w:val="1"/>
                <w:color w:val="auto"/>
              </w:rPr>
              <w:t>December 31, 2020</w:t>
            </w:r>
          </w:p>
        </w:tc>
        <w:tc>
          <w:tcPr>
            <w:tcW w:w="0" w:type="dxa"/>
            <w:vAlign w:val="bottom"/>
          </w:tcPr>
          <w:p>
            <w:pPr>
              <w:spacing w:after="0"/>
              <w:rPr>
                <w:sz w:val="1"/>
                <w:szCs w:val="1"/>
                <w:color w:val="auto"/>
              </w:rPr>
            </w:pPr>
          </w:p>
        </w:tc>
      </w:tr>
      <w:tr>
        <w:trPr>
          <w:trHeight w:val="117"/>
        </w:trPr>
        <w:tc>
          <w:tcPr>
            <w:tcW w:w="2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0" w:type="dxa"/>
            <w:vAlign w:val="bottom"/>
            <w:tcBorders>
              <w:top w:val="single" w:sz="8" w:color="auto"/>
            </w:tcBorders>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93"/>
              </w:rPr>
              <w:t>Estimated Change in</w:t>
            </w:r>
          </w:p>
        </w:tc>
        <w:tc>
          <w:tcPr>
            <w:tcW w:w="1320" w:type="dxa"/>
            <w:vAlign w:val="bottom"/>
            <w:tcBorders>
              <w:top w:val="single" w:sz="8" w:color="auto"/>
            </w:tcBorders>
          </w:tcPr>
          <w:p>
            <w:pPr>
              <w:jc w:val="center"/>
              <w:spacing w:after="0" w:line="118" w:lineRule="exact"/>
              <w:rPr>
                <w:sz w:val="20"/>
                <w:szCs w:val="20"/>
                <w:color w:val="auto"/>
              </w:rPr>
            </w:pPr>
            <w:r>
              <w:rPr>
                <w:rFonts w:ascii="Arial" w:cs="Arial" w:eastAsia="Arial" w:hAnsi="Arial"/>
                <w:sz w:val="13"/>
                <w:szCs w:val="13"/>
                <w:b w:val="1"/>
                <w:bCs w:val="1"/>
                <w:color w:val="auto"/>
                <w:w w:val="93"/>
              </w:rPr>
              <w:t>Estimated Change in</w:t>
            </w:r>
          </w:p>
        </w:tc>
        <w:tc>
          <w:tcPr>
            <w:tcW w:w="180" w:type="dxa"/>
            <w:vAlign w:val="bottom"/>
          </w:tcPr>
          <w:p>
            <w:pPr>
              <w:spacing w:after="0"/>
              <w:rPr>
                <w:sz w:val="10"/>
                <w:szCs w:val="10"/>
                <w:color w:val="auto"/>
              </w:rPr>
            </w:pPr>
          </w:p>
        </w:tc>
        <w:tc>
          <w:tcPr>
            <w:tcW w:w="1420" w:type="dxa"/>
            <w:vAlign w:val="bottom"/>
            <w:tcBorders>
              <w:top w:val="single" w:sz="8" w:color="auto"/>
            </w:tcBorders>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91"/>
              </w:rPr>
              <w:t>Estimated Change in</w:t>
            </w:r>
          </w:p>
        </w:tc>
        <w:tc>
          <w:tcPr>
            <w:tcW w:w="1380" w:type="dxa"/>
            <w:vAlign w:val="bottom"/>
            <w:tcBorders>
              <w:top w:val="single" w:sz="8" w:color="auto"/>
            </w:tcBorders>
          </w:tcPr>
          <w:p>
            <w:pPr>
              <w:jc w:val="center"/>
              <w:spacing w:after="0" w:line="118" w:lineRule="exact"/>
              <w:rPr>
                <w:sz w:val="20"/>
                <w:szCs w:val="20"/>
                <w:color w:val="auto"/>
              </w:rPr>
            </w:pPr>
            <w:r>
              <w:rPr>
                <w:rFonts w:ascii="Arial" w:cs="Arial" w:eastAsia="Arial" w:hAnsi="Arial"/>
                <w:sz w:val="13"/>
                <w:szCs w:val="13"/>
                <w:b w:val="1"/>
                <w:bCs w:val="1"/>
                <w:color w:val="auto"/>
                <w:w w:val="93"/>
              </w:rPr>
              <w:t>Estimated Change in</w:t>
            </w:r>
          </w:p>
        </w:tc>
        <w:tc>
          <w:tcPr>
            <w:tcW w:w="0" w:type="dxa"/>
            <w:vAlign w:val="bottom"/>
          </w:tcPr>
          <w:p>
            <w:pPr>
              <w:spacing w:after="0"/>
              <w:rPr>
                <w:sz w:val="1"/>
                <w:szCs w:val="1"/>
                <w:color w:val="auto"/>
              </w:rPr>
            </w:pPr>
          </w:p>
        </w:tc>
      </w:tr>
      <w:tr>
        <w:trPr>
          <w:trHeight w:val="125"/>
        </w:trPr>
        <w:tc>
          <w:tcPr>
            <w:tcW w:w="2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00" w:type="dxa"/>
            <w:vAlign w:val="bottom"/>
            <w:gridSpan w:val="2"/>
            <w:vMerge w:val="continue"/>
          </w:tcPr>
          <w:p>
            <w:pPr>
              <w:spacing w:after="0"/>
              <w:rPr>
                <w:sz w:val="10"/>
                <w:szCs w:val="10"/>
                <w:color w:val="auto"/>
              </w:rPr>
            </w:pPr>
          </w:p>
        </w:tc>
        <w:tc>
          <w:tcPr>
            <w:tcW w:w="1500" w:type="dxa"/>
            <w:vAlign w:val="bottom"/>
            <w:gridSpan w:val="2"/>
          </w:tcPr>
          <w:p>
            <w:pPr>
              <w:jc w:val="center"/>
              <w:ind w:right="180"/>
              <w:spacing w:after="0" w:line="125" w:lineRule="exact"/>
              <w:rPr>
                <w:sz w:val="20"/>
                <w:szCs w:val="20"/>
                <w:color w:val="auto"/>
              </w:rPr>
            </w:pPr>
            <w:r>
              <w:rPr>
                <w:rFonts w:ascii="Arial" w:cs="Arial" w:eastAsia="Arial" w:hAnsi="Arial"/>
                <w:sz w:val="13"/>
                <w:szCs w:val="13"/>
                <w:b w:val="1"/>
                <w:bCs w:val="1"/>
                <w:color w:val="auto"/>
                <w:w w:val="91"/>
              </w:rPr>
              <w:t>Tangible Net Book</w:t>
            </w:r>
          </w:p>
        </w:tc>
        <w:tc>
          <w:tcPr>
            <w:tcW w:w="1420" w:type="dxa"/>
            <w:vAlign w:val="bottom"/>
            <w:gridSpan w:val="2"/>
            <w:vMerge w:val="continue"/>
          </w:tcPr>
          <w:p>
            <w:pPr>
              <w:spacing w:after="0"/>
              <w:rPr>
                <w:sz w:val="10"/>
                <w:szCs w:val="10"/>
                <w:color w:val="auto"/>
              </w:rPr>
            </w:pPr>
          </w:p>
        </w:tc>
        <w:tc>
          <w:tcPr>
            <w:tcW w:w="1380" w:type="dxa"/>
            <w:vAlign w:val="bottom"/>
          </w:tcPr>
          <w:p>
            <w:pPr>
              <w:jc w:val="center"/>
              <w:spacing w:after="0" w:line="125" w:lineRule="exact"/>
              <w:rPr>
                <w:sz w:val="20"/>
                <w:szCs w:val="20"/>
                <w:color w:val="auto"/>
              </w:rPr>
            </w:pPr>
            <w:r>
              <w:rPr>
                <w:rFonts w:ascii="Arial" w:cs="Arial" w:eastAsia="Arial" w:hAnsi="Arial"/>
                <w:sz w:val="13"/>
                <w:szCs w:val="13"/>
                <w:b w:val="1"/>
                <w:bCs w:val="1"/>
                <w:color w:val="auto"/>
                <w:w w:val="92"/>
              </w:rPr>
              <w:t>Tangible Net Book</w:t>
            </w:r>
          </w:p>
        </w:tc>
        <w:tc>
          <w:tcPr>
            <w:tcW w:w="0" w:type="dxa"/>
            <w:vAlign w:val="bottom"/>
          </w:tcPr>
          <w:p>
            <w:pPr>
              <w:spacing w:after="0"/>
              <w:rPr>
                <w:sz w:val="1"/>
                <w:szCs w:val="1"/>
                <w:color w:val="auto"/>
              </w:rPr>
            </w:pPr>
          </w:p>
        </w:tc>
      </w:tr>
      <w:tr>
        <w:trPr>
          <w:trHeight w:val="125"/>
        </w:trPr>
        <w:tc>
          <w:tcPr>
            <w:tcW w:w="308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Change in Interest Rate</w:t>
            </w:r>
          </w:p>
        </w:tc>
        <w:tc>
          <w:tcPr>
            <w:tcW w:w="1400" w:type="dxa"/>
            <w:vAlign w:val="bottom"/>
            <w:gridSpan w:val="2"/>
          </w:tcPr>
          <w:p>
            <w:pPr>
              <w:jc w:val="center"/>
              <w:ind w:right="120"/>
              <w:spacing w:after="0" w:line="125" w:lineRule="exact"/>
              <w:rPr>
                <w:sz w:val="20"/>
                <w:szCs w:val="20"/>
                <w:color w:val="auto"/>
              </w:rPr>
            </w:pPr>
            <w:r>
              <w:rPr>
                <w:rFonts w:ascii="Arial" w:cs="Arial" w:eastAsia="Arial" w:hAnsi="Arial"/>
                <w:sz w:val="13"/>
                <w:szCs w:val="13"/>
                <w:b w:val="1"/>
                <w:bCs w:val="1"/>
                <w:color w:val="auto"/>
                <w:w w:val="96"/>
              </w:rPr>
              <w:t>Portfolio Market</w:t>
            </w:r>
          </w:p>
        </w:tc>
        <w:tc>
          <w:tcPr>
            <w:tcW w:w="1500" w:type="dxa"/>
            <w:vAlign w:val="bottom"/>
            <w:gridSpan w:val="2"/>
          </w:tcPr>
          <w:p>
            <w:pPr>
              <w:jc w:val="center"/>
              <w:ind w:right="180"/>
              <w:spacing w:after="0" w:line="125" w:lineRule="exact"/>
              <w:rPr>
                <w:sz w:val="20"/>
                <w:szCs w:val="20"/>
                <w:color w:val="auto"/>
              </w:rPr>
            </w:pPr>
            <w:r>
              <w:rPr>
                <w:rFonts w:ascii="Arial" w:cs="Arial" w:eastAsia="Arial" w:hAnsi="Arial"/>
                <w:sz w:val="13"/>
                <w:szCs w:val="13"/>
                <w:b w:val="1"/>
                <w:bCs w:val="1"/>
                <w:color w:val="auto"/>
                <w:w w:val="93"/>
              </w:rPr>
              <w:t>Value Per Common</w:t>
            </w:r>
          </w:p>
        </w:tc>
        <w:tc>
          <w:tcPr>
            <w:tcW w:w="1420" w:type="dxa"/>
            <w:vAlign w:val="bottom"/>
            <w:gridSpan w:val="2"/>
          </w:tcPr>
          <w:p>
            <w:pPr>
              <w:jc w:val="center"/>
              <w:ind w:right="120"/>
              <w:spacing w:after="0" w:line="125" w:lineRule="exact"/>
              <w:rPr>
                <w:sz w:val="20"/>
                <w:szCs w:val="20"/>
                <w:color w:val="auto"/>
              </w:rPr>
            </w:pPr>
            <w:r>
              <w:rPr>
                <w:rFonts w:ascii="Arial" w:cs="Arial" w:eastAsia="Arial" w:hAnsi="Arial"/>
                <w:sz w:val="13"/>
                <w:szCs w:val="13"/>
                <w:b w:val="1"/>
                <w:bCs w:val="1"/>
                <w:color w:val="auto"/>
                <w:w w:val="98"/>
              </w:rPr>
              <w:t>Portfolio Market</w:t>
            </w:r>
          </w:p>
        </w:tc>
        <w:tc>
          <w:tcPr>
            <w:tcW w:w="1380" w:type="dxa"/>
            <w:vAlign w:val="bottom"/>
          </w:tcPr>
          <w:p>
            <w:pPr>
              <w:jc w:val="center"/>
              <w:spacing w:after="0" w:line="125" w:lineRule="exact"/>
              <w:rPr>
                <w:sz w:val="20"/>
                <w:szCs w:val="20"/>
                <w:color w:val="auto"/>
              </w:rPr>
            </w:pPr>
            <w:r>
              <w:rPr>
                <w:rFonts w:ascii="Arial" w:cs="Arial" w:eastAsia="Arial" w:hAnsi="Arial"/>
                <w:sz w:val="13"/>
                <w:szCs w:val="13"/>
                <w:b w:val="1"/>
                <w:bCs w:val="1"/>
                <w:color w:val="auto"/>
                <w:w w:val="93"/>
              </w:rPr>
              <w:t>Value Per Common</w:t>
            </w:r>
          </w:p>
        </w:tc>
        <w:tc>
          <w:tcPr>
            <w:tcW w:w="0" w:type="dxa"/>
            <w:vAlign w:val="bottom"/>
          </w:tcPr>
          <w:p>
            <w:pPr>
              <w:spacing w:after="0"/>
              <w:rPr>
                <w:sz w:val="1"/>
                <w:szCs w:val="1"/>
                <w:color w:val="auto"/>
              </w:rPr>
            </w:pPr>
          </w:p>
        </w:tc>
      </w:tr>
      <w:tr>
        <w:trPr>
          <w:trHeight w:val="174"/>
        </w:trPr>
        <w:tc>
          <w:tcPr>
            <w:tcW w:w="3080" w:type="dxa"/>
            <w:vAlign w:val="bottom"/>
            <w:gridSpan w:val="2"/>
            <w:vMerge w:val="continue"/>
          </w:tcPr>
          <w:p>
            <w:pPr>
              <w:spacing w:after="0"/>
              <w:rPr>
                <w:sz w:val="15"/>
                <w:szCs w:val="15"/>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2"/>
              </w:rPr>
              <w:t>Value</w:t>
            </w:r>
          </w:p>
        </w:tc>
        <w:tc>
          <w:tcPr>
            <w:tcW w:w="15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8"/>
              </w:rPr>
              <w:t>Share</w:t>
            </w:r>
          </w:p>
        </w:tc>
        <w:tc>
          <w:tcPr>
            <w:tcW w:w="14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Value</w:t>
            </w:r>
          </w:p>
        </w:tc>
        <w:tc>
          <w:tcPr>
            <w:tcW w:w="1380" w:type="dxa"/>
            <w:vAlign w:val="bottom"/>
          </w:tcPr>
          <w:p>
            <w:pPr>
              <w:jc w:val="center"/>
              <w:spacing w:after="0"/>
              <w:rPr>
                <w:sz w:val="20"/>
                <w:szCs w:val="20"/>
                <w:color w:val="auto"/>
              </w:rPr>
            </w:pPr>
            <w:r>
              <w:rPr>
                <w:rFonts w:ascii="Arial" w:cs="Arial" w:eastAsia="Arial" w:hAnsi="Arial"/>
                <w:sz w:val="13"/>
                <w:szCs w:val="13"/>
                <w:b w:val="1"/>
                <w:bCs w:val="1"/>
                <w:color w:val="auto"/>
                <w:w w:val="88"/>
              </w:rPr>
              <w:t>Share</w:t>
            </w:r>
          </w:p>
        </w:tc>
        <w:tc>
          <w:tcPr>
            <w:tcW w:w="0" w:type="dxa"/>
            <w:vAlign w:val="bottom"/>
          </w:tcPr>
          <w:p>
            <w:pPr>
              <w:spacing w:after="0"/>
              <w:rPr>
                <w:sz w:val="1"/>
                <w:szCs w:val="1"/>
                <w:color w:val="auto"/>
              </w:rPr>
            </w:pPr>
          </w:p>
        </w:tc>
      </w:tr>
      <w:tr>
        <w:trPr>
          <w:trHeight w:val="169"/>
        </w:trPr>
        <w:tc>
          <w:tcPr>
            <w:tcW w:w="29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-75 Basis Points</w:t>
            </w:r>
          </w:p>
        </w:tc>
        <w:tc>
          <w:tcPr>
            <w:tcW w:w="180" w:type="dxa"/>
            <w:vAlign w:val="bottom"/>
            <w:tcBorders>
              <w:top w:val="single" w:sz="8" w:color="CCEEFF"/>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4"/>
              </w:rPr>
              <w:t>-0.7%</w:t>
            </w:r>
          </w:p>
        </w:tc>
        <w:tc>
          <w:tcPr>
            <w:tcW w:w="100" w:type="dxa"/>
            <w:vAlign w:val="bottom"/>
            <w:tcBorders>
              <w:top w:val="single" w:sz="8" w:color="CCEEFF"/>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4"/>
              </w:rPr>
              <w:t>-6.8%</w:t>
            </w:r>
          </w:p>
        </w:tc>
        <w:tc>
          <w:tcPr>
            <w:tcW w:w="180" w:type="dxa"/>
            <w:vAlign w:val="bottom"/>
            <w:tcBorders>
              <w:top w:val="single" w:sz="8" w:color="CCEEFF"/>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4"/>
              </w:rPr>
              <w:t>-0.9%</w:t>
            </w:r>
          </w:p>
        </w:tc>
        <w:tc>
          <w:tcPr>
            <w:tcW w:w="100" w:type="dxa"/>
            <w:vAlign w:val="bottom"/>
            <w:tcBorders>
              <w:top w:val="single" w:sz="8" w:color="CCEEFF"/>
            </w:tcBorders>
            <w:shd w:val="clear" w:color="auto" w:fill="CCEEFF"/>
          </w:tcPr>
          <w:p>
            <w:pPr>
              <w:spacing w:after="0"/>
              <w:rPr>
                <w:sz w:val="14"/>
                <w:szCs w:val="14"/>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4"/>
              </w:rPr>
              <w:t>-9.7%</w:t>
            </w:r>
          </w:p>
        </w:tc>
        <w:tc>
          <w:tcPr>
            <w:tcW w:w="0" w:type="dxa"/>
            <w:vAlign w:val="bottom"/>
          </w:tcPr>
          <w:p>
            <w:pPr>
              <w:spacing w:after="0"/>
              <w:rPr>
                <w:sz w:val="1"/>
                <w:szCs w:val="1"/>
                <w:color w:val="auto"/>
              </w:rPr>
            </w:pPr>
          </w:p>
        </w:tc>
      </w:tr>
      <w:tr>
        <w:trPr>
          <w:trHeight w:val="172"/>
        </w:trPr>
        <w:tc>
          <w:tcPr>
            <w:tcW w:w="3080" w:type="dxa"/>
            <w:vAlign w:val="bottom"/>
            <w:gridSpan w:val="2"/>
          </w:tcPr>
          <w:p>
            <w:pPr>
              <w:ind w:left="20"/>
              <w:spacing w:after="0"/>
              <w:rPr>
                <w:sz w:val="20"/>
                <w:szCs w:val="20"/>
                <w:color w:val="auto"/>
              </w:rPr>
            </w:pPr>
            <w:r>
              <w:rPr>
                <w:rFonts w:ascii="Arial" w:cs="Arial" w:eastAsia="Arial" w:hAnsi="Arial"/>
                <w:sz w:val="13"/>
                <w:szCs w:val="13"/>
                <w:color w:val="auto"/>
              </w:rPr>
              <w:t>-50 Basis Points</w:t>
            </w:r>
          </w:p>
        </w:tc>
        <w:tc>
          <w:tcPr>
            <w:tcW w:w="1300" w:type="dxa"/>
            <w:vAlign w:val="bottom"/>
          </w:tcPr>
          <w:p>
            <w:pPr>
              <w:jc w:val="center"/>
              <w:spacing w:after="0"/>
              <w:rPr>
                <w:sz w:val="20"/>
                <w:szCs w:val="20"/>
                <w:color w:val="auto"/>
              </w:rPr>
            </w:pPr>
            <w:r>
              <w:rPr>
                <w:rFonts w:ascii="Arial" w:cs="Arial" w:eastAsia="Arial" w:hAnsi="Arial"/>
                <w:sz w:val="13"/>
                <w:szCs w:val="13"/>
                <w:color w:val="auto"/>
                <w:w w:val="94"/>
              </w:rPr>
              <w:t>-0.3%</w:t>
            </w:r>
          </w:p>
        </w:tc>
        <w:tc>
          <w:tcPr>
            <w:tcW w:w="10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3"/>
                <w:szCs w:val="13"/>
                <w:color w:val="auto"/>
                <w:w w:val="94"/>
              </w:rPr>
              <w:t>-2.8%</w:t>
            </w:r>
          </w:p>
        </w:tc>
        <w:tc>
          <w:tcPr>
            <w:tcW w:w="18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3"/>
                <w:szCs w:val="13"/>
                <w:color w:val="auto"/>
                <w:w w:val="94"/>
              </w:rPr>
              <w:t>-0.5%</w:t>
            </w:r>
          </w:p>
        </w:tc>
        <w:tc>
          <w:tcPr>
            <w:tcW w:w="10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3"/>
                <w:szCs w:val="13"/>
                <w:color w:val="auto"/>
                <w:w w:val="94"/>
              </w:rPr>
              <w:t>-5.8%</w:t>
            </w:r>
          </w:p>
        </w:tc>
        <w:tc>
          <w:tcPr>
            <w:tcW w:w="0" w:type="dxa"/>
            <w:vAlign w:val="bottom"/>
          </w:tcPr>
          <w:p>
            <w:pPr>
              <w:spacing w:after="0"/>
              <w:rPr>
                <w:sz w:val="1"/>
                <w:szCs w:val="1"/>
                <w:color w:val="auto"/>
              </w:rPr>
            </w:pPr>
          </w:p>
        </w:tc>
      </w:tr>
      <w:tr>
        <w:trPr>
          <w:trHeight w:val="178"/>
        </w:trPr>
        <w:tc>
          <w:tcPr>
            <w:tcW w:w="30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-25 Basis Points</w:t>
            </w:r>
          </w:p>
        </w:tc>
        <w:tc>
          <w:tcPr>
            <w:tcW w:w="140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7"/>
              </w:rPr>
              <w:t>—%</w:t>
            </w:r>
          </w:p>
        </w:tc>
        <w:tc>
          <w:tcPr>
            <w:tcW w:w="13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-0.4%</w:t>
            </w: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-0.2%</w:t>
            </w: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-2.1%</w:t>
            </w:r>
          </w:p>
        </w:tc>
        <w:tc>
          <w:tcPr>
            <w:tcW w:w="0" w:type="dxa"/>
            <w:vAlign w:val="bottom"/>
          </w:tcPr>
          <w:p>
            <w:pPr>
              <w:spacing w:after="0"/>
              <w:rPr>
                <w:sz w:val="1"/>
                <w:szCs w:val="1"/>
                <w:color w:val="auto"/>
              </w:rPr>
            </w:pPr>
          </w:p>
        </w:tc>
      </w:tr>
      <w:tr>
        <w:trPr>
          <w:trHeight w:val="172"/>
        </w:trPr>
        <w:tc>
          <w:tcPr>
            <w:tcW w:w="3080" w:type="dxa"/>
            <w:vAlign w:val="bottom"/>
            <w:gridSpan w:val="2"/>
          </w:tcPr>
          <w:p>
            <w:pPr>
              <w:ind w:left="20"/>
              <w:spacing w:after="0"/>
              <w:rPr>
                <w:sz w:val="20"/>
                <w:szCs w:val="20"/>
                <w:color w:val="auto"/>
              </w:rPr>
            </w:pPr>
            <w:r>
              <w:rPr>
                <w:rFonts w:ascii="Arial" w:cs="Arial" w:eastAsia="Arial" w:hAnsi="Arial"/>
                <w:sz w:val="13"/>
                <w:szCs w:val="13"/>
                <w:color w:val="auto"/>
              </w:rPr>
              <w:t>+25 Basis Points</w:t>
            </w:r>
          </w:p>
        </w:tc>
        <w:tc>
          <w:tcPr>
            <w:tcW w:w="1300" w:type="dxa"/>
            <w:vAlign w:val="bottom"/>
          </w:tcPr>
          <w:p>
            <w:pPr>
              <w:jc w:val="center"/>
              <w:spacing w:after="0"/>
              <w:rPr>
                <w:sz w:val="20"/>
                <w:szCs w:val="20"/>
                <w:color w:val="auto"/>
              </w:rPr>
            </w:pPr>
            <w:r>
              <w:rPr>
                <w:rFonts w:ascii="Arial" w:cs="Arial" w:eastAsia="Arial" w:hAnsi="Arial"/>
                <w:sz w:val="13"/>
                <w:szCs w:val="13"/>
                <w:color w:val="auto"/>
                <w:w w:val="94"/>
              </w:rPr>
              <w:t>-0.2%</w:t>
            </w:r>
          </w:p>
        </w:tc>
        <w:tc>
          <w:tcPr>
            <w:tcW w:w="10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3"/>
                <w:szCs w:val="13"/>
                <w:color w:val="auto"/>
                <w:w w:val="94"/>
              </w:rPr>
              <w:t>-1.7%</w:t>
            </w:r>
          </w:p>
        </w:tc>
        <w:tc>
          <w:tcPr>
            <w:tcW w:w="180" w:type="dxa"/>
            <w:vAlign w:val="bottom"/>
          </w:tcPr>
          <w:p>
            <w:pPr>
              <w:spacing w:after="0"/>
              <w:rPr>
                <w:sz w:val="14"/>
                <w:szCs w:val="14"/>
                <w:color w:val="auto"/>
              </w:rPr>
            </w:pPr>
          </w:p>
        </w:tc>
        <w:tc>
          <w:tcPr>
            <w:tcW w:w="1420" w:type="dxa"/>
            <w:vAlign w:val="bottom"/>
            <w:gridSpan w:val="2"/>
          </w:tcPr>
          <w:p>
            <w:pPr>
              <w:jc w:val="center"/>
              <w:ind w:right="140"/>
              <w:spacing w:after="0"/>
              <w:rPr>
                <w:sz w:val="20"/>
                <w:szCs w:val="20"/>
                <w:color w:val="auto"/>
              </w:rPr>
            </w:pPr>
            <w:r>
              <w:rPr>
                <w:rFonts w:ascii="Arial" w:cs="Arial" w:eastAsia="Arial" w:hAnsi="Arial"/>
                <w:sz w:val="13"/>
                <w:szCs w:val="13"/>
                <w:color w:val="auto"/>
                <w:w w:val="97"/>
              </w:rPr>
              <w:t>—%</w:t>
            </w:r>
          </w:p>
        </w:tc>
        <w:tc>
          <w:tcPr>
            <w:tcW w:w="1380" w:type="dxa"/>
            <w:vAlign w:val="bottom"/>
          </w:tcPr>
          <w:p>
            <w:pPr>
              <w:jc w:val="center"/>
              <w:spacing w:after="0"/>
              <w:rPr>
                <w:sz w:val="20"/>
                <w:szCs w:val="20"/>
                <w:color w:val="auto"/>
              </w:rPr>
            </w:pPr>
            <w:r>
              <w:rPr>
                <w:rFonts w:ascii="Arial" w:cs="Arial" w:eastAsia="Arial" w:hAnsi="Arial"/>
                <w:sz w:val="13"/>
                <w:szCs w:val="13"/>
                <w:color w:val="auto"/>
                <w:w w:val="94"/>
              </w:rPr>
              <w:t>0.4%</w:t>
            </w:r>
          </w:p>
        </w:tc>
        <w:tc>
          <w:tcPr>
            <w:tcW w:w="0" w:type="dxa"/>
            <w:vAlign w:val="bottom"/>
          </w:tcPr>
          <w:p>
            <w:pPr>
              <w:spacing w:after="0"/>
              <w:rPr>
                <w:sz w:val="1"/>
                <w:szCs w:val="1"/>
                <w:color w:val="auto"/>
              </w:rPr>
            </w:pPr>
          </w:p>
        </w:tc>
      </w:tr>
      <w:tr>
        <w:trPr>
          <w:trHeight w:val="178"/>
        </w:trPr>
        <w:tc>
          <w:tcPr>
            <w:tcW w:w="30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+50 Basis Points</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-0.5%</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-4.9%</w:t>
            </w: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-0.1%</w:t>
            </w: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-1.1%</w:t>
            </w:r>
          </w:p>
        </w:tc>
        <w:tc>
          <w:tcPr>
            <w:tcW w:w="0" w:type="dxa"/>
            <w:vAlign w:val="bottom"/>
          </w:tcPr>
          <w:p>
            <w:pPr>
              <w:spacing w:after="0"/>
              <w:rPr>
                <w:sz w:val="1"/>
                <w:szCs w:val="1"/>
                <w:color w:val="auto"/>
              </w:rPr>
            </w:pPr>
          </w:p>
        </w:tc>
      </w:tr>
      <w:tr>
        <w:trPr>
          <w:trHeight w:val="169"/>
        </w:trPr>
        <w:tc>
          <w:tcPr>
            <w:tcW w:w="3080" w:type="dxa"/>
            <w:vAlign w:val="bottom"/>
            <w:gridSpan w:val="2"/>
          </w:tcPr>
          <w:p>
            <w:pPr>
              <w:ind w:left="20"/>
              <w:spacing w:after="0"/>
              <w:rPr>
                <w:sz w:val="20"/>
                <w:szCs w:val="20"/>
                <w:color w:val="auto"/>
              </w:rPr>
            </w:pPr>
            <w:r>
              <w:rPr>
                <w:rFonts w:ascii="Arial" w:cs="Arial" w:eastAsia="Arial" w:hAnsi="Arial"/>
                <w:sz w:val="13"/>
                <w:szCs w:val="13"/>
                <w:color w:val="auto"/>
              </w:rPr>
              <w:t>+75 Basis Points</w:t>
            </w:r>
          </w:p>
        </w:tc>
        <w:tc>
          <w:tcPr>
            <w:tcW w:w="1300" w:type="dxa"/>
            <w:vAlign w:val="bottom"/>
          </w:tcPr>
          <w:p>
            <w:pPr>
              <w:jc w:val="center"/>
              <w:spacing w:after="0"/>
              <w:rPr>
                <w:sz w:val="20"/>
                <w:szCs w:val="20"/>
                <w:color w:val="auto"/>
              </w:rPr>
            </w:pPr>
            <w:r>
              <w:rPr>
                <w:rFonts w:ascii="Arial" w:cs="Arial" w:eastAsia="Arial" w:hAnsi="Arial"/>
                <w:sz w:val="13"/>
                <w:szCs w:val="13"/>
                <w:color w:val="auto"/>
                <w:w w:val="94"/>
              </w:rPr>
              <w:t>-0.9%</w:t>
            </w:r>
          </w:p>
        </w:tc>
        <w:tc>
          <w:tcPr>
            <w:tcW w:w="10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3"/>
                <w:szCs w:val="13"/>
                <w:color w:val="auto"/>
                <w:w w:val="94"/>
              </w:rPr>
              <w:t>-9.2%</w:t>
            </w:r>
          </w:p>
        </w:tc>
        <w:tc>
          <w:tcPr>
            <w:tcW w:w="18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3"/>
                <w:szCs w:val="13"/>
                <w:color w:val="auto"/>
                <w:w w:val="94"/>
              </w:rPr>
              <w:t>-0.4%</w:t>
            </w:r>
          </w:p>
        </w:tc>
        <w:tc>
          <w:tcPr>
            <w:tcW w:w="10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3"/>
                <w:szCs w:val="13"/>
                <w:color w:val="auto"/>
                <w:w w:val="94"/>
              </w:rPr>
              <w:t>-4.0%</w:t>
            </w:r>
          </w:p>
        </w:tc>
        <w:tc>
          <w:tcPr>
            <w:tcW w:w="0" w:type="dxa"/>
            <w:vAlign w:val="bottom"/>
          </w:tcPr>
          <w:p>
            <w:pPr>
              <w:spacing w:after="0"/>
              <w:rPr>
                <w:sz w:val="1"/>
                <w:szCs w:val="1"/>
                <w:color w:val="auto"/>
              </w:rPr>
            </w:pPr>
          </w:p>
        </w:tc>
      </w:tr>
    </w:tbl>
    <w:p>
      <w:pPr>
        <w:spacing w:after="0" w:line="97"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w:t>
      </w:r>
    </w:p>
    <w:p>
      <w:pPr>
        <w:spacing w:after="0" w:line="1" w:lineRule="exact"/>
        <w:rPr>
          <w:sz w:val="20"/>
          <w:szCs w:val="20"/>
          <w:color w:val="auto"/>
        </w:rPr>
      </w:pPr>
    </w:p>
    <w:p>
      <w:pPr>
        <w:ind w:left="600" w:hanging="300"/>
        <w:spacing w:after="0"/>
        <w:tabs>
          <w:tab w:leader="none" w:pos="600" w:val="left"/>
        </w:tabs>
        <w:numPr>
          <w:ilvl w:val="0"/>
          <w:numId w:val="33"/>
        </w:numPr>
        <w:rPr>
          <w:rFonts w:ascii="Arial" w:cs="Arial" w:eastAsia="Arial" w:hAnsi="Arial"/>
          <w:sz w:val="13"/>
          <w:szCs w:val="13"/>
          <w:color w:val="auto"/>
        </w:rPr>
      </w:pPr>
      <w:r>
        <w:rPr>
          <w:rFonts w:ascii="Arial" w:cs="Arial" w:eastAsia="Arial" w:hAnsi="Arial"/>
          <w:sz w:val="13"/>
          <w:szCs w:val="13"/>
          <w:color w:val="auto"/>
        </w:rPr>
        <w:t>Derived from models that are dependent on inputs and assumptions provided by third parties, assumes there are no changes in mortgage spreads and assumes a static portfolio. Actual results could differ materially from these estimates.</w:t>
      </w:r>
    </w:p>
    <w:p>
      <w:pPr>
        <w:ind w:left="600" w:hanging="300"/>
        <w:spacing w:after="0"/>
        <w:tabs>
          <w:tab w:leader="none" w:pos="600" w:val="left"/>
        </w:tabs>
        <w:numPr>
          <w:ilvl w:val="0"/>
          <w:numId w:val="33"/>
        </w:numPr>
        <w:rPr>
          <w:rFonts w:ascii="Arial" w:cs="Arial" w:eastAsia="Arial" w:hAnsi="Arial"/>
          <w:sz w:val="13"/>
          <w:szCs w:val="13"/>
          <w:color w:val="auto"/>
        </w:rPr>
      </w:pPr>
      <w:r>
        <w:rPr>
          <w:rFonts w:ascii="Arial" w:cs="Arial" w:eastAsia="Arial" w:hAnsi="Arial"/>
          <w:sz w:val="13"/>
          <w:szCs w:val="13"/>
          <w:color w:val="auto"/>
        </w:rPr>
        <w:t>Includes the effect of derivatives and other securities used for hedging purposes. Interest rates are assumed to be floored at 0% in down rate scenarios.</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Prepayment Risk</w:t>
      </w:r>
    </w:p>
    <w:p>
      <w:pPr>
        <w:spacing w:after="0" w:line="154" w:lineRule="exact"/>
        <w:rPr>
          <w:sz w:val="20"/>
          <w:szCs w:val="20"/>
          <w:color w:val="auto"/>
        </w:rPr>
      </w:pPr>
    </w:p>
    <w:p>
      <w:pPr>
        <w:jc w:val="both"/>
        <w:ind w:firstLine="450"/>
        <w:spacing w:after="0" w:line="252" w:lineRule="auto"/>
        <w:rPr>
          <w:sz w:val="20"/>
          <w:szCs w:val="20"/>
          <w:color w:val="auto"/>
        </w:rPr>
      </w:pPr>
      <w:r>
        <w:rPr>
          <w:rFonts w:ascii="Arial" w:cs="Arial" w:eastAsia="Arial" w:hAnsi="Arial"/>
          <w:sz w:val="17"/>
          <w:szCs w:val="17"/>
          <w:color w:val="auto"/>
        </w:rPr>
        <w:t>Prepayment risk is the risk that our assets will be repaid at a faster rate than anticipated. Interest rates and numerous other factors affect the rate of prepayments, such as housing prices, general economic conditions, loan age, size and loan-to-value ratios, and GSE buyouts of delinquent loans underlying our securities. Generally, prepayments increase during periods of falling mortgage interest rates and decrease during periods of rising mortgage interest rates. However, this may not always be the case.</w:t>
      </w:r>
    </w:p>
    <w:p>
      <w:pPr>
        <w:spacing w:after="0" w:line="129" w:lineRule="exact"/>
        <w:rPr>
          <w:sz w:val="20"/>
          <w:szCs w:val="20"/>
          <w:color w:val="auto"/>
        </w:rPr>
      </w:pPr>
    </w:p>
    <w:p>
      <w:pPr>
        <w:jc w:val="both"/>
        <w:ind w:firstLine="450"/>
        <w:spacing w:after="0" w:line="250" w:lineRule="auto"/>
        <w:rPr>
          <w:sz w:val="20"/>
          <w:szCs w:val="20"/>
          <w:color w:val="auto"/>
        </w:rPr>
      </w:pPr>
      <w:r>
        <w:rPr>
          <w:rFonts w:ascii="Arial" w:cs="Arial" w:eastAsia="Arial" w:hAnsi="Arial"/>
          <w:sz w:val="17"/>
          <w:szCs w:val="17"/>
          <w:color w:val="auto"/>
        </w:rPr>
        <w:t>If our assets prepay at a faster rate than anticipated, we may be unable to reinvest the repayments at acceptable yields. If the proceeds are reinvested at lower yields than our existing assets, our net interest income would be negatively impacted. We also amortize or accrete premiums and discounts we pay or receive at purchase relative to the stated principal of our assets into interest income over their projected lives using the effective interest method. If the actual and estimated future prepayment experience differs from our prior estimates, we are required to record an adjustment to interest income for the impact of the cumulative difference in the effective yield.</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Extension Risk</w:t>
      </w:r>
    </w:p>
    <w:p>
      <w:pPr>
        <w:spacing w:after="0" w:line="154" w:lineRule="exact"/>
        <w:rPr>
          <w:sz w:val="20"/>
          <w:szCs w:val="20"/>
          <w:color w:val="auto"/>
        </w:rPr>
      </w:pPr>
    </w:p>
    <w:p>
      <w:pPr>
        <w:jc w:val="both"/>
        <w:ind w:firstLine="412"/>
        <w:spacing w:after="0" w:line="252" w:lineRule="auto"/>
        <w:rPr>
          <w:sz w:val="20"/>
          <w:szCs w:val="20"/>
          <w:color w:val="auto"/>
        </w:rPr>
      </w:pPr>
      <w:r>
        <w:rPr>
          <w:rFonts w:ascii="Arial" w:cs="Arial" w:eastAsia="Arial" w:hAnsi="Arial"/>
          <w:sz w:val="17"/>
          <w:szCs w:val="17"/>
          <w:color w:val="auto"/>
        </w:rPr>
        <w:t>Extension risk is the risk that our assets will be repaid at a slower rate than anticipated and generally increases when interest rates rise. In a rising or higher interest rate environment, we may be required to finance our investments at potentially higher costs without the ability to reinvest principal into higher yielding securities as a result of borrowers prepaying their mortgages at a slower pace than originally anticipated, adversely impacting our net interest spread, and thus our net interest income.</w:t>
      </w:r>
    </w:p>
    <w:p>
      <w:pPr>
        <w:spacing w:after="0" w:line="129" w:lineRule="exact"/>
        <w:rPr>
          <w:sz w:val="20"/>
          <w:szCs w:val="20"/>
          <w:color w:val="auto"/>
        </w:rPr>
      </w:pPr>
    </w:p>
    <w:p>
      <w:pPr>
        <w:jc w:val="both"/>
        <w:ind w:firstLine="412"/>
        <w:spacing w:after="0" w:line="273" w:lineRule="auto"/>
        <w:rPr>
          <w:sz w:val="20"/>
          <w:szCs w:val="20"/>
          <w:color w:val="auto"/>
        </w:rPr>
      </w:pPr>
      <w:r>
        <w:rPr>
          <w:rFonts w:ascii="Arial" w:cs="Arial" w:eastAsia="Arial" w:hAnsi="Arial"/>
          <w:sz w:val="16"/>
          <w:szCs w:val="16"/>
          <w:color w:val="auto"/>
        </w:rPr>
        <w:t>As of June 30, 2021 and December 31, 2020, our investment securities (excluding TBAs) had a weighted average projected CPR of 11.6% and 17.6%, respectively, and a weighted average yield of 2.42% and 2.33%, respectively. The table below presents estimated weighted average projected CPRs and yields for our investment securities should interest rates go up or down instantaneously by 25, 50 and 75 basis points. Estimated yields exclude the impact of retroactive "catch-up" premium amortization adjustments for prior periods due to changes in the projected CPR assumption.</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45" w:name="page46"/>
    <w:bookmarkEnd w:id="45"/>
    <w:p>
      <w:pPr>
        <w:jc w:val="center"/>
        <w:spacing w:after="0"/>
        <w:rPr>
          <w:sz w:val="20"/>
          <w:szCs w:val="20"/>
          <w:color w:val="auto"/>
        </w:rPr>
      </w:pPr>
      <w:r>
        <w:rPr>
          <w:rFonts w:ascii="Arial" w:cs="Arial" w:eastAsia="Arial" w:hAnsi="Arial"/>
          <w:sz w:val="13"/>
          <w:szCs w:val="13"/>
          <w:b w:val="1"/>
          <w:bCs w:val="1"/>
          <w:color w:val="auto"/>
        </w:rPr>
        <w:t xml:space="preserve">Interest Rate Sensitivity </w:t>
      </w:r>
      <w:r>
        <w:rPr>
          <w:rFonts w:ascii="Arial" w:cs="Arial" w:eastAsia="Arial" w:hAnsi="Arial"/>
          <w:sz w:val="17"/>
          <w:szCs w:val="17"/>
          <w:b w:val="1"/>
          <w:bCs w:val="1"/>
          <w:color w:val="auto"/>
          <w:vertAlign w:val="superscript"/>
        </w:rPr>
        <w:t>1</w:t>
      </w:r>
    </w:p>
    <w:tbl>
      <w:tblPr>
        <w:tblLayout w:type="fixed"/>
        <w:tblInd w:w="1280" w:type="dxa"/>
        <w:tblCellMar>
          <w:top w:w="0" w:type="dxa"/>
          <w:left w:w="0" w:type="dxa"/>
          <w:bottom w:w="0" w:type="dxa"/>
          <w:right w:w="0" w:type="dxa"/>
        </w:tblCellMar>
      </w:tblPr>
      <w:tr>
        <w:trPr>
          <w:trHeight w:val="167"/>
        </w:trPr>
        <w:tc>
          <w:tcPr>
            <w:tcW w:w="30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2860" w:type="dxa"/>
            <w:vAlign w:val="bottom"/>
            <w:tcBorders>
              <w:top w:val="single" w:sz="8" w:color="auto"/>
            </w:tcBorders>
            <w:gridSpan w:val="4"/>
          </w:tcPr>
          <w:p>
            <w:pPr>
              <w:ind w:left="960"/>
              <w:spacing w:after="0"/>
              <w:rPr>
                <w:sz w:val="20"/>
                <w:szCs w:val="20"/>
                <w:color w:val="auto"/>
              </w:rPr>
            </w:pPr>
            <w:r>
              <w:rPr>
                <w:rFonts w:ascii="Arial" w:cs="Arial" w:eastAsia="Arial" w:hAnsi="Arial"/>
                <w:sz w:val="13"/>
                <w:szCs w:val="13"/>
                <w:b w:val="1"/>
                <w:bCs w:val="1"/>
                <w:color w:val="auto"/>
              </w:rPr>
              <w:t>June 30, 2021</w:t>
            </w:r>
          </w:p>
        </w:tc>
        <w:tc>
          <w:tcPr>
            <w:tcW w:w="2680" w:type="dxa"/>
            <w:vAlign w:val="bottom"/>
            <w:tcBorders>
              <w:top w:val="single" w:sz="8" w:color="auto"/>
            </w:tcBorders>
            <w:gridSpan w:val="3"/>
          </w:tcPr>
          <w:p>
            <w:pPr>
              <w:ind w:left="800"/>
              <w:spacing w:after="0"/>
              <w:rPr>
                <w:sz w:val="20"/>
                <w:szCs w:val="20"/>
                <w:color w:val="auto"/>
              </w:rPr>
            </w:pPr>
            <w:r>
              <w:rPr>
                <w:rFonts w:ascii="Arial" w:cs="Arial" w:eastAsia="Arial" w:hAnsi="Arial"/>
                <w:sz w:val="13"/>
                <w:szCs w:val="13"/>
                <w:b w:val="1"/>
                <w:bCs w:val="1"/>
                <w:color w:val="auto"/>
              </w:rPr>
              <w:t>December 31, 2020</w:t>
            </w:r>
          </w:p>
        </w:tc>
        <w:tc>
          <w:tcPr>
            <w:tcW w:w="0" w:type="dxa"/>
            <w:vAlign w:val="bottom"/>
          </w:tcPr>
          <w:p>
            <w:pPr>
              <w:spacing w:after="0"/>
              <w:rPr>
                <w:sz w:val="1"/>
                <w:szCs w:val="1"/>
                <w:color w:val="auto"/>
              </w:rPr>
            </w:pPr>
          </w:p>
        </w:tc>
      </w:tr>
      <w:tr>
        <w:trPr>
          <w:trHeight w:val="117"/>
        </w:trPr>
        <w:tc>
          <w:tcPr>
            <w:tcW w:w="31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Change in Interest Rate</w:t>
            </w:r>
          </w:p>
        </w:tc>
        <w:tc>
          <w:tcPr>
            <w:tcW w:w="1400" w:type="dxa"/>
            <w:vAlign w:val="bottom"/>
            <w:tcBorders>
              <w:top w:val="single" w:sz="8" w:color="auto"/>
            </w:tcBorders>
            <w:gridSpan w:val="2"/>
          </w:tcPr>
          <w:p>
            <w:pPr>
              <w:jc w:val="center"/>
              <w:ind w:right="120"/>
              <w:spacing w:after="0" w:line="118" w:lineRule="exact"/>
              <w:rPr>
                <w:sz w:val="20"/>
                <w:szCs w:val="20"/>
                <w:color w:val="auto"/>
              </w:rPr>
            </w:pPr>
            <w:r>
              <w:rPr>
                <w:rFonts w:ascii="Arial" w:cs="Arial" w:eastAsia="Arial" w:hAnsi="Arial"/>
                <w:sz w:val="13"/>
                <w:szCs w:val="13"/>
                <w:b w:val="1"/>
                <w:bCs w:val="1"/>
                <w:color w:val="auto"/>
                <w:w w:val="91"/>
              </w:rPr>
              <w:t>Weighted Average</w:t>
            </w:r>
          </w:p>
        </w:tc>
        <w:tc>
          <w:tcPr>
            <w:tcW w:w="1300" w:type="dxa"/>
            <w:vAlign w:val="bottom"/>
            <w:tcBorders>
              <w:top w:val="single" w:sz="8" w:color="auto"/>
            </w:tcBorders>
          </w:tcPr>
          <w:p>
            <w:pPr>
              <w:jc w:val="center"/>
              <w:spacing w:after="0" w:line="118" w:lineRule="exact"/>
              <w:rPr>
                <w:sz w:val="20"/>
                <w:szCs w:val="20"/>
                <w:color w:val="auto"/>
              </w:rPr>
            </w:pPr>
            <w:r>
              <w:rPr>
                <w:rFonts w:ascii="Arial" w:cs="Arial" w:eastAsia="Arial" w:hAnsi="Arial"/>
                <w:sz w:val="13"/>
                <w:szCs w:val="13"/>
                <w:b w:val="1"/>
                <w:bCs w:val="1"/>
                <w:color w:val="auto"/>
                <w:w w:val="91"/>
              </w:rPr>
              <w:t>Weighted Average</w:t>
            </w:r>
          </w:p>
        </w:tc>
        <w:tc>
          <w:tcPr>
            <w:tcW w:w="160" w:type="dxa"/>
            <w:vAlign w:val="bottom"/>
          </w:tcPr>
          <w:p>
            <w:pPr>
              <w:spacing w:after="0"/>
              <w:rPr>
                <w:sz w:val="10"/>
                <w:szCs w:val="10"/>
                <w:color w:val="auto"/>
              </w:rPr>
            </w:pPr>
          </w:p>
        </w:tc>
        <w:tc>
          <w:tcPr>
            <w:tcW w:w="1400" w:type="dxa"/>
            <w:vAlign w:val="bottom"/>
            <w:tcBorders>
              <w:top w:val="single" w:sz="8" w:color="auto"/>
            </w:tcBorders>
            <w:gridSpan w:val="2"/>
          </w:tcPr>
          <w:p>
            <w:pPr>
              <w:jc w:val="center"/>
              <w:ind w:right="120"/>
              <w:spacing w:after="0" w:line="118" w:lineRule="exact"/>
              <w:rPr>
                <w:sz w:val="20"/>
                <w:szCs w:val="20"/>
                <w:color w:val="auto"/>
              </w:rPr>
            </w:pPr>
            <w:r>
              <w:rPr>
                <w:rFonts w:ascii="Arial" w:cs="Arial" w:eastAsia="Arial" w:hAnsi="Arial"/>
                <w:sz w:val="13"/>
                <w:szCs w:val="13"/>
                <w:b w:val="1"/>
                <w:bCs w:val="1"/>
                <w:color w:val="auto"/>
                <w:w w:val="91"/>
              </w:rPr>
              <w:t>Weighted Average</w:t>
            </w:r>
          </w:p>
        </w:tc>
        <w:tc>
          <w:tcPr>
            <w:tcW w:w="1280" w:type="dxa"/>
            <w:vAlign w:val="bottom"/>
            <w:tcBorders>
              <w:top w:val="single" w:sz="8" w:color="auto"/>
            </w:tcBorders>
          </w:tcPr>
          <w:p>
            <w:pPr>
              <w:jc w:val="center"/>
              <w:spacing w:after="0" w:line="118" w:lineRule="exact"/>
              <w:rPr>
                <w:sz w:val="20"/>
                <w:szCs w:val="20"/>
                <w:color w:val="auto"/>
              </w:rPr>
            </w:pPr>
            <w:r>
              <w:rPr>
                <w:rFonts w:ascii="Arial" w:cs="Arial" w:eastAsia="Arial" w:hAnsi="Arial"/>
                <w:sz w:val="13"/>
                <w:szCs w:val="13"/>
                <w:b w:val="1"/>
                <w:bCs w:val="1"/>
                <w:color w:val="auto"/>
                <w:w w:val="91"/>
              </w:rPr>
              <w:t>Weighted Average</w:t>
            </w:r>
          </w:p>
        </w:tc>
        <w:tc>
          <w:tcPr>
            <w:tcW w:w="0" w:type="dxa"/>
            <w:vAlign w:val="bottom"/>
          </w:tcPr>
          <w:p>
            <w:pPr>
              <w:spacing w:after="0"/>
              <w:rPr>
                <w:sz w:val="1"/>
                <w:szCs w:val="1"/>
                <w:color w:val="auto"/>
              </w:rPr>
            </w:pPr>
          </w:p>
        </w:tc>
      </w:tr>
      <w:tr>
        <w:trPr>
          <w:trHeight w:val="175"/>
        </w:trPr>
        <w:tc>
          <w:tcPr>
            <w:tcW w:w="3160" w:type="dxa"/>
            <w:vAlign w:val="bottom"/>
            <w:gridSpan w:val="2"/>
            <w:vMerge w:val="continue"/>
          </w:tcPr>
          <w:p>
            <w:pPr>
              <w:spacing w:after="0"/>
              <w:rPr>
                <w:sz w:val="15"/>
                <w:szCs w:val="15"/>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5"/>
              </w:rPr>
              <w:t>Projected CPR</w:t>
            </w:r>
          </w:p>
        </w:tc>
        <w:tc>
          <w:tcPr>
            <w:tcW w:w="1460" w:type="dxa"/>
            <w:vAlign w:val="bottom"/>
            <w:gridSpan w:val="2"/>
          </w:tcPr>
          <w:p>
            <w:pPr>
              <w:jc w:val="center"/>
              <w:ind w:right="160"/>
              <w:spacing w:after="0" w:line="175" w:lineRule="exact"/>
              <w:rPr>
                <w:sz w:val="20"/>
                <w:szCs w:val="20"/>
                <w:color w:val="auto"/>
              </w:rPr>
            </w:pPr>
            <w:r>
              <w:rPr>
                <w:rFonts w:ascii="Arial" w:cs="Arial" w:eastAsia="Arial" w:hAnsi="Arial"/>
                <w:sz w:val="13"/>
                <w:szCs w:val="13"/>
                <w:b w:val="1"/>
                <w:bCs w:val="1"/>
                <w:color w:val="auto"/>
                <w:w w:val="87"/>
              </w:rPr>
              <w:t xml:space="preserve">Asset Yield </w:t>
            </w:r>
            <w:r>
              <w:rPr>
                <w:rFonts w:ascii="Arial" w:cs="Arial" w:eastAsia="Arial" w:hAnsi="Arial"/>
                <w:sz w:val="17"/>
                <w:szCs w:val="17"/>
                <w:b w:val="1"/>
                <w:bCs w:val="1"/>
                <w:color w:val="auto"/>
                <w:w w:val="87"/>
                <w:vertAlign w:val="superscript"/>
              </w:rPr>
              <w:t>2</w:t>
            </w:r>
          </w:p>
        </w:tc>
        <w:tc>
          <w:tcPr>
            <w:tcW w:w="14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2"/>
              </w:rPr>
              <w:t>Projected CPR</w:t>
            </w:r>
          </w:p>
        </w:tc>
        <w:tc>
          <w:tcPr>
            <w:tcW w:w="1280" w:type="dxa"/>
            <w:vAlign w:val="bottom"/>
          </w:tcPr>
          <w:p>
            <w:pPr>
              <w:jc w:val="center"/>
              <w:spacing w:after="0" w:line="175" w:lineRule="exact"/>
              <w:rPr>
                <w:sz w:val="20"/>
                <w:szCs w:val="20"/>
                <w:color w:val="auto"/>
              </w:rPr>
            </w:pPr>
            <w:r>
              <w:rPr>
                <w:rFonts w:ascii="Arial" w:cs="Arial" w:eastAsia="Arial" w:hAnsi="Arial"/>
                <w:sz w:val="13"/>
                <w:szCs w:val="13"/>
                <w:b w:val="1"/>
                <w:bCs w:val="1"/>
                <w:color w:val="auto"/>
                <w:w w:val="89"/>
              </w:rPr>
              <w:t xml:space="preserve">Asset Yield </w:t>
            </w:r>
            <w:r>
              <w:rPr>
                <w:rFonts w:ascii="Arial" w:cs="Arial" w:eastAsia="Arial" w:hAnsi="Arial"/>
                <w:sz w:val="17"/>
                <w:szCs w:val="17"/>
                <w:b w:val="1"/>
                <w:bCs w:val="1"/>
                <w:color w:val="auto"/>
                <w:w w:val="89"/>
                <w:vertAlign w:val="superscript"/>
              </w:rPr>
              <w:t>2</w:t>
            </w:r>
          </w:p>
        </w:tc>
        <w:tc>
          <w:tcPr>
            <w:tcW w:w="0" w:type="dxa"/>
            <w:vAlign w:val="bottom"/>
          </w:tcPr>
          <w:p>
            <w:pPr>
              <w:spacing w:after="0"/>
              <w:rPr>
                <w:sz w:val="1"/>
                <w:szCs w:val="1"/>
                <w:color w:val="auto"/>
              </w:rPr>
            </w:pPr>
          </w:p>
        </w:tc>
      </w:tr>
      <w:tr>
        <w:trPr>
          <w:trHeight w:val="167"/>
        </w:trPr>
        <w:tc>
          <w:tcPr>
            <w:tcW w:w="3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color w:val="auto"/>
              </w:rPr>
              <w:t>-75 Basis Points</w:t>
            </w:r>
          </w:p>
        </w:tc>
        <w:tc>
          <w:tcPr>
            <w:tcW w:w="160" w:type="dxa"/>
            <w:vAlign w:val="bottom"/>
            <w:tcBorders>
              <w:top w:val="single" w:sz="8" w:color="CCEEFF"/>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2"/>
              </w:rPr>
              <w:t>18.3%</w:t>
            </w:r>
          </w:p>
        </w:tc>
        <w:tc>
          <w:tcPr>
            <w:tcW w:w="100" w:type="dxa"/>
            <w:vAlign w:val="bottom"/>
            <w:tcBorders>
              <w:top w:val="single" w:sz="8" w:color="CCEEFF"/>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2"/>
              </w:rPr>
              <w:t>2.11%</w:t>
            </w:r>
          </w:p>
        </w:tc>
        <w:tc>
          <w:tcPr>
            <w:tcW w:w="160" w:type="dxa"/>
            <w:vAlign w:val="bottom"/>
            <w:tcBorders>
              <w:top w:val="single" w:sz="8" w:color="CCEEFF"/>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2"/>
              </w:rPr>
              <w:t>23.9%</w:t>
            </w:r>
          </w:p>
        </w:tc>
        <w:tc>
          <w:tcPr>
            <w:tcW w:w="120" w:type="dxa"/>
            <w:vAlign w:val="bottom"/>
            <w:tcBorders>
              <w:top w:val="single" w:sz="8" w:color="CCEEFF"/>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2"/>
              </w:rPr>
              <w:t>1.99%</w:t>
            </w:r>
          </w:p>
        </w:tc>
        <w:tc>
          <w:tcPr>
            <w:tcW w:w="0" w:type="dxa"/>
            <w:vAlign w:val="bottom"/>
          </w:tcPr>
          <w:p>
            <w:pPr>
              <w:spacing w:after="0"/>
              <w:rPr>
                <w:sz w:val="1"/>
                <w:szCs w:val="1"/>
                <w:color w:val="auto"/>
              </w:rPr>
            </w:pPr>
          </w:p>
        </w:tc>
      </w:tr>
      <w:tr>
        <w:trPr>
          <w:trHeight w:val="172"/>
        </w:trPr>
        <w:tc>
          <w:tcPr>
            <w:tcW w:w="3160" w:type="dxa"/>
            <w:vAlign w:val="bottom"/>
            <w:gridSpan w:val="2"/>
          </w:tcPr>
          <w:p>
            <w:pPr>
              <w:spacing w:after="0"/>
              <w:rPr>
                <w:sz w:val="20"/>
                <w:szCs w:val="20"/>
                <w:color w:val="auto"/>
              </w:rPr>
            </w:pPr>
            <w:r>
              <w:rPr>
                <w:rFonts w:ascii="Arial" w:cs="Arial" w:eastAsia="Arial" w:hAnsi="Arial"/>
                <w:sz w:val="13"/>
                <w:szCs w:val="13"/>
                <w:color w:val="auto"/>
              </w:rPr>
              <w:t>-50 Basis Points</w:t>
            </w:r>
          </w:p>
        </w:tc>
        <w:tc>
          <w:tcPr>
            <w:tcW w:w="1300" w:type="dxa"/>
            <w:vAlign w:val="bottom"/>
          </w:tcPr>
          <w:p>
            <w:pPr>
              <w:jc w:val="center"/>
              <w:spacing w:after="0"/>
              <w:rPr>
                <w:sz w:val="20"/>
                <w:szCs w:val="20"/>
                <w:color w:val="auto"/>
              </w:rPr>
            </w:pPr>
            <w:r>
              <w:rPr>
                <w:rFonts w:ascii="Arial" w:cs="Arial" w:eastAsia="Arial" w:hAnsi="Arial"/>
                <w:sz w:val="13"/>
                <w:szCs w:val="13"/>
                <w:color w:val="auto"/>
                <w:w w:val="92"/>
              </w:rPr>
              <w:t>15.4%</w:t>
            </w:r>
          </w:p>
        </w:tc>
        <w:tc>
          <w:tcPr>
            <w:tcW w:w="10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3"/>
                <w:szCs w:val="13"/>
                <w:color w:val="auto"/>
                <w:w w:val="92"/>
              </w:rPr>
              <w:t>2.22%</w:t>
            </w:r>
          </w:p>
        </w:tc>
        <w:tc>
          <w:tcPr>
            <w:tcW w:w="16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3"/>
                <w:szCs w:val="13"/>
                <w:color w:val="auto"/>
                <w:w w:val="92"/>
              </w:rPr>
              <w:t>21.9%</w:t>
            </w:r>
          </w:p>
        </w:tc>
        <w:tc>
          <w:tcPr>
            <w:tcW w:w="12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3"/>
                <w:szCs w:val="13"/>
                <w:color w:val="auto"/>
                <w:w w:val="92"/>
              </w:rPr>
              <w:t>2.09%</w:t>
            </w:r>
          </w:p>
        </w:tc>
        <w:tc>
          <w:tcPr>
            <w:tcW w:w="0" w:type="dxa"/>
            <w:vAlign w:val="bottom"/>
          </w:tcPr>
          <w:p>
            <w:pPr>
              <w:spacing w:after="0"/>
              <w:rPr>
                <w:sz w:val="1"/>
                <w:szCs w:val="1"/>
                <w:color w:val="auto"/>
              </w:rPr>
            </w:pPr>
          </w:p>
        </w:tc>
      </w:tr>
      <w:tr>
        <w:trPr>
          <w:trHeight w:val="178"/>
        </w:trPr>
        <w:tc>
          <w:tcPr>
            <w:tcW w:w="31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-25 Basis Points</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13.2%</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2.32%</w:t>
            </w: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19.7%</w:t>
            </w: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2.20%</w:t>
            </w:r>
          </w:p>
        </w:tc>
        <w:tc>
          <w:tcPr>
            <w:tcW w:w="0" w:type="dxa"/>
            <w:vAlign w:val="bottom"/>
          </w:tcPr>
          <w:p>
            <w:pPr>
              <w:spacing w:after="0"/>
              <w:rPr>
                <w:sz w:val="1"/>
                <w:szCs w:val="1"/>
                <w:color w:val="auto"/>
              </w:rPr>
            </w:pPr>
          </w:p>
        </w:tc>
      </w:tr>
      <w:tr>
        <w:trPr>
          <w:trHeight w:val="172"/>
        </w:trPr>
        <w:tc>
          <w:tcPr>
            <w:tcW w:w="3160" w:type="dxa"/>
            <w:vAlign w:val="bottom"/>
            <w:gridSpan w:val="2"/>
          </w:tcPr>
          <w:p>
            <w:pPr>
              <w:ind w:left="60"/>
              <w:spacing w:after="0"/>
              <w:rPr>
                <w:sz w:val="20"/>
                <w:szCs w:val="20"/>
                <w:color w:val="auto"/>
              </w:rPr>
            </w:pPr>
            <w:r>
              <w:rPr>
                <w:rFonts w:ascii="Arial" w:cs="Arial" w:eastAsia="Arial" w:hAnsi="Arial"/>
                <w:sz w:val="13"/>
                <w:szCs w:val="13"/>
                <w:color w:val="auto"/>
              </w:rPr>
              <w:t>Actual as of Period End</w:t>
            </w:r>
          </w:p>
        </w:tc>
        <w:tc>
          <w:tcPr>
            <w:tcW w:w="1300" w:type="dxa"/>
            <w:vAlign w:val="bottom"/>
          </w:tcPr>
          <w:p>
            <w:pPr>
              <w:jc w:val="center"/>
              <w:spacing w:after="0"/>
              <w:rPr>
                <w:sz w:val="20"/>
                <w:szCs w:val="20"/>
                <w:color w:val="auto"/>
              </w:rPr>
            </w:pPr>
            <w:r>
              <w:rPr>
                <w:rFonts w:ascii="Arial" w:cs="Arial" w:eastAsia="Arial" w:hAnsi="Arial"/>
                <w:sz w:val="13"/>
                <w:szCs w:val="13"/>
                <w:color w:val="auto"/>
                <w:w w:val="92"/>
              </w:rPr>
              <w:t>11.6%</w:t>
            </w:r>
          </w:p>
        </w:tc>
        <w:tc>
          <w:tcPr>
            <w:tcW w:w="10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3"/>
                <w:szCs w:val="13"/>
                <w:color w:val="auto"/>
                <w:w w:val="92"/>
              </w:rPr>
              <w:t>2.42%</w:t>
            </w:r>
          </w:p>
        </w:tc>
        <w:tc>
          <w:tcPr>
            <w:tcW w:w="16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3"/>
                <w:szCs w:val="13"/>
                <w:color w:val="auto"/>
                <w:w w:val="92"/>
              </w:rPr>
              <w:t>17.6%</w:t>
            </w:r>
          </w:p>
        </w:tc>
        <w:tc>
          <w:tcPr>
            <w:tcW w:w="12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3"/>
                <w:szCs w:val="13"/>
                <w:color w:val="auto"/>
                <w:w w:val="92"/>
              </w:rPr>
              <w:t>2.33%</w:t>
            </w:r>
          </w:p>
        </w:tc>
        <w:tc>
          <w:tcPr>
            <w:tcW w:w="0" w:type="dxa"/>
            <w:vAlign w:val="bottom"/>
          </w:tcPr>
          <w:p>
            <w:pPr>
              <w:spacing w:after="0"/>
              <w:rPr>
                <w:sz w:val="1"/>
                <w:szCs w:val="1"/>
                <w:color w:val="auto"/>
              </w:rPr>
            </w:pPr>
          </w:p>
        </w:tc>
      </w:tr>
      <w:tr>
        <w:trPr>
          <w:trHeight w:val="178"/>
        </w:trPr>
        <w:tc>
          <w:tcPr>
            <w:tcW w:w="31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+25 Basis Points</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10.3%</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2.46%</w:t>
            </w: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15.9%</w:t>
            </w: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2.38%</w:t>
            </w:r>
          </w:p>
        </w:tc>
        <w:tc>
          <w:tcPr>
            <w:tcW w:w="0" w:type="dxa"/>
            <w:vAlign w:val="bottom"/>
          </w:tcPr>
          <w:p>
            <w:pPr>
              <w:spacing w:after="0"/>
              <w:rPr>
                <w:sz w:val="1"/>
                <w:szCs w:val="1"/>
                <w:color w:val="auto"/>
              </w:rPr>
            </w:pPr>
          </w:p>
        </w:tc>
      </w:tr>
      <w:tr>
        <w:trPr>
          <w:trHeight w:val="172"/>
        </w:trPr>
        <w:tc>
          <w:tcPr>
            <w:tcW w:w="3160" w:type="dxa"/>
            <w:vAlign w:val="bottom"/>
            <w:gridSpan w:val="2"/>
          </w:tcPr>
          <w:p>
            <w:pPr>
              <w:spacing w:after="0"/>
              <w:rPr>
                <w:sz w:val="20"/>
                <w:szCs w:val="20"/>
                <w:color w:val="auto"/>
              </w:rPr>
            </w:pPr>
            <w:r>
              <w:rPr>
                <w:rFonts w:ascii="Arial" w:cs="Arial" w:eastAsia="Arial" w:hAnsi="Arial"/>
                <w:sz w:val="13"/>
                <w:szCs w:val="13"/>
                <w:color w:val="auto"/>
              </w:rPr>
              <w:t>+50 Basis Points</w:t>
            </w:r>
          </w:p>
        </w:tc>
        <w:tc>
          <w:tcPr>
            <w:tcW w:w="1300" w:type="dxa"/>
            <w:vAlign w:val="bottom"/>
          </w:tcPr>
          <w:p>
            <w:pPr>
              <w:jc w:val="center"/>
              <w:spacing w:after="0"/>
              <w:rPr>
                <w:sz w:val="20"/>
                <w:szCs w:val="20"/>
                <w:color w:val="auto"/>
              </w:rPr>
            </w:pPr>
            <w:r>
              <w:rPr>
                <w:rFonts w:ascii="Arial" w:cs="Arial" w:eastAsia="Arial" w:hAnsi="Arial"/>
                <w:sz w:val="13"/>
                <w:szCs w:val="13"/>
                <w:color w:val="auto"/>
                <w:w w:val="94"/>
              </w:rPr>
              <w:t>9.4%</w:t>
            </w:r>
          </w:p>
        </w:tc>
        <w:tc>
          <w:tcPr>
            <w:tcW w:w="10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3"/>
                <w:szCs w:val="13"/>
                <w:color w:val="auto"/>
                <w:w w:val="92"/>
              </w:rPr>
              <w:t>2.51%</w:t>
            </w:r>
          </w:p>
        </w:tc>
        <w:tc>
          <w:tcPr>
            <w:tcW w:w="16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3"/>
                <w:szCs w:val="13"/>
                <w:color w:val="auto"/>
                <w:w w:val="92"/>
              </w:rPr>
              <w:t>14.3%</w:t>
            </w:r>
          </w:p>
        </w:tc>
        <w:tc>
          <w:tcPr>
            <w:tcW w:w="12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3"/>
                <w:szCs w:val="13"/>
                <w:color w:val="auto"/>
                <w:w w:val="92"/>
              </w:rPr>
              <w:t>2.45%</w:t>
            </w:r>
          </w:p>
        </w:tc>
        <w:tc>
          <w:tcPr>
            <w:tcW w:w="0" w:type="dxa"/>
            <w:vAlign w:val="bottom"/>
          </w:tcPr>
          <w:p>
            <w:pPr>
              <w:spacing w:after="0"/>
              <w:rPr>
                <w:sz w:val="1"/>
                <w:szCs w:val="1"/>
                <w:color w:val="auto"/>
              </w:rPr>
            </w:pPr>
          </w:p>
        </w:tc>
      </w:tr>
      <w:tr>
        <w:trPr>
          <w:trHeight w:val="178"/>
        </w:trPr>
        <w:tc>
          <w:tcPr>
            <w:tcW w:w="31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+75 Basis Points</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8.7%</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2.55%</w:t>
            </w: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13.0%</w:t>
            </w: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2.51%</w:t>
            </w:r>
          </w:p>
        </w:tc>
        <w:tc>
          <w:tcPr>
            <w:tcW w:w="0" w:type="dxa"/>
            <w:vAlign w:val="bottom"/>
          </w:tcPr>
          <w:p>
            <w:pPr>
              <w:spacing w:after="0"/>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w:t>
      </w:r>
    </w:p>
    <w:p>
      <w:pPr>
        <w:spacing w:after="0" w:line="1" w:lineRule="exact"/>
        <w:rPr>
          <w:sz w:val="20"/>
          <w:szCs w:val="20"/>
          <w:color w:val="auto"/>
        </w:rPr>
      </w:pPr>
    </w:p>
    <w:p>
      <w:pPr>
        <w:ind w:left="600" w:hanging="300"/>
        <w:spacing w:after="0"/>
        <w:tabs>
          <w:tab w:leader="none" w:pos="600" w:val="left"/>
        </w:tabs>
        <w:numPr>
          <w:ilvl w:val="0"/>
          <w:numId w:val="34"/>
        </w:numPr>
        <w:rPr>
          <w:rFonts w:ascii="Arial" w:cs="Arial" w:eastAsia="Arial" w:hAnsi="Arial"/>
          <w:sz w:val="13"/>
          <w:szCs w:val="13"/>
          <w:color w:val="auto"/>
        </w:rPr>
      </w:pPr>
      <w:r>
        <w:rPr>
          <w:rFonts w:ascii="Arial" w:cs="Arial" w:eastAsia="Arial" w:hAnsi="Arial"/>
          <w:sz w:val="13"/>
          <w:szCs w:val="13"/>
          <w:color w:val="auto"/>
        </w:rPr>
        <w:t>Derived from models that are dependent on inputs and assumptions provided by third parties and assumes a static portfolio. Actual results could differ materially from these estimates. Table excludes TBA securities.</w:t>
      </w:r>
    </w:p>
    <w:p>
      <w:pPr>
        <w:ind w:left="600" w:hanging="300"/>
        <w:spacing w:after="0"/>
        <w:tabs>
          <w:tab w:leader="none" w:pos="600" w:val="left"/>
        </w:tabs>
        <w:numPr>
          <w:ilvl w:val="0"/>
          <w:numId w:val="34"/>
        </w:numPr>
        <w:rPr>
          <w:rFonts w:ascii="Arial" w:cs="Arial" w:eastAsia="Arial" w:hAnsi="Arial"/>
          <w:sz w:val="13"/>
          <w:szCs w:val="13"/>
          <w:color w:val="auto"/>
        </w:rPr>
      </w:pPr>
      <w:r>
        <w:rPr>
          <w:rFonts w:ascii="Arial" w:cs="Arial" w:eastAsia="Arial" w:hAnsi="Arial"/>
          <w:sz w:val="13"/>
          <w:szCs w:val="13"/>
          <w:color w:val="auto"/>
        </w:rPr>
        <w:t>Asset yield based on historical cost basis and does not include the impact of retroactive "catch-up" premium amortization adjustments due to changes in projected CPR.</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Spread Risk</w:t>
      </w:r>
    </w:p>
    <w:p>
      <w:pPr>
        <w:spacing w:after="0" w:line="154" w:lineRule="exact"/>
        <w:rPr>
          <w:sz w:val="20"/>
          <w:szCs w:val="20"/>
          <w:color w:val="auto"/>
        </w:rPr>
      </w:pPr>
    </w:p>
    <w:p>
      <w:pPr>
        <w:jc w:val="both"/>
        <w:ind w:firstLine="450"/>
        <w:spacing w:after="0" w:line="252" w:lineRule="auto"/>
        <w:rPr>
          <w:sz w:val="20"/>
          <w:szCs w:val="20"/>
          <w:color w:val="auto"/>
        </w:rPr>
      </w:pPr>
      <w:r>
        <w:rPr>
          <w:rFonts w:ascii="Arial" w:cs="Arial" w:eastAsia="Arial" w:hAnsi="Arial"/>
          <w:sz w:val="17"/>
          <w:szCs w:val="17"/>
          <w:color w:val="auto"/>
        </w:rPr>
        <w:t>Spread risk is the risk that the market spread between the yield on our assets and the yield on benchmark interest rates linked to our interest rate hedges, such as U.S. Treasury rates and interest rate swap rates, may vary. As a levered investor in mortgage-backed securities, spread risk is an inherent component of our investment strategy. Consequently, although we use hedging instruments to attempt to protect against moves in interest rates, our hedges are generally not designed to protect against spread risk, and our tangible net book value could decline if spreads widen.</w:t>
      </w:r>
    </w:p>
    <w:p>
      <w:pPr>
        <w:spacing w:after="0" w:line="129" w:lineRule="exact"/>
        <w:rPr>
          <w:sz w:val="20"/>
          <w:szCs w:val="20"/>
          <w:color w:val="auto"/>
        </w:rPr>
      </w:pPr>
    </w:p>
    <w:p>
      <w:pPr>
        <w:jc w:val="both"/>
        <w:ind w:firstLine="450"/>
        <w:spacing w:after="0" w:line="287" w:lineRule="auto"/>
        <w:rPr>
          <w:sz w:val="20"/>
          <w:szCs w:val="20"/>
          <w:color w:val="auto"/>
        </w:rPr>
      </w:pPr>
      <w:r>
        <w:rPr>
          <w:rFonts w:ascii="Arial" w:cs="Arial" w:eastAsia="Arial" w:hAnsi="Arial"/>
          <w:sz w:val="15"/>
          <w:szCs w:val="15"/>
          <w:color w:val="auto"/>
        </w:rPr>
        <w:t>Fluctuations in mortgage spreads can occur due to a variety of factors, including changes in interest rates, prepayment expectations, actual or anticipated monetary policy actions by the U.S. and foreign central banks, liquidity conditions, required rates of returns on different assets and other market supply and demand factors. The table below quantifies the estimated changes in the fair value of our assets, net of hedges, and our tangible net book value per common share as of June 30, 2021 and December 31, 2020 should spreads widen or tighten by 10, 25 and 50 basis points. The estimated impact of changes in spreads is in addition to our interest rate shock sensitivity included in the interest rate shock table above. The table below assumes a spread duration of 5.4 and 4.4 years as of June 30, 2021 and December 31, 2020, respectively, based on interest rates and prices as of such dates; however, our portfolio's sensitivity to mortgage spread changes will vary with changes in interest rates and in the size and composition of our portfolio. Therefore, actual results could differ materially from our estimates.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 xml:space="preserve">Spread Sensitivity </w:t>
      </w:r>
      <w:r>
        <w:rPr>
          <w:rFonts w:ascii="Arial" w:cs="Arial" w:eastAsia="Arial" w:hAnsi="Arial"/>
          <w:sz w:val="17"/>
          <w:szCs w:val="17"/>
          <w:b w:val="1"/>
          <w:bCs w:val="1"/>
          <w:color w:val="auto"/>
          <w:vertAlign w:val="superscript"/>
        </w:rPr>
        <w:t>1,2</w:t>
      </w:r>
    </w:p>
    <w:tbl>
      <w:tblPr>
        <w:tblLayout w:type="fixed"/>
        <w:tblInd w:w="1240" w:type="dxa"/>
        <w:tblCellMar>
          <w:top w:w="0" w:type="dxa"/>
          <w:left w:w="0" w:type="dxa"/>
          <w:bottom w:w="0" w:type="dxa"/>
          <w:right w:w="0" w:type="dxa"/>
        </w:tblCellMar>
      </w:tblPr>
      <w:tr>
        <w:trPr>
          <w:trHeight w:val="167"/>
        </w:trPr>
        <w:tc>
          <w:tcPr>
            <w:tcW w:w="29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2900" w:type="dxa"/>
            <w:vAlign w:val="bottom"/>
            <w:tcBorders>
              <w:top w:val="single" w:sz="8" w:color="auto"/>
            </w:tcBorders>
            <w:gridSpan w:val="4"/>
          </w:tcPr>
          <w:p>
            <w:pPr>
              <w:ind w:left="980"/>
              <w:spacing w:after="0"/>
              <w:rPr>
                <w:sz w:val="20"/>
                <w:szCs w:val="20"/>
                <w:color w:val="auto"/>
              </w:rPr>
            </w:pPr>
            <w:r>
              <w:rPr>
                <w:rFonts w:ascii="Arial" w:cs="Arial" w:eastAsia="Arial" w:hAnsi="Arial"/>
                <w:sz w:val="13"/>
                <w:szCs w:val="13"/>
                <w:b w:val="1"/>
                <w:bCs w:val="1"/>
                <w:color w:val="auto"/>
              </w:rPr>
              <w:t>June 30, 2021</w:t>
            </w:r>
          </w:p>
        </w:tc>
        <w:tc>
          <w:tcPr>
            <w:tcW w:w="2740" w:type="dxa"/>
            <w:vAlign w:val="bottom"/>
            <w:tcBorders>
              <w:top w:val="single" w:sz="8" w:color="auto"/>
            </w:tcBorders>
            <w:gridSpan w:val="3"/>
          </w:tcPr>
          <w:p>
            <w:pPr>
              <w:ind w:left="820"/>
              <w:spacing w:after="0"/>
              <w:rPr>
                <w:sz w:val="20"/>
                <w:szCs w:val="20"/>
                <w:color w:val="auto"/>
              </w:rPr>
            </w:pPr>
            <w:r>
              <w:rPr>
                <w:rFonts w:ascii="Arial" w:cs="Arial" w:eastAsia="Arial" w:hAnsi="Arial"/>
                <w:sz w:val="13"/>
                <w:szCs w:val="13"/>
                <w:b w:val="1"/>
                <w:bCs w:val="1"/>
                <w:color w:val="auto"/>
              </w:rPr>
              <w:t>December 31, 2020</w:t>
            </w:r>
          </w:p>
        </w:tc>
        <w:tc>
          <w:tcPr>
            <w:tcW w:w="0" w:type="dxa"/>
            <w:vAlign w:val="bottom"/>
          </w:tcPr>
          <w:p>
            <w:pPr>
              <w:spacing w:after="0"/>
              <w:rPr>
                <w:sz w:val="1"/>
                <w:szCs w:val="1"/>
                <w:color w:val="auto"/>
              </w:rPr>
            </w:pPr>
          </w:p>
        </w:tc>
      </w:tr>
      <w:tr>
        <w:trPr>
          <w:trHeight w:val="117"/>
        </w:trPr>
        <w:tc>
          <w:tcPr>
            <w:tcW w:w="2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0" w:type="dxa"/>
            <w:vAlign w:val="bottom"/>
            <w:tcBorders>
              <w:top w:val="single" w:sz="8" w:color="auto"/>
            </w:tcBorders>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93"/>
              </w:rPr>
              <w:t>Estimated Change in</w:t>
            </w:r>
          </w:p>
        </w:tc>
        <w:tc>
          <w:tcPr>
            <w:tcW w:w="1340" w:type="dxa"/>
            <w:vAlign w:val="bottom"/>
            <w:tcBorders>
              <w:top w:val="single" w:sz="8" w:color="auto"/>
            </w:tcBorders>
          </w:tcPr>
          <w:p>
            <w:pPr>
              <w:jc w:val="center"/>
              <w:spacing w:after="0" w:line="118" w:lineRule="exact"/>
              <w:rPr>
                <w:sz w:val="20"/>
                <w:szCs w:val="20"/>
                <w:color w:val="auto"/>
              </w:rPr>
            </w:pPr>
            <w:r>
              <w:rPr>
                <w:rFonts w:ascii="Arial" w:cs="Arial" w:eastAsia="Arial" w:hAnsi="Arial"/>
                <w:sz w:val="13"/>
                <w:szCs w:val="13"/>
                <w:b w:val="1"/>
                <w:bCs w:val="1"/>
                <w:color w:val="auto"/>
                <w:w w:val="93"/>
              </w:rPr>
              <w:t>Estimated Change in</w:t>
            </w:r>
          </w:p>
        </w:tc>
        <w:tc>
          <w:tcPr>
            <w:tcW w:w="160" w:type="dxa"/>
            <w:vAlign w:val="bottom"/>
          </w:tcPr>
          <w:p>
            <w:pPr>
              <w:spacing w:after="0"/>
              <w:rPr>
                <w:sz w:val="10"/>
                <w:szCs w:val="10"/>
                <w:color w:val="auto"/>
              </w:rPr>
            </w:pPr>
          </w:p>
        </w:tc>
        <w:tc>
          <w:tcPr>
            <w:tcW w:w="1400" w:type="dxa"/>
            <w:vAlign w:val="bottom"/>
            <w:tcBorders>
              <w:top w:val="single" w:sz="8" w:color="auto"/>
            </w:tcBorders>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93"/>
              </w:rPr>
              <w:t>Estimated Change in</w:t>
            </w:r>
          </w:p>
        </w:tc>
        <w:tc>
          <w:tcPr>
            <w:tcW w:w="1340" w:type="dxa"/>
            <w:vAlign w:val="bottom"/>
            <w:tcBorders>
              <w:top w:val="single" w:sz="8" w:color="auto"/>
            </w:tcBorders>
          </w:tcPr>
          <w:p>
            <w:pPr>
              <w:jc w:val="center"/>
              <w:spacing w:after="0" w:line="118" w:lineRule="exact"/>
              <w:rPr>
                <w:sz w:val="20"/>
                <w:szCs w:val="20"/>
                <w:color w:val="auto"/>
              </w:rPr>
            </w:pPr>
            <w:r>
              <w:rPr>
                <w:rFonts w:ascii="Arial" w:cs="Arial" w:eastAsia="Arial" w:hAnsi="Arial"/>
                <w:sz w:val="13"/>
                <w:szCs w:val="13"/>
                <w:b w:val="1"/>
                <w:bCs w:val="1"/>
                <w:color w:val="auto"/>
                <w:w w:val="93"/>
              </w:rPr>
              <w:t>Estimated Change in</w:t>
            </w:r>
          </w:p>
        </w:tc>
        <w:tc>
          <w:tcPr>
            <w:tcW w:w="0" w:type="dxa"/>
            <w:vAlign w:val="bottom"/>
          </w:tcPr>
          <w:p>
            <w:pPr>
              <w:spacing w:after="0"/>
              <w:rPr>
                <w:sz w:val="1"/>
                <w:szCs w:val="1"/>
                <w:color w:val="auto"/>
              </w:rPr>
            </w:pPr>
          </w:p>
        </w:tc>
      </w:tr>
      <w:tr>
        <w:trPr>
          <w:trHeight w:val="125"/>
        </w:trPr>
        <w:tc>
          <w:tcPr>
            <w:tcW w:w="2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0" w:type="dxa"/>
            <w:vAlign w:val="bottom"/>
            <w:gridSpan w:val="2"/>
            <w:vMerge w:val="continue"/>
          </w:tcPr>
          <w:p>
            <w:pPr>
              <w:spacing w:after="0"/>
              <w:rPr>
                <w:sz w:val="10"/>
                <w:szCs w:val="10"/>
                <w:color w:val="auto"/>
              </w:rPr>
            </w:pPr>
          </w:p>
        </w:tc>
        <w:tc>
          <w:tcPr>
            <w:tcW w:w="1500" w:type="dxa"/>
            <w:vAlign w:val="bottom"/>
            <w:gridSpan w:val="2"/>
          </w:tcPr>
          <w:p>
            <w:pPr>
              <w:jc w:val="center"/>
              <w:ind w:right="180"/>
              <w:spacing w:after="0" w:line="125" w:lineRule="exact"/>
              <w:rPr>
                <w:sz w:val="20"/>
                <w:szCs w:val="20"/>
                <w:color w:val="auto"/>
              </w:rPr>
            </w:pPr>
            <w:r>
              <w:rPr>
                <w:rFonts w:ascii="Arial" w:cs="Arial" w:eastAsia="Arial" w:hAnsi="Arial"/>
                <w:sz w:val="13"/>
                <w:szCs w:val="13"/>
                <w:b w:val="1"/>
                <w:bCs w:val="1"/>
                <w:color w:val="auto"/>
                <w:w w:val="91"/>
              </w:rPr>
              <w:t>Tangible Net Book</w:t>
            </w:r>
          </w:p>
        </w:tc>
        <w:tc>
          <w:tcPr>
            <w:tcW w:w="1400" w:type="dxa"/>
            <w:vAlign w:val="bottom"/>
            <w:gridSpan w:val="2"/>
            <w:vMerge w:val="continue"/>
          </w:tcPr>
          <w:p>
            <w:pPr>
              <w:spacing w:after="0"/>
              <w:rPr>
                <w:sz w:val="10"/>
                <w:szCs w:val="10"/>
                <w:color w:val="auto"/>
              </w:rPr>
            </w:pPr>
          </w:p>
        </w:tc>
        <w:tc>
          <w:tcPr>
            <w:tcW w:w="1340" w:type="dxa"/>
            <w:vAlign w:val="bottom"/>
          </w:tcPr>
          <w:p>
            <w:pPr>
              <w:jc w:val="center"/>
              <w:spacing w:after="0" w:line="125" w:lineRule="exact"/>
              <w:rPr>
                <w:sz w:val="20"/>
                <w:szCs w:val="20"/>
                <w:color w:val="auto"/>
              </w:rPr>
            </w:pPr>
            <w:r>
              <w:rPr>
                <w:rFonts w:ascii="Arial" w:cs="Arial" w:eastAsia="Arial" w:hAnsi="Arial"/>
                <w:sz w:val="13"/>
                <w:szCs w:val="13"/>
                <w:b w:val="1"/>
                <w:bCs w:val="1"/>
                <w:color w:val="auto"/>
                <w:w w:val="91"/>
              </w:rPr>
              <w:t>Tangible Net Book</w:t>
            </w:r>
          </w:p>
        </w:tc>
        <w:tc>
          <w:tcPr>
            <w:tcW w:w="0" w:type="dxa"/>
            <w:vAlign w:val="bottom"/>
          </w:tcPr>
          <w:p>
            <w:pPr>
              <w:spacing w:after="0"/>
              <w:rPr>
                <w:sz w:val="1"/>
                <w:szCs w:val="1"/>
                <w:color w:val="auto"/>
              </w:rPr>
            </w:pPr>
          </w:p>
        </w:tc>
      </w:tr>
      <w:tr>
        <w:trPr>
          <w:trHeight w:val="125"/>
        </w:trPr>
        <w:tc>
          <w:tcPr>
            <w:tcW w:w="314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Change in MBS Spread</w:t>
            </w:r>
          </w:p>
        </w:tc>
        <w:tc>
          <w:tcPr>
            <w:tcW w:w="1400" w:type="dxa"/>
            <w:vAlign w:val="bottom"/>
            <w:gridSpan w:val="2"/>
          </w:tcPr>
          <w:p>
            <w:pPr>
              <w:jc w:val="center"/>
              <w:ind w:right="120"/>
              <w:spacing w:after="0" w:line="125" w:lineRule="exact"/>
              <w:rPr>
                <w:sz w:val="20"/>
                <w:szCs w:val="20"/>
                <w:color w:val="auto"/>
              </w:rPr>
            </w:pPr>
            <w:r>
              <w:rPr>
                <w:rFonts w:ascii="Arial" w:cs="Arial" w:eastAsia="Arial" w:hAnsi="Arial"/>
                <w:sz w:val="13"/>
                <w:szCs w:val="13"/>
                <w:b w:val="1"/>
                <w:bCs w:val="1"/>
                <w:color w:val="auto"/>
                <w:w w:val="96"/>
              </w:rPr>
              <w:t>Portfolio Market</w:t>
            </w:r>
          </w:p>
        </w:tc>
        <w:tc>
          <w:tcPr>
            <w:tcW w:w="1500" w:type="dxa"/>
            <w:vAlign w:val="bottom"/>
            <w:gridSpan w:val="2"/>
          </w:tcPr>
          <w:p>
            <w:pPr>
              <w:jc w:val="center"/>
              <w:ind w:right="180"/>
              <w:spacing w:after="0" w:line="125" w:lineRule="exact"/>
              <w:rPr>
                <w:sz w:val="20"/>
                <w:szCs w:val="20"/>
                <w:color w:val="auto"/>
              </w:rPr>
            </w:pPr>
            <w:r>
              <w:rPr>
                <w:rFonts w:ascii="Arial" w:cs="Arial" w:eastAsia="Arial" w:hAnsi="Arial"/>
                <w:sz w:val="13"/>
                <w:szCs w:val="13"/>
                <w:b w:val="1"/>
                <w:bCs w:val="1"/>
                <w:color w:val="auto"/>
                <w:w w:val="93"/>
              </w:rPr>
              <w:t>Value Per Common</w:t>
            </w:r>
          </w:p>
        </w:tc>
        <w:tc>
          <w:tcPr>
            <w:tcW w:w="1400" w:type="dxa"/>
            <w:vAlign w:val="bottom"/>
            <w:gridSpan w:val="2"/>
          </w:tcPr>
          <w:p>
            <w:pPr>
              <w:jc w:val="center"/>
              <w:ind w:right="120"/>
              <w:spacing w:after="0" w:line="125" w:lineRule="exact"/>
              <w:rPr>
                <w:sz w:val="20"/>
                <w:szCs w:val="20"/>
                <w:color w:val="auto"/>
              </w:rPr>
            </w:pPr>
            <w:r>
              <w:rPr>
                <w:rFonts w:ascii="Arial" w:cs="Arial" w:eastAsia="Arial" w:hAnsi="Arial"/>
                <w:sz w:val="13"/>
                <w:szCs w:val="13"/>
                <w:b w:val="1"/>
                <w:bCs w:val="1"/>
                <w:color w:val="auto"/>
                <w:w w:val="96"/>
              </w:rPr>
              <w:t>Portfolio Market</w:t>
            </w:r>
          </w:p>
        </w:tc>
        <w:tc>
          <w:tcPr>
            <w:tcW w:w="1340" w:type="dxa"/>
            <w:vAlign w:val="bottom"/>
          </w:tcPr>
          <w:p>
            <w:pPr>
              <w:jc w:val="center"/>
              <w:spacing w:after="0" w:line="125" w:lineRule="exact"/>
              <w:rPr>
                <w:sz w:val="20"/>
                <w:szCs w:val="20"/>
                <w:color w:val="auto"/>
              </w:rPr>
            </w:pPr>
            <w:r>
              <w:rPr>
                <w:rFonts w:ascii="Arial" w:cs="Arial" w:eastAsia="Arial" w:hAnsi="Arial"/>
                <w:sz w:val="13"/>
                <w:szCs w:val="13"/>
                <w:b w:val="1"/>
                <w:bCs w:val="1"/>
                <w:color w:val="auto"/>
                <w:w w:val="93"/>
              </w:rPr>
              <w:t>Value Per Common</w:t>
            </w:r>
          </w:p>
        </w:tc>
        <w:tc>
          <w:tcPr>
            <w:tcW w:w="0" w:type="dxa"/>
            <w:vAlign w:val="bottom"/>
          </w:tcPr>
          <w:p>
            <w:pPr>
              <w:spacing w:after="0"/>
              <w:rPr>
                <w:sz w:val="1"/>
                <w:szCs w:val="1"/>
                <w:color w:val="auto"/>
              </w:rPr>
            </w:pPr>
          </w:p>
        </w:tc>
      </w:tr>
      <w:tr>
        <w:trPr>
          <w:trHeight w:val="174"/>
        </w:trPr>
        <w:tc>
          <w:tcPr>
            <w:tcW w:w="3140" w:type="dxa"/>
            <w:vAlign w:val="bottom"/>
            <w:gridSpan w:val="2"/>
            <w:vMerge w:val="continue"/>
          </w:tcPr>
          <w:p>
            <w:pPr>
              <w:spacing w:after="0"/>
              <w:rPr>
                <w:sz w:val="15"/>
                <w:szCs w:val="15"/>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2"/>
              </w:rPr>
              <w:t>Value</w:t>
            </w:r>
          </w:p>
        </w:tc>
        <w:tc>
          <w:tcPr>
            <w:tcW w:w="15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8"/>
              </w:rPr>
              <w:t>Share</w:t>
            </w:r>
          </w:p>
        </w:tc>
        <w:tc>
          <w:tcPr>
            <w:tcW w:w="140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2"/>
              </w:rPr>
              <w:t>Value</w:t>
            </w:r>
          </w:p>
        </w:tc>
        <w:tc>
          <w:tcPr>
            <w:tcW w:w="1340" w:type="dxa"/>
            <w:vAlign w:val="bottom"/>
          </w:tcPr>
          <w:p>
            <w:pPr>
              <w:jc w:val="center"/>
              <w:spacing w:after="0"/>
              <w:rPr>
                <w:sz w:val="20"/>
                <w:szCs w:val="20"/>
                <w:color w:val="auto"/>
              </w:rPr>
            </w:pPr>
            <w:r>
              <w:rPr>
                <w:rFonts w:ascii="Arial" w:cs="Arial" w:eastAsia="Arial" w:hAnsi="Arial"/>
                <w:sz w:val="13"/>
                <w:szCs w:val="13"/>
                <w:b w:val="1"/>
                <w:bCs w:val="1"/>
                <w:color w:val="auto"/>
                <w:w w:val="88"/>
              </w:rPr>
              <w:t>Share</w:t>
            </w:r>
          </w:p>
        </w:tc>
        <w:tc>
          <w:tcPr>
            <w:tcW w:w="0" w:type="dxa"/>
            <w:vAlign w:val="bottom"/>
          </w:tcPr>
          <w:p>
            <w:pPr>
              <w:spacing w:after="0"/>
              <w:rPr>
                <w:sz w:val="1"/>
                <w:szCs w:val="1"/>
                <w:color w:val="auto"/>
              </w:rPr>
            </w:pPr>
          </w:p>
        </w:tc>
      </w:tr>
      <w:tr>
        <w:trPr>
          <w:trHeight w:val="169"/>
        </w:trPr>
        <w:tc>
          <w:tcPr>
            <w:tcW w:w="29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-50 Basis Points</w:t>
            </w:r>
          </w:p>
        </w:tc>
        <w:tc>
          <w:tcPr>
            <w:tcW w:w="160" w:type="dxa"/>
            <w:vAlign w:val="bottom"/>
            <w:tcBorders>
              <w:top w:val="single" w:sz="8" w:color="CCEEFF"/>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6"/>
              </w:rPr>
              <w:t>+2.7%</w:t>
            </w:r>
          </w:p>
        </w:tc>
        <w:tc>
          <w:tcPr>
            <w:tcW w:w="10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4"/>
              </w:rPr>
              <w:t>+27.3%</w:t>
            </w:r>
          </w:p>
        </w:tc>
        <w:tc>
          <w:tcPr>
            <w:tcW w:w="160" w:type="dxa"/>
            <w:vAlign w:val="bottom"/>
            <w:tcBorders>
              <w:top w:val="single" w:sz="8" w:color="CCEEFF"/>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6"/>
              </w:rPr>
              <w:t>+2.2%</w:t>
            </w:r>
          </w:p>
        </w:tc>
        <w:tc>
          <w:tcPr>
            <w:tcW w:w="10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4"/>
              </w:rPr>
              <w:t>+23.9%</w:t>
            </w:r>
          </w:p>
        </w:tc>
        <w:tc>
          <w:tcPr>
            <w:tcW w:w="0" w:type="dxa"/>
            <w:vAlign w:val="bottom"/>
          </w:tcPr>
          <w:p>
            <w:pPr>
              <w:spacing w:after="0"/>
              <w:rPr>
                <w:sz w:val="1"/>
                <w:szCs w:val="1"/>
                <w:color w:val="auto"/>
              </w:rPr>
            </w:pPr>
          </w:p>
        </w:tc>
      </w:tr>
      <w:tr>
        <w:trPr>
          <w:trHeight w:val="172"/>
        </w:trPr>
        <w:tc>
          <w:tcPr>
            <w:tcW w:w="3140" w:type="dxa"/>
            <w:vAlign w:val="bottom"/>
            <w:gridSpan w:val="2"/>
          </w:tcPr>
          <w:p>
            <w:pPr>
              <w:ind w:left="20"/>
              <w:spacing w:after="0"/>
              <w:rPr>
                <w:sz w:val="20"/>
                <w:szCs w:val="20"/>
                <w:color w:val="auto"/>
              </w:rPr>
            </w:pPr>
            <w:r>
              <w:rPr>
                <w:rFonts w:ascii="Arial" w:cs="Arial" w:eastAsia="Arial" w:hAnsi="Arial"/>
                <w:sz w:val="13"/>
                <w:szCs w:val="13"/>
                <w:color w:val="auto"/>
              </w:rPr>
              <w:t>-25 Basis Points</w:t>
            </w:r>
          </w:p>
        </w:tc>
        <w:tc>
          <w:tcPr>
            <w:tcW w:w="1300" w:type="dxa"/>
            <w:vAlign w:val="bottom"/>
          </w:tcPr>
          <w:p>
            <w:pPr>
              <w:jc w:val="center"/>
              <w:spacing w:after="0"/>
              <w:rPr>
                <w:sz w:val="20"/>
                <w:szCs w:val="20"/>
                <w:color w:val="auto"/>
              </w:rPr>
            </w:pPr>
            <w:r>
              <w:rPr>
                <w:rFonts w:ascii="Arial" w:cs="Arial" w:eastAsia="Arial" w:hAnsi="Arial"/>
                <w:sz w:val="13"/>
                <w:szCs w:val="13"/>
                <w:color w:val="auto"/>
                <w:w w:val="96"/>
              </w:rPr>
              <w:t>+1.3%</w:t>
            </w:r>
          </w:p>
        </w:tc>
        <w:tc>
          <w:tcPr>
            <w:tcW w:w="10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3"/>
                <w:szCs w:val="13"/>
                <w:color w:val="auto"/>
                <w:w w:val="94"/>
              </w:rPr>
              <w:t>+13.7%</w:t>
            </w:r>
          </w:p>
        </w:tc>
        <w:tc>
          <w:tcPr>
            <w:tcW w:w="16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3"/>
                <w:szCs w:val="13"/>
                <w:color w:val="auto"/>
                <w:w w:val="96"/>
              </w:rPr>
              <w:t>+1.1%</w:t>
            </w:r>
          </w:p>
        </w:tc>
        <w:tc>
          <w:tcPr>
            <w:tcW w:w="10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3"/>
                <w:szCs w:val="13"/>
                <w:color w:val="auto"/>
                <w:w w:val="89"/>
              </w:rPr>
              <w:t>+11.9%</w:t>
            </w:r>
          </w:p>
        </w:tc>
        <w:tc>
          <w:tcPr>
            <w:tcW w:w="0" w:type="dxa"/>
            <w:vAlign w:val="bottom"/>
          </w:tcPr>
          <w:p>
            <w:pPr>
              <w:spacing w:after="0"/>
              <w:rPr>
                <w:sz w:val="1"/>
                <w:szCs w:val="1"/>
                <w:color w:val="auto"/>
              </w:rPr>
            </w:pPr>
          </w:p>
        </w:tc>
      </w:tr>
      <w:tr>
        <w:trPr>
          <w:trHeight w:val="178"/>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-10 Basis Points</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+0.5%</w:t>
            </w: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+5.5%</w:t>
            </w: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+0.4%</w:t>
            </w: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+4.8%</w:t>
            </w:r>
          </w:p>
        </w:tc>
        <w:tc>
          <w:tcPr>
            <w:tcW w:w="0" w:type="dxa"/>
            <w:vAlign w:val="bottom"/>
          </w:tcPr>
          <w:p>
            <w:pPr>
              <w:spacing w:after="0"/>
              <w:rPr>
                <w:sz w:val="1"/>
                <w:szCs w:val="1"/>
                <w:color w:val="auto"/>
              </w:rPr>
            </w:pPr>
          </w:p>
        </w:tc>
      </w:tr>
      <w:tr>
        <w:trPr>
          <w:trHeight w:val="172"/>
        </w:trPr>
        <w:tc>
          <w:tcPr>
            <w:tcW w:w="3140" w:type="dxa"/>
            <w:vAlign w:val="bottom"/>
            <w:gridSpan w:val="2"/>
          </w:tcPr>
          <w:p>
            <w:pPr>
              <w:ind w:left="20"/>
              <w:spacing w:after="0"/>
              <w:rPr>
                <w:sz w:val="20"/>
                <w:szCs w:val="20"/>
                <w:color w:val="auto"/>
              </w:rPr>
            </w:pPr>
            <w:r>
              <w:rPr>
                <w:rFonts w:ascii="Arial" w:cs="Arial" w:eastAsia="Arial" w:hAnsi="Arial"/>
                <w:sz w:val="13"/>
                <w:szCs w:val="13"/>
                <w:color w:val="auto"/>
              </w:rPr>
              <w:t>+10 Basis Points</w:t>
            </w:r>
          </w:p>
        </w:tc>
        <w:tc>
          <w:tcPr>
            <w:tcW w:w="1300" w:type="dxa"/>
            <w:vAlign w:val="bottom"/>
          </w:tcPr>
          <w:p>
            <w:pPr>
              <w:jc w:val="center"/>
              <w:spacing w:after="0"/>
              <w:rPr>
                <w:sz w:val="20"/>
                <w:szCs w:val="20"/>
                <w:color w:val="auto"/>
              </w:rPr>
            </w:pPr>
            <w:r>
              <w:rPr>
                <w:rFonts w:ascii="Arial" w:cs="Arial" w:eastAsia="Arial" w:hAnsi="Arial"/>
                <w:sz w:val="13"/>
                <w:szCs w:val="13"/>
                <w:color w:val="auto"/>
                <w:w w:val="94"/>
              </w:rPr>
              <w:t>-0.5%</w:t>
            </w:r>
          </w:p>
        </w:tc>
        <w:tc>
          <w:tcPr>
            <w:tcW w:w="10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3"/>
                <w:szCs w:val="13"/>
                <w:color w:val="auto"/>
                <w:w w:val="94"/>
              </w:rPr>
              <w:t>-5.5%</w:t>
            </w:r>
          </w:p>
        </w:tc>
        <w:tc>
          <w:tcPr>
            <w:tcW w:w="16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3"/>
                <w:szCs w:val="13"/>
                <w:color w:val="auto"/>
                <w:w w:val="94"/>
              </w:rPr>
              <w:t>-0.4%</w:t>
            </w:r>
          </w:p>
        </w:tc>
        <w:tc>
          <w:tcPr>
            <w:tcW w:w="10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3"/>
                <w:szCs w:val="13"/>
                <w:color w:val="auto"/>
                <w:w w:val="94"/>
              </w:rPr>
              <w:t>-4.8%</w:t>
            </w:r>
          </w:p>
        </w:tc>
        <w:tc>
          <w:tcPr>
            <w:tcW w:w="0" w:type="dxa"/>
            <w:vAlign w:val="bottom"/>
          </w:tcPr>
          <w:p>
            <w:pPr>
              <w:spacing w:after="0"/>
              <w:rPr>
                <w:sz w:val="1"/>
                <w:szCs w:val="1"/>
                <w:color w:val="auto"/>
              </w:rPr>
            </w:pPr>
          </w:p>
        </w:tc>
      </w:tr>
      <w:tr>
        <w:trPr>
          <w:trHeight w:val="178"/>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+25 Basis Points</w:t>
            </w: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-1.3%</w:t>
            </w: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-13.7%</w:t>
            </w:r>
          </w:p>
        </w:tc>
        <w:tc>
          <w:tcPr>
            <w:tcW w:w="160" w:type="dxa"/>
            <w:vAlign w:val="bottom"/>
            <w:shd w:val="clear" w:color="auto" w:fill="CCEEFF"/>
          </w:tcPr>
          <w:p>
            <w:pPr>
              <w:spacing w:after="0"/>
              <w:rPr>
                <w:sz w:val="15"/>
                <w:szCs w:val="15"/>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-1.1%</w:t>
            </w: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-11.9%</w:t>
            </w:r>
          </w:p>
        </w:tc>
        <w:tc>
          <w:tcPr>
            <w:tcW w:w="0" w:type="dxa"/>
            <w:vAlign w:val="bottom"/>
          </w:tcPr>
          <w:p>
            <w:pPr>
              <w:spacing w:after="0"/>
              <w:rPr>
                <w:sz w:val="1"/>
                <w:szCs w:val="1"/>
                <w:color w:val="auto"/>
              </w:rPr>
            </w:pPr>
          </w:p>
        </w:tc>
      </w:tr>
      <w:tr>
        <w:trPr>
          <w:trHeight w:val="169"/>
        </w:trPr>
        <w:tc>
          <w:tcPr>
            <w:tcW w:w="3140" w:type="dxa"/>
            <w:vAlign w:val="bottom"/>
            <w:gridSpan w:val="2"/>
          </w:tcPr>
          <w:p>
            <w:pPr>
              <w:ind w:left="20"/>
              <w:spacing w:after="0"/>
              <w:rPr>
                <w:sz w:val="20"/>
                <w:szCs w:val="20"/>
                <w:color w:val="auto"/>
              </w:rPr>
            </w:pPr>
            <w:r>
              <w:rPr>
                <w:rFonts w:ascii="Arial" w:cs="Arial" w:eastAsia="Arial" w:hAnsi="Arial"/>
                <w:sz w:val="13"/>
                <w:szCs w:val="13"/>
                <w:color w:val="auto"/>
              </w:rPr>
              <w:t>+50 Basis Points</w:t>
            </w:r>
          </w:p>
        </w:tc>
        <w:tc>
          <w:tcPr>
            <w:tcW w:w="1300" w:type="dxa"/>
            <w:vAlign w:val="bottom"/>
          </w:tcPr>
          <w:p>
            <w:pPr>
              <w:jc w:val="center"/>
              <w:spacing w:after="0"/>
              <w:rPr>
                <w:sz w:val="20"/>
                <w:szCs w:val="20"/>
                <w:color w:val="auto"/>
              </w:rPr>
            </w:pPr>
            <w:r>
              <w:rPr>
                <w:rFonts w:ascii="Arial" w:cs="Arial" w:eastAsia="Arial" w:hAnsi="Arial"/>
                <w:sz w:val="13"/>
                <w:szCs w:val="13"/>
                <w:color w:val="auto"/>
                <w:w w:val="94"/>
              </w:rPr>
              <w:t>-2.7%</w:t>
            </w:r>
          </w:p>
        </w:tc>
        <w:tc>
          <w:tcPr>
            <w:tcW w:w="10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3"/>
                <w:szCs w:val="13"/>
                <w:color w:val="auto"/>
                <w:w w:val="97"/>
              </w:rPr>
              <w:t>-27.3%</w:t>
            </w:r>
          </w:p>
        </w:tc>
        <w:tc>
          <w:tcPr>
            <w:tcW w:w="16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3"/>
                <w:szCs w:val="13"/>
                <w:color w:val="auto"/>
                <w:w w:val="94"/>
              </w:rPr>
              <w:t>-2.2%</w:t>
            </w:r>
          </w:p>
        </w:tc>
        <w:tc>
          <w:tcPr>
            <w:tcW w:w="10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3"/>
                <w:szCs w:val="13"/>
                <w:color w:val="auto"/>
                <w:w w:val="97"/>
              </w:rPr>
              <w:t>-23.9%</w:t>
            </w:r>
          </w:p>
        </w:tc>
        <w:tc>
          <w:tcPr>
            <w:tcW w:w="0" w:type="dxa"/>
            <w:vAlign w:val="bottom"/>
          </w:tcPr>
          <w:p>
            <w:pPr>
              <w:spacing w:after="0"/>
              <w:rPr>
                <w:sz w:val="1"/>
                <w:szCs w:val="1"/>
                <w:color w:val="auto"/>
              </w:rPr>
            </w:pPr>
          </w:p>
        </w:tc>
      </w:tr>
    </w:tbl>
    <w:p>
      <w:pPr>
        <w:spacing w:after="0" w:line="97"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w:t>
      </w:r>
    </w:p>
    <w:p>
      <w:pPr>
        <w:spacing w:after="0" w:line="1" w:lineRule="exact"/>
        <w:rPr>
          <w:sz w:val="20"/>
          <w:szCs w:val="20"/>
          <w:color w:val="auto"/>
        </w:rPr>
      </w:pPr>
    </w:p>
    <w:p>
      <w:pPr>
        <w:ind w:left="600" w:hanging="300"/>
        <w:spacing w:after="0"/>
        <w:tabs>
          <w:tab w:leader="none" w:pos="600" w:val="left"/>
        </w:tabs>
        <w:numPr>
          <w:ilvl w:val="0"/>
          <w:numId w:val="35"/>
        </w:numPr>
        <w:rPr>
          <w:rFonts w:ascii="Arial" w:cs="Arial" w:eastAsia="Arial" w:hAnsi="Arial"/>
          <w:sz w:val="13"/>
          <w:szCs w:val="13"/>
          <w:color w:val="auto"/>
        </w:rPr>
      </w:pPr>
      <w:r>
        <w:rPr>
          <w:rFonts w:ascii="Arial" w:cs="Arial" w:eastAsia="Arial" w:hAnsi="Arial"/>
          <w:sz w:val="13"/>
          <w:szCs w:val="13"/>
          <w:color w:val="auto"/>
        </w:rPr>
        <w:t>Spread sensitivity is derived from models that are dependent on inputs and assumptions provided by third parties, assumes there are no changes in interest rates and assumes a static portfolio. Actual results could differ materially from these estimates.</w:t>
      </w:r>
    </w:p>
    <w:p>
      <w:pPr>
        <w:ind w:left="600" w:hanging="300"/>
        <w:spacing w:after="0"/>
        <w:tabs>
          <w:tab w:leader="none" w:pos="600" w:val="left"/>
        </w:tabs>
        <w:numPr>
          <w:ilvl w:val="0"/>
          <w:numId w:val="35"/>
        </w:numPr>
        <w:rPr>
          <w:rFonts w:ascii="Arial" w:cs="Arial" w:eastAsia="Arial" w:hAnsi="Arial"/>
          <w:sz w:val="13"/>
          <w:szCs w:val="13"/>
          <w:color w:val="auto"/>
        </w:rPr>
      </w:pPr>
      <w:r>
        <w:rPr>
          <w:rFonts w:ascii="Arial" w:cs="Arial" w:eastAsia="Arial" w:hAnsi="Arial"/>
          <w:sz w:val="13"/>
          <w:szCs w:val="13"/>
          <w:color w:val="auto"/>
        </w:rPr>
        <w:t>Includes the effect of derivatives and other securities used for hedging purposes.</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Liquidity Risk</w:t>
      </w:r>
    </w:p>
    <w:p>
      <w:pPr>
        <w:spacing w:after="0" w:line="154" w:lineRule="exact"/>
        <w:rPr>
          <w:sz w:val="20"/>
          <w:szCs w:val="20"/>
          <w:color w:val="auto"/>
        </w:rPr>
      </w:pPr>
    </w:p>
    <w:p>
      <w:pPr>
        <w:ind w:firstLine="412"/>
        <w:spacing w:after="0" w:line="266" w:lineRule="auto"/>
        <w:rPr>
          <w:sz w:val="20"/>
          <w:szCs w:val="20"/>
          <w:color w:val="auto"/>
        </w:rPr>
      </w:pPr>
      <w:r>
        <w:rPr>
          <w:rFonts w:ascii="Arial" w:cs="Arial" w:eastAsia="Arial" w:hAnsi="Arial"/>
          <w:sz w:val="17"/>
          <w:szCs w:val="17"/>
          <w:color w:val="auto"/>
        </w:rPr>
        <w:t>Our liquidity risk principally arises from financing long-term fixed rate assets with shorter-term variable rate borrowings. Future borrowings are dependent upon the willingness of lenders to finance our investments, lender collateral</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856" w:right="339" w:bottom="1440" w:gutter="0" w:footer="0" w:header="0"/>
        </w:sectPr>
      </w:pPr>
    </w:p>
    <w:bookmarkStart w:id="46" w:name="page47"/>
    <w:bookmarkEnd w:id="46"/>
    <w:p>
      <w:pPr>
        <w:jc w:val="both"/>
        <w:spacing w:after="0" w:line="266" w:lineRule="auto"/>
        <w:rPr>
          <w:sz w:val="20"/>
          <w:szCs w:val="20"/>
          <w:color w:val="auto"/>
        </w:rPr>
      </w:pPr>
      <w:r>
        <w:rPr>
          <w:rFonts w:ascii="Arial" w:cs="Arial" w:eastAsia="Arial" w:hAnsi="Arial"/>
          <w:sz w:val="17"/>
          <w:szCs w:val="17"/>
          <w:color w:val="auto"/>
        </w:rPr>
        <w:t>requirements and the lenders’ determination of the fair value of the securities pledged as collateral, which fluctuates with changes in interest rates and liquidity conditions within the commercial banking and mortgage finance industries.</w:t>
      </w:r>
    </w:p>
    <w:p>
      <w:pPr>
        <w:spacing w:after="0" w:line="117" w:lineRule="exact"/>
        <w:rPr>
          <w:sz w:val="20"/>
          <w:szCs w:val="20"/>
          <w:color w:val="auto"/>
        </w:rPr>
      </w:pPr>
    </w:p>
    <w:p>
      <w:pPr>
        <w:jc w:val="both"/>
        <w:ind w:firstLine="412"/>
        <w:spacing w:after="0" w:line="267" w:lineRule="auto"/>
        <w:rPr>
          <w:sz w:val="20"/>
          <w:szCs w:val="20"/>
          <w:color w:val="auto"/>
        </w:rPr>
      </w:pPr>
      <w:r>
        <w:rPr>
          <w:rFonts w:ascii="Arial" w:cs="Arial" w:eastAsia="Arial" w:hAnsi="Arial"/>
          <w:sz w:val="16"/>
          <w:szCs w:val="16"/>
          <w:color w:val="auto"/>
        </w:rPr>
        <w:t xml:space="preserve">As of June 30, 2021, we believe that we have sufficient liquidity and capital resources available to execute our business strategy (see </w:t>
      </w:r>
      <w:r>
        <w:rPr>
          <w:rFonts w:ascii="Arial" w:cs="Arial" w:eastAsia="Arial" w:hAnsi="Arial"/>
          <w:sz w:val="16"/>
          <w:szCs w:val="16"/>
          <w:i w:val="1"/>
          <w:iCs w:val="1"/>
          <w:color w:val="auto"/>
        </w:rPr>
        <w:t>Liquidity and Capital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Resources </w:t>
      </w:r>
      <w:r>
        <w:rPr>
          <w:rFonts w:ascii="Arial" w:cs="Arial" w:eastAsia="Arial" w:hAnsi="Arial"/>
          <w:sz w:val="16"/>
          <w:szCs w:val="16"/>
          <w:color w:val="auto"/>
        </w:rPr>
        <w:t>in this Form 10-Q for additional details). However, should the value of our collateral or the value of our derivative instruments suddenly decrease, margin</w:t>
      </w:r>
      <w:r>
        <w:rPr>
          <w:rFonts w:ascii="Arial" w:cs="Arial" w:eastAsia="Arial" w:hAnsi="Arial"/>
          <w:sz w:val="16"/>
          <w:szCs w:val="16"/>
          <w:i w:val="1"/>
          <w:iCs w:val="1"/>
          <w:color w:val="auto"/>
        </w:rPr>
        <w:t xml:space="preserve"> </w:t>
      </w:r>
      <w:r>
        <w:rPr>
          <w:rFonts w:ascii="Arial" w:cs="Arial" w:eastAsia="Arial" w:hAnsi="Arial"/>
          <w:sz w:val="16"/>
          <w:szCs w:val="16"/>
          <w:color w:val="auto"/>
        </w:rPr>
        <w:t>calls relating to our funding liabilities and derivative agreements could increase, causing an adverse change in our liquidity position. Furthermore, there is no assurance that we will always be able to renew (or roll) our short-term funding liabilities. In addition, our counterparties have the option to increase our haircuts (margin requirements) on the assets we pledge against our funding liabilities, thereby reducing the amount that can be borrowed against an asset even if they agree to renew or roll our funding liabilities. Significantly higher haircuts can reduce our ability to leverage our portfolio or may even force us to sell assets, especially if correlated with asset price declines or faster prepayment rates on our assets.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Credit Risk</w:t>
      </w:r>
    </w:p>
    <w:p>
      <w:pPr>
        <w:spacing w:after="0" w:line="154" w:lineRule="exact"/>
        <w:rPr>
          <w:sz w:val="20"/>
          <w:szCs w:val="20"/>
          <w:color w:val="auto"/>
        </w:rPr>
      </w:pPr>
    </w:p>
    <w:p>
      <w:pPr>
        <w:jc w:val="both"/>
        <w:ind w:firstLine="412"/>
        <w:spacing w:after="0" w:line="306" w:lineRule="auto"/>
        <w:rPr>
          <w:sz w:val="20"/>
          <w:szCs w:val="20"/>
          <w:color w:val="auto"/>
        </w:rPr>
      </w:pPr>
      <w:r>
        <w:rPr>
          <w:rFonts w:ascii="Arial" w:cs="Arial" w:eastAsia="Arial" w:hAnsi="Arial"/>
          <w:sz w:val="15"/>
          <w:szCs w:val="15"/>
          <w:color w:val="auto"/>
        </w:rPr>
        <w:t>Our credit sensitive investments, such as CRT and non-Agency securities, expose us to the risk of nonpayment of principal, interest or other remuneration we are contractually entitled to. We are also exposed to credit risk in the event our repurchase agreement counterparties default on their obligations to resell the underlying collateral back to us at the end of the repo term or in the event our derivative counterparties do not perform under the terms of our derivative agreements.</w:t>
      </w:r>
    </w:p>
    <w:p>
      <w:pPr>
        <w:spacing w:after="0" w:line="90" w:lineRule="exact"/>
        <w:rPr>
          <w:sz w:val="20"/>
          <w:szCs w:val="20"/>
          <w:color w:val="auto"/>
        </w:rPr>
      </w:pPr>
    </w:p>
    <w:p>
      <w:pPr>
        <w:jc w:val="both"/>
        <w:ind w:firstLine="412"/>
        <w:spacing w:after="0" w:line="287" w:lineRule="auto"/>
        <w:rPr>
          <w:sz w:val="20"/>
          <w:szCs w:val="20"/>
          <w:color w:val="auto"/>
        </w:rPr>
      </w:pPr>
      <w:r>
        <w:rPr>
          <w:rFonts w:ascii="Arial" w:cs="Arial" w:eastAsia="Arial" w:hAnsi="Arial"/>
          <w:sz w:val="15"/>
          <w:szCs w:val="15"/>
          <w:color w:val="auto"/>
        </w:rPr>
        <w:t>We accept credit exposure related to our credit sensitive assets at levels we deem prudent within the context of our overall investment strategy. We attempt to manage this risk through careful asset selection, pre-acquisition due diligence, post-acquisition performance monitoring, and the sale of assets where we identify negative credit trends. We may also manage credit risk with credit default swaps or other financial derivatives that we believe are appropriate. Additionally, we may vary the mix of our interest rate and credit sensitive assets or our duration gap to adjust our credit exposure and/or improve the return profile of our assets, such as when we believe credit performance is inversely correlated with changes in interest rates. Our credit risk related to derivative and repurchase agreement transactions is largely mitigated by limiting our counterparties to major financial institutions with acceptable credit ratings or to registered central clearinghouses and monitoring concentration levels with any one counterparty. We also continuously monitor and adjust the amount of collateral pledged based on changes in market value.</w:t>
      </w:r>
    </w:p>
    <w:p>
      <w:pPr>
        <w:spacing w:after="0" w:line="56" w:lineRule="exact"/>
        <w:rPr>
          <w:sz w:val="20"/>
          <w:szCs w:val="20"/>
          <w:color w:val="auto"/>
        </w:rPr>
      </w:pPr>
    </w:p>
    <w:p>
      <w:pPr>
        <w:jc w:val="both"/>
        <w:ind w:firstLine="375"/>
        <w:spacing w:after="0" w:line="306" w:lineRule="auto"/>
        <w:rPr>
          <w:sz w:val="20"/>
          <w:szCs w:val="20"/>
          <w:color w:val="auto"/>
        </w:rPr>
      </w:pPr>
      <w:r>
        <w:rPr>
          <w:rFonts w:ascii="Arial" w:cs="Arial" w:eastAsia="Arial" w:hAnsi="Arial"/>
          <w:sz w:val="15"/>
          <w:szCs w:val="15"/>
          <w:color w:val="auto"/>
        </w:rPr>
        <w:t>There is no guarantee that our efforts to manage credit risk will be successful and we could suffer losses if credit performance is worse than our expectations or our counterparties default on their obligations. Excluding central clearing exchanges, as of June 30, 2021, our maximum amount at risk with any counterparty related to our repurchase agreements was less than 2% of tangible stockholders' equity and related to our derivative agreements was less than 1% of tangible stockholders' equity.</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4. </w:t>
      </w:r>
      <w:r>
        <w:rPr>
          <w:rFonts w:ascii="Arial" w:cs="Arial" w:eastAsia="Arial" w:hAnsi="Arial"/>
          <w:sz w:val="17"/>
          <w:szCs w:val="17"/>
          <w:b w:val="1"/>
          <w:bCs w:val="1"/>
          <w:i w:val="1"/>
          <w:iCs w:val="1"/>
          <w:color w:val="auto"/>
        </w:rPr>
        <w:t>Controls and Procedures</w:t>
      </w:r>
    </w:p>
    <w:p>
      <w:pPr>
        <w:spacing w:after="0" w:line="108" w:lineRule="exact"/>
        <w:rPr>
          <w:sz w:val="20"/>
          <w:szCs w:val="20"/>
          <w:color w:val="auto"/>
        </w:rPr>
      </w:pPr>
    </w:p>
    <w:p>
      <w:pPr>
        <w:jc w:val="both"/>
        <w:ind w:firstLine="412"/>
        <w:spacing w:after="0" w:line="248"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our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based on the definition of "disclosure controls and procedures" as promulgated under the Exchange Act and the rules and regulations thereunder. In designing and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possible controls and procedures.</w:t>
      </w:r>
    </w:p>
    <w:p>
      <w:pPr>
        <w:spacing w:after="0" w:line="86" w:lineRule="exact"/>
        <w:rPr>
          <w:sz w:val="20"/>
          <w:szCs w:val="20"/>
          <w:color w:val="auto"/>
        </w:rPr>
      </w:pPr>
    </w:p>
    <w:p>
      <w:pPr>
        <w:jc w:val="both"/>
        <w:ind w:firstLine="412"/>
        <w:spacing w:after="0" w:line="255" w:lineRule="auto"/>
        <w:rPr>
          <w:sz w:val="20"/>
          <w:szCs w:val="20"/>
          <w:color w:val="auto"/>
        </w:rPr>
      </w:pPr>
      <w:r>
        <w:rPr>
          <w:rFonts w:ascii="Arial" w:cs="Arial" w:eastAsia="Arial" w:hAnsi="Arial"/>
          <w:sz w:val="17"/>
          <w:szCs w:val="17"/>
          <w:color w:val="auto"/>
        </w:rPr>
        <w:t>We, including our Chief Executive Officer and Chief Financial Officer, evaluated the effectiveness of the design and operation of our disclosure controls and procedures as of June 30, 2021. Based on the foregoing, our Chief Executive Officer and Chief Financial Officer concluded that our disclosure controls and procedures were effective.</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Internal Control over Financial Reporting</w:t>
      </w:r>
    </w:p>
    <w:p>
      <w:pPr>
        <w:spacing w:after="0" w:line="104" w:lineRule="exact"/>
        <w:rPr>
          <w:sz w:val="20"/>
          <w:szCs w:val="20"/>
          <w:color w:val="auto"/>
        </w:rPr>
      </w:pPr>
    </w:p>
    <w:p>
      <w:pPr>
        <w:jc w:val="both"/>
        <w:ind w:firstLine="375"/>
        <w:spacing w:after="0" w:line="266" w:lineRule="auto"/>
        <w:rPr>
          <w:sz w:val="20"/>
          <w:szCs w:val="20"/>
          <w:color w:val="auto"/>
        </w:rPr>
      </w:pPr>
      <w:r>
        <w:rPr>
          <w:rFonts w:ascii="Arial" w:cs="Arial" w:eastAsia="Arial" w:hAnsi="Arial"/>
          <w:sz w:val="17"/>
          <w:szCs w:val="17"/>
          <w:color w:val="auto"/>
        </w:rPr>
        <w:t>There have been no changes in our "internal control over financial reporting" (as defined in Rule 13a-15(f) of the Exchange Act) that occurred during the last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47" w:name="page48"/>
    <w:bookmarkEnd w:id="47"/>
    <w:p>
      <w:pPr>
        <w:jc w:val="center"/>
        <w:spacing w:after="0"/>
        <w:rPr>
          <w:sz w:val="20"/>
          <w:szCs w:val="20"/>
          <w:color w:val="auto"/>
        </w:rPr>
      </w:pPr>
      <w:r>
        <w:rPr>
          <w:rFonts w:ascii="Arial" w:cs="Arial" w:eastAsia="Arial" w:hAnsi="Arial"/>
          <w:sz w:val="17"/>
          <w:szCs w:val="17"/>
          <w:b w:val="1"/>
          <w:bCs w:val="1"/>
          <w:color w:val="auto"/>
        </w:rPr>
        <w:t>PART II. OTHER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 </w:t>
      </w:r>
      <w:r>
        <w:rPr>
          <w:rFonts w:ascii="Arial" w:cs="Arial" w:eastAsia="Arial" w:hAnsi="Arial"/>
          <w:sz w:val="17"/>
          <w:szCs w:val="17"/>
          <w:b w:val="1"/>
          <w:bCs w:val="1"/>
          <w:i w:val="1"/>
          <w:iCs w:val="1"/>
          <w:color w:val="auto"/>
        </w:rPr>
        <w:t>Legal Proceedings</w:t>
      </w:r>
    </w:p>
    <w:p>
      <w:pPr>
        <w:spacing w:after="0" w:line="108" w:lineRule="exact"/>
        <w:rPr>
          <w:sz w:val="20"/>
          <w:szCs w:val="20"/>
          <w:color w:val="auto"/>
        </w:rPr>
      </w:pPr>
    </w:p>
    <w:p>
      <w:pPr>
        <w:jc w:val="both"/>
        <w:ind w:firstLine="412"/>
        <w:spacing w:after="0" w:line="279" w:lineRule="auto"/>
        <w:rPr>
          <w:sz w:val="20"/>
          <w:szCs w:val="20"/>
          <w:color w:val="auto"/>
        </w:rPr>
      </w:pPr>
      <w:r>
        <w:rPr>
          <w:rFonts w:ascii="Arial" w:cs="Arial" w:eastAsia="Arial" w:hAnsi="Arial"/>
          <w:sz w:val="16"/>
          <w:szCs w:val="16"/>
          <w:color w:val="auto"/>
        </w:rPr>
        <w:t>Neither we, nor any of our consolidated subsidiaries, are currently subject to any material litigation nor, to our knowledge, is any material litigation threatened against us or any consolidated subsidiary, other than routine litigation and administrative proceedings arising in the ordinary course of business. Such proceedings are not expected to have a material adverse effect on the business, financial conditions, or results of our operations.</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1A. </w:t>
      </w:r>
      <w:r>
        <w:rPr>
          <w:rFonts w:ascii="Arial" w:cs="Arial" w:eastAsia="Arial" w:hAnsi="Arial"/>
          <w:sz w:val="17"/>
          <w:szCs w:val="17"/>
          <w:b w:val="1"/>
          <w:bCs w:val="1"/>
          <w:i w:val="1"/>
          <w:iCs w:val="1"/>
          <w:color w:val="auto"/>
        </w:rPr>
        <w:t>Risk Factors</w:t>
      </w:r>
    </w:p>
    <w:p>
      <w:pPr>
        <w:spacing w:after="0" w:line="10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There have been no material changes to the risk factors previously disclosed in our Annual Report on Form 10-K for the year ended December 31, 2020.</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2. </w:t>
      </w:r>
      <w:r>
        <w:rPr>
          <w:rFonts w:ascii="Arial" w:cs="Arial" w:eastAsia="Arial" w:hAnsi="Arial"/>
          <w:sz w:val="17"/>
          <w:szCs w:val="17"/>
          <w:b w:val="1"/>
          <w:bCs w:val="1"/>
          <w:i w:val="1"/>
          <w:iCs w:val="1"/>
          <w:color w:val="auto"/>
        </w:rPr>
        <w:t>Unregistered Sales of Equity Securities and Use of Proceeds</w:t>
      </w:r>
    </w:p>
    <w:p>
      <w:pPr>
        <w:spacing w:after="0" w:line="9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None.</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3. </w:t>
      </w:r>
      <w:r>
        <w:rPr>
          <w:rFonts w:ascii="Arial" w:cs="Arial" w:eastAsia="Arial" w:hAnsi="Arial"/>
          <w:sz w:val="17"/>
          <w:szCs w:val="17"/>
          <w:b w:val="1"/>
          <w:bCs w:val="1"/>
          <w:i w:val="1"/>
          <w:iCs w:val="1"/>
          <w:color w:val="auto"/>
        </w:rPr>
        <w:t>Defaults upon Senior Securities</w:t>
      </w:r>
    </w:p>
    <w:p>
      <w:pPr>
        <w:spacing w:after="0" w:line="8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None.</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4. </w:t>
      </w:r>
      <w:r>
        <w:rPr>
          <w:rFonts w:ascii="Arial" w:cs="Arial" w:eastAsia="Arial" w:hAnsi="Arial"/>
          <w:sz w:val="17"/>
          <w:szCs w:val="17"/>
          <w:b w:val="1"/>
          <w:bCs w:val="1"/>
          <w:i w:val="1"/>
          <w:iCs w:val="1"/>
          <w:color w:val="auto"/>
        </w:rPr>
        <w:t>Mine Safety Disclosures</w:t>
      </w:r>
    </w:p>
    <w:p>
      <w:pPr>
        <w:spacing w:after="0" w:line="10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Not applicable.</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5. </w:t>
      </w:r>
      <w:r>
        <w:rPr>
          <w:rFonts w:ascii="Arial" w:cs="Arial" w:eastAsia="Arial" w:hAnsi="Arial"/>
          <w:sz w:val="17"/>
          <w:szCs w:val="17"/>
          <w:b w:val="1"/>
          <w:bCs w:val="1"/>
          <w:i w:val="1"/>
          <w:iCs w:val="1"/>
          <w:color w:val="auto"/>
        </w:rPr>
        <w:t>Other Information</w:t>
      </w:r>
    </w:p>
    <w:p>
      <w:pPr>
        <w:spacing w:after="0" w:line="108" w:lineRule="exact"/>
        <w:rPr>
          <w:sz w:val="20"/>
          <w:szCs w:val="20"/>
          <w:color w:val="auto"/>
        </w:rPr>
      </w:pPr>
    </w:p>
    <w:p>
      <w:pPr>
        <w:ind w:left="380"/>
        <w:spacing w:after="0"/>
        <w:rPr>
          <w:sz w:val="20"/>
          <w:szCs w:val="20"/>
          <w:color w:val="auto"/>
        </w:rPr>
      </w:pPr>
      <w:r>
        <w:rPr>
          <w:rFonts w:ascii="Arial" w:cs="Arial" w:eastAsia="Arial" w:hAnsi="Arial"/>
          <w:sz w:val="17"/>
          <w:szCs w:val="17"/>
          <w:color w:val="auto"/>
        </w:rPr>
        <w:t>None.</w:t>
      </w:r>
    </w:p>
    <w:p>
      <w:pPr>
        <w:spacing w:after="0" w:line="100" w:lineRule="exact"/>
        <w:rPr>
          <w:sz w:val="20"/>
          <w:szCs w:val="20"/>
          <w:color w:val="auto"/>
        </w:rPr>
      </w:pPr>
    </w:p>
    <w:p>
      <w:pPr>
        <w:spacing w:after="0"/>
        <w:tabs>
          <w:tab w:leader="none" w:pos="640" w:val="left"/>
        </w:tabs>
        <w:rPr>
          <w:sz w:val="20"/>
          <w:szCs w:val="20"/>
          <w:color w:val="auto"/>
        </w:rPr>
      </w:pPr>
      <w:r>
        <w:rPr>
          <w:rFonts w:ascii="Arial" w:cs="Arial" w:eastAsia="Arial" w:hAnsi="Arial"/>
          <w:sz w:val="17"/>
          <w:szCs w:val="17"/>
          <w:b w:val="1"/>
          <w:bCs w:val="1"/>
          <w:color w:val="auto"/>
        </w:rPr>
        <w:t>Item 6.</w:t>
      </w:r>
      <w:r>
        <w:rPr>
          <w:sz w:val="20"/>
          <w:szCs w:val="20"/>
          <w:color w:val="auto"/>
        </w:rPr>
        <w:tab/>
      </w:r>
      <w:r>
        <w:rPr>
          <w:rFonts w:ascii="Arial" w:cs="Arial" w:eastAsia="Arial" w:hAnsi="Arial"/>
          <w:sz w:val="14"/>
          <w:szCs w:val="14"/>
          <w:b w:val="1"/>
          <w:bCs w:val="1"/>
          <w:i w:val="1"/>
          <w:iCs w:val="1"/>
          <w:color w:val="auto"/>
        </w:rPr>
        <w:t>Exhibits and Financial Statement Schedules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(a) Exhibit Index</w:t>
      </w:r>
    </w:p>
    <w:p>
      <w:pPr>
        <w:spacing w:after="0" w:line="147" w:lineRule="exact"/>
        <w:rPr>
          <w:sz w:val="20"/>
          <w:szCs w:val="20"/>
          <w:color w:val="auto"/>
        </w:rPr>
      </w:pPr>
    </w:p>
    <w:p>
      <w:pPr>
        <w:spacing w:after="0"/>
        <w:tabs>
          <w:tab w:leader="none" w:pos="760" w:val="left"/>
        </w:tabs>
        <w:rPr>
          <w:sz w:val="20"/>
          <w:szCs w:val="20"/>
          <w:color w:val="auto"/>
        </w:rPr>
      </w:pPr>
      <w:r>
        <w:rPr>
          <w:rFonts w:ascii="Arial" w:cs="Arial" w:eastAsia="Arial" w:hAnsi="Arial"/>
          <w:sz w:val="13"/>
          <w:szCs w:val="13"/>
          <w:b w:val="1"/>
          <w:bCs w:val="1"/>
          <w:u w:val="single" w:color="auto"/>
          <w:color w:val="auto"/>
        </w:rPr>
        <w:t>Exhibit No.</w:t>
      </w:r>
      <w:r>
        <w:rPr>
          <w:sz w:val="20"/>
          <w:szCs w:val="20"/>
          <w:color w:val="auto"/>
        </w:rPr>
        <w:tab/>
      </w:r>
      <w:r>
        <w:rPr>
          <w:rFonts w:ascii="Arial" w:cs="Arial" w:eastAsia="Arial" w:hAnsi="Arial"/>
          <w:sz w:val="11"/>
          <w:szCs w:val="11"/>
          <w:b w:val="1"/>
          <w:bCs w:val="1"/>
          <w:u w:val="single" w:color="auto"/>
          <w:color w:val="auto"/>
        </w:rPr>
        <w:t>Description</w:t>
      </w:r>
    </w:p>
    <w:p>
      <w:pPr>
        <w:spacing w:after="0" w:line="158" w:lineRule="exact"/>
        <w:rPr>
          <w:sz w:val="20"/>
          <w:szCs w:val="20"/>
          <w:color w:val="auto"/>
        </w:rPr>
      </w:pPr>
    </w:p>
    <w:p>
      <w:pPr>
        <w:jc w:val="both"/>
        <w:ind w:left="520" w:hanging="1199"/>
        <w:spacing w:after="0" w:line="266" w:lineRule="auto"/>
        <w:tabs>
          <w:tab w:leader="none" w:pos="500" w:val="left"/>
        </w:tabs>
        <w:rPr>
          <w:rFonts w:ascii="Arial" w:cs="Arial" w:eastAsia="Arial" w:hAnsi="Arial"/>
          <w:sz w:val="17"/>
          <w:szCs w:val="17"/>
          <w:color w:val="auto"/>
        </w:rPr>
      </w:pPr>
      <w:hyperlink r:id="rId67">
        <w:r>
          <w:rPr>
            <w:rFonts w:ascii="Arial" w:cs="Arial" w:eastAsia="Arial" w:hAnsi="Arial"/>
            <w:sz w:val="17"/>
            <w:szCs w:val="17"/>
            <w:color w:val="auto"/>
          </w:rPr>
          <w:t>*3.1</w:t>
        </w:r>
      </w:hyperlink>
      <w:r>
        <w:rPr>
          <w:rFonts w:ascii="Arial" w:cs="Arial" w:eastAsia="Arial" w:hAnsi="Arial"/>
          <w:sz w:val="17"/>
          <w:szCs w:val="17"/>
          <w:color w:val="auto"/>
        </w:rPr>
        <w:tab/>
      </w:r>
      <w:hyperlink r:id="rId67">
        <w:r>
          <w:rPr>
            <w:rFonts w:ascii="Arial" w:cs="Arial" w:eastAsia="Arial" w:hAnsi="Arial"/>
            <w:sz w:val="17"/>
            <w:szCs w:val="17"/>
            <w:color w:val="auto"/>
          </w:rPr>
          <w:t>AGNC Investment Corp. Amended and Restated Certificate of Incorporation, as amended, incorporated by reference from Exhibit 3.1 of Form 10-Q for the</w:t>
        </w:r>
      </w:hyperlink>
      <w:r>
        <w:rPr>
          <w:rFonts w:ascii="Arial" w:cs="Arial" w:eastAsia="Arial" w:hAnsi="Arial"/>
          <w:sz w:val="17"/>
          <w:szCs w:val="17"/>
          <w:color w:val="auto"/>
        </w:rPr>
        <w:t xml:space="preserve"> </w:t>
      </w:r>
      <w:hyperlink r:id="rId67">
        <w:r>
          <w:rPr>
            <w:rFonts w:ascii="Arial" w:cs="Arial" w:eastAsia="Arial" w:hAnsi="Arial"/>
            <w:sz w:val="17"/>
            <w:szCs w:val="17"/>
            <w:color w:val="auto"/>
          </w:rPr>
          <w:t>quarter ended March 31, 2020 (File No. 001-34057), filed May 11, 2020.</w:t>
        </w:r>
      </w:hyperlink>
    </w:p>
    <w:p>
      <w:pPr>
        <w:spacing w:after="0" w:line="117" w:lineRule="exact"/>
        <w:rPr>
          <w:rFonts w:ascii="Arial" w:cs="Arial" w:eastAsia="Arial" w:hAnsi="Arial"/>
          <w:sz w:val="17"/>
          <w:szCs w:val="17"/>
          <w:color w:val="auto"/>
        </w:rPr>
      </w:pPr>
    </w:p>
    <w:p>
      <w:pPr>
        <w:jc w:val="both"/>
        <w:ind w:left="460" w:hanging="1199"/>
        <w:spacing w:after="0" w:line="266" w:lineRule="auto"/>
        <w:tabs>
          <w:tab w:leader="none" w:pos="440" w:val="left"/>
        </w:tabs>
        <w:rPr>
          <w:rFonts w:ascii="Arial" w:cs="Arial" w:eastAsia="Arial" w:hAnsi="Arial"/>
          <w:sz w:val="17"/>
          <w:szCs w:val="17"/>
          <w:color w:val="auto"/>
        </w:rPr>
      </w:pPr>
      <w:hyperlink r:id="rId68">
        <w:r>
          <w:rPr>
            <w:rFonts w:ascii="Arial" w:cs="Arial" w:eastAsia="Arial" w:hAnsi="Arial"/>
            <w:sz w:val="17"/>
            <w:szCs w:val="17"/>
            <w:color w:val="auto"/>
          </w:rPr>
          <w:t>*3.2</w:t>
        </w:r>
      </w:hyperlink>
      <w:r>
        <w:rPr>
          <w:rFonts w:ascii="Arial" w:cs="Arial" w:eastAsia="Arial" w:hAnsi="Arial"/>
          <w:sz w:val="17"/>
          <w:szCs w:val="17"/>
          <w:color w:val="auto"/>
        </w:rPr>
        <w:tab/>
      </w:r>
      <w:hyperlink r:id="rId68">
        <w:r>
          <w:rPr>
            <w:rFonts w:ascii="Arial" w:cs="Arial" w:eastAsia="Arial" w:hAnsi="Arial"/>
            <w:sz w:val="17"/>
            <w:szCs w:val="17"/>
            <w:color w:val="auto"/>
          </w:rPr>
          <w:t>AGNC Investment Corp. Fourth Amended and Restated Bylaws, as amended, incorporated herein by reference to Exhibit 3.1 of Form 8-K (File No. 001-34057),</w:t>
        </w:r>
      </w:hyperlink>
      <w:r>
        <w:rPr>
          <w:rFonts w:ascii="Arial" w:cs="Arial" w:eastAsia="Arial" w:hAnsi="Arial"/>
          <w:sz w:val="17"/>
          <w:szCs w:val="17"/>
          <w:color w:val="auto"/>
        </w:rPr>
        <w:t xml:space="preserve"> </w:t>
      </w:r>
      <w:hyperlink r:id="rId68">
        <w:r>
          <w:rPr>
            <w:rFonts w:ascii="Arial" w:cs="Arial" w:eastAsia="Arial" w:hAnsi="Arial"/>
            <w:sz w:val="17"/>
            <w:szCs w:val="17"/>
            <w:color w:val="auto"/>
          </w:rPr>
          <w:t>filed March 11, 2021.</w:t>
        </w:r>
      </w:hyperlink>
    </w:p>
    <w:p>
      <w:pPr>
        <w:spacing w:after="0" w:line="117" w:lineRule="exact"/>
        <w:rPr>
          <w:rFonts w:ascii="Arial" w:cs="Arial" w:eastAsia="Arial" w:hAnsi="Arial"/>
          <w:sz w:val="17"/>
          <w:szCs w:val="17"/>
          <w:color w:val="auto"/>
        </w:rPr>
      </w:pPr>
    </w:p>
    <w:p>
      <w:pPr>
        <w:jc w:val="both"/>
        <w:ind w:left="460" w:hanging="1199"/>
        <w:spacing w:after="0" w:line="266" w:lineRule="auto"/>
        <w:tabs>
          <w:tab w:leader="none" w:pos="440" w:val="left"/>
        </w:tabs>
        <w:rPr>
          <w:rFonts w:ascii="Arial" w:cs="Arial" w:eastAsia="Arial" w:hAnsi="Arial"/>
          <w:sz w:val="17"/>
          <w:szCs w:val="17"/>
          <w:color w:val="auto"/>
        </w:rPr>
      </w:pPr>
      <w:hyperlink r:id="rId69">
        <w:r>
          <w:rPr>
            <w:rFonts w:ascii="Arial" w:cs="Arial" w:eastAsia="Arial" w:hAnsi="Arial"/>
            <w:sz w:val="17"/>
            <w:szCs w:val="17"/>
            <w:color w:val="auto"/>
          </w:rPr>
          <w:t>*3.3</w:t>
        </w:r>
      </w:hyperlink>
      <w:r>
        <w:rPr>
          <w:rFonts w:ascii="Arial" w:cs="Arial" w:eastAsia="Arial" w:hAnsi="Arial"/>
          <w:sz w:val="17"/>
          <w:szCs w:val="17"/>
          <w:color w:val="auto"/>
        </w:rPr>
        <w:tab/>
      </w:r>
      <w:hyperlink r:id="rId69">
        <w:r>
          <w:rPr>
            <w:rFonts w:ascii="Arial" w:cs="Arial" w:eastAsia="Arial" w:hAnsi="Arial"/>
            <w:sz w:val="17"/>
            <w:szCs w:val="17"/>
            <w:color w:val="auto"/>
          </w:rPr>
          <w:t>Certificate of Designations of 7.00% Series C Fixed-to-Floating Rate Cumulative Redeemable Preferred Stock, incorporated herein by reference to Exhibit 3.5 of</w:t>
        </w:r>
      </w:hyperlink>
      <w:r>
        <w:rPr>
          <w:rFonts w:ascii="Arial" w:cs="Arial" w:eastAsia="Arial" w:hAnsi="Arial"/>
          <w:sz w:val="17"/>
          <w:szCs w:val="17"/>
          <w:color w:val="auto"/>
        </w:rPr>
        <w:t xml:space="preserve"> </w:t>
      </w:r>
      <w:hyperlink r:id="rId69">
        <w:r>
          <w:rPr>
            <w:rFonts w:ascii="Arial" w:cs="Arial" w:eastAsia="Arial" w:hAnsi="Arial"/>
            <w:sz w:val="17"/>
            <w:szCs w:val="17"/>
            <w:color w:val="auto"/>
          </w:rPr>
          <w:t>Form 8-A (File No. 001-34057), filed August 18, 2017.</w:t>
        </w:r>
      </w:hyperlink>
    </w:p>
    <w:p>
      <w:pPr>
        <w:spacing w:after="0" w:line="117" w:lineRule="exact"/>
        <w:rPr>
          <w:rFonts w:ascii="Arial" w:cs="Arial" w:eastAsia="Arial" w:hAnsi="Arial"/>
          <w:sz w:val="17"/>
          <w:szCs w:val="17"/>
          <w:color w:val="auto"/>
        </w:rPr>
      </w:pPr>
    </w:p>
    <w:p>
      <w:pPr>
        <w:spacing w:after="0"/>
        <w:tabs>
          <w:tab w:leader="none" w:pos="480" w:val="left"/>
        </w:tabs>
        <w:rPr>
          <w:rFonts w:ascii="Arial" w:cs="Arial" w:eastAsia="Arial" w:hAnsi="Arial"/>
          <w:sz w:val="15"/>
          <w:szCs w:val="15"/>
          <w:color w:val="auto"/>
        </w:rPr>
      </w:pPr>
      <w:hyperlink r:id="rId70">
        <w:r>
          <w:rPr>
            <w:rFonts w:ascii="Arial" w:cs="Arial" w:eastAsia="Arial" w:hAnsi="Arial"/>
            <w:sz w:val="17"/>
            <w:szCs w:val="17"/>
            <w:color w:val="auto"/>
          </w:rPr>
          <w:t>*3.4</w:t>
        </w:r>
      </w:hyperlink>
      <w:r>
        <w:rPr>
          <w:rFonts w:ascii="Arial" w:cs="Arial" w:eastAsia="Arial" w:hAnsi="Arial"/>
          <w:sz w:val="17"/>
          <w:szCs w:val="17"/>
          <w:color w:val="auto"/>
        </w:rPr>
        <w:tab/>
      </w:r>
      <w:hyperlink r:id="rId70">
        <w:r>
          <w:rPr>
            <w:rFonts w:ascii="Arial" w:cs="Arial" w:eastAsia="Arial" w:hAnsi="Arial"/>
            <w:sz w:val="15"/>
            <w:szCs w:val="15"/>
            <w:color w:val="auto"/>
          </w:rPr>
          <w:t>Certificate of Elimination of 8.000% Series A Cumulative Redeemable Preferred Stock, incorporated herein by reference to Exhibit 3.1 of Form 8-K (File No</w:t>
        </w:r>
      </w:hyperlink>
    </w:p>
    <w:p>
      <w:pPr>
        <w:spacing w:after="0" w:line="17" w:lineRule="exact"/>
        <w:rPr>
          <w:sz w:val="20"/>
          <w:szCs w:val="20"/>
          <w:color w:val="auto"/>
        </w:rPr>
      </w:pPr>
    </w:p>
    <w:p>
      <w:pPr>
        <w:ind w:left="1200"/>
        <w:spacing w:after="0"/>
        <w:rPr>
          <w:rFonts w:ascii="Arial" w:cs="Arial" w:eastAsia="Arial" w:hAnsi="Arial"/>
          <w:sz w:val="17"/>
          <w:szCs w:val="17"/>
          <w:color w:val="auto"/>
        </w:rPr>
      </w:pPr>
      <w:hyperlink r:id="rId70">
        <w:r>
          <w:rPr>
            <w:rFonts w:ascii="Arial" w:cs="Arial" w:eastAsia="Arial" w:hAnsi="Arial"/>
            <w:sz w:val="17"/>
            <w:szCs w:val="17"/>
            <w:color w:val="auto"/>
          </w:rPr>
          <w:t>001-34057), filed October 26, 2017.</w:t>
        </w:r>
      </w:hyperlink>
    </w:p>
    <w:p>
      <w:pPr>
        <w:spacing w:after="0" w:line="142" w:lineRule="exact"/>
        <w:rPr>
          <w:sz w:val="20"/>
          <w:szCs w:val="20"/>
          <w:color w:val="auto"/>
        </w:rPr>
      </w:pPr>
    </w:p>
    <w:p>
      <w:pPr>
        <w:jc w:val="both"/>
        <w:ind w:left="480" w:hanging="1199"/>
        <w:spacing w:after="0" w:line="266" w:lineRule="auto"/>
        <w:tabs>
          <w:tab w:leader="none" w:pos="460" w:val="left"/>
        </w:tabs>
        <w:rPr>
          <w:rFonts w:ascii="Arial" w:cs="Arial" w:eastAsia="Arial" w:hAnsi="Arial"/>
          <w:sz w:val="17"/>
          <w:szCs w:val="17"/>
          <w:color w:val="auto"/>
        </w:rPr>
      </w:pPr>
      <w:hyperlink r:id="rId71">
        <w:r>
          <w:rPr>
            <w:rFonts w:ascii="Arial" w:cs="Arial" w:eastAsia="Arial" w:hAnsi="Arial"/>
            <w:sz w:val="17"/>
            <w:szCs w:val="17"/>
            <w:color w:val="auto"/>
          </w:rPr>
          <w:t>*3.5</w:t>
        </w:r>
      </w:hyperlink>
      <w:r>
        <w:rPr>
          <w:rFonts w:ascii="Arial" w:cs="Arial" w:eastAsia="Arial" w:hAnsi="Arial"/>
          <w:sz w:val="17"/>
          <w:szCs w:val="17"/>
          <w:color w:val="auto"/>
        </w:rPr>
        <w:tab/>
      </w:r>
      <w:hyperlink r:id="rId71">
        <w:r>
          <w:rPr>
            <w:rFonts w:ascii="Arial" w:cs="Arial" w:eastAsia="Arial" w:hAnsi="Arial"/>
            <w:sz w:val="17"/>
            <w:szCs w:val="17"/>
            <w:color w:val="auto"/>
          </w:rPr>
          <w:t>Certificate of Designations of 6.875% Series D Fixed-to-Floating Rate Cumulative Redeemable Preferred Stock, incorporated herein by reference to Exhibit 3.5</w:t>
        </w:r>
      </w:hyperlink>
      <w:r>
        <w:rPr>
          <w:rFonts w:ascii="Arial" w:cs="Arial" w:eastAsia="Arial" w:hAnsi="Arial"/>
          <w:sz w:val="17"/>
          <w:szCs w:val="17"/>
          <w:color w:val="auto"/>
        </w:rPr>
        <w:t xml:space="preserve"> </w:t>
      </w:r>
      <w:hyperlink r:id="rId71">
        <w:r>
          <w:rPr>
            <w:rFonts w:ascii="Arial" w:cs="Arial" w:eastAsia="Arial" w:hAnsi="Arial"/>
            <w:sz w:val="17"/>
            <w:szCs w:val="17"/>
            <w:color w:val="auto"/>
          </w:rPr>
          <w:t>of Form 8-A (File No 001-34057), filed March 6, 2019.</w:t>
        </w:r>
      </w:hyperlink>
    </w:p>
    <w:p>
      <w:pPr>
        <w:spacing w:after="0" w:line="117" w:lineRule="exact"/>
        <w:rPr>
          <w:rFonts w:ascii="Arial" w:cs="Arial" w:eastAsia="Arial" w:hAnsi="Arial"/>
          <w:sz w:val="17"/>
          <w:szCs w:val="17"/>
          <w:color w:val="auto"/>
        </w:rPr>
      </w:pPr>
    </w:p>
    <w:p>
      <w:pPr>
        <w:jc w:val="both"/>
        <w:ind w:left="460" w:hanging="1199"/>
        <w:spacing w:after="0" w:line="266" w:lineRule="auto"/>
        <w:tabs>
          <w:tab w:leader="none" w:pos="440" w:val="left"/>
        </w:tabs>
        <w:rPr>
          <w:rFonts w:ascii="Arial" w:cs="Arial" w:eastAsia="Arial" w:hAnsi="Arial"/>
          <w:sz w:val="17"/>
          <w:szCs w:val="17"/>
          <w:color w:val="auto"/>
        </w:rPr>
      </w:pPr>
      <w:hyperlink r:id="rId72">
        <w:r>
          <w:rPr>
            <w:rFonts w:ascii="Arial" w:cs="Arial" w:eastAsia="Arial" w:hAnsi="Arial"/>
            <w:sz w:val="17"/>
            <w:szCs w:val="17"/>
            <w:color w:val="auto"/>
          </w:rPr>
          <w:t>*3.6</w:t>
        </w:r>
      </w:hyperlink>
      <w:r>
        <w:rPr>
          <w:rFonts w:ascii="Arial" w:cs="Arial" w:eastAsia="Arial" w:hAnsi="Arial"/>
          <w:sz w:val="17"/>
          <w:szCs w:val="17"/>
          <w:color w:val="auto"/>
        </w:rPr>
        <w:tab/>
      </w:r>
      <w:hyperlink r:id="rId72">
        <w:r>
          <w:rPr>
            <w:rFonts w:ascii="Arial" w:cs="Arial" w:eastAsia="Arial" w:hAnsi="Arial"/>
            <w:sz w:val="17"/>
            <w:szCs w:val="17"/>
            <w:color w:val="auto"/>
          </w:rPr>
          <w:t>Certificate of Designations of 6.50% Series E Fixed-to-Floating Rate Cumulative Redeemable Preferred Stock, incorporated herein by reference to Exhibit 3.6 of</w:t>
        </w:r>
      </w:hyperlink>
      <w:r>
        <w:rPr>
          <w:rFonts w:ascii="Arial" w:cs="Arial" w:eastAsia="Arial" w:hAnsi="Arial"/>
          <w:sz w:val="17"/>
          <w:szCs w:val="17"/>
          <w:color w:val="auto"/>
        </w:rPr>
        <w:t xml:space="preserve"> </w:t>
      </w:r>
      <w:hyperlink r:id="rId72">
        <w:r>
          <w:rPr>
            <w:rFonts w:ascii="Arial" w:cs="Arial" w:eastAsia="Arial" w:hAnsi="Arial"/>
            <w:sz w:val="17"/>
            <w:szCs w:val="17"/>
            <w:color w:val="auto"/>
          </w:rPr>
          <w:t>Form 8-A (File No 001-34057), filed October 3, 2019.</w:t>
        </w:r>
      </w:hyperlink>
    </w:p>
    <w:p>
      <w:pPr>
        <w:spacing w:after="0" w:line="117" w:lineRule="exact"/>
        <w:rPr>
          <w:rFonts w:ascii="Arial" w:cs="Arial" w:eastAsia="Arial" w:hAnsi="Arial"/>
          <w:sz w:val="17"/>
          <w:szCs w:val="17"/>
          <w:color w:val="auto"/>
        </w:rPr>
      </w:pPr>
    </w:p>
    <w:p>
      <w:pPr>
        <w:spacing w:after="0"/>
        <w:tabs>
          <w:tab w:leader="none" w:pos="480" w:val="left"/>
        </w:tabs>
        <w:rPr>
          <w:rFonts w:ascii="Arial" w:cs="Arial" w:eastAsia="Arial" w:hAnsi="Arial"/>
          <w:sz w:val="15"/>
          <w:szCs w:val="15"/>
          <w:color w:val="auto"/>
        </w:rPr>
      </w:pPr>
      <w:hyperlink r:id="rId73">
        <w:r>
          <w:rPr>
            <w:rFonts w:ascii="Arial" w:cs="Arial" w:eastAsia="Arial" w:hAnsi="Arial"/>
            <w:sz w:val="17"/>
            <w:szCs w:val="17"/>
            <w:color w:val="auto"/>
          </w:rPr>
          <w:t>*3.7</w:t>
        </w:r>
      </w:hyperlink>
      <w:r>
        <w:rPr>
          <w:rFonts w:ascii="Arial" w:cs="Arial" w:eastAsia="Arial" w:hAnsi="Arial"/>
          <w:sz w:val="17"/>
          <w:szCs w:val="17"/>
          <w:color w:val="auto"/>
        </w:rPr>
        <w:tab/>
      </w:r>
      <w:hyperlink r:id="rId73">
        <w:r>
          <w:rPr>
            <w:rFonts w:ascii="Arial" w:cs="Arial" w:eastAsia="Arial" w:hAnsi="Arial"/>
            <w:sz w:val="15"/>
            <w:szCs w:val="15"/>
            <w:color w:val="auto"/>
          </w:rPr>
          <w:t>Certificate of Elimination of 7.750% Series B Cumulative Redeemable Preferred Stock, incorporated herein by reference to Exhibit 3.1 of Form 8-K (File No</w:t>
        </w:r>
      </w:hyperlink>
    </w:p>
    <w:p>
      <w:pPr>
        <w:spacing w:after="0" w:line="17" w:lineRule="exact"/>
        <w:rPr>
          <w:sz w:val="20"/>
          <w:szCs w:val="20"/>
          <w:color w:val="auto"/>
        </w:rPr>
      </w:pPr>
    </w:p>
    <w:p>
      <w:pPr>
        <w:ind w:left="1200"/>
        <w:spacing w:after="0"/>
        <w:rPr>
          <w:rFonts w:ascii="Arial" w:cs="Arial" w:eastAsia="Arial" w:hAnsi="Arial"/>
          <w:sz w:val="17"/>
          <w:szCs w:val="17"/>
          <w:color w:val="auto"/>
        </w:rPr>
      </w:pPr>
      <w:hyperlink r:id="rId73">
        <w:r>
          <w:rPr>
            <w:rFonts w:ascii="Arial" w:cs="Arial" w:eastAsia="Arial" w:hAnsi="Arial"/>
            <w:sz w:val="17"/>
            <w:szCs w:val="17"/>
            <w:color w:val="auto"/>
          </w:rPr>
          <w:t>001-34057), filed December 13, 2019.</w:t>
        </w:r>
      </w:hyperlink>
    </w:p>
    <w:p>
      <w:pPr>
        <w:spacing w:after="0" w:line="142" w:lineRule="exact"/>
        <w:rPr>
          <w:sz w:val="20"/>
          <w:szCs w:val="20"/>
          <w:color w:val="auto"/>
        </w:rPr>
      </w:pPr>
    </w:p>
    <w:p>
      <w:pPr>
        <w:jc w:val="both"/>
        <w:ind w:left="480" w:hanging="1199"/>
        <w:spacing w:after="0" w:line="266" w:lineRule="auto"/>
        <w:tabs>
          <w:tab w:leader="none" w:pos="460" w:val="left"/>
        </w:tabs>
        <w:rPr>
          <w:rFonts w:ascii="Arial" w:cs="Arial" w:eastAsia="Arial" w:hAnsi="Arial"/>
          <w:sz w:val="17"/>
          <w:szCs w:val="17"/>
          <w:color w:val="auto"/>
        </w:rPr>
      </w:pPr>
      <w:hyperlink r:id="rId74">
        <w:r>
          <w:rPr>
            <w:rFonts w:ascii="Arial" w:cs="Arial" w:eastAsia="Arial" w:hAnsi="Arial"/>
            <w:sz w:val="17"/>
            <w:szCs w:val="17"/>
            <w:color w:val="auto"/>
          </w:rPr>
          <w:t>*3.8</w:t>
        </w:r>
      </w:hyperlink>
      <w:r>
        <w:rPr>
          <w:rFonts w:ascii="Arial" w:cs="Arial" w:eastAsia="Arial" w:hAnsi="Arial"/>
          <w:sz w:val="17"/>
          <w:szCs w:val="17"/>
          <w:color w:val="auto"/>
        </w:rPr>
        <w:tab/>
      </w:r>
      <w:hyperlink r:id="rId74">
        <w:r>
          <w:rPr>
            <w:rFonts w:ascii="Arial" w:cs="Arial" w:eastAsia="Arial" w:hAnsi="Arial"/>
            <w:sz w:val="17"/>
            <w:szCs w:val="17"/>
            <w:color w:val="auto"/>
          </w:rPr>
          <w:t>Certificate of Designations of 6.125% Series F Fixed-to-Floating Rate Cumulative Redeemable Preferred Stock, incorporated herein by reference to Exhibit 3.6</w:t>
        </w:r>
      </w:hyperlink>
      <w:r>
        <w:rPr>
          <w:rFonts w:ascii="Arial" w:cs="Arial" w:eastAsia="Arial" w:hAnsi="Arial"/>
          <w:sz w:val="17"/>
          <w:szCs w:val="17"/>
          <w:color w:val="auto"/>
        </w:rPr>
        <w:t xml:space="preserve"> </w:t>
      </w:r>
      <w:hyperlink r:id="rId74">
        <w:r>
          <w:rPr>
            <w:rFonts w:ascii="Arial" w:cs="Arial" w:eastAsia="Arial" w:hAnsi="Arial"/>
            <w:sz w:val="17"/>
            <w:szCs w:val="17"/>
            <w:color w:val="auto"/>
          </w:rPr>
          <w:t>of Form 8-A (File No 001-34057), filed February 11, 2020.</w:t>
        </w:r>
      </w:hyperlink>
    </w:p>
    <w:p>
      <w:pPr>
        <w:spacing w:after="0" w:line="117" w:lineRule="exact"/>
        <w:rPr>
          <w:rFonts w:ascii="Arial" w:cs="Arial" w:eastAsia="Arial" w:hAnsi="Arial"/>
          <w:sz w:val="17"/>
          <w:szCs w:val="17"/>
          <w:color w:val="auto"/>
        </w:rPr>
      </w:pPr>
    </w:p>
    <w:p>
      <w:pPr>
        <w:jc w:val="both"/>
        <w:ind w:left="520" w:hanging="1199"/>
        <w:spacing w:after="0" w:line="266" w:lineRule="auto"/>
        <w:tabs>
          <w:tab w:leader="none" w:pos="500" w:val="left"/>
        </w:tabs>
        <w:rPr>
          <w:rFonts w:ascii="Arial" w:cs="Arial" w:eastAsia="Arial" w:hAnsi="Arial"/>
          <w:sz w:val="17"/>
          <w:szCs w:val="17"/>
          <w:color w:val="auto"/>
        </w:rPr>
      </w:pPr>
      <w:hyperlink r:id="rId67">
        <w:r>
          <w:rPr>
            <w:rFonts w:ascii="Arial" w:cs="Arial" w:eastAsia="Arial" w:hAnsi="Arial"/>
            <w:sz w:val="17"/>
            <w:szCs w:val="17"/>
            <w:color w:val="auto"/>
          </w:rPr>
          <w:t>*4.1</w:t>
        </w:r>
      </w:hyperlink>
      <w:r>
        <w:rPr>
          <w:rFonts w:ascii="Arial" w:cs="Arial" w:eastAsia="Arial" w:hAnsi="Arial"/>
          <w:sz w:val="17"/>
          <w:szCs w:val="17"/>
          <w:color w:val="auto"/>
        </w:rPr>
        <w:tab/>
      </w:r>
      <w:hyperlink r:id="rId67">
        <w:r>
          <w:rPr>
            <w:rFonts w:ascii="Arial" w:cs="Arial" w:eastAsia="Arial" w:hAnsi="Arial"/>
            <w:sz w:val="17"/>
            <w:szCs w:val="17"/>
            <w:color w:val="auto"/>
          </w:rPr>
          <w:t>Instruments defining the rights of holders of securities: See Article IV of our Amended and Restated Certificate of Incorporation, as amended, incorporated</w:t>
        </w:r>
      </w:hyperlink>
      <w:r>
        <w:rPr>
          <w:rFonts w:ascii="Arial" w:cs="Arial" w:eastAsia="Arial" w:hAnsi="Arial"/>
          <w:sz w:val="17"/>
          <w:szCs w:val="17"/>
          <w:color w:val="auto"/>
        </w:rPr>
        <w:t xml:space="preserve"> </w:t>
      </w:r>
      <w:hyperlink r:id="rId67">
        <w:r>
          <w:rPr>
            <w:rFonts w:ascii="Arial" w:cs="Arial" w:eastAsia="Arial" w:hAnsi="Arial"/>
            <w:sz w:val="17"/>
            <w:szCs w:val="17"/>
            <w:color w:val="auto"/>
          </w:rPr>
          <w:t>herein by reference to Exhibit 3.1 of Form 10-Q for the quarter ended March 31, 2020 (File No. 001-34057) filed May 11, 2020.</w:t>
        </w:r>
      </w:hyperlink>
    </w:p>
    <w:p>
      <w:pPr>
        <w:spacing w:after="0" w:line="200" w:lineRule="exact"/>
        <w:rPr>
          <w:rFonts w:ascii="Arial" w:cs="Arial" w:eastAsia="Arial" w:hAnsi="Arial"/>
          <w:sz w:val="17"/>
          <w:szCs w:val="17"/>
          <w:color w:val="auto"/>
        </w:rPr>
      </w:pPr>
    </w:p>
    <w:p>
      <w:pPr>
        <w:spacing w:after="0" w:line="279" w:lineRule="exact"/>
        <w:rPr>
          <w:rFonts w:ascii="Arial" w:cs="Arial" w:eastAsia="Arial" w:hAnsi="Arial"/>
          <w:sz w:val="17"/>
          <w:szCs w:val="17"/>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5">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835" w:right="339" w:bottom="1440" w:gutter="0" w:footer="0" w:header="0"/>
        </w:sectPr>
      </w:pPr>
    </w:p>
    <w:bookmarkStart w:id="48" w:name="page49"/>
    <w:bookmarkEnd w:id="48"/>
    <w:p>
      <w:pPr>
        <w:jc w:val="both"/>
        <w:ind w:left="540" w:hanging="1199"/>
        <w:spacing w:after="0" w:line="266" w:lineRule="auto"/>
        <w:tabs>
          <w:tab w:leader="none" w:pos="520" w:val="left"/>
        </w:tabs>
        <w:rPr>
          <w:rFonts w:ascii="Arial" w:cs="Arial" w:eastAsia="Arial" w:hAnsi="Arial"/>
          <w:sz w:val="17"/>
          <w:szCs w:val="17"/>
          <w:color w:val="auto"/>
        </w:rPr>
      </w:pPr>
      <w:hyperlink r:id="rId68">
        <w:r>
          <w:rPr>
            <w:rFonts w:ascii="Arial" w:cs="Arial" w:eastAsia="Arial" w:hAnsi="Arial"/>
            <w:sz w:val="17"/>
            <w:szCs w:val="17"/>
            <w:color w:val="auto"/>
          </w:rPr>
          <w:t>*4.2</w:t>
        </w:r>
      </w:hyperlink>
      <w:r>
        <w:rPr>
          <w:rFonts w:ascii="Arial" w:cs="Arial" w:eastAsia="Arial" w:hAnsi="Arial"/>
          <w:sz w:val="17"/>
          <w:szCs w:val="17"/>
          <w:color w:val="auto"/>
        </w:rPr>
        <w:tab/>
      </w:r>
      <w:hyperlink r:id="rId68">
        <w:r>
          <w:rPr>
            <w:rFonts w:ascii="Arial" w:cs="Arial" w:eastAsia="Arial" w:hAnsi="Arial"/>
            <w:sz w:val="17"/>
            <w:szCs w:val="17"/>
            <w:color w:val="auto"/>
          </w:rPr>
          <w:t>Instruments defining the rights of holders of securities: See Article VI of our Fourth Amended and Restated Bylaws, as amended, incorporated herein by</w:t>
        </w:r>
      </w:hyperlink>
      <w:r>
        <w:rPr>
          <w:rFonts w:ascii="Arial" w:cs="Arial" w:eastAsia="Arial" w:hAnsi="Arial"/>
          <w:sz w:val="17"/>
          <w:szCs w:val="17"/>
          <w:color w:val="auto"/>
        </w:rPr>
        <w:t xml:space="preserve"> </w:t>
      </w:r>
      <w:hyperlink r:id="rId68">
        <w:r>
          <w:rPr>
            <w:rFonts w:ascii="Arial" w:cs="Arial" w:eastAsia="Arial" w:hAnsi="Arial"/>
            <w:sz w:val="17"/>
            <w:szCs w:val="17"/>
            <w:color w:val="auto"/>
          </w:rPr>
          <w:t>reference to Exhibit 3.1 of Form 8-K (File No. 001-34057) filed March 11, 2021.</w:t>
        </w:r>
      </w:hyperlink>
    </w:p>
    <w:p>
      <w:pPr>
        <w:spacing w:after="0" w:line="117" w:lineRule="exact"/>
        <w:rPr>
          <w:rFonts w:ascii="Arial" w:cs="Arial" w:eastAsia="Arial" w:hAnsi="Arial"/>
          <w:sz w:val="17"/>
          <w:szCs w:val="17"/>
          <w:color w:val="auto"/>
        </w:rPr>
      </w:pPr>
    </w:p>
    <w:p>
      <w:pPr>
        <w:spacing w:after="0"/>
        <w:tabs>
          <w:tab w:leader="none" w:pos="460" w:val="left"/>
        </w:tabs>
        <w:rPr>
          <w:rFonts w:ascii="Arial" w:cs="Arial" w:eastAsia="Arial" w:hAnsi="Arial"/>
          <w:sz w:val="15"/>
          <w:szCs w:val="15"/>
          <w:color w:val="auto"/>
        </w:rPr>
      </w:pPr>
      <w:hyperlink r:id="rId76">
        <w:r>
          <w:rPr>
            <w:rFonts w:ascii="Arial" w:cs="Arial" w:eastAsia="Arial" w:hAnsi="Arial"/>
            <w:sz w:val="17"/>
            <w:szCs w:val="17"/>
            <w:color w:val="auto"/>
          </w:rPr>
          <w:t>*4.3</w:t>
        </w:r>
      </w:hyperlink>
      <w:r>
        <w:rPr>
          <w:rFonts w:ascii="Arial" w:cs="Arial" w:eastAsia="Arial" w:hAnsi="Arial"/>
          <w:sz w:val="17"/>
          <w:szCs w:val="17"/>
          <w:color w:val="auto"/>
        </w:rPr>
        <w:tab/>
      </w:r>
      <w:hyperlink r:id="rId76">
        <w:r>
          <w:rPr>
            <w:rFonts w:ascii="Arial" w:cs="Arial" w:eastAsia="Arial" w:hAnsi="Arial"/>
            <w:sz w:val="15"/>
            <w:szCs w:val="15"/>
            <w:color w:val="auto"/>
          </w:rPr>
          <w:t>Form of Certificate for Common Stock, incorporated herein by reference to Exhibit 4.3 of Form 10-Q for the quarter ended September 30, 2016 (File No. 001-</w:t>
        </w:r>
      </w:hyperlink>
    </w:p>
    <w:p>
      <w:pPr>
        <w:spacing w:after="0" w:line="17" w:lineRule="exact"/>
        <w:rPr>
          <w:sz w:val="20"/>
          <w:szCs w:val="20"/>
          <w:color w:val="auto"/>
        </w:rPr>
      </w:pPr>
    </w:p>
    <w:p>
      <w:pPr>
        <w:ind w:left="1200"/>
        <w:spacing w:after="0"/>
        <w:rPr>
          <w:rFonts w:ascii="Arial" w:cs="Arial" w:eastAsia="Arial" w:hAnsi="Arial"/>
          <w:sz w:val="17"/>
          <w:szCs w:val="17"/>
          <w:color w:val="auto"/>
        </w:rPr>
      </w:pPr>
      <w:hyperlink r:id="rId76">
        <w:r>
          <w:rPr>
            <w:rFonts w:ascii="Arial" w:cs="Arial" w:eastAsia="Arial" w:hAnsi="Arial"/>
            <w:sz w:val="17"/>
            <w:szCs w:val="17"/>
            <w:color w:val="auto"/>
          </w:rPr>
          <w:t>34057), filed November 7, 2016.</w:t>
        </w:r>
      </w:hyperlink>
    </w:p>
    <w:p>
      <w:pPr>
        <w:spacing w:after="0" w:line="142" w:lineRule="exact"/>
        <w:rPr>
          <w:sz w:val="20"/>
          <w:szCs w:val="20"/>
          <w:color w:val="auto"/>
        </w:rPr>
      </w:pPr>
    </w:p>
    <w:p>
      <w:pPr>
        <w:jc w:val="both"/>
        <w:ind w:left="460" w:hanging="1199"/>
        <w:spacing w:after="0" w:line="266" w:lineRule="auto"/>
        <w:tabs>
          <w:tab w:leader="none" w:pos="440" w:val="left"/>
        </w:tabs>
        <w:rPr>
          <w:rFonts w:ascii="Arial" w:cs="Arial" w:eastAsia="Arial" w:hAnsi="Arial"/>
          <w:sz w:val="17"/>
          <w:szCs w:val="17"/>
          <w:color w:val="auto"/>
        </w:rPr>
      </w:pPr>
      <w:hyperlink r:id="rId77">
        <w:r>
          <w:rPr>
            <w:rFonts w:ascii="Arial" w:cs="Arial" w:eastAsia="Arial" w:hAnsi="Arial"/>
            <w:sz w:val="17"/>
            <w:szCs w:val="17"/>
            <w:color w:val="auto"/>
          </w:rPr>
          <w:t>*4.4</w:t>
        </w:r>
      </w:hyperlink>
      <w:r>
        <w:rPr>
          <w:rFonts w:ascii="Arial" w:cs="Arial" w:eastAsia="Arial" w:hAnsi="Arial"/>
          <w:sz w:val="17"/>
          <w:szCs w:val="17"/>
          <w:color w:val="auto"/>
        </w:rPr>
        <w:tab/>
      </w:r>
      <w:hyperlink r:id="rId77">
        <w:r>
          <w:rPr>
            <w:rFonts w:ascii="Arial" w:cs="Arial" w:eastAsia="Arial" w:hAnsi="Arial"/>
            <w:sz w:val="17"/>
            <w:szCs w:val="17"/>
            <w:color w:val="auto"/>
          </w:rPr>
          <w:t>Specimen 7.00% Series C Fixed-to-Floating Rate Cumulative Redeemable Preferred Stock Certificate, incorporated herein by reference to Exhibit 4.1 of Form 8-</w:t>
        </w:r>
      </w:hyperlink>
      <w:hyperlink r:id="rId77">
        <w:r>
          <w:rPr>
            <w:rFonts w:ascii="Arial" w:cs="Arial" w:eastAsia="Arial" w:hAnsi="Arial"/>
            <w:sz w:val="17"/>
            <w:szCs w:val="17"/>
            <w:color w:val="auto"/>
          </w:rPr>
          <w:t>A (File No. 001-34057), filed August 18, 2017.</w:t>
        </w:r>
      </w:hyperlink>
    </w:p>
    <w:p>
      <w:pPr>
        <w:spacing w:after="0" w:line="117" w:lineRule="exact"/>
        <w:rPr>
          <w:rFonts w:ascii="Arial" w:cs="Arial" w:eastAsia="Arial" w:hAnsi="Arial"/>
          <w:sz w:val="17"/>
          <w:szCs w:val="17"/>
          <w:color w:val="auto"/>
        </w:rPr>
      </w:pPr>
    </w:p>
    <w:p>
      <w:pPr>
        <w:spacing w:after="0"/>
        <w:tabs>
          <w:tab w:leader="none" w:pos="460" w:val="left"/>
        </w:tabs>
        <w:rPr>
          <w:rFonts w:ascii="Arial" w:cs="Arial" w:eastAsia="Arial" w:hAnsi="Arial"/>
          <w:sz w:val="15"/>
          <w:szCs w:val="15"/>
          <w:color w:val="auto"/>
        </w:rPr>
      </w:pPr>
      <w:hyperlink r:id="rId78">
        <w:r>
          <w:rPr>
            <w:rFonts w:ascii="Arial" w:cs="Arial" w:eastAsia="Arial" w:hAnsi="Arial"/>
            <w:sz w:val="17"/>
            <w:szCs w:val="17"/>
            <w:color w:val="auto"/>
          </w:rPr>
          <w:t>*4.5</w:t>
        </w:r>
      </w:hyperlink>
      <w:r>
        <w:rPr>
          <w:rFonts w:ascii="Arial" w:cs="Arial" w:eastAsia="Arial" w:hAnsi="Arial"/>
          <w:sz w:val="17"/>
          <w:szCs w:val="17"/>
          <w:color w:val="auto"/>
        </w:rPr>
        <w:tab/>
      </w:r>
      <w:hyperlink r:id="rId78">
        <w:r>
          <w:rPr>
            <w:rFonts w:ascii="Arial" w:cs="Arial" w:eastAsia="Arial" w:hAnsi="Arial"/>
            <w:sz w:val="15"/>
            <w:szCs w:val="15"/>
            <w:color w:val="auto"/>
          </w:rPr>
          <w:t>Specimen 6.875% Series D Fixed-to-Floating Rate Cumulative Redeemable Preferred Stock Certificate, incorporated herein by reference to Exhibit 4.1 of Form</w:t>
        </w:r>
      </w:hyperlink>
    </w:p>
    <w:p>
      <w:pPr>
        <w:spacing w:after="0" w:line="17" w:lineRule="exact"/>
        <w:rPr>
          <w:sz w:val="20"/>
          <w:szCs w:val="20"/>
          <w:color w:val="auto"/>
        </w:rPr>
      </w:pPr>
    </w:p>
    <w:p>
      <w:pPr>
        <w:ind w:left="1200"/>
        <w:spacing w:after="0"/>
        <w:rPr>
          <w:rFonts w:ascii="Arial" w:cs="Arial" w:eastAsia="Arial" w:hAnsi="Arial"/>
          <w:sz w:val="17"/>
          <w:szCs w:val="17"/>
          <w:color w:val="auto"/>
        </w:rPr>
      </w:pPr>
      <w:hyperlink r:id="rId78">
        <w:r>
          <w:rPr>
            <w:rFonts w:ascii="Arial" w:cs="Arial" w:eastAsia="Arial" w:hAnsi="Arial"/>
            <w:sz w:val="17"/>
            <w:szCs w:val="17"/>
            <w:color w:val="auto"/>
          </w:rPr>
          <w:t>8-A (File No. 001-34057), filed March 6, 2019.</w:t>
        </w:r>
      </w:hyperlink>
    </w:p>
    <w:p>
      <w:pPr>
        <w:spacing w:after="0" w:line="142" w:lineRule="exact"/>
        <w:rPr>
          <w:sz w:val="20"/>
          <w:szCs w:val="20"/>
          <w:color w:val="auto"/>
        </w:rPr>
      </w:pPr>
    </w:p>
    <w:p>
      <w:pPr>
        <w:jc w:val="both"/>
        <w:ind w:left="460" w:hanging="1199"/>
        <w:spacing w:after="0" w:line="266" w:lineRule="auto"/>
        <w:tabs>
          <w:tab w:leader="none" w:pos="440" w:val="left"/>
        </w:tabs>
        <w:rPr>
          <w:rFonts w:ascii="Arial" w:cs="Arial" w:eastAsia="Arial" w:hAnsi="Arial"/>
          <w:sz w:val="17"/>
          <w:szCs w:val="17"/>
          <w:color w:val="auto"/>
        </w:rPr>
      </w:pPr>
      <w:hyperlink r:id="rId79">
        <w:r>
          <w:rPr>
            <w:rFonts w:ascii="Arial" w:cs="Arial" w:eastAsia="Arial" w:hAnsi="Arial"/>
            <w:sz w:val="17"/>
            <w:szCs w:val="17"/>
            <w:color w:val="auto"/>
          </w:rPr>
          <w:t>*4.6</w:t>
        </w:r>
      </w:hyperlink>
      <w:r>
        <w:rPr>
          <w:rFonts w:ascii="Arial" w:cs="Arial" w:eastAsia="Arial" w:hAnsi="Arial"/>
          <w:sz w:val="17"/>
          <w:szCs w:val="17"/>
          <w:color w:val="auto"/>
        </w:rPr>
        <w:tab/>
      </w:r>
      <w:hyperlink r:id="rId79">
        <w:r>
          <w:rPr>
            <w:rFonts w:ascii="Arial" w:cs="Arial" w:eastAsia="Arial" w:hAnsi="Arial"/>
            <w:sz w:val="17"/>
            <w:szCs w:val="17"/>
            <w:color w:val="auto"/>
          </w:rPr>
          <w:t>Specimen 6.50% Series E Fixed-to-Floating Rate Cumulative Redeemable Preferred Stock Certificate, incorporated herein by reference to Exhibit 4.1 of Form 8-</w:t>
        </w:r>
      </w:hyperlink>
      <w:hyperlink r:id="rId79">
        <w:r>
          <w:rPr>
            <w:rFonts w:ascii="Arial" w:cs="Arial" w:eastAsia="Arial" w:hAnsi="Arial"/>
            <w:sz w:val="17"/>
            <w:szCs w:val="17"/>
            <w:color w:val="auto"/>
          </w:rPr>
          <w:t>A (File No. 001-34057), filed October 3, 2019.</w:t>
        </w:r>
      </w:hyperlink>
    </w:p>
    <w:p>
      <w:pPr>
        <w:spacing w:after="0" w:line="117" w:lineRule="exact"/>
        <w:rPr>
          <w:rFonts w:ascii="Arial" w:cs="Arial" w:eastAsia="Arial" w:hAnsi="Arial"/>
          <w:sz w:val="17"/>
          <w:szCs w:val="17"/>
          <w:color w:val="auto"/>
        </w:rPr>
      </w:pPr>
    </w:p>
    <w:p>
      <w:pPr>
        <w:spacing w:after="0"/>
        <w:tabs>
          <w:tab w:leader="none" w:pos="460" w:val="left"/>
        </w:tabs>
        <w:rPr>
          <w:rFonts w:ascii="Arial" w:cs="Arial" w:eastAsia="Arial" w:hAnsi="Arial"/>
          <w:sz w:val="15"/>
          <w:szCs w:val="15"/>
          <w:color w:val="auto"/>
        </w:rPr>
      </w:pPr>
      <w:hyperlink r:id="rId80">
        <w:r>
          <w:rPr>
            <w:rFonts w:ascii="Arial" w:cs="Arial" w:eastAsia="Arial" w:hAnsi="Arial"/>
            <w:sz w:val="17"/>
            <w:szCs w:val="17"/>
            <w:color w:val="auto"/>
          </w:rPr>
          <w:t>*4.7</w:t>
        </w:r>
      </w:hyperlink>
      <w:r>
        <w:rPr>
          <w:rFonts w:ascii="Arial" w:cs="Arial" w:eastAsia="Arial" w:hAnsi="Arial"/>
          <w:sz w:val="17"/>
          <w:szCs w:val="17"/>
          <w:color w:val="auto"/>
        </w:rPr>
        <w:tab/>
      </w:r>
      <w:hyperlink r:id="rId80">
        <w:r>
          <w:rPr>
            <w:rFonts w:ascii="Arial" w:cs="Arial" w:eastAsia="Arial" w:hAnsi="Arial"/>
            <w:sz w:val="15"/>
            <w:szCs w:val="15"/>
            <w:color w:val="auto"/>
          </w:rPr>
          <w:t>Specimen 6.125% Series F Fixed-to-Floating Rate Cumulative Redeemable Preferred Stock Certificate, incorporated herein by reference to Exhibit 4.1 of Form</w:t>
        </w:r>
      </w:hyperlink>
    </w:p>
    <w:p>
      <w:pPr>
        <w:spacing w:after="0" w:line="17" w:lineRule="exact"/>
        <w:rPr>
          <w:sz w:val="20"/>
          <w:szCs w:val="20"/>
          <w:color w:val="auto"/>
        </w:rPr>
      </w:pPr>
    </w:p>
    <w:p>
      <w:pPr>
        <w:ind w:left="1200"/>
        <w:spacing w:after="0"/>
        <w:rPr>
          <w:rFonts w:ascii="Arial" w:cs="Arial" w:eastAsia="Arial" w:hAnsi="Arial"/>
          <w:sz w:val="17"/>
          <w:szCs w:val="17"/>
          <w:color w:val="auto"/>
        </w:rPr>
      </w:pPr>
      <w:hyperlink r:id="rId80">
        <w:r>
          <w:rPr>
            <w:rFonts w:ascii="Arial" w:cs="Arial" w:eastAsia="Arial" w:hAnsi="Arial"/>
            <w:sz w:val="17"/>
            <w:szCs w:val="17"/>
            <w:color w:val="auto"/>
          </w:rPr>
          <w:t>8-A (File No 001-34057), filed February 11, 2020.</w:t>
        </w:r>
      </w:hyperlink>
    </w:p>
    <w:p>
      <w:pPr>
        <w:spacing w:after="0" w:line="142" w:lineRule="exact"/>
        <w:rPr>
          <w:sz w:val="20"/>
          <w:szCs w:val="20"/>
          <w:color w:val="auto"/>
        </w:rPr>
      </w:pPr>
    </w:p>
    <w:p>
      <w:pPr>
        <w:jc w:val="both"/>
        <w:ind w:left="580" w:hanging="1199"/>
        <w:spacing w:after="0" w:line="255" w:lineRule="auto"/>
        <w:tabs>
          <w:tab w:leader="none" w:pos="560" w:val="left"/>
        </w:tabs>
        <w:rPr>
          <w:rFonts w:ascii="Arial" w:cs="Arial" w:eastAsia="Arial" w:hAnsi="Arial"/>
          <w:sz w:val="17"/>
          <w:szCs w:val="17"/>
          <w:color w:val="auto"/>
        </w:rPr>
      </w:pPr>
      <w:hyperlink r:id="rId81">
        <w:r>
          <w:rPr>
            <w:rFonts w:ascii="Arial" w:cs="Arial" w:eastAsia="Arial" w:hAnsi="Arial"/>
            <w:sz w:val="17"/>
            <w:szCs w:val="17"/>
            <w:color w:val="auto"/>
          </w:rPr>
          <w:t>*4.8</w:t>
        </w:r>
      </w:hyperlink>
      <w:r>
        <w:rPr>
          <w:rFonts w:ascii="Arial" w:cs="Arial" w:eastAsia="Arial" w:hAnsi="Arial"/>
          <w:sz w:val="17"/>
          <w:szCs w:val="17"/>
          <w:color w:val="auto"/>
        </w:rPr>
        <w:tab/>
      </w:r>
      <w:hyperlink r:id="rId81">
        <w:r>
          <w:rPr>
            <w:rFonts w:ascii="Arial" w:cs="Arial" w:eastAsia="Arial" w:hAnsi="Arial"/>
            <w:sz w:val="17"/>
            <w:szCs w:val="17"/>
            <w:color w:val="auto"/>
          </w:rPr>
          <w:t>Deposit Agreement relating to 7.00% Series C Fixed-to-Floating Rate Cumulative Redeemable Preferred Stock, dated August 22, 2017, among AGNC</w:t>
        </w:r>
      </w:hyperlink>
      <w:r>
        <w:rPr>
          <w:rFonts w:ascii="Arial" w:cs="Arial" w:eastAsia="Arial" w:hAnsi="Arial"/>
          <w:sz w:val="17"/>
          <w:szCs w:val="17"/>
          <w:color w:val="auto"/>
        </w:rPr>
        <w:t xml:space="preserve"> </w:t>
      </w:r>
      <w:hyperlink r:id="rId81">
        <w:r>
          <w:rPr>
            <w:rFonts w:ascii="Arial" w:cs="Arial" w:eastAsia="Arial" w:hAnsi="Arial"/>
            <w:sz w:val="17"/>
            <w:szCs w:val="17"/>
            <w:color w:val="auto"/>
          </w:rPr>
          <w:t>Investment Corp., Computershare Inc. and Computershare Trust Company, N.A., jointly as depositary, incorporated herein by reference to Exhibit 4.2</w:t>
        </w:r>
      </w:hyperlink>
      <w:r>
        <w:rPr>
          <w:rFonts w:ascii="Arial" w:cs="Arial" w:eastAsia="Arial" w:hAnsi="Arial"/>
          <w:sz w:val="17"/>
          <w:szCs w:val="17"/>
          <w:color w:val="auto"/>
        </w:rPr>
        <w:t xml:space="preserve"> </w:t>
      </w:r>
      <w:hyperlink r:id="rId81">
        <w:r>
          <w:rPr>
            <w:rFonts w:ascii="Arial" w:cs="Arial" w:eastAsia="Arial" w:hAnsi="Arial"/>
            <w:sz w:val="17"/>
            <w:szCs w:val="17"/>
            <w:color w:val="auto"/>
          </w:rPr>
          <w:t>of Form 8-K (File No. 001-34057) filed August 22, 2017.</w:t>
        </w:r>
      </w:hyperlink>
    </w:p>
    <w:p>
      <w:pPr>
        <w:spacing w:after="0" w:line="127" w:lineRule="exact"/>
        <w:rPr>
          <w:rFonts w:ascii="Arial" w:cs="Arial" w:eastAsia="Arial" w:hAnsi="Arial"/>
          <w:sz w:val="17"/>
          <w:szCs w:val="17"/>
          <w:color w:val="auto"/>
        </w:rPr>
      </w:pPr>
    </w:p>
    <w:p>
      <w:pPr>
        <w:jc w:val="both"/>
        <w:ind w:left="500" w:hanging="1199"/>
        <w:spacing w:after="0" w:line="297" w:lineRule="auto"/>
        <w:tabs>
          <w:tab w:leader="none" w:pos="480" w:val="left"/>
        </w:tabs>
        <w:rPr>
          <w:rFonts w:ascii="Arial" w:cs="Arial" w:eastAsia="Arial" w:hAnsi="Arial"/>
          <w:sz w:val="16"/>
          <w:szCs w:val="16"/>
          <w:color w:val="auto"/>
        </w:rPr>
      </w:pPr>
      <w:hyperlink r:id="rId81">
        <w:r>
          <w:rPr>
            <w:rFonts w:ascii="Arial" w:cs="Arial" w:eastAsia="Arial" w:hAnsi="Arial"/>
            <w:sz w:val="17"/>
            <w:szCs w:val="17"/>
            <w:color w:val="auto"/>
          </w:rPr>
          <w:t>*4.9</w:t>
        </w:r>
      </w:hyperlink>
      <w:r>
        <w:rPr>
          <w:rFonts w:ascii="Arial" w:cs="Arial" w:eastAsia="Arial" w:hAnsi="Arial"/>
          <w:sz w:val="17"/>
          <w:szCs w:val="17"/>
          <w:color w:val="auto"/>
        </w:rPr>
        <w:tab/>
      </w:r>
      <w:hyperlink r:id="rId81">
        <w:r>
          <w:rPr>
            <w:rFonts w:ascii="Arial" w:cs="Arial" w:eastAsia="Arial" w:hAnsi="Arial"/>
            <w:sz w:val="16"/>
            <w:szCs w:val="16"/>
            <w:color w:val="auto"/>
          </w:rPr>
          <w:t>Form of Depositary Receipt representing 1/1,000th of a share of 7.00% Series C Fixed-to-Floating Rate Cumulative Redeemable Preferred Stock (included as</w:t>
        </w:r>
      </w:hyperlink>
      <w:r>
        <w:rPr>
          <w:rFonts w:ascii="Arial" w:cs="Arial" w:eastAsia="Arial" w:hAnsi="Arial"/>
          <w:sz w:val="16"/>
          <w:szCs w:val="16"/>
          <w:color w:val="auto"/>
        </w:rPr>
        <w:t xml:space="preserve"> </w:t>
      </w:r>
      <w:hyperlink r:id="rId81">
        <w:r>
          <w:rPr>
            <w:rFonts w:ascii="Arial" w:cs="Arial" w:eastAsia="Arial" w:hAnsi="Arial"/>
            <w:sz w:val="16"/>
            <w:szCs w:val="16"/>
            <w:color w:val="auto"/>
          </w:rPr>
          <w:t>part of Exhibit 4.8), incorporated herein by reference to Exhibit A of Exhibit 4.2 of Form 8-K (File No. 001-34057) filed August 22, 2017.</w:t>
        </w:r>
      </w:hyperlink>
    </w:p>
    <w:p>
      <w:pPr>
        <w:spacing w:after="0" w:line="95" w:lineRule="exact"/>
        <w:rPr>
          <w:rFonts w:ascii="Arial" w:cs="Arial" w:eastAsia="Arial" w:hAnsi="Arial"/>
          <w:sz w:val="17"/>
          <w:szCs w:val="17"/>
          <w:color w:val="auto"/>
        </w:rPr>
      </w:pPr>
    </w:p>
    <w:p>
      <w:pPr>
        <w:jc w:val="both"/>
        <w:ind w:left="660" w:hanging="1199"/>
        <w:spacing w:after="0" w:line="255" w:lineRule="auto"/>
        <w:tabs>
          <w:tab w:leader="none" w:pos="640" w:val="left"/>
        </w:tabs>
        <w:rPr>
          <w:rFonts w:ascii="Arial" w:cs="Arial" w:eastAsia="Arial" w:hAnsi="Arial"/>
          <w:sz w:val="17"/>
          <w:szCs w:val="17"/>
          <w:color w:val="auto"/>
        </w:rPr>
      </w:pPr>
      <w:hyperlink r:id="rId82">
        <w:r>
          <w:rPr>
            <w:rFonts w:ascii="Arial" w:cs="Arial" w:eastAsia="Arial" w:hAnsi="Arial"/>
            <w:sz w:val="17"/>
            <w:szCs w:val="17"/>
            <w:color w:val="auto"/>
          </w:rPr>
          <w:t>*4.10</w:t>
        </w:r>
      </w:hyperlink>
      <w:r>
        <w:rPr>
          <w:rFonts w:ascii="Arial" w:cs="Arial" w:eastAsia="Arial" w:hAnsi="Arial"/>
          <w:sz w:val="17"/>
          <w:szCs w:val="17"/>
          <w:color w:val="auto"/>
        </w:rPr>
        <w:tab/>
      </w:r>
      <w:hyperlink r:id="rId82">
        <w:r>
          <w:rPr>
            <w:rFonts w:ascii="Arial" w:cs="Arial" w:eastAsia="Arial" w:hAnsi="Arial"/>
            <w:sz w:val="17"/>
            <w:szCs w:val="17"/>
            <w:color w:val="auto"/>
          </w:rPr>
          <w:t>Deposit Agreement relating to 6.875% Series D Fixed-to-Floating Rate Cumulative Redeemable Preferred Stock, dated March 6, 2019, among AGNC</w:t>
        </w:r>
      </w:hyperlink>
      <w:r>
        <w:rPr>
          <w:rFonts w:ascii="Arial" w:cs="Arial" w:eastAsia="Arial" w:hAnsi="Arial"/>
          <w:sz w:val="17"/>
          <w:szCs w:val="17"/>
          <w:color w:val="auto"/>
        </w:rPr>
        <w:t xml:space="preserve"> </w:t>
      </w:r>
      <w:hyperlink r:id="rId82">
        <w:r>
          <w:rPr>
            <w:rFonts w:ascii="Arial" w:cs="Arial" w:eastAsia="Arial" w:hAnsi="Arial"/>
            <w:sz w:val="17"/>
            <w:szCs w:val="17"/>
            <w:color w:val="auto"/>
          </w:rPr>
          <w:t>Investment Corp., Computershare Inc. and Computershare Trust Company, N.A., jointly as depositary, incorporated herein by reference to Exhibit 4.2</w:t>
        </w:r>
      </w:hyperlink>
      <w:r>
        <w:rPr>
          <w:rFonts w:ascii="Arial" w:cs="Arial" w:eastAsia="Arial" w:hAnsi="Arial"/>
          <w:sz w:val="17"/>
          <w:szCs w:val="17"/>
          <w:color w:val="auto"/>
        </w:rPr>
        <w:t xml:space="preserve"> </w:t>
      </w:r>
      <w:hyperlink r:id="rId82">
        <w:r>
          <w:rPr>
            <w:rFonts w:ascii="Arial" w:cs="Arial" w:eastAsia="Arial" w:hAnsi="Arial"/>
            <w:sz w:val="17"/>
            <w:szCs w:val="17"/>
            <w:color w:val="auto"/>
          </w:rPr>
          <w:t>of Form 8-K (File No. 001-34057) filed March 6, 2019.</w:t>
        </w:r>
      </w:hyperlink>
    </w:p>
    <w:p>
      <w:pPr>
        <w:spacing w:after="0" w:line="127" w:lineRule="exact"/>
        <w:rPr>
          <w:rFonts w:ascii="Arial" w:cs="Arial" w:eastAsia="Arial" w:hAnsi="Arial"/>
          <w:sz w:val="17"/>
          <w:szCs w:val="17"/>
          <w:color w:val="auto"/>
        </w:rPr>
      </w:pPr>
    </w:p>
    <w:p>
      <w:pPr>
        <w:jc w:val="both"/>
        <w:ind w:left="540" w:hanging="1199"/>
        <w:spacing w:after="0" w:line="297" w:lineRule="auto"/>
        <w:tabs>
          <w:tab w:leader="none" w:pos="520" w:val="left"/>
        </w:tabs>
        <w:rPr>
          <w:rFonts w:ascii="Arial" w:cs="Arial" w:eastAsia="Arial" w:hAnsi="Arial"/>
          <w:sz w:val="16"/>
          <w:szCs w:val="16"/>
          <w:color w:val="auto"/>
        </w:rPr>
      </w:pPr>
      <w:hyperlink r:id="rId82">
        <w:r>
          <w:rPr>
            <w:rFonts w:ascii="Arial" w:cs="Arial" w:eastAsia="Arial" w:hAnsi="Arial"/>
            <w:sz w:val="17"/>
            <w:szCs w:val="17"/>
            <w:color w:val="auto"/>
          </w:rPr>
          <w:t>*4.11</w:t>
        </w:r>
      </w:hyperlink>
      <w:r>
        <w:rPr>
          <w:rFonts w:ascii="Arial" w:cs="Arial" w:eastAsia="Arial" w:hAnsi="Arial"/>
          <w:sz w:val="17"/>
          <w:szCs w:val="17"/>
          <w:color w:val="auto"/>
        </w:rPr>
        <w:tab/>
      </w:r>
      <w:hyperlink r:id="rId82">
        <w:r>
          <w:rPr>
            <w:rFonts w:ascii="Arial" w:cs="Arial" w:eastAsia="Arial" w:hAnsi="Arial"/>
            <w:sz w:val="16"/>
            <w:szCs w:val="16"/>
            <w:color w:val="auto"/>
          </w:rPr>
          <w:t>Form of Depositary Receipt representing 1/1,000th of a share of 6.875% Series D Fixed-to-Floating Rate Cumulative Redeemable Preferred Stock (included as</w:t>
        </w:r>
      </w:hyperlink>
      <w:r>
        <w:rPr>
          <w:rFonts w:ascii="Arial" w:cs="Arial" w:eastAsia="Arial" w:hAnsi="Arial"/>
          <w:sz w:val="16"/>
          <w:szCs w:val="16"/>
          <w:color w:val="auto"/>
        </w:rPr>
        <w:t xml:space="preserve"> </w:t>
      </w:r>
      <w:hyperlink r:id="rId82">
        <w:r>
          <w:rPr>
            <w:rFonts w:ascii="Arial" w:cs="Arial" w:eastAsia="Arial" w:hAnsi="Arial"/>
            <w:sz w:val="16"/>
            <w:szCs w:val="16"/>
            <w:color w:val="auto"/>
          </w:rPr>
          <w:t>part of Exhibit 4.10), incorporated herein by reference to Exhibit A of Exhibit 4.2 of Form 8-K (File No. 001-34057) filed March 6, 2019.</w:t>
        </w:r>
      </w:hyperlink>
    </w:p>
    <w:p>
      <w:pPr>
        <w:spacing w:after="0" w:line="95" w:lineRule="exact"/>
        <w:rPr>
          <w:rFonts w:ascii="Arial" w:cs="Arial" w:eastAsia="Arial" w:hAnsi="Arial"/>
          <w:sz w:val="17"/>
          <w:szCs w:val="17"/>
          <w:color w:val="auto"/>
        </w:rPr>
      </w:pPr>
    </w:p>
    <w:p>
      <w:pPr>
        <w:ind w:left="540" w:right="40" w:hanging="1199"/>
        <w:spacing w:after="0" w:line="255" w:lineRule="auto"/>
        <w:tabs>
          <w:tab w:leader="none" w:pos="520" w:val="left"/>
        </w:tabs>
        <w:rPr>
          <w:rFonts w:ascii="Arial" w:cs="Arial" w:eastAsia="Arial" w:hAnsi="Arial"/>
          <w:sz w:val="17"/>
          <w:szCs w:val="17"/>
          <w:color w:val="auto"/>
        </w:rPr>
      </w:pPr>
      <w:hyperlink r:id="rId83">
        <w:r>
          <w:rPr>
            <w:rFonts w:ascii="Arial" w:cs="Arial" w:eastAsia="Arial" w:hAnsi="Arial"/>
            <w:sz w:val="17"/>
            <w:szCs w:val="17"/>
            <w:color w:val="auto"/>
          </w:rPr>
          <w:t>*4.12</w:t>
        </w:r>
      </w:hyperlink>
      <w:r>
        <w:rPr>
          <w:rFonts w:ascii="Arial" w:cs="Arial" w:eastAsia="Arial" w:hAnsi="Arial"/>
          <w:sz w:val="17"/>
          <w:szCs w:val="17"/>
          <w:color w:val="auto"/>
        </w:rPr>
        <w:tab/>
      </w:r>
      <w:hyperlink r:id="rId83">
        <w:r>
          <w:rPr>
            <w:rFonts w:ascii="Arial" w:cs="Arial" w:eastAsia="Arial" w:hAnsi="Arial"/>
            <w:sz w:val="17"/>
            <w:szCs w:val="17"/>
            <w:color w:val="auto"/>
          </w:rPr>
          <w:t>Deposit Agreement relating to 6.50% Series E Fixed-to-Floating Rate Cumulative Redeemable Preferred Stock, dated October 3, 2019, among AGNC</w:t>
        </w:r>
      </w:hyperlink>
      <w:r>
        <w:rPr>
          <w:rFonts w:ascii="Arial" w:cs="Arial" w:eastAsia="Arial" w:hAnsi="Arial"/>
          <w:sz w:val="17"/>
          <w:szCs w:val="17"/>
          <w:color w:val="auto"/>
        </w:rPr>
        <w:t xml:space="preserve"> </w:t>
      </w:r>
      <w:hyperlink r:id="rId83">
        <w:r>
          <w:rPr>
            <w:rFonts w:ascii="Arial" w:cs="Arial" w:eastAsia="Arial" w:hAnsi="Arial"/>
            <w:sz w:val="17"/>
            <w:szCs w:val="17"/>
            <w:color w:val="auto"/>
          </w:rPr>
          <w:t>Investment Corp., Computershare Inc. and Computershare Trust Company, N.A., jointly as depositary, incorporated herein by reference to Exhibit 4.2</w:t>
        </w:r>
      </w:hyperlink>
      <w:r>
        <w:rPr>
          <w:rFonts w:ascii="Arial" w:cs="Arial" w:eastAsia="Arial" w:hAnsi="Arial"/>
          <w:sz w:val="17"/>
          <w:szCs w:val="17"/>
          <w:color w:val="auto"/>
        </w:rPr>
        <w:t xml:space="preserve"> </w:t>
      </w:r>
      <w:hyperlink r:id="rId83">
        <w:r>
          <w:rPr>
            <w:rFonts w:ascii="Arial" w:cs="Arial" w:eastAsia="Arial" w:hAnsi="Arial"/>
            <w:sz w:val="17"/>
            <w:szCs w:val="17"/>
            <w:color w:val="auto"/>
          </w:rPr>
          <w:t>of Form 8-K (File No. 001-34057) filed October 3, 2019.</w:t>
        </w:r>
      </w:hyperlink>
    </w:p>
    <w:p>
      <w:pPr>
        <w:spacing w:after="0" w:line="127" w:lineRule="exact"/>
        <w:rPr>
          <w:rFonts w:ascii="Arial" w:cs="Arial" w:eastAsia="Arial" w:hAnsi="Arial"/>
          <w:sz w:val="17"/>
          <w:szCs w:val="17"/>
          <w:color w:val="auto"/>
        </w:rPr>
      </w:pPr>
    </w:p>
    <w:p>
      <w:pPr>
        <w:ind w:left="540" w:right="180" w:hanging="1199"/>
        <w:spacing w:after="0" w:line="297" w:lineRule="auto"/>
        <w:tabs>
          <w:tab w:leader="none" w:pos="520" w:val="left"/>
        </w:tabs>
        <w:rPr>
          <w:rFonts w:ascii="Arial" w:cs="Arial" w:eastAsia="Arial" w:hAnsi="Arial"/>
          <w:sz w:val="16"/>
          <w:szCs w:val="16"/>
          <w:color w:val="auto"/>
        </w:rPr>
      </w:pPr>
      <w:hyperlink r:id="rId83">
        <w:r>
          <w:rPr>
            <w:rFonts w:ascii="Arial" w:cs="Arial" w:eastAsia="Arial" w:hAnsi="Arial"/>
            <w:sz w:val="17"/>
            <w:szCs w:val="17"/>
            <w:color w:val="auto"/>
          </w:rPr>
          <w:t>*4.13</w:t>
        </w:r>
      </w:hyperlink>
      <w:r>
        <w:rPr>
          <w:rFonts w:ascii="Arial" w:cs="Arial" w:eastAsia="Arial" w:hAnsi="Arial"/>
          <w:sz w:val="17"/>
          <w:szCs w:val="17"/>
          <w:color w:val="auto"/>
        </w:rPr>
        <w:tab/>
      </w:r>
      <w:hyperlink r:id="rId83">
        <w:r>
          <w:rPr>
            <w:rFonts w:ascii="Arial" w:cs="Arial" w:eastAsia="Arial" w:hAnsi="Arial"/>
            <w:sz w:val="16"/>
            <w:szCs w:val="16"/>
            <w:color w:val="auto"/>
          </w:rPr>
          <w:t>Form of Depositary Receipt representing 1/1,000th of a share of 6.50% Series E Fixed-to-Floating Rate Cumulative Redeemable Preferred Stock (included as</w:t>
        </w:r>
      </w:hyperlink>
      <w:r>
        <w:rPr>
          <w:rFonts w:ascii="Arial" w:cs="Arial" w:eastAsia="Arial" w:hAnsi="Arial"/>
          <w:sz w:val="16"/>
          <w:szCs w:val="16"/>
          <w:color w:val="auto"/>
        </w:rPr>
        <w:t xml:space="preserve"> </w:t>
      </w:r>
      <w:hyperlink r:id="rId83">
        <w:r>
          <w:rPr>
            <w:rFonts w:ascii="Arial" w:cs="Arial" w:eastAsia="Arial" w:hAnsi="Arial"/>
            <w:sz w:val="16"/>
            <w:szCs w:val="16"/>
            <w:color w:val="auto"/>
          </w:rPr>
          <w:t>part of Exhibit 4.12), incorporated herein by reference to Exhibit A of Exhibit 4.2 of Form 8-K (File No. 001-34057) filed October 3, 2019.</w:t>
        </w:r>
      </w:hyperlink>
    </w:p>
    <w:p>
      <w:pPr>
        <w:spacing w:after="0" w:line="95" w:lineRule="exact"/>
        <w:rPr>
          <w:rFonts w:ascii="Arial" w:cs="Arial" w:eastAsia="Arial" w:hAnsi="Arial"/>
          <w:sz w:val="17"/>
          <w:szCs w:val="17"/>
          <w:color w:val="auto"/>
        </w:rPr>
      </w:pPr>
    </w:p>
    <w:p>
      <w:pPr>
        <w:ind w:left="540" w:right="40" w:hanging="1199"/>
        <w:spacing w:after="0" w:line="255" w:lineRule="auto"/>
        <w:tabs>
          <w:tab w:leader="none" w:pos="520" w:val="left"/>
        </w:tabs>
        <w:rPr>
          <w:rFonts w:ascii="Arial" w:cs="Arial" w:eastAsia="Arial" w:hAnsi="Arial"/>
          <w:sz w:val="17"/>
          <w:szCs w:val="17"/>
          <w:color w:val="auto"/>
        </w:rPr>
      </w:pPr>
      <w:hyperlink r:id="rId84">
        <w:r>
          <w:rPr>
            <w:rFonts w:ascii="Arial" w:cs="Arial" w:eastAsia="Arial" w:hAnsi="Arial"/>
            <w:sz w:val="17"/>
            <w:szCs w:val="17"/>
            <w:color w:val="auto"/>
          </w:rPr>
          <w:t>*4.14</w:t>
        </w:r>
      </w:hyperlink>
      <w:r>
        <w:rPr>
          <w:rFonts w:ascii="Arial" w:cs="Arial" w:eastAsia="Arial" w:hAnsi="Arial"/>
          <w:sz w:val="17"/>
          <w:szCs w:val="17"/>
          <w:color w:val="auto"/>
        </w:rPr>
        <w:tab/>
      </w:r>
      <w:hyperlink r:id="rId84">
        <w:r>
          <w:rPr>
            <w:rFonts w:ascii="Arial" w:cs="Arial" w:eastAsia="Arial" w:hAnsi="Arial"/>
            <w:sz w:val="17"/>
            <w:szCs w:val="17"/>
            <w:color w:val="auto"/>
          </w:rPr>
          <w:t>Deposit Agreement relating to 6.125% Series F Fixed-to-Floating Rate Cumulative Redeemable Preferred Stock, dated February 11, 2020, among AGNC</w:t>
        </w:r>
      </w:hyperlink>
      <w:r>
        <w:rPr>
          <w:rFonts w:ascii="Arial" w:cs="Arial" w:eastAsia="Arial" w:hAnsi="Arial"/>
          <w:sz w:val="17"/>
          <w:szCs w:val="17"/>
          <w:color w:val="auto"/>
        </w:rPr>
        <w:t xml:space="preserve"> </w:t>
      </w:r>
      <w:hyperlink r:id="rId84">
        <w:r>
          <w:rPr>
            <w:rFonts w:ascii="Arial" w:cs="Arial" w:eastAsia="Arial" w:hAnsi="Arial"/>
            <w:sz w:val="17"/>
            <w:szCs w:val="17"/>
            <w:color w:val="auto"/>
          </w:rPr>
          <w:t>Investment Corp., Computershare Inc. and Computershare Trust Company, N.A., jointly as depositary, incorporated herein by reference to Exhibit 4.1</w:t>
        </w:r>
      </w:hyperlink>
      <w:r>
        <w:rPr>
          <w:rFonts w:ascii="Arial" w:cs="Arial" w:eastAsia="Arial" w:hAnsi="Arial"/>
          <w:sz w:val="17"/>
          <w:szCs w:val="17"/>
          <w:color w:val="auto"/>
        </w:rPr>
        <w:t xml:space="preserve"> </w:t>
      </w:r>
      <w:hyperlink r:id="rId84">
        <w:r>
          <w:rPr>
            <w:rFonts w:ascii="Arial" w:cs="Arial" w:eastAsia="Arial" w:hAnsi="Arial"/>
            <w:sz w:val="17"/>
            <w:szCs w:val="17"/>
            <w:color w:val="auto"/>
          </w:rPr>
          <w:t>of Form 8-K (File No. 001-34057) filed February 11, 2020.</w:t>
        </w:r>
      </w:hyperlink>
    </w:p>
    <w:p>
      <w:pPr>
        <w:spacing w:after="0" w:line="127" w:lineRule="exact"/>
        <w:rPr>
          <w:rFonts w:ascii="Arial" w:cs="Arial" w:eastAsia="Arial" w:hAnsi="Arial"/>
          <w:sz w:val="17"/>
          <w:szCs w:val="17"/>
          <w:color w:val="auto"/>
        </w:rPr>
      </w:pPr>
    </w:p>
    <w:p>
      <w:pPr>
        <w:ind w:left="540" w:right="100" w:hanging="1199"/>
        <w:spacing w:after="0" w:line="333" w:lineRule="auto"/>
        <w:tabs>
          <w:tab w:leader="none" w:pos="520" w:val="left"/>
        </w:tabs>
        <w:rPr>
          <w:rFonts w:ascii="Arial" w:cs="Arial" w:eastAsia="Arial" w:hAnsi="Arial"/>
          <w:sz w:val="15"/>
          <w:szCs w:val="15"/>
          <w:color w:val="auto"/>
        </w:rPr>
      </w:pPr>
      <w:hyperlink r:id="rId84">
        <w:r>
          <w:rPr>
            <w:rFonts w:ascii="Arial" w:cs="Arial" w:eastAsia="Arial" w:hAnsi="Arial"/>
            <w:sz w:val="17"/>
            <w:szCs w:val="17"/>
            <w:color w:val="auto"/>
          </w:rPr>
          <w:t>*4.15</w:t>
        </w:r>
      </w:hyperlink>
      <w:r>
        <w:rPr>
          <w:rFonts w:ascii="Arial" w:cs="Arial" w:eastAsia="Arial" w:hAnsi="Arial"/>
          <w:sz w:val="17"/>
          <w:szCs w:val="17"/>
          <w:color w:val="auto"/>
        </w:rPr>
        <w:tab/>
      </w:r>
      <w:hyperlink r:id="rId84">
        <w:r>
          <w:rPr>
            <w:rFonts w:ascii="Arial" w:cs="Arial" w:eastAsia="Arial" w:hAnsi="Arial"/>
            <w:sz w:val="15"/>
            <w:szCs w:val="15"/>
            <w:color w:val="auto"/>
          </w:rPr>
          <w:t>Form of Depositary Receipt representing 1/1,000th of a share of 6.125% Series F Fixed-to-Floating Rate Cumulative Redeemable Preferred Stock (included as</w:t>
        </w:r>
      </w:hyperlink>
      <w:r>
        <w:rPr>
          <w:rFonts w:ascii="Arial" w:cs="Arial" w:eastAsia="Arial" w:hAnsi="Arial"/>
          <w:sz w:val="15"/>
          <w:szCs w:val="15"/>
          <w:color w:val="auto"/>
        </w:rPr>
        <w:t xml:space="preserve"> </w:t>
      </w:r>
      <w:hyperlink r:id="rId84">
        <w:r>
          <w:rPr>
            <w:rFonts w:ascii="Arial" w:cs="Arial" w:eastAsia="Arial" w:hAnsi="Arial"/>
            <w:sz w:val="15"/>
            <w:szCs w:val="15"/>
            <w:color w:val="auto"/>
          </w:rPr>
          <w:t>part of Exhibit 4.14), incorporated herein by reference to Exhibit A of Exhibit 4.1 of Form 8-K (File No. 001-34057) filed February 11, 2020.</w:t>
        </w:r>
      </w:hyperlink>
    </w:p>
    <w:p>
      <w:pPr>
        <w:spacing w:after="0" w:line="71" w:lineRule="exact"/>
        <w:rPr>
          <w:rFonts w:ascii="Arial" w:cs="Arial" w:eastAsia="Arial" w:hAnsi="Arial"/>
          <w:sz w:val="17"/>
          <w:szCs w:val="17"/>
          <w:color w:val="auto"/>
        </w:rPr>
      </w:pPr>
    </w:p>
    <w:p>
      <w:pPr>
        <w:spacing w:after="0"/>
        <w:tabs>
          <w:tab w:leader="none" w:pos="400" w:val="left"/>
        </w:tabs>
        <w:rPr>
          <w:rFonts w:ascii="Arial" w:cs="Arial" w:eastAsia="Arial" w:hAnsi="Arial"/>
          <w:sz w:val="15"/>
          <w:szCs w:val="15"/>
          <w:color w:val="auto"/>
        </w:rPr>
      </w:pPr>
      <w:r>
        <w:rPr>
          <w:rFonts w:ascii="Arial" w:cs="Arial" w:eastAsia="Arial" w:hAnsi="Arial"/>
          <w:sz w:val="17"/>
          <w:szCs w:val="17"/>
          <w:color w:val="auto"/>
        </w:rPr>
        <w:t>*10</w:t>
      </w:r>
      <w:r>
        <w:rPr>
          <w:sz w:val="20"/>
          <w:szCs w:val="20"/>
          <w:color w:val="auto"/>
        </w:rPr>
        <w:tab/>
      </w:r>
      <w:hyperlink r:id="rId85">
        <w:r>
          <w:rPr>
            <w:rFonts w:ascii="Arial" w:cs="Arial" w:eastAsia="Arial" w:hAnsi="Arial"/>
            <w:sz w:val="15"/>
            <w:szCs w:val="15"/>
            <w:color w:val="auto"/>
          </w:rPr>
          <w:t>Form of Indemnification Agreement, incorporated herein by reference to Exhibit 10.1 of Form 8-K (File No. 001-34057) filed July 1, 2021.</w:t>
        </w:r>
      </w:hyperlink>
    </w:p>
    <w:p>
      <w:pPr>
        <w:spacing w:after="0" w:line="154" w:lineRule="exact"/>
        <w:rPr>
          <w:rFonts w:ascii="Arial" w:cs="Arial" w:eastAsia="Arial" w:hAnsi="Arial"/>
          <w:sz w:val="17"/>
          <w:szCs w:val="17"/>
          <w:color w:val="auto"/>
        </w:rPr>
      </w:pPr>
    </w:p>
    <w:p>
      <w:pPr>
        <w:spacing w:after="0"/>
        <w:tabs>
          <w:tab w:leader="none" w:pos="440" w:val="left"/>
        </w:tabs>
        <w:rPr>
          <w:rFonts w:ascii="Arial" w:cs="Arial" w:eastAsia="Arial" w:hAnsi="Arial"/>
          <w:sz w:val="15"/>
          <w:szCs w:val="15"/>
          <w:color w:val="auto"/>
        </w:rPr>
      </w:pPr>
      <w:hyperlink w:anchor="page52">
        <w:r>
          <w:rPr>
            <w:rFonts w:ascii="Arial" w:cs="Arial" w:eastAsia="Arial" w:hAnsi="Arial"/>
            <w:sz w:val="17"/>
            <w:szCs w:val="17"/>
            <w:color w:val="auto"/>
          </w:rPr>
          <w:t>31.1</w:t>
        </w:r>
      </w:hyperlink>
      <w:r>
        <w:rPr>
          <w:rFonts w:ascii="Arial" w:cs="Arial" w:eastAsia="Arial" w:hAnsi="Arial"/>
          <w:sz w:val="17"/>
          <w:szCs w:val="17"/>
          <w:color w:val="auto"/>
        </w:rPr>
        <w:tab/>
      </w:r>
      <w:hyperlink w:anchor="page52">
        <w:r>
          <w:rPr>
            <w:rFonts w:ascii="Arial" w:cs="Arial" w:eastAsia="Arial" w:hAnsi="Arial"/>
            <w:sz w:val="15"/>
            <w:szCs w:val="15"/>
            <w:color w:val="auto"/>
          </w:rPr>
          <w:t>Certification of CEO Pursuant to Section 302(a) of the Sarbanes-Oxley Act of 2002.</w:t>
        </w:r>
      </w:hyperlink>
    </w:p>
    <w:p>
      <w:pPr>
        <w:spacing w:after="0" w:line="154" w:lineRule="exact"/>
        <w:rPr>
          <w:sz w:val="20"/>
          <w:szCs w:val="20"/>
          <w:color w:val="auto"/>
        </w:rPr>
      </w:pPr>
    </w:p>
    <w:p>
      <w:pPr>
        <w:spacing w:after="0"/>
        <w:tabs>
          <w:tab w:leader="none" w:pos="440" w:val="left"/>
        </w:tabs>
        <w:rPr>
          <w:rFonts w:ascii="Arial" w:cs="Arial" w:eastAsia="Arial" w:hAnsi="Arial"/>
          <w:sz w:val="15"/>
          <w:szCs w:val="15"/>
          <w:color w:val="auto"/>
        </w:rPr>
      </w:pPr>
      <w:hyperlink w:anchor="page53">
        <w:r>
          <w:rPr>
            <w:rFonts w:ascii="Arial" w:cs="Arial" w:eastAsia="Arial" w:hAnsi="Arial"/>
            <w:sz w:val="17"/>
            <w:szCs w:val="17"/>
            <w:color w:val="auto"/>
          </w:rPr>
          <w:t>31.2</w:t>
        </w:r>
      </w:hyperlink>
      <w:r>
        <w:rPr>
          <w:rFonts w:ascii="Arial" w:cs="Arial" w:eastAsia="Arial" w:hAnsi="Arial"/>
          <w:sz w:val="17"/>
          <w:szCs w:val="17"/>
          <w:color w:val="auto"/>
        </w:rPr>
        <w:tab/>
      </w:r>
      <w:hyperlink w:anchor="page53">
        <w:r>
          <w:rPr>
            <w:rFonts w:ascii="Arial" w:cs="Arial" w:eastAsia="Arial" w:hAnsi="Arial"/>
            <w:sz w:val="15"/>
            <w:szCs w:val="15"/>
            <w:color w:val="auto"/>
          </w:rPr>
          <w:t>Certification of CFO Pursuant to Section 302(a) of the Sarbanes-Oxley Act of 2002.</w:t>
        </w:r>
      </w:hyperlink>
    </w:p>
    <w:p>
      <w:pPr>
        <w:spacing w:after="0" w:line="154" w:lineRule="exact"/>
        <w:rPr>
          <w:sz w:val="20"/>
          <w:szCs w:val="20"/>
          <w:color w:val="auto"/>
        </w:rPr>
      </w:pPr>
    </w:p>
    <w:p>
      <w:pPr>
        <w:ind w:left="5540" w:right="4820" w:hanging="5540"/>
        <w:spacing w:after="0" w:line="966" w:lineRule="auto"/>
        <w:tabs>
          <w:tab w:leader="none" w:pos="333" w:val="left"/>
        </w:tabs>
        <w:numPr>
          <w:ilvl w:val="0"/>
          <w:numId w:val="36"/>
        </w:numPr>
        <w:rPr>
          <w:rFonts w:ascii="Arial" w:cs="Arial" w:eastAsia="Arial" w:hAnsi="Arial"/>
          <w:sz w:val="16"/>
          <w:szCs w:val="16"/>
          <w:color w:val="auto"/>
        </w:rPr>
      </w:pPr>
      <w:hyperlink w:anchor="page54">
        <w:r>
          <w:rPr>
            <w:rFonts w:ascii="Arial" w:cs="Arial" w:eastAsia="Arial" w:hAnsi="Arial"/>
            <w:sz w:val="16"/>
            <w:szCs w:val="16"/>
            <w:color w:val="auto"/>
          </w:rPr>
          <w:t>Certification of CEO and CFO Pursuant to Section 906 of the Sarbanes-Oxley Act of 2002.</w:t>
        </w:r>
      </w:hyperlink>
      <w:r>
        <w:rPr>
          <w:rFonts w:ascii="Arial" w:cs="Arial" w:eastAsia="Arial" w:hAnsi="Arial"/>
          <w:sz w:val="16"/>
          <w:szCs w:val="16"/>
          <w:color w:val="auto"/>
        </w:rPr>
        <w:t xml:space="preserve">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-301625</wp:posOffset>
            </wp:positionV>
            <wp:extent cx="7167880" cy="412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6">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49" w:name="page50"/>
    <w:bookmarkEnd w:id="49"/>
    <w:p>
      <w:pPr>
        <w:spacing w:after="0"/>
        <w:tabs>
          <w:tab w:leader="none" w:pos="880" w:val="left"/>
        </w:tabs>
        <w:rPr>
          <w:sz w:val="20"/>
          <w:szCs w:val="20"/>
          <w:color w:val="auto"/>
        </w:rPr>
      </w:pPr>
      <w:r>
        <w:rPr>
          <w:rFonts w:ascii="Arial" w:cs="Arial" w:eastAsia="Arial" w:hAnsi="Arial"/>
          <w:sz w:val="17"/>
          <w:szCs w:val="17"/>
          <w:color w:val="auto"/>
        </w:rPr>
        <w:t>101.INS**</w:t>
      </w:r>
      <w:r>
        <w:rPr>
          <w:sz w:val="20"/>
          <w:szCs w:val="20"/>
          <w:color w:val="auto"/>
        </w:rPr>
        <w:tab/>
      </w:r>
      <w:r>
        <w:rPr>
          <w:rFonts w:ascii="Arial" w:cs="Arial" w:eastAsia="Arial" w:hAnsi="Arial"/>
          <w:sz w:val="15"/>
          <w:szCs w:val="15"/>
          <w:color w:val="auto"/>
        </w:rPr>
        <w:t>The instance document does not appear in the interactive data file because its XBRL tags are embedded within the inline XBRL document</w:t>
      </w:r>
    </w:p>
    <w:p>
      <w:pPr>
        <w:spacing w:after="0" w:line="154"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color w:val="auto"/>
        </w:rPr>
        <w:t>101.SCH**</w:t>
      </w:r>
      <w:r>
        <w:rPr>
          <w:sz w:val="20"/>
          <w:szCs w:val="20"/>
          <w:color w:val="auto"/>
        </w:rPr>
        <w:tab/>
      </w:r>
      <w:r>
        <w:rPr>
          <w:rFonts w:ascii="Arial" w:cs="Arial" w:eastAsia="Arial" w:hAnsi="Arial"/>
          <w:sz w:val="15"/>
          <w:szCs w:val="15"/>
          <w:color w:val="auto"/>
        </w:rPr>
        <w:t>XBRL Taxonomy Extension Schema Document</w:t>
      </w:r>
    </w:p>
    <w:p>
      <w:pPr>
        <w:spacing w:after="0" w:line="154" w:lineRule="exact"/>
        <w:rPr>
          <w:sz w:val="20"/>
          <w:szCs w:val="20"/>
          <w:color w:val="auto"/>
        </w:rPr>
      </w:pPr>
    </w:p>
    <w:p>
      <w:pPr>
        <w:spacing w:after="0"/>
        <w:tabs>
          <w:tab w:leader="none" w:pos="940" w:val="left"/>
        </w:tabs>
        <w:rPr>
          <w:sz w:val="20"/>
          <w:szCs w:val="20"/>
          <w:color w:val="auto"/>
        </w:rPr>
      </w:pPr>
      <w:r>
        <w:rPr>
          <w:rFonts w:ascii="Arial" w:cs="Arial" w:eastAsia="Arial" w:hAnsi="Arial"/>
          <w:sz w:val="17"/>
          <w:szCs w:val="17"/>
          <w:color w:val="auto"/>
        </w:rPr>
        <w:t>101.CAL**</w:t>
      </w:r>
      <w:r>
        <w:rPr>
          <w:sz w:val="20"/>
          <w:szCs w:val="20"/>
          <w:color w:val="auto"/>
        </w:rPr>
        <w:tab/>
      </w:r>
      <w:r>
        <w:rPr>
          <w:rFonts w:ascii="Arial" w:cs="Arial" w:eastAsia="Arial" w:hAnsi="Arial"/>
          <w:sz w:val="15"/>
          <w:szCs w:val="15"/>
          <w:color w:val="auto"/>
        </w:rPr>
        <w:t>XBRL Taxonomy Extension Calculation Linkbase Document</w:t>
      </w:r>
    </w:p>
    <w:p>
      <w:pPr>
        <w:spacing w:after="0" w:line="154" w:lineRule="exact"/>
        <w:rPr>
          <w:sz w:val="20"/>
          <w:szCs w:val="20"/>
          <w:color w:val="auto"/>
        </w:rPr>
      </w:pPr>
    </w:p>
    <w:p>
      <w:pPr>
        <w:spacing w:after="0"/>
        <w:tabs>
          <w:tab w:leader="none" w:pos="940" w:val="left"/>
        </w:tabs>
        <w:rPr>
          <w:sz w:val="20"/>
          <w:szCs w:val="20"/>
          <w:color w:val="auto"/>
        </w:rPr>
      </w:pPr>
      <w:r>
        <w:rPr>
          <w:rFonts w:ascii="Arial" w:cs="Arial" w:eastAsia="Arial" w:hAnsi="Arial"/>
          <w:sz w:val="17"/>
          <w:szCs w:val="17"/>
          <w:color w:val="auto"/>
        </w:rPr>
        <w:t>101.LAB**</w:t>
      </w:r>
      <w:r>
        <w:rPr>
          <w:sz w:val="20"/>
          <w:szCs w:val="20"/>
          <w:color w:val="auto"/>
        </w:rPr>
        <w:tab/>
      </w:r>
      <w:r>
        <w:rPr>
          <w:rFonts w:ascii="Arial" w:cs="Arial" w:eastAsia="Arial" w:hAnsi="Arial"/>
          <w:sz w:val="15"/>
          <w:szCs w:val="15"/>
          <w:color w:val="auto"/>
        </w:rPr>
        <w:t>XBRL Taxonomy Extension Labels Linkbase Document</w:t>
      </w:r>
    </w:p>
    <w:p>
      <w:pPr>
        <w:spacing w:after="0" w:line="154"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color w:val="auto"/>
        </w:rPr>
        <w:t>101.PRE**</w:t>
      </w:r>
      <w:r>
        <w:rPr>
          <w:sz w:val="20"/>
          <w:szCs w:val="20"/>
          <w:color w:val="auto"/>
        </w:rPr>
        <w:tab/>
      </w:r>
      <w:r>
        <w:rPr>
          <w:rFonts w:ascii="Arial" w:cs="Arial" w:eastAsia="Arial" w:hAnsi="Arial"/>
          <w:sz w:val="15"/>
          <w:szCs w:val="15"/>
          <w:color w:val="auto"/>
        </w:rPr>
        <w:t>XBRL Taxonomy Extension Presentation Linkbase Document</w:t>
      </w:r>
    </w:p>
    <w:p>
      <w:pPr>
        <w:spacing w:after="0" w:line="154"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color w:val="auto"/>
        </w:rPr>
        <w:t>101.DEF**</w:t>
      </w:r>
      <w:r>
        <w:rPr>
          <w:sz w:val="20"/>
          <w:szCs w:val="20"/>
          <w:color w:val="auto"/>
        </w:rPr>
        <w:tab/>
      </w:r>
      <w:r>
        <w:rPr>
          <w:rFonts w:ascii="Arial" w:cs="Arial" w:eastAsia="Arial" w:hAnsi="Arial"/>
          <w:sz w:val="15"/>
          <w:szCs w:val="15"/>
          <w:color w:val="auto"/>
        </w:rPr>
        <w:t>XBRL Taxonomy Extension Definition Linkbase Document</w:t>
      </w:r>
    </w:p>
    <w:p>
      <w:pPr>
        <w:spacing w:after="0" w:line="15" w:lineRule="exact"/>
        <w:rPr>
          <w:sz w:val="20"/>
          <w:szCs w:val="20"/>
          <w:color w:val="auto"/>
        </w:rPr>
      </w:pPr>
    </w:p>
    <w:p>
      <w:pPr>
        <w:spacing w:after="0"/>
        <w:rPr>
          <w:sz w:val="20"/>
          <w:szCs w:val="20"/>
          <w:color w:val="auto"/>
        </w:rPr>
      </w:pPr>
      <w:r>
        <w:rPr>
          <w:rFonts w:ascii="Arial" w:cs="Arial" w:eastAsia="Arial" w:hAnsi="Arial"/>
          <w:sz w:val="10"/>
          <w:szCs w:val="10"/>
          <w:color w:val="auto"/>
        </w:rPr>
        <w:t>________________________________</w:t>
      </w:r>
    </w:p>
    <w:p>
      <w:pPr>
        <w:spacing w:after="0" w:line="1" w:lineRule="exact"/>
        <w:rPr>
          <w:sz w:val="20"/>
          <w:szCs w:val="20"/>
          <w:color w:val="auto"/>
        </w:rPr>
      </w:pPr>
    </w:p>
    <w:p>
      <w:pPr>
        <w:ind w:left="240" w:hanging="240"/>
        <w:spacing w:after="0"/>
        <w:tabs>
          <w:tab w:leader="none" w:pos="2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Previously filed</w:t>
      </w:r>
    </w:p>
    <w:p>
      <w:pPr>
        <w:spacing w:after="0" w:line="3" w:lineRule="exact"/>
        <w:rPr>
          <w:sz w:val="20"/>
          <w:szCs w:val="20"/>
          <w:color w:val="auto"/>
        </w:rPr>
      </w:pPr>
    </w:p>
    <w:p>
      <w:pPr>
        <w:spacing w:after="0"/>
        <w:tabs>
          <w:tab w:leader="none" w:pos="32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This exhibit is being furnished rather than filed, and shall not be deemed incorporated by reference into any filing, in accordance with Item 601 of Regulation S-K</w:t>
      </w:r>
    </w:p>
    <w:p>
      <w:pPr>
        <w:spacing w:after="0" w:line="217" w:lineRule="exact"/>
        <w:rPr>
          <w:sz w:val="20"/>
          <w:szCs w:val="20"/>
          <w:color w:val="auto"/>
        </w:rPr>
      </w:pPr>
    </w:p>
    <w:p>
      <w:pPr>
        <w:ind w:left="780" w:hanging="368"/>
        <w:spacing w:after="0"/>
        <w:tabs>
          <w:tab w:leader="none" w:pos="7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Exhibits</w:t>
      </w:r>
    </w:p>
    <w:p>
      <w:pPr>
        <w:spacing w:after="0" w:line="200" w:lineRule="exact"/>
        <w:rPr>
          <w:sz w:val="20"/>
          <w:szCs w:val="20"/>
          <w:color w:val="auto"/>
        </w:rPr>
      </w:pPr>
    </w:p>
    <w:p>
      <w:pPr>
        <w:spacing w:after="0" w:line="204" w:lineRule="exact"/>
        <w:rPr>
          <w:sz w:val="20"/>
          <w:szCs w:val="20"/>
          <w:color w:val="auto"/>
        </w:rPr>
      </w:pPr>
    </w:p>
    <w:p>
      <w:pPr>
        <w:ind w:left="620" w:right="7680" w:hanging="208"/>
        <w:spacing w:after="0" w:line="266" w:lineRule="auto"/>
        <w:tabs>
          <w:tab w:leader="none" w:pos="754" w:val="left"/>
        </w:tabs>
        <w:numPr>
          <w:ilvl w:val="0"/>
          <w:numId w:val="39"/>
        </w:numPr>
        <w:rPr>
          <w:rFonts w:ascii="Arial" w:cs="Arial" w:eastAsia="Arial" w:hAnsi="Arial"/>
          <w:sz w:val="17"/>
          <w:szCs w:val="17"/>
          <w:color w:val="auto"/>
        </w:rPr>
      </w:pPr>
      <w:r>
        <w:rPr>
          <w:rFonts w:ascii="Arial" w:cs="Arial" w:eastAsia="Arial" w:hAnsi="Arial"/>
          <w:sz w:val="17"/>
          <w:szCs w:val="17"/>
          <w:color w:val="auto"/>
        </w:rPr>
        <w:t>Additional financial statement schedules None.</w:t>
      </w:r>
    </w:p>
    <w:p>
      <w:pPr>
        <w:spacing w:after="0" w:line="200" w:lineRule="exact"/>
        <w:rPr>
          <w:sz w:val="20"/>
          <w:szCs w:val="20"/>
          <w:color w:val="auto"/>
        </w:rPr>
      </w:pPr>
    </w:p>
    <w:p>
      <w:pPr>
        <w:spacing w:after="0" w:line="279"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61595</wp:posOffset>
            </wp:positionV>
            <wp:extent cx="7167880" cy="412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7">
                      <a:extLst>
                        <a:ext uri="{28A0092B-C50C-407E-A947-70E740481C1C}"/>
                      </a:extLst>
                    </a:blip>
                    <a:srcRect/>
                    <a:stretch>
                      <a:fillRect/>
                    </a:stretch>
                  </pic:blipFill>
                  <pic:spPr bwMode="auto">
                    <a:xfrm>
                      <a:off x="0" y="0"/>
                      <a:ext cx="7167880" cy="41275"/>
                    </a:xfrm>
                    <a:prstGeom prst="rect">
                      <a:avLst/>
                    </a:prstGeom>
                    <a:noFill/>
                  </pic:spPr>
                </pic:pic>
              </a:graphicData>
            </a:graphic>
          </wp:anchor>
        </w:drawing>
      </w:r>
    </w:p>
    <w:p>
      <w:pPr>
        <w:sectPr>
          <w:pgSz w:w="11900" w:h="16838" w:orient="portrait"/>
          <w:cols w:equalWidth="0" w:num="1">
            <w:col w:w="11140"/>
          </w:cols>
          <w:pgMar w:left="320" w:top="989" w:right="439" w:bottom="1440" w:gutter="0" w:footer="0" w:header="0"/>
        </w:sectPr>
      </w:pPr>
    </w:p>
    <w:bookmarkStart w:id="50" w:name="page51"/>
    <w:bookmarkEnd w:id="50"/>
    <w:p>
      <w:pPr>
        <w:jc w:val="center"/>
        <w:ind w:right="-39"/>
        <w:spacing w:after="0"/>
        <w:rPr>
          <w:sz w:val="20"/>
          <w:szCs w:val="20"/>
          <w:color w:val="auto"/>
        </w:rPr>
      </w:pPr>
      <w:r>
        <w:rPr>
          <w:rFonts w:ascii="Arial" w:cs="Arial" w:eastAsia="Arial" w:hAnsi="Arial"/>
          <w:sz w:val="17"/>
          <w:szCs w:val="17"/>
          <w:b w:val="1"/>
          <w:bCs w:val="1"/>
          <w:color w:val="auto"/>
        </w:rPr>
        <w:t>SIGNATURES</w:t>
      </w:r>
    </w:p>
    <w:p>
      <w:pPr>
        <w:spacing w:after="0" w:line="158" w:lineRule="exact"/>
        <w:rPr>
          <w:sz w:val="20"/>
          <w:szCs w:val="20"/>
          <w:color w:val="auto"/>
        </w:rPr>
      </w:pPr>
    </w:p>
    <w:p>
      <w:pPr>
        <w:ind w:firstLine="412"/>
        <w:spacing w:after="0" w:line="266" w:lineRule="auto"/>
        <w:rPr>
          <w:sz w:val="20"/>
          <w:szCs w:val="20"/>
          <w:color w:val="auto"/>
        </w:rPr>
      </w:pPr>
      <w:r>
        <w:rPr>
          <w:rFonts w:ascii="Arial" w:cs="Arial" w:eastAsia="Arial" w:hAnsi="Arial"/>
          <w:sz w:val="17"/>
          <w:szCs w:val="17"/>
          <w:color w:val="auto"/>
        </w:rPr>
        <w:t>Pursuant to the requirements of Section 13 or 15(d) of the Securities Exchange Act of 1934, the Company has duly caused this report to be signed on its behalf by the undersigned, thereunto duly authorized.</w:t>
      </w:r>
    </w:p>
    <w:p>
      <w:pPr>
        <w:spacing w:after="0" w:line="179"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AGNC I</w:t>
      </w:r>
      <w:r>
        <w:rPr>
          <w:rFonts w:ascii="Arial" w:cs="Arial" w:eastAsia="Arial" w:hAnsi="Arial"/>
          <w:sz w:val="13"/>
          <w:szCs w:val="13"/>
          <w:color w:val="auto"/>
        </w:rPr>
        <w:t>NVESTMENT</w:t>
      </w:r>
      <w:r>
        <w:rPr>
          <w:rFonts w:ascii="Arial" w:cs="Arial" w:eastAsia="Arial" w:hAnsi="Arial"/>
          <w:sz w:val="17"/>
          <w:szCs w:val="17"/>
          <w:color w:val="auto"/>
        </w:rPr>
        <w:t xml:space="preserve"> C</w:t>
      </w:r>
      <w:r>
        <w:rPr>
          <w:rFonts w:ascii="Arial" w:cs="Arial" w:eastAsia="Arial" w:hAnsi="Arial"/>
          <w:sz w:val="13"/>
          <w:szCs w:val="13"/>
          <w:color w:val="auto"/>
        </w:rPr>
        <w:t>ORP</w:t>
      </w:r>
      <w:r>
        <w:rPr>
          <w:rFonts w:ascii="Arial" w:cs="Arial" w:eastAsia="Arial" w:hAnsi="Arial"/>
          <w:sz w:val="17"/>
          <w:szCs w:val="17"/>
          <w:color w:val="auto"/>
        </w:rPr>
        <w:t>.</w:t>
      </w:r>
    </w:p>
    <w:p>
      <w:pPr>
        <w:spacing w:after="0" w:line="67" w:lineRule="exact"/>
        <w:rPr>
          <w:sz w:val="20"/>
          <w:szCs w:val="20"/>
          <w:color w:val="auto"/>
        </w:rPr>
      </w:pPr>
    </w:p>
    <w:p>
      <w:pPr>
        <w:ind w:left="5560"/>
        <w:spacing w:after="0"/>
        <w:tabs>
          <w:tab w:leader="none" w:pos="7820" w:val="left"/>
          <w:tab w:leader="none" w:pos="814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w:t>
      </w:r>
      <w:r>
        <w:rPr>
          <w:sz w:val="20"/>
          <w:szCs w:val="20"/>
          <w:color w:val="auto"/>
        </w:rPr>
        <w:tab/>
      </w:r>
      <w:r>
        <w:rPr>
          <w:rFonts w:ascii="Arial" w:cs="Arial" w:eastAsia="Arial" w:hAnsi="Arial"/>
          <w:sz w:val="16"/>
          <w:szCs w:val="16"/>
          <w:color w:val="auto"/>
        </w:rPr>
        <w:t>P</w:t>
      </w:r>
      <w:r>
        <w:rPr>
          <w:rFonts w:ascii="Arial" w:cs="Arial" w:eastAsia="Arial" w:hAnsi="Arial"/>
          <w:sz w:val="12"/>
          <w:szCs w:val="12"/>
          <w:color w:val="auto"/>
        </w:rPr>
        <w:t>ETER</w:t>
      </w:r>
      <w:r>
        <w:rPr>
          <w:rFonts w:ascii="Arial" w:cs="Arial" w:eastAsia="Arial" w:hAnsi="Arial"/>
          <w:sz w:val="16"/>
          <w:szCs w:val="16"/>
          <w:color w:val="auto"/>
        </w:rPr>
        <w:t xml:space="preserve"> J. F</w:t>
      </w:r>
      <w:r>
        <w:rPr>
          <w:rFonts w:ascii="Arial" w:cs="Arial" w:eastAsia="Arial" w:hAnsi="Arial"/>
          <w:sz w:val="12"/>
          <w:szCs w:val="12"/>
          <w:color w:val="auto"/>
        </w:rPr>
        <w:t>EDERICO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10795</wp:posOffset>
            </wp:positionV>
            <wp:extent cx="3269615" cy="7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8">
                      <a:extLst>
                        <a:ext uri="{28A0092B-C50C-407E-A947-70E740481C1C}"/>
                      </a:extLst>
                    </a:blip>
                    <a:srcRect/>
                    <a:stretch>
                      <a:fillRect/>
                    </a:stretch>
                  </pic:blipFill>
                  <pic:spPr bwMode="auto">
                    <a:xfrm>
                      <a:off x="0" y="0"/>
                      <a:ext cx="3269615" cy="7620"/>
                    </a:xfrm>
                    <a:prstGeom prst="rect">
                      <a:avLst/>
                    </a:prstGeom>
                    <a:noFill/>
                  </pic:spPr>
                </pic:pic>
              </a:graphicData>
            </a:graphic>
          </wp:anchor>
        </w:drawing>
      </w:r>
    </w:p>
    <w:p>
      <w:pPr>
        <w:jc w:val="center"/>
        <w:ind w:left="6020"/>
        <w:spacing w:after="0"/>
        <w:rPr>
          <w:sz w:val="20"/>
          <w:szCs w:val="20"/>
          <w:color w:val="auto"/>
        </w:rPr>
      </w:pPr>
      <w:r>
        <w:rPr>
          <w:rFonts w:ascii="Arial" w:cs="Arial" w:eastAsia="Arial" w:hAnsi="Arial"/>
          <w:sz w:val="13"/>
          <w:szCs w:val="13"/>
          <w:b w:val="1"/>
          <w:bCs w:val="1"/>
          <w:color w:val="auto"/>
        </w:rPr>
        <w:t>Peter J. Federico</w:t>
      </w:r>
    </w:p>
    <w:p>
      <w:pPr>
        <w:jc w:val="center"/>
        <w:ind w:left="6020"/>
        <w:spacing w:after="0" w:line="200" w:lineRule="auto"/>
        <w:rPr>
          <w:sz w:val="20"/>
          <w:szCs w:val="20"/>
          <w:color w:val="auto"/>
        </w:rPr>
      </w:pPr>
      <w:r>
        <w:rPr>
          <w:rFonts w:ascii="Arial" w:cs="Arial" w:eastAsia="Arial" w:hAnsi="Arial"/>
          <w:sz w:val="13"/>
          <w:szCs w:val="13"/>
          <w:b w:val="1"/>
          <w:bCs w:val="1"/>
          <w:color w:val="auto"/>
        </w:rPr>
        <w:t>President and</w:t>
      </w:r>
    </w:p>
    <w:p>
      <w:pPr>
        <w:jc w:val="center"/>
        <w:ind w:left="6020"/>
        <w:spacing w:after="0"/>
        <w:rPr>
          <w:sz w:val="20"/>
          <w:szCs w:val="20"/>
          <w:color w:val="auto"/>
        </w:rPr>
      </w:pPr>
      <w:r>
        <w:rPr>
          <w:rFonts w:ascii="Arial" w:cs="Arial" w:eastAsia="Arial" w:hAnsi="Arial"/>
          <w:sz w:val="13"/>
          <w:szCs w:val="13"/>
          <w:b w:val="1"/>
          <w:bCs w:val="1"/>
          <w:color w:val="auto"/>
        </w:rPr>
        <w:t>Chief Executive Officer (Principal Executive Officer)</w:t>
      </w:r>
    </w:p>
    <w:p>
      <w:pPr>
        <w:spacing w:after="0" w:line="19" w:lineRule="exact"/>
        <w:rPr>
          <w:sz w:val="20"/>
          <w:szCs w:val="20"/>
          <w:color w:val="auto"/>
        </w:rPr>
      </w:pPr>
    </w:p>
    <w:p>
      <w:pPr>
        <w:ind w:left="40"/>
        <w:spacing w:after="0"/>
        <w:tabs>
          <w:tab w:leader="none" w:pos="640" w:val="left"/>
        </w:tabs>
        <w:rPr>
          <w:sz w:val="20"/>
          <w:szCs w:val="20"/>
          <w:color w:val="auto"/>
        </w:rPr>
      </w:pPr>
      <w:r>
        <w:rPr>
          <w:rFonts w:ascii="Arial" w:cs="Arial" w:eastAsia="Arial" w:hAnsi="Arial"/>
          <w:sz w:val="17"/>
          <w:szCs w:val="17"/>
          <w:color w:val="auto"/>
        </w:rPr>
        <w:t>Date:</w:t>
      </w:r>
      <w:r>
        <w:rPr>
          <w:sz w:val="20"/>
          <w:szCs w:val="20"/>
          <w:color w:val="auto"/>
        </w:rPr>
        <w:tab/>
      </w:r>
      <w:r>
        <w:rPr>
          <w:rFonts w:ascii="Arial" w:cs="Arial" w:eastAsia="Arial" w:hAnsi="Arial"/>
          <w:sz w:val="17"/>
          <w:szCs w:val="17"/>
          <w:color w:val="auto"/>
        </w:rPr>
        <w:t>August 5, 2021</w:t>
      </w:r>
    </w:p>
    <w:p>
      <w:pPr>
        <w:spacing w:after="0" w:line="267" w:lineRule="exact"/>
        <w:rPr>
          <w:sz w:val="20"/>
          <w:szCs w:val="20"/>
          <w:color w:val="auto"/>
        </w:rPr>
      </w:pPr>
    </w:p>
    <w:p>
      <w:pPr>
        <w:ind w:left="5560"/>
        <w:spacing w:after="0"/>
        <w:tabs>
          <w:tab w:leader="none" w:pos="7880" w:val="left"/>
          <w:tab w:leader="none" w:pos="820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w:t>
      </w:r>
      <w:r>
        <w:rPr>
          <w:sz w:val="20"/>
          <w:szCs w:val="20"/>
          <w:color w:val="auto"/>
        </w:rPr>
        <w:tab/>
      </w:r>
      <w:r>
        <w:rPr>
          <w:rFonts w:ascii="Arial" w:cs="Arial" w:eastAsia="Arial" w:hAnsi="Arial"/>
          <w:sz w:val="16"/>
          <w:szCs w:val="16"/>
          <w:color w:val="auto"/>
        </w:rPr>
        <w:t>B</w:t>
      </w:r>
      <w:r>
        <w:rPr>
          <w:rFonts w:ascii="Arial" w:cs="Arial" w:eastAsia="Arial" w:hAnsi="Arial"/>
          <w:sz w:val="12"/>
          <w:szCs w:val="12"/>
          <w:color w:val="auto"/>
        </w:rPr>
        <w:t>ERNICE</w:t>
      </w:r>
      <w:r>
        <w:rPr>
          <w:rFonts w:ascii="Arial" w:cs="Arial" w:eastAsia="Arial" w:hAnsi="Arial"/>
          <w:sz w:val="16"/>
          <w:szCs w:val="16"/>
          <w:color w:val="auto"/>
        </w:rPr>
        <w:t xml:space="preserve"> E. B</w:t>
      </w:r>
      <w:r>
        <w:rPr>
          <w:rFonts w:ascii="Arial" w:cs="Arial" w:eastAsia="Arial" w:hAnsi="Arial"/>
          <w:sz w:val="12"/>
          <w:szCs w:val="12"/>
          <w:color w:val="auto"/>
        </w:rPr>
        <w:t>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10795</wp:posOffset>
            </wp:positionV>
            <wp:extent cx="3269615"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9">
                      <a:extLst>
                        <a:ext uri="{28A0092B-C50C-407E-A947-70E740481C1C}"/>
                      </a:extLst>
                    </a:blip>
                    <a:srcRect/>
                    <a:stretch>
                      <a:fillRect/>
                    </a:stretch>
                  </pic:blipFill>
                  <pic:spPr bwMode="auto">
                    <a:xfrm>
                      <a:off x="0" y="0"/>
                      <a:ext cx="3269615" cy="7620"/>
                    </a:xfrm>
                    <a:prstGeom prst="rect">
                      <a:avLst/>
                    </a:prstGeom>
                    <a:noFill/>
                  </pic:spPr>
                </pic:pic>
              </a:graphicData>
            </a:graphic>
          </wp:anchor>
        </w:drawing>
      </w:r>
    </w:p>
    <w:p>
      <w:pPr>
        <w:ind w:left="8220"/>
        <w:spacing w:after="0"/>
        <w:rPr>
          <w:sz w:val="20"/>
          <w:szCs w:val="20"/>
          <w:color w:val="auto"/>
        </w:rPr>
      </w:pPr>
      <w:r>
        <w:rPr>
          <w:rFonts w:ascii="Arial" w:cs="Arial" w:eastAsia="Arial" w:hAnsi="Arial"/>
          <w:sz w:val="13"/>
          <w:szCs w:val="13"/>
          <w:b w:val="1"/>
          <w:bCs w:val="1"/>
          <w:color w:val="auto"/>
        </w:rPr>
        <w:t>Bernice E. Bell</w:t>
      </w:r>
    </w:p>
    <w:p>
      <w:pPr>
        <w:ind w:left="7900"/>
        <w:spacing w:after="0" w:line="200" w:lineRule="auto"/>
        <w:rPr>
          <w:sz w:val="20"/>
          <w:szCs w:val="20"/>
          <w:color w:val="auto"/>
        </w:rPr>
      </w:pPr>
      <w:r>
        <w:rPr>
          <w:rFonts w:ascii="Arial" w:cs="Arial" w:eastAsia="Arial" w:hAnsi="Arial"/>
          <w:sz w:val="13"/>
          <w:szCs w:val="13"/>
          <w:b w:val="1"/>
          <w:bCs w:val="1"/>
          <w:color w:val="auto"/>
        </w:rPr>
        <w:t>Senior Vice President and</w:t>
      </w:r>
    </w:p>
    <w:p>
      <w:pPr>
        <w:ind w:left="6200"/>
        <w:spacing w:after="0"/>
        <w:rPr>
          <w:sz w:val="20"/>
          <w:szCs w:val="20"/>
          <w:color w:val="auto"/>
        </w:rPr>
      </w:pPr>
      <w:r>
        <w:rPr>
          <w:rFonts w:ascii="Arial" w:cs="Arial" w:eastAsia="Arial" w:hAnsi="Arial"/>
          <w:sz w:val="12"/>
          <w:szCs w:val="12"/>
          <w:b w:val="1"/>
          <w:bCs w:val="1"/>
          <w:color w:val="auto"/>
        </w:rPr>
        <w:t>Chief Financial Officer (Principal Financial Officer and Principal Accounting Officer)</w:t>
      </w:r>
    </w:p>
    <w:p>
      <w:pPr>
        <w:spacing w:after="0" w:line="31" w:lineRule="exact"/>
        <w:rPr>
          <w:sz w:val="20"/>
          <w:szCs w:val="20"/>
          <w:color w:val="auto"/>
        </w:rPr>
      </w:pPr>
    </w:p>
    <w:p>
      <w:pPr>
        <w:ind w:left="40"/>
        <w:spacing w:after="0"/>
        <w:tabs>
          <w:tab w:leader="none" w:pos="640" w:val="left"/>
        </w:tabs>
        <w:rPr>
          <w:sz w:val="20"/>
          <w:szCs w:val="20"/>
          <w:color w:val="auto"/>
        </w:rPr>
      </w:pPr>
      <w:r>
        <w:rPr>
          <w:rFonts w:ascii="Arial" w:cs="Arial" w:eastAsia="Arial" w:hAnsi="Arial"/>
          <w:sz w:val="17"/>
          <w:szCs w:val="17"/>
          <w:color w:val="auto"/>
        </w:rPr>
        <w:t>Date:</w:t>
      </w:r>
      <w:r>
        <w:rPr>
          <w:sz w:val="20"/>
          <w:szCs w:val="20"/>
          <w:color w:val="auto"/>
        </w:rPr>
        <w:tab/>
      </w:r>
      <w:r>
        <w:rPr>
          <w:rFonts w:ascii="Arial" w:cs="Arial" w:eastAsia="Arial" w:hAnsi="Arial"/>
          <w:sz w:val="17"/>
          <w:szCs w:val="17"/>
          <w:color w:val="auto"/>
        </w:rPr>
        <w:t>August 5,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50</w:t>
      </w:r>
    </w:p>
    <w:p>
      <w:pPr>
        <w:sectPr>
          <w:pgSz w:w="11900" w:h="16838" w:orient="portrait"/>
          <w:cols w:equalWidth="0" w:num="1">
            <w:col w:w="11200"/>
          </w:cols>
          <w:pgMar w:left="320" w:top="836" w:right="379" w:bottom="1440" w:gutter="0" w:footer="0" w:header="0"/>
        </w:sectPr>
      </w:pPr>
    </w:p>
    <w:bookmarkStart w:id="51" w:name="page52"/>
    <w:bookmarkEnd w:id="51"/>
    <w:p>
      <w:pPr>
        <w:jc w:val="right"/>
        <w:spacing w:after="0"/>
        <w:rPr>
          <w:sz w:val="20"/>
          <w:szCs w:val="20"/>
          <w:color w:val="auto"/>
        </w:rPr>
      </w:pPr>
      <w:r>
        <w:rPr>
          <w:rFonts w:ascii="Arial" w:cs="Arial" w:eastAsia="Arial" w:hAnsi="Arial"/>
          <w:sz w:val="17"/>
          <w:szCs w:val="17"/>
          <w:color w:val="auto"/>
        </w:rPr>
        <w:t>Exhibit 31.1</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AGNC Investment Corp.</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 Section 302(a)</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 the Sarbanes-Oxley Act of 2002</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I, Peter J. Federico, certify that:</w:t>
      </w:r>
    </w:p>
    <w:p>
      <w:pPr>
        <w:spacing w:after="0" w:line="142" w:lineRule="exact"/>
        <w:rPr>
          <w:sz w:val="20"/>
          <w:szCs w:val="20"/>
          <w:color w:val="auto"/>
        </w:rPr>
      </w:pPr>
    </w:p>
    <w:p>
      <w:pPr>
        <w:ind w:left="700" w:hanging="288"/>
        <w:spacing w:after="0"/>
        <w:tabs>
          <w:tab w:leader="none" w:pos="7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AGNC Investment Corp.;</w:t>
      </w:r>
    </w:p>
    <w:p>
      <w:pPr>
        <w:spacing w:after="0" w:line="141" w:lineRule="exact"/>
        <w:rPr>
          <w:rFonts w:ascii="Arial" w:cs="Arial" w:eastAsia="Arial" w:hAnsi="Arial"/>
          <w:sz w:val="17"/>
          <w:szCs w:val="17"/>
          <w:color w:val="auto"/>
        </w:rPr>
      </w:pPr>
    </w:p>
    <w:p>
      <w:pPr>
        <w:ind w:left="780" w:hanging="368"/>
        <w:spacing w:after="0" w:line="333" w:lineRule="auto"/>
        <w:tabs>
          <w:tab w:leader="none" w:pos="709" w:val="left"/>
        </w:tabs>
        <w:numPr>
          <w:ilvl w:val="0"/>
          <w:numId w:val="4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8" w:lineRule="exact"/>
        <w:rPr>
          <w:rFonts w:ascii="Arial" w:cs="Arial" w:eastAsia="Arial" w:hAnsi="Arial"/>
          <w:sz w:val="15"/>
          <w:szCs w:val="15"/>
          <w:color w:val="auto"/>
        </w:rPr>
      </w:pPr>
    </w:p>
    <w:p>
      <w:pPr>
        <w:ind w:left="780" w:hanging="368"/>
        <w:spacing w:after="0" w:line="266" w:lineRule="auto"/>
        <w:tabs>
          <w:tab w:leader="none" w:pos="725" w:val="left"/>
        </w:tabs>
        <w:numPr>
          <w:ilvl w:val="0"/>
          <w:numId w:val="4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4" w:lineRule="exact"/>
        <w:rPr>
          <w:rFonts w:ascii="Arial" w:cs="Arial" w:eastAsia="Arial" w:hAnsi="Arial"/>
          <w:sz w:val="17"/>
          <w:szCs w:val="17"/>
          <w:color w:val="auto"/>
        </w:rPr>
      </w:pPr>
    </w:p>
    <w:p>
      <w:pPr>
        <w:ind w:left="780" w:hanging="368"/>
        <w:spacing w:after="0" w:line="255" w:lineRule="auto"/>
        <w:tabs>
          <w:tab w:leader="none" w:pos="704"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4" w:lineRule="exact"/>
        <w:rPr>
          <w:rFonts w:ascii="Arial" w:cs="Arial" w:eastAsia="Arial" w:hAnsi="Arial"/>
          <w:sz w:val="17"/>
          <w:szCs w:val="17"/>
          <w:color w:val="auto"/>
        </w:rPr>
      </w:pPr>
    </w:p>
    <w:p>
      <w:pPr>
        <w:jc w:val="both"/>
        <w:ind w:left="1320" w:hanging="383"/>
        <w:spacing w:after="0" w:line="255" w:lineRule="auto"/>
        <w:tabs>
          <w:tab w:leader="none" w:pos="1301" w:val="left"/>
        </w:tabs>
        <w:numPr>
          <w:ilvl w:val="1"/>
          <w:numId w:val="4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4" w:lineRule="exact"/>
        <w:rPr>
          <w:rFonts w:ascii="Arial" w:cs="Arial" w:eastAsia="Arial" w:hAnsi="Arial"/>
          <w:sz w:val="17"/>
          <w:szCs w:val="17"/>
          <w:color w:val="auto"/>
        </w:rPr>
      </w:pPr>
    </w:p>
    <w:p>
      <w:pPr>
        <w:jc w:val="both"/>
        <w:ind w:left="1320" w:hanging="383"/>
        <w:spacing w:after="0" w:line="255" w:lineRule="auto"/>
        <w:tabs>
          <w:tab w:leader="none" w:pos="1308" w:val="left"/>
        </w:tabs>
        <w:numPr>
          <w:ilvl w:val="1"/>
          <w:numId w:val="4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4" w:lineRule="exact"/>
        <w:rPr>
          <w:rFonts w:ascii="Arial" w:cs="Arial" w:eastAsia="Arial" w:hAnsi="Arial"/>
          <w:sz w:val="17"/>
          <w:szCs w:val="17"/>
          <w:color w:val="auto"/>
        </w:rPr>
      </w:pPr>
    </w:p>
    <w:p>
      <w:pPr>
        <w:ind w:left="1320" w:hanging="383"/>
        <w:spacing w:after="0" w:line="297" w:lineRule="auto"/>
        <w:tabs>
          <w:tab w:leader="none" w:pos="1312" w:val="left"/>
        </w:tabs>
        <w:numPr>
          <w:ilvl w:val="1"/>
          <w:numId w:val="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2" w:lineRule="exact"/>
        <w:rPr>
          <w:rFonts w:ascii="Arial" w:cs="Arial" w:eastAsia="Arial" w:hAnsi="Arial"/>
          <w:sz w:val="16"/>
          <w:szCs w:val="16"/>
          <w:color w:val="auto"/>
        </w:rPr>
      </w:pPr>
    </w:p>
    <w:p>
      <w:pPr>
        <w:jc w:val="both"/>
        <w:ind w:left="1320" w:hanging="383"/>
        <w:spacing w:after="0" w:line="255" w:lineRule="auto"/>
        <w:tabs>
          <w:tab w:leader="none" w:pos="1326" w:val="left"/>
        </w:tabs>
        <w:numPr>
          <w:ilvl w:val="1"/>
          <w:numId w:val="4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4" w:lineRule="exact"/>
        <w:rPr>
          <w:rFonts w:ascii="Arial" w:cs="Arial" w:eastAsia="Arial" w:hAnsi="Arial"/>
          <w:sz w:val="17"/>
          <w:szCs w:val="17"/>
          <w:color w:val="auto"/>
        </w:rPr>
      </w:pPr>
    </w:p>
    <w:p>
      <w:pPr>
        <w:ind w:left="780" w:hanging="368"/>
        <w:spacing w:after="0" w:line="266" w:lineRule="auto"/>
        <w:tabs>
          <w:tab w:leader="none" w:pos="694"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04" w:lineRule="exact"/>
        <w:rPr>
          <w:rFonts w:ascii="Arial" w:cs="Arial" w:eastAsia="Arial" w:hAnsi="Arial"/>
          <w:sz w:val="17"/>
          <w:szCs w:val="17"/>
          <w:color w:val="auto"/>
        </w:rPr>
      </w:pPr>
    </w:p>
    <w:p>
      <w:pPr>
        <w:ind w:left="1320" w:hanging="383"/>
        <w:spacing w:after="0" w:line="266" w:lineRule="auto"/>
        <w:tabs>
          <w:tab w:leader="none" w:pos="1287" w:val="left"/>
        </w:tabs>
        <w:numPr>
          <w:ilvl w:val="1"/>
          <w:numId w:val="4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4" w:lineRule="exact"/>
        <w:rPr>
          <w:rFonts w:ascii="Arial" w:cs="Arial" w:eastAsia="Arial" w:hAnsi="Arial"/>
          <w:sz w:val="17"/>
          <w:szCs w:val="17"/>
          <w:color w:val="auto"/>
        </w:rPr>
      </w:pPr>
    </w:p>
    <w:p>
      <w:pPr>
        <w:ind w:left="1320" w:hanging="383"/>
        <w:spacing w:after="0" w:line="266" w:lineRule="auto"/>
        <w:tabs>
          <w:tab w:leader="none" w:pos="1304" w:val="left"/>
        </w:tabs>
        <w:numPr>
          <w:ilvl w:val="1"/>
          <w:numId w:val="40"/>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9" w:lineRule="exact"/>
        <w:rPr>
          <w:sz w:val="20"/>
          <w:szCs w:val="20"/>
          <w:color w:val="auto"/>
        </w:rPr>
      </w:pPr>
    </w:p>
    <w:p>
      <w:pPr>
        <w:ind w:left="20"/>
        <w:spacing w:after="0"/>
        <w:tabs>
          <w:tab w:leader="none" w:pos="600" w:val="left"/>
        </w:tabs>
        <w:rPr>
          <w:sz w:val="20"/>
          <w:szCs w:val="20"/>
          <w:color w:val="auto"/>
        </w:rPr>
      </w:pPr>
      <w:r>
        <w:rPr>
          <w:rFonts w:ascii="Arial" w:cs="Arial" w:eastAsia="Arial" w:hAnsi="Arial"/>
          <w:sz w:val="17"/>
          <w:szCs w:val="17"/>
          <w:color w:val="auto"/>
        </w:rPr>
        <w:t>Date:</w:t>
        <w:tab/>
        <w:t>August 5, 2021</w:t>
      </w:r>
    </w:p>
    <w:p>
      <w:pPr>
        <w:spacing w:after="0" w:line="192" w:lineRule="exact"/>
        <w:rPr>
          <w:sz w:val="20"/>
          <w:szCs w:val="20"/>
          <w:color w:val="auto"/>
        </w:rPr>
      </w:pPr>
    </w:p>
    <w:p>
      <w:pPr>
        <w:ind w:left="620"/>
        <w:spacing w:after="0"/>
        <w:tabs>
          <w:tab w:leader="none" w:pos="920" w:val="left"/>
        </w:tabs>
        <w:rPr>
          <w:sz w:val="20"/>
          <w:szCs w:val="20"/>
          <w:color w:val="auto"/>
        </w:rPr>
      </w:pPr>
      <w:r>
        <w:rPr>
          <w:rFonts w:ascii="Arial" w:cs="Arial" w:eastAsia="Arial" w:hAnsi="Arial"/>
          <w:sz w:val="17"/>
          <w:szCs w:val="17"/>
          <w:color w:val="auto"/>
        </w:rPr>
        <w:t>/s/</w:t>
      </w:r>
      <w:r>
        <w:rPr>
          <w:sz w:val="20"/>
          <w:szCs w:val="20"/>
          <w:color w:val="auto"/>
        </w:rPr>
        <w:tab/>
      </w:r>
      <w:r>
        <w:rPr>
          <w:rFonts w:ascii="Arial" w:cs="Arial" w:eastAsia="Arial" w:hAnsi="Arial"/>
          <w:sz w:val="15"/>
          <w:szCs w:val="15"/>
          <w:color w:val="auto"/>
        </w:rPr>
        <w:t>P</w:t>
      </w:r>
      <w:r>
        <w:rPr>
          <w:rFonts w:ascii="Arial" w:cs="Arial" w:eastAsia="Arial" w:hAnsi="Arial"/>
          <w:sz w:val="11"/>
          <w:szCs w:val="11"/>
          <w:color w:val="auto"/>
        </w:rPr>
        <w:t>ETER</w:t>
      </w:r>
      <w:r>
        <w:rPr>
          <w:rFonts w:ascii="Arial" w:cs="Arial" w:eastAsia="Arial" w:hAnsi="Arial"/>
          <w:sz w:val="15"/>
          <w:szCs w:val="15"/>
          <w:color w:val="auto"/>
        </w:rPr>
        <w:t xml:space="preserve"> J. F</w:t>
      </w:r>
      <w:r>
        <w:rPr>
          <w:rFonts w:ascii="Arial" w:cs="Arial" w:eastAsia="Arial" w:hAnsi="Arial"/>
          <w:sz w:val="11"/>
          <w:szCs w:val="11"/>
          <w:color w:val="auto"/>
        </w:rPr>
        <w:t>EDERICO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381000</wp:posOffset>
            </wp:positionH>
            <wp:positionV relativeFrom="paragraph">
              <wp:posOffset>10795</wp:posOffset>
            </wp:positionV>
            <wp:extent cx="2348865"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0">
                      <a:extLst>
                        <a:ext uri="{28A0092B-C50C-407E-A947-70E740481C1C}"/>
                      </a:extLst>
                    </a:blip>
                    <a:srcRect/>
                    <a:stretch>
                      <a:fillRect/>
                    </a:stretch>
                  </pic:blipFill>
                  <pic:spPr bwMode="auto">
                    <a:xfrm>
                      <a:off x="0" y="0"/>
                      <a:ext cx="2348865" cy="7620"/>
                    </a:xfrm>
                    <a:prstGeom prst="rect">
                      <a:avLst/>
                    </a:prstGeom>
                    <a:noFill/>
                  </pic:spPr>
                </pic:pic>
              </a:graphicData>
            </a:graphic>
          </wp:anchor>
        </w:drawing>
      </w:r>
    </w:p>
    <w:p>
      <w:pPr>
        <w:spacing w:after="0" w:line="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Peter J. Federico</w:t>
      </w:r>
    </w:p>
    <w:p>
      <w:pPr>
        <w:ind w:left="620"/>
        <w:spacing w:after="0" w:line="237" w:lineRule="auto"/>
        <w:rPr>
          <w:sz w:val="20"/>
          <w:szCs w:val="20"/>
          <w:color w:val="auto"/>
        </w:rPr>
      </w:pPr>
      <w:r>
        <w:rPr>
          <w:rFonts w:ascii="Arial" w:cs="Arial" w:eastAsia="Arial" w:hAnsi="Arial"/>
          <w:sz w:val="17"/>
          <w:szCs w:val="17"/>
          <w:color w:val="auto"/>
        </w:rPr>
        <w:t>President and Chief Executive Officer (Principal</w:t>
      </w:r>
    </w:p>
    <w:p>
      <w:pPr>
        <w:ind w:left="620"/>
        <w:spacing w:after="0"/>
        <w:rPr>
          <w:sz w:val="20"/>
          <w:szCs w:val="20"/>
          <w:color w:val="auto"/>
        </w:rPr>
      </w:pPr>
      <w:r>
        <w:rPr>
          <w:rFonts w:ascii="Arial" w:cs="Arial" w:eastAsia="Arial" w:hAnsi="Arial"/>
          <w:sz w:val="17"/>
          <w:szCs w:val="17"/>
          <w:color w:val="auto"/>
        </w:rPr>
        <w:t>Executive Officer)</w:t>
      </w:r>
    </w:p>
    <w:p>
      <w:pPr>
        <w:sectPr>
          <w:pgSz w:w="11900" w:h="16838" w:orient="portrait"/>
          <w:cols w:equalWidth="0" w:num="1">
            <w:col w:w="11240"/>
          </w:cols>
          <w:pgMar w:left="320" w:top="839"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7"/>
          <w:szCs w:val="17"/>
          <w:color w:val="auto"/>
        </w:rPr>
        <w:t>Exhibit 31.2</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AGNC Investment Corp.</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 Section 302(a)</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 the Sarbanes-Oxley Act of 2002</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color w:val="auto"/>
        </w:rPr>
        <w:t>I, Bernice E. Bell, certify that:</w:t>
      </w:r>
    </w:p>
    <w:p>
      <w:pPr>
        <w:spacing w:after="0" w:line="142" w:lineRule="exact"/>
        <w:rPr>
          <w:sz w:val="20"/>
          <w:szCs w:val="20"/>
          <w:color w:val="auto"/>
        </w:rPr>
      </w:pPr>
    </w:p>
    <w:p>
      <w:pPr>
        <w:ind w:left="700" w:hanging="288"/>
        <w:spacing w:after="0"/>
        <w:tabs>
          <w:tab w:leader="none" w:pos="7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AGNC Investment Corp;</w:t>
      </w:r>
    </w:p>
    <w:p>
      <w:pPr>
        <w:spacing w:after="0" w:line="141" w:lineRule="exact"/>
        <w:rPr>
          <w:rFonts w:ascii="Arial" w:cs="Arial" w:eastAsia="Arial" w:hAnsi="Arial"/>
          <w:sz w:val="17"/>
          <w:szCs w:val="17"/>
          <w:color w:val="auto"/>
        </w:rPr>
      </w:pPr>
    </w:p>
    <w:p>
      <w:pPr>
        <w:ind w:left="780" w:hanging="368"/>
        <w:spacing w:after="0" w:line="333" w:lineRule="auto"/>
        <w:tabs>
          <w:tab w:leader="none" w:pos="709" w:val="left"/>
        </w:tabs>
        <w:numPr>
          <w:ilvl w:val="0"/>
          <w:numId w:val="4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8" w:lineRule="exact"/>
        <w:rPr>
          <w:rFonts w:ascii="Arial" w:cs="Arial" w:eastAsia="Arial" w:hAnsi="Arial"/>
          <w:sz w:val="15"/>
          <w:szCs w:val="15"/>
          <w:color w:val="auto"/>
        </w:rPr>
      </w:pPr>
    </w:p>
    <w:p>
      <w:pPr>
        <w:ind w:left="780" w:hanging="368"/>
        <w:spacing w:after="0" w:line="266" w:lineRule="auto"/>
        <w:tabs>
          <w:tab w:leader="none" w:pos="725" w:val="left"/>
        </w:tabs>
        <w:numPr>
          <w:ilvl w:val="0"/>
          <w:numId w:val="4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4" w:lineRule="exact"/>
        <w:rPr>
          <w:rFonts w:ascii="Arial" w:cs="Arial" w:eastAsia="Arial" w:hAnsi="Arial"/>
          <w:sz w:val="17"/>
          <w:szCs w:val="17"/>
          <w:color w:val="auto"/>
        </w:rPr>
      </w:pPr>
    </w:p>
    <w:p>
      <w:pPr>
        <w:ind w:left="780" w:hanging="368"/>
        <w:spacing w:after="0" w:line="255" w:lineRule="auto"/>
        <w:tabs>
          <w:tab w:leader="none" w:pos="704"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4" w:lineRule="exact"/>
        <w:rPr>
          <w:rFonts w:ascii="Arial" w:cs="Arial" w:eastAsia="Arial" w:hAnsi="Arial"/>
          <w:sz w:val="17"/>
          <w:szCs w:val="17"/>
          <w:color w:val="auto"/>
        </w:rPr>
      </w:pPr>
    </w:p>
    <w:p>
      <w:pPr>
        <w:jc w:val="both"/>
        <w:ind w:left="1320" w:hanging="383"/>
        <w:spacing w:after="0" w:line="255" w:lineRule="auto"/>
        <w:tabs>
          <w:tab w:leader="none" w:pos="1301" w:val="left"/>
        </w:tabs>
        <w:numPr>
          <w:ilvl w:val="1"/>
          <w:numId w:val="4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entitles, particularly during the period in which this report is being prepared;</w:t>
      </w:r>
    </w:p>
    <w:p>
      <w:pPr>
        <w:spacing w:after="0" w:line="114" w:lineRule="exact"/>
        <w:rPr>
          <w:rFonts w:ascii="Arial" w:cs="Arial" w:eastAsia="Arial" w:hAnsi="Arial"/>
          <w:sz w:val="17"/>
          <w:szCs w:val="17"/>
          <w:color w:val="auto"/>
        </w:rPr>
      </w:pPr>
    </w:p>
    <w:p>
      <w:pPr>
        <w:jc w:val="both"/>
        <w:ind w:left="1320" w:hanging="383"/>
        <w:spacing w:after="0" w:line="255" w:lineRule="auto"/>
        <w:tabs>
          <w:tab w:leader="none" w:pos="1308" w:val="left"/>
        </w:tabs>
        <w:numPr>
          <w:ilvl w:val="1"/>
          <w:numId w:val="4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4" w:lineRule="exact"/>
        <w:rPr>
          <w:rFonts w:ascii="Arial" w:cs="Arial" w:eastAsia="Arial" w:hAnsi="Arial"/>
          <w:sz w:val="17"/>
          <w:szCs w:val="17"/>
          <w:color w:val="auto"/>
        </w:rPr>
      </w:pPr>
    </w:p>
    <w:p>
      <w:pPr>
        <w:ind w:left="1320" w:hanging="383"/>
        <w:spacing w:after="0" w:line="297" w:lineRule="auto"/>
        <w:tabs>
          <w:tab w:leader="none" w:pos="1312" w:val="left"/>
        </w:tabs>
        <w:numPr>
          <w:ilvl w:val="1"/>
          <w:numId w:val="4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2" w:lineRule="exact"/>
        <w:rPr>
          <w:rFonts w:ascii="Arial" w:cs="Arial" w:eastAsia="Arial" w:hAnsi="Arial"/>
          <w:sz w:val="16"/>
          <w:szCs w:val="16"/>
          <w:color w:val="auto"/>
        </w:rPr>
      </w:pPr>
    </w:p>
    <w:p>
      <w:pPr>
        <w:jc w:val="both"/>
        <w:ind w:left="1320" w:hanging="383"/>
        <w:spacing w:after="0" w:line="255" w:lineRule="auto"/>
        <w:tabs>
          <w:tab w:leader="none" w:pos="1326" w:val="left"/>
        </w:tabs>
        <w:numPr>
          <w:ilvl w:val="1"/>
          <w:numId w:val="4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4" w:lineRule="exact"/>
        <w:rPr>
          <w:rFonts w:ascii="Arial" w:cs="Arial" w:eastAsia="Arial" w:hAnsi="Arial"/>
          <w:sz w:val="17"/>
          <w:szCs w:val="17"/>
          <w:color w:val="auto"/>
        </w:rPr>
      </w:pPr>
    </w:p>
    <w:p>
      <w:pPr>
        <w:ind w:left="780" w:hanging="368"/>
        <w:spacing w:after="0" w:line="266" w:lineRule="auto"/>
        <w:tabs>
          <w:tab w:leader="none" w:pos="694"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04" w:lineRule="exact"/>
        <w:rPr>
          <w:rFonts w:ascii="Arial" w:cs="Arial" w:eastAsia="Arial" w:hAnsi="Arial"/>
          <w:sz w:val="17"/>
          <w:szCs w:val="17"/>
          <w:color w:val="auto"/>
        </w:rPr>
      </w:pPr>
    </w:p>
    <w:p>
      <w:pPr>
        <w:ind w:left="1320" w:hanging="383"/>
        <w:spacing w:after="0" w:line="266" w:lineRule="auto"/>
        <w:tabs>
          <w:tab w:leader="none" w:pos="1310" w:val="left"/>
        </w:tabs>
        <w:numPr>
          <w:ilvl w:val="1"/>
          <w:numId w:val="4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 in the design or operation of internal control over financial reporting which are reasonably likely to adversely affect the registrant's ability to record, process, summarize and report financial information; and</w:t>
      </w:r>
    </w:p>
    <w:p>
      <w:pPr>
        <w:spacing w:after="0" w:line="104" w:lineRule="exact"/>
        <w:rPr>
          <w:rFonts w:ascii="Arial" w:cs="Arial" w:eastAsia="Arial" w:hAnsi="Arial"/>
          <w:sz w:val="17"/>
          <w:szCs w:val="17"/>
          <w:color w:val="auto"/>
        </w:rPr>
      </w:pPr>
    </w:p>
    <w:p>
      <w:pPr>
        <w:ind w:left="1320" w:hanging="383"/>
        <w:spacing w:after="0" w:line="266" w:lineRule="auto"/>
        <w:tabs>
          <w:tab w:leader="none" w:pos="1304" w:val="left"/>
        </w:tabs>
        <w:numPr>
          <w:ilvl w:val="1"/>
          <w:numId w:val="41"/>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p>
      <w:pPr>
        <w:ind w:left="20"/>
        <w:spacing w:after="0"/>
        <w:tabs>
          <w:tab w:leader="none" w:pos="600" w:val="left"/>
        </w:tabs>
        <w:rPr>
          <w:sz w:val="20"/>
          <w:szCs w:val="20"/>
          <w:color w:val="auto"/>
        </w:rPr>
      </w:pPr>
      <w:r>
        <w:rPr>
          <w:rFonts w:ascii="Arial" w:cs="Arial" w:eastAsia="Arial" w:hAnsi="Arial"/>
          <w:sz w:val="17"/>
          <w:szCs w:val="17"/>
          <w:color w:val="auto"/>
        </w:rPr>
        <w:t>Date:</w:t>
        <w:tab/>
        <w:t>August 5, 2021</w:t>
      </w:r>
    </w:p>
    <w:p>
      <w:pPr>
        <w:spacing w:after="0" w:line="192" w:lineRule="exact"/>
        <w:rPr>
          <w:sz w:val="20"/>
          <w:szCs w:val="20"/>
          <w:color w:val="auto"/>
        </w:rPr>
      </w:pPr>
    </w:p>
    <w:p>
      <w:pPr>
        <w:ind w:left="620"/>
        <w:spacing w:after="0"/>
        <w:tabs>
          <w:tab w:leader="none" w:pos="920" w:val="left"/>
        </w:tabs>
        <w:rPr>
          <w:sz w:val="20"/>
          <w:szCs w:val="20"/>
          <w:color w:val="auto"/>
        </w:rPr>
      </w:pPr>
      <w:r>
        <w:rPr>
          <w:rFonts w:ascii="Arial" w:cs="Arial" w:eastAsia="Arial" w:hAnsi="Arial"/>
          <w:sz w:val="17"/>
          <w:szCs w:val="17"/>
          <w:color w:val="auto"/>
        </w:rPr>
        <w:t>/s/</w:t>
      </w:r>
      <w:r>
        <w:rPr>
          <w:sz w:val="20"/>
          <w:szCs w:val="20"/>
          <w:color w:val="auto"/>
        </w:rPr>
        <w:tab/>
      </w:r>
      <w:r>
        <w:rPr>
          <w:rFonts w:ascii="Arial" w:cs="Arial" w:eastAsia="Arial" w:hAnsi="Arial"/>
          <w:sz w:val="16"/>
          <w:szCs w:val="16"/>
          <w:color w:val="auto"/>
        </w:rPr>
        <w:t>B</w:t>
      </w:r>
      <w:r>
        <w:rPr>
          <w:rFonts w:ascii="Arial" w:cs="Arial" w:eastAsia="Arial" w:hAnsi="Arial"/>
          <w:sz w:val="12"/>
          <w:szCs w:val="12"/>
          <w:color w:val="auto"/>
        </w:rPr>
        <w:t>ERNICE</w:t>
      </w:r>
      <w:r>
        <w:rPr>
          <w:rFonts w:ascii="Arial" w:cs="Arial" w:eastAsia="Arial" w:hAnsi="Arial"/>
          <w:sz w:val="16"/>
          <w:szCs w:val="16"/>
          <w:color w:val="auto"/>
        </w:rPr>
        <w:t xml:space="preserve"> E. B</w:t>
      </w:r>
      <w:r>
        <w:rPr>
          <w:rFonts w:ascii="Arial" w:cs="Arial" w:eastAsia="Arial" w:hAnsi="Arial"/>
          <w:sz w:val="12"/>
          <w:szCs w:val="12"/>
          <w:color w:val="auto"/>
        </w:rPr>
        <w:t>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381000</wp:posOffset>
            </wp:positionH>
            <wp:positionV relativeFrom="paragraph">
              <wp:posOffset>10795</wp:posOffset>
            </wp:positionV>
            <wp:extent cx="2348865" cy="7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1">
                      <a:extLst>
                        <a:ext uri="{28A0092B-C50C-407E-A947-70E740481C1C}"/>
                      </a:extLst>
                    </a:blip>
                    <a:srcRect/>
                    <a:stretch>
                      <a:fillRect/>
                    </a:stretch>
                  </pic:blipFill>
                  <pic:spPr bwMode="auto">
                    <a:xfrm>
                      <a:off x="0" y="0"/>
                      <a:ext cx="2348865" cy="7620"/>
                    </a:xfrm>
                    <a:prstGeom prst="rect">
                      <a:avLst/>
                    </a:prstGeom>
                    <a:noFill/>
                  </pic:spPr>
                </pic:pic>
              </a:graphicData>
            </a:graphic>
          </wp:anchor>
        </w:drawing>
      </w:r>
    </w:p>
    <w:p>
      <w:pPr>
        <w:spacing w:after="0" w:line="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Bernice E. Bell</w:t>
      </w:r>
    </w:p>
    <w:p>
      <w:pPr>
        <w:ind w:left="620"/>
        <w:spacing w:after="0" w:line="237" w:lineRule="auto"/>
        <w:rPr>
          <w:sz w:val="20"/>
          <w:szCs w:val="20"/>
          <w:color w:val="auto"/>
        </w:rPr>
      </w:pPr>
      <w:r>
        <w:rPr>
          <w:rFonts w:ascii="Arial" w:cs="Arial" w:eastAsia="Arial" w:hAnsi="Arial"/>
          <w:sz w:val="17"/>
          <w:szCs w:val="17"/>
          <w:color w:val="auto"/>
        </w:rPr>
        <w:t>Senior Vice President and Chief Financial Officer</w:t>
      </w:r>
    </w:p>
    <w:p>
      <w:pPr>
        <w:ind w:left="620"/>
        <w:spacing w:after="0"/>
        <w:rPr>
          <w:sz w:val="20"/>
          <w:szCs w:val="20"/>
          <w:color w:val="auto"/>
        </w:rPr>
      </w:pPr>
      <w:r>
        <w:rPr>
          <w:rFonts w:ascii="Arial" w:cs="Arial" w:eastAsia="Arial" w:hAnsi="Arial"/>
          <w:sz w:val="17"/>
          <w:szCs w:val="17"/>
          <w:color w:val="auto"/>
        </w:rPr>
        <w:t>(Principal Financial Officer)</w:t>
      </w:r>
    </w:p>
    <w:p>
      <w:pPr>
        <w:sectPr>
          <w:pgSz w:w="11900" w:h="16838" w:orient="portrait"/>
          <w:cols w:equalWidth="0" w:num="1">
            <w:col w:w="11240"/>
          </w:cols>
          <w:pgMar w:left="320" w:top="839"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7"/>
          <w:szCs w:val="17"/>
          <w:color w:val="auto"/>
        </w:rPr>
        <w:t>Exhibit 32</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AGNC Investment Corp.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CEO and CFO Pursuant to 18 U.S.C. Section 1350,</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 Section 906 of the Sarbanes-Oxley Act of 2002</w:t>
      </w:r>
    </w:p>
    <w:p>
      <w:pPr>
        <w:spacing w:after="0" w:line="142" w:lineRule="exact"/>
        <w:rPr>
          <w:sz w:val="20"/>
          <w:szCs w:val="20"/>
          <w:color w:val="auto"/>
        </w:rPr>
      </w:pPr>
    </w:p>
    <w:p>
      <w:pPr>
        <w:ind w:left="300"/>
        <w:spacing w:after="0"/>
        <w:rPr>
          <w:sz w:val="20"/>
          <w:szCs w:val="20"/>
          <w:color w:val="auto"/>
        </w:rPr>
      </w:pPr>
      <w:r>
        <w:rPr>
          <w:rFonts w:ascii="Arial" w:cs="Arial" w:eastAsia="Arial" w:hAnsi="Arial"/>
          <w:sz w:val="15"/>
          <w:szCs w:val="15"/>
          <w:color w:val="auto"/>
        </w:rPr>
        <w:t>We, Peter J. Federico, President and Chief Executive Officer, and Bernice E. Bell, Senior Vice President and Chief Financial Officer of AGNC Investment Corp.</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color w:val="auto"/>
        </w:rPr>
        <w:t>(the “Company”), certify pursuant to Section 906 of the Sarbanes-Oxley Act of 2002, 18 U.S.C. Section 1350 that:</w:t>
      </w:r>
    </w:p>
    <w:p>
      <w:pPr>
        <w:spacing w:after="0" w:line="142" w:lineRule="exact"/>
        <w:rPr>
          <w:sz w:val="20"/>
          <w:szCs w:val="20"/>
          <w:color w:val="auto"/>
        </w:rPr>
      </w:pPr>
    </w:p>
    <w:p>
      <w:pPr>
        <w:ind w:left="600" w:right="80" w:hanging="300"/>
        <w:spacing w:after="0" w:line="266" w:lineRule="auto"/>
        <w:tabs>
          <w:tab w:leader="none" w:pos="6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Quarterly Report on Form 10-Q of the Company for the quarter ended June 30, 2021 (the “Report”) fully complies with the requirements of Section 13(a) of the Securities Exchange Act of 1934 (15 U.S.C. 78m); and</w:t>
      </w:r>
    </w:p>
    <w:p>
      <w:pPr>
        <w:spacing w:after="0" w:line="116" w:lineRule="exact"/>
        <w:rPr>
          <w:rFonts w:ascii="Arial" w:cs="Arial" w:eastAsia="Arial" w:hAnsi="Arial"/>
          <w:sz w:val="17"/>
          <w:szCs w:val="17"/>
          <w:color w:val="auto"/>
        </w:rPr>
      </w:pPr>
    </w:p>
    <w:p>
      <w:pPr>
        <w:ind w:left="600" w:hanging="300"/>
        <w:spacing w:after="0"/>
        <w:tabs>
          <w:tab w:leader="none" w:pos="6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700" w:type="dxa"/>
            <w:vAlign w:val="bottom"/>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w:t>
            </w:r>
          </w:p>
        </w:tc>
        <w:tc>
          <w:tcPr>
            <w:tcW w:w="600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P</w:t>
            </w:r>
            <w:r>
              <w:rPr>
                <w:rFonts w:ascii="Arial" w:cs="Arial" w:eastAsia="Arial" w:hAnsi="Arial"/>
                <w:sz w:val="13"/>
                <w:szCs w:val="13"/>
                <w:color w:val="auto"/>
              </w:rPr>
              <w:t>ETER</w:t>
            </w:r>
            <w:r>
              <w:rPr>
                <w:rFonts w:ascii="Arial" w:cs="Arial" w:eastAsia="Arial" w:hAnsi="Arial"/>
                <w:sz w:val="17"/>
                <w:szCs w:val="17"/>
                <w:color w:val="auto"/>
              </w:rPr>
              <w:t xml:space="preserve"> J. F</w:t>
            </w:r>
            <w:r>
              <w:rPr>
                <w:rFonts w:ascii="Arial" w:cs="Arial" w:eastAsia="Arial" w:hAnsi="Arial"/>
                <w:sz w:val="13"/>
                <w:szCs w:val="13"/>
                <w:color w:val="auto"/>
              </w:rPr>
              <w:t>EDERICO</w:t>
            </w:r>
          </w:p>
        </w:tc>
      </w:tr>
      <w:tr>
        <w:trPr>
          <w:trHeight w:val="205"/>
        </w:trPr>
        <w:tc>
          <w:tcPr>
            <w:tcW w:w="700" w:type="dxa"/>
            <w:vAlign w:val="bottom"/>
          </w:tcPr>
          <w:p>
            <w:pPr>
              <w:spacing w:after="0" w:line="193" w:lineRule="exact"/>
              <w:rPr>
                <w:sz w:val="20"/>
                <w:szCs w:val="20"/>
                <w:color w:val="auto"/>
              </w:rPr>
            </w:pPr>
            <w:r>
              <w:rPr>
                <w:rFonts w:ascii="Arial" w:cs="Arial" w:eastAsia="Arial" w:hAnsi="Arial"/>
                <w:sz w:val="17"/>
                <w:szCs w:val="17"/>
                <w:color w:val="auto"/>
              </w:rPr>
              <w:t>Name:</w:t>
            </w:r>
          </w:p>
        </w:tc>
        <w:tc>
          <w:tcPr>
            <w:tcW w:w="6240" w:type="dxa"/>
            <w:vAlign w:val="bottom"/>
            <w:gridSpan w:val="2"/>
          </w:tcPr>
          <w:p>
            <w:pPr>
              <w:spacing w:after="0"/>
              <w:rPr>
                <w:sz w:val="20"/>
                <w:szCs w:val="20"/>
                <w:color w:val="auto"/>
              </w:rPr>
            </w:pPr>
            <w:r>
              <w:rPr>
                <w:rFonts w:ascii="Arial" w:cs="Arial" w:eastAsia="Arial" w:hAnsi="Arial"/>
                <w:sz w:val="17"/>
                <w:szCs w:val="17"/>
                <w:color w:val="auto"/>
              </w:rPr>
              <w:t>Peter J. Federico</w:t>
            </w:r>
          </w:p>
        </w:tc>
      </w:tr>
      <w:tr>
        <w:trPr>
          <w:trHeight w:val="162"/>
        </w:trPr>
        <w:tc>
          <w:tcPr>
            <w:tcW w:w="700" w:type="dxa"/>
            <w:vAlign w:val="bottom"/>
          </w:tcPr>
          <w:p>
            <w:pPr>
              <w:spacing w:after="0" w:line="163" w:lineRule="exact"/>
              <w:rPr>
                <w:sz w:val="20"/>
                <w:szCs w:val="20"/>
                <w:color w:val="auto"/>
              </w:rPr>
            </w:pPr>
            <w:r>
              <w:rPr>
                <w:rFonts w:ascii="Arial" w:cs="Arial" w:eastAsia="Arial" w:hAnsi="Arial"/>
                <w:sz w:val="17"/>
                <w:szCs w:val="17"/>
                <w:color w:val="auto"/>
              </w:rPr>
              <w:t>Title:</w:t>
            </w:r>
          </w:p>
        </w:tc>
        <w:tc>
          <w:tcPr>
            <w:tcW w:w="6240" w:type="dxa"/>
            <w:vAlign w:val="bottom"/>
            <w:gridSpan w:val="2"/>
          </w:tcPr>
          <w:p>
            <w:pPr>
              <w:spacing w:after="0" w:line="163" w:lineRule="exact"/>
              <w:rPr>
                <w:sz w:val="20"/>
                <w:szCs w:val="20"/>
                <w:color w:val="auto"/>
              </w:rPr>
            </w:pPr>
            <w:r>
              <w:rPr>
                <w:rFonts w:ascii="Arial" w:cs="Arial" w:eastAsia="Arial" w:hAnsi="Arial"/>
                <w:sz w:val="17"/>
                <w:szCs w:val="17"/>
                <w:color w:val="auto"/>
              </w:rPr>
              <w:t>President and</w:t>
            </w:r>
          </w:p>
        </w:tc>
      </w:tr>
      <w:tr>
        <w:trPr>
          <w:trHeight w:val="212"/>
        </w:trPr>
        <w:tc>
          <w:tcPr>
            <w:tcW w:w="70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Arial" w:cs="Arial" w:eastAsia="Arial" w:hAnsi="Arial"/>
                <w:sz w:val="17"/>
                <w:szCs w:val="17"/>
                <w:color w:val="auto"/>
              </w:rPr>
              <w:t>Chief Executive Officer (Principal Executive Officer)</w:t>
            </w:r>
          </w:p>
        </w:tc>
      </w:tr>
      <w:tr>
        <w:trPr>
          <w:trHeight w:val="212"/>
        </w:trPr>
        <w:tc>
          <w:tcPr>
            <w:tcW w:w="700" w:type="dxa"/>
            <w:vAlign w:val="bottom"/>
          </w:tcPr>
          <w:p>
            <w:pPr>
              <w:spacing w:after="0"/>
              <w:rPr>
                <w:sz w:val="20"/>
                <w:szCs w:val="20"/>
                <w:color w:val="auto"/>
              </w:rPr>
            </w:pPr>
            <w:r>
              <w:rPr>
                <w:rFonts w:ascii="Arial" w:cs="Arial" w:eastAsia="Arial" w:hAnsi="Arial"/>
                <w:sz w:val="17"/>
                <w:szCs w:val="17"/>
                <w:color w:val="auto"/>
              </w:rPr>
              <w:t>Date:</w:t>
            </w:r>
          </w:p>
        </w:tc>
        <w:tc>
          <w:tcPr>
            <w:tcW w:w="6240" w:type="dxa"/>
            <w:vAlign w:val="bottom"/>
            <w:gridSpan w:val="2"/>
          </w:tcPr>
          <w:p>
            <w:pPr>
              <w:spacing w:after="0"/>
              <w:rPr>
                <w:sz w:val="20"/>
                <w:szCs w:val="20"/>
                <w:color w:val="auto"/>
              </w:rPr>
            </w:pPr>
            <w:r>
              <w:rPr>
                <w:rFonts w:ascii="Arial" w:cs="Arial" w:eastAsia="Arial" w:hAnsi="Arial"/>
                <w:sz w:val="17"/>
                <w:szCs w:val="17"/>
                <w:color w:val="auto"/>
              </w:rPr>
              <w:t>August 5, 2021</w:t>
            </w:r>
          </w:p>
        </w:tc>
      </w:tr>
      <w:tr>
        <w:trPr>
          <w:trHeight w:val="450"/>
        </w:trPr>
        <w:tc>
          <w:tcPr>
            <w:tcW w:w="700" w:type="dxa"/>
            <w:vAlign w:val="bottom"/>
          </w:tcPr>
          <w:p>
            <w:pPr>
              <w:spacing w:after="0"/>
              <w:rPr>
                <w:sz w:val="24"/>
                <w:szCs w:val="24"/>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w:t>
            </w:r>
          </w:p>
        </w:tc>
        <w:tc>
          <w:tcPr>
            <w:tcW w:w="600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B</w:t>
            </w:r>
            <w:r>
              <w:rPr>
                <w:rFonts w:ascii="Arial" w:cs="Arial" w:eastAsia="Arial" w:hAnsi="Arial"/>
                <w:sz w:val="13"/>
                <w:szCs w:val="13"/>
                <w:color w:val="auto"/>
              </w:rPr>
              <w:t>ERNICE</w:t>
            </w:r>
            <w:r>
              <w:rPr>
                <w:rFonts w:ascii="Arial" w:cs="Arial" w:eastAsia="Arial" w:hAnsi="Arial"/>
                <w:sz w:val="17"/>
                <w:szCs w:val="17"/>
                <w:color w:val="auto"/>
              </w:rPr>
              <w:t xml:space="preserve"> E. B</w:t>
            </w:r>
            <w:r>
              <w:rPr>
                <w:rFonts w:ascii="Arial" w:cs="Arial" w:eastAsia="Arial" w:hAnsi="Arial"/>
                <w:sz w:val="13"/>
                <w:szCs w:val="13"/>
                <w:color w:val="auto"/>
              </w:rPr>
              <w:t>ELL</w:t>
            </w:r>
          </w:p>
        </w:tc>
      </w:tr>
      <w:tr>
        <w:trPr>
          <w:trHeight w:val="205"/>
        </w:trPr>
        <w:tc>
          <w:tcPr>
            <w:tcW w:w="700" w:type="dxa"/>
            <w:vAlign w:val="bottom"/>
          </w:tcPr>
          <w:p>
            <w:pPr>
              <w:spacing w:after="0" w:line="193" w:lineRule="exact"/>
              <w:rPr>
                <w:sz w:val="20"/>
                <w:szCs w:val="20"/>
                <w:color w:val="auto"/>
              </w:rPr>
            </w:pPr>
            <w:r>
              <w:rPr>
                <w:rFonts w:ascii="Arial" w:cs="Arial" w:eastAsia="Arial" w:hAnsi="Arial"/>
                <w:sz w:val="17"/>
                <w:szCs w:val="17"/>
                <w:color w:val="auto"/>
              </w:rPr>
              <w:t>Name:</w:t>
            </w:r>
          </w:p>
        </w:tc>
        <w:tc>
          <w:tcPr>
            <w:tcW w:w="6240" w:type="dxa"/>
            <w:vAlign w:val="bottom"/>
            <w:gridSpan w:val="2"/>
          </w:tcPr>
          <w:p>
            <w:pPr>
              <w:spacing w:after="0"/>
              <w:rPr>
                <w:sz w:val="20"/>
                <w:szCs w:val="20"/>
                <w:color w:val="auto"/>
              </w:rPr>
            </w:pPr>
            <w:r>
              <w:rPr>
                <w:rFonts w:ascii="Arial" w:cs="Arial" w:eastAsia="Arial" w:hAnsi="Arial"/>
                <w:sz w:val="17"/>
                <w:szCs w:val="17"/>
                <w:color w:val="auto"/>
              </w:rPr>
              <w:t>Bernice E. Bell</w:t>
            </w:r>
          </w:p>
        </w:tc>
      </w:tr>
      <w:tr>
        <w:trPr>
          <w:trHeight w:val="162"/>
        </w:trPr>
        <w:tc>
          <w:tcPr>
            <w:tcW w:w="700" w:type="dxa"/>
            <w:vAlign w:val="bottom"/>
          </w:tcPr>
          <w:p>
            <w:pPr>
              <w:spacing w:after="0" w:line="163" w:lineRule="exact"/>
              <w:rPr>
                <w:sz w:val="20"/>
                <w:szCs w:val="20"/>
                <w:color w:val="auto"/>
              </w:rPr>
            </w:pPr>
            <w:r>
              <w:rPr>
                <w:rFonts w:ascii="Arial" w:cs="Arial" w:eastAsia="Arial" w:hAnsi="Arial"/>
                <w:sz w:val="17"/>
                <w:szCs w:val="17"/>
                <w:color w:val="auto"/>
              </w:rPr>
              <w:t>Title:</w:t>
            </w:r>
          </w:p>
        </w:tc>
        <w:tc>
          <w:tcPr>
            <w:tcW w:w="6240" w:type="dxa"/>
            <w:vAlign w:val="bottom"/>
            <w:gridSpan w:val="2"/>
          </w:tcPr>
          <w:p>
            <w:pPr>
              <w:spacing w:after="0" w:line="163" w:lineRule="exact"/>
              <w:rPr>
                <w:sz w:val="20"/>
                <w:szCs w:val="20"/>
                <w:color w:val="auto"/>
              </w:rPr>
            </w:pPr>
            <w:r>
              <w:rPr>
                <w:rFonts w:ascii="Arial" w:cs="Arial" w:eastAsia="Arial" w:hAnsi="Arial"/>
                <w:sz w:val="17"/>
                <w:szCs w:val="17"/>
                <w:color w:val="auto"/>
              </w:rPr>
              <w:t>Senior Vice President and</w:t>
            </w:r>
          </w:p>
        </w:tc>
      </w:tr>
      <w:tr>
        <w:trPr>
          <w:trHeight w:val="212"/>
        </w:trPr>
        <w:tc>
          <w:tcPr>
            <w:tcW w:w="70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Arial" w:cs="Arial" w:eastAsia="Arial" w:hAnsi="Arial"/>
                <w:sz w:val="17"/>
                <w:szCs w:val="17"/>
                <w:color w:val="auto"/>
              </w:rPr>
              <w:t>Chief Financial Officer (Principal Financial Officer)</w:t>
            </w:r>
          </w:p>
        </w:tc>
      </w:tr>
      <w:tr>
        <w:trPr>
          <w:trHeight w:val="212"/>
        </w:trPr>
        <w:tc>
          <w:tcPr>
            <w:tcW w:w="700" w:type="dxa"/>
            <w:vAlign w:val="bottom"/>
          </w:tcPr>
          <w:p>
            <w:pPr>
              <w:spacing w:after="0"/>
              <w:rPr>
                <w:sz w:val="20"/>
                <w:szCs w:val="20"/>
                <w:color w:val="auto"/>
              </w:rPr>
            </w:pPr>
            <w:r>
              <w:rPr>
                <w:rFonts w:ascii="Arial" w:cs="Arial" w:eastAsia="Arial" w:hAnsi="Arial"/>
                <w:sz w:val="17"/>
                <w:szCs w:val="17"/>
                <w:color w:val="auto"/>
              </w:rPr>
              <w:t>Date:</w:t>
            </w:r>
          </w:p>
        </w:tc>
        <w:tc>
          <w:tcPr>
            <w:tcW w:w="6240" w:type="dxa"/>
            <w:vAlign w:val="bottom"/>
            <w:gridSpan w:val="2"/>
          </w:tcPr>
          <w:p>
            <w:pPr>
              <w:spacing w:after="0"/>
              <w:rPr>
                <w:sz w:val="20"/>
                <w:szCs w:val="20"/>
                <w:color w:val="auto"/>
              </w:rPr>
            </w:pPr>
            <w:r>
              <w:rPr>
                <w:rFonts w:ascii="Arial" w:cs="Arial" w:eastAsia="Arial" w:hAnsi="Arial"/>
                <w:sz w:val="17"/>
                <w:szCs w:val="17"/>
                <w:color w:val="auto"/>
              </w:rPr>
              <w:t>August 5, 2021</w:t>
            </w:r>
          </w:p>
        </w:tc>
      </w:tr>
    </w:tbl>
    <w:p>
      <w:pPr>
        <w:spacing w:after="0" w:line="88"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83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1."/>
      <w:numFmt w:val="decimal"/>
      <w:start w:val="1"/>
    </w:lvl>
  </w:abstractNum>
  <w:abstractNum w:abstractNumId="2">
    <w:nsid w:val="2443A858"/>
    <w:multiLevelType w:val="hybridMultilevel"/>
    <w:lvl w:ilvl="0">
      <w:lvlJc w:val="left"/>
      <w:lvlText w:val="%1."/>
      <w:numFmt w:val="decimal"/>
      <w:start w:val="1"/>
    </w:lvl>
  </w:abstractNum>
  <w:abstractNum w:abstractNumId="3">
    <w:nsid w:val="2D1D5AE9"/>
    <w:multiLevelType w:val="hybridMultilevel"/>
    <w:lvl w:ilvl="0">
      <w:lvlJc w:val="left"/>
      <w:lvlText w:val="%1."/>
      <w:numFmt w:val="decimal"/>
      <w:start w:val="1"/>
    </w:lvl>
  </w:abstractNum>
  <w:abstractNum w:abstractNumId="4">
    <w:nsid w:val="6763845E"/>
    <w:multiLevelType w:val="hybridMultilevel"/>
    <w:lvl w:ilvl="0">
      <w:lvlJc w:val="left"/>
      <w:lvlText w:val="%1."/>
      <w:numFmt w:val="decimal"/>
      <w:start w:val="1"/>
    </w:lvl>
  </w:abstractNum>
  <w:abstractNum w:abstractNumId="5">
    <w:nsid w:val="75A2A8D4"/>
    <w:multiLevelType w:val="hybridMultilevel"/>
    <w:lvl w:ilvl="0">
      <w:lvlJc w:val="left"/>
      <w:lvlText w:val="%1."/>
      <w:numFmt w:val="decimal"/>
      <w:start w:val="1"/>
    </w:lvl>
  </w:abstractNum>
  <w:abstractNum w:abstractNumId="6">
    <w:nsid w:val="8EDBDAB"/>
    <w:multiLevelType w:val="hybridMultilevel"/>
    <w:lvl w:ilvl="0">
      <w:lvlJc w:val="left"/>
      <w:lvlText w:val="%1."/>
      <w:numFmt w:val="decimal"/>
      <w:start w:val="1"/>
    </w:lvl>
  </w:abstractNum>
  <w:abstractNum w:abstractNumId="7">
    <w:nsid w:val="79838CB2"/>
    <w:multiLevelType w:val="hybridMultilevel"/>
    <w:lvl w:ilvl="0">
      <w:lvlJc w:val="left"/>
      <w:lvlText w:val="%1."/>
      <w:numFmt w:val="decimal"/>
      <w:start w:val="1"/>
    </w:lvl>
  </w:abstractNum>
  <w:abstractNum w:abstractNumId="8">
    <w:nsid w:val="4353D0CD"/>
    <w:multiLevelType w:val="hybridMultilevel"/>
    <w:lvl w:ilvl="0">
      <w:lvlJc w:val="left"/>
      <w:lvlText w:val="%1."/>
      <w:numFmt w:val="decimal"/>
      <w:start w:val="1"/>
    </w:lvl>
  </w:abstractNum>
  <w:abstractNum w:abstractNumId="9">
    <w:nsid w:val="B03E0C6"/>
    <w:multiLevelType w:val="hybridMultilevel"/>
    <w:lvl w:ilvl="0">
      <w:lvlJc w:val="left"/>
      <w:lvlText w:val="%1."/>
      <w:numFmt w:val="decimal"/>
      <w:start w:val="1"/>
    </w:lvl>
  </w:abstractNum>
  <w:abstractNum w:abstractNumId="10">
    <w:nsid w:val="189A769B"/>
    <w:multiLevelType w:val="hybridMultilevel"/>
    <w:lvl w:ilvl="0">
      <w:lvlJc w:val="left"/>
      <w:lvlText w:val="%1."/>
      <w:numFmt w:val="decimal"/>
      <w:start w:val="1"/>
    </w:lvl>
  </w:abstractNum>
  <w:abstractNum w:abstractNumId="11">
    <w:nsid w:val="54E49EB4"/>
    <w:multiLevelType w:val="hybridMultilevel"/>
    <w:lvl w:ilvl="0">
      <w:lvlJc w:val="left"/>
      <w:lvlText w:val="%1."/>
      <w:numFmt w:val="decimal"/>
      <w:start w:val="1"/>
    </w:lvl>
  </w:abstractNum>
  <w:abstractNum w:abstractNumId="12">
    <w:nsid w:val="71F32454"/>
    <w:multiLevelType w:val="hybridMultilevel"/>
    <w:lvl w:ilvl="0">
      <w:lvlJc w:val="left"/>
      <w:lvlText w:val="%1."/>
      <w:numFmt w:val="decimal"/>
      <w:start w:val="1"/>
    </w:lvl>
  </w:abstractNum>
  <w:abstractNum w:abstractNumId="13">
    <w:nsid w:val="2CA88611"/>
    <w:multiLevelType w:val="hybridMultilevel"/>
    <w:lvl w:ilvl="0">
      <w:lvlJc w:val="left"/>
      <w:lvlText w:val="%1."/>
      <w:numFmt w:val="decimal"/>
      <w:start w:val="1"/>
    </w:lvl>
  </w:abstractNum>
  <w:abstractNum w:abstractNumId="14">
    <w:nsid w:val="836C40E"/>
    <w:multiLevelType w:val="hybridMultilevel"/>
    <w:lvl w:ilvl="0">
      <w:lvlJc w:val="left"/>
      <w:lvlText w:val="%1."/>
      <w:numFmt w:val="decimal"/>
      <w:start w:val="2"/>
    </w:lvl>
  </w:abstractNum>
  <w:abstractNum w:abstractNumId="15">
    <w:nsid w:val="2901D82"/>
    <w:multiLevelType w:val="hybridMultilevel"/>
    <w:lvl w:ilvl="0">
      <w:lvlJc w:val="left"/>
      <w:lvlText w:val="%1."/>
      <w:numFmt w:val="decimal"/>
      <w:start w:val="1"/>
    </w:lvl>
  </w:abstractNum>
  <w:abstractNum w:abstractNumId="16">
    <w:nsid w:val="3A95F874"/>
    <w:multiLevelType w:val="hybridMultilevel"/>
    <w:lvl w:ilvl="0">
      <w:lvlJc w:val="left"/>
      <w:lvlText w:val="•"/>
      <w:numFmt w:val="bullet"/>
      <w:start w:val="1"/>
    </w:lvl>
  </w:abstractNum>
  <w:abstractNum w:abstractNumId="17">
    <w:nsid w:val="8138641"/>
    <w:multiLevelType w:val="hybridMultilevel"/>
    <w:lvl w:ilvl="0">
      <w:lvlJc w:val="left"/>
      <w:lvlText w:val="%1."/>
      <w:numFmt w:val="decimal"/>
      <w:start w:val="1"/>
    </w:lvl>
  </w:abstractNum>
  <w:abstractNum w:abstractNumId="18">
    <w:nsid w:val="1E7FF521"/>
    <w:multiLevelType w:val="hybridMultilevel"/>
    <w:lvl w:ilvl="0">
      <w:lvlJc w:val="left"/>
      <w:lvlText w:val="%1."/>
      <w:numFmt w:val="decimal"/>
      <w:start w:val="1"/>
    </w:lvl>
  </w:abstractNum>
  <w:abstractNum w:abstractNumId="19">
    <w:nsid w:val="7C3DBD3D"/>
    <w:multiLevelType w:val="hybridMultilevel"/>
    <w:lvl w:ilvl="0">
      <w:lvlJc w:val="left"/>
      <w:lvlText w:val="%1."/>
      <w:numFmt w:val="decimal"/>
      <w:start w:val="1"/>
    </w:lvl>
  </w:abstractNum>
  <w:abstractNum w:abstractNumId="20">
    <w:nsid w:val="737B8DDC"/>
    <w:multiLevelType w:val="hybridMultilevel"/>
    <w:lvl w:ilvl="0">
      <w:lvlJc w:val="left"/>
      <w:lvlText w:val="%1."/>
      <w:numFmt w:val="decimal"/>
      <w:start w:val="1"/>
    </w:lvl>
  </w:abstractNum>
  <w:abstractNum w:abstractNumId="21">
    <w:nsid w:val="6CEAF087"/>
    <w:multiLevelType w:val="hybridMultilevel"/>
    <w:lvl w:ilvl="0">
      <w:lvlJc w:val="left"/>
      <w:lvlText w:val="%1."/>
      <w:numFmt w:val="decimal"/>
      <w:start w:val="1"/>
    </w:lvl>
  </w:abstractNum>
  <w:abstractNum w:abstractNumId="22">
    <w:nsid w:val="22221A70"/>
    <w:multiLevelType w:val="hybridMultilevel"/>
    <w:lvl w:ilvl="0">
      <w:lvlJc w:val="left"/>
      <w:lvlText w:val="%1."/>
      <w:numFmt w:val="decimal"/>
      <w:start w:val="1"/>
    </w:lvl>
  </w:abstractNum>
  <w:abstractNum w:abstractNumId="23">
    <w:nsid w:val="4516DDE9"/>
    <w:multiLevelType w:val="hybridMultilevel"/>
    <w:lvl w:ilvl="0">
      <w:lvlJc w:val="left"/>
      <w:lvlText w:val="%1."/>
      <w:numFmt w:val="decimal"/>
      <w:start w:val="1"/>
    </w:lvl>
  </w:abstractNum>
  <w:abstractNum w:abstractNumId="24">
    <w:nsid w:val="3006C83E"/>
    <w:multiLevelType w:val="hybridMultilevel"/>
    <w:lvl w:ilvl="0">
      <w:lvlJc w:val="left"/>
      <w:lvlText w:val="%1."/>
      <w:numFmt w:val="decimal"/>
      <w:start w:val="1"/>
    </w:lvl>
  </w:abstractNum>
  <w:abstractNum w:abstractNumId="25">
    <w:nsid w:val="614FD4A1"/>
    <w:multiLevelType w:val="hybridMultilevel"/>
    <w:lvl w:ilvl="0">
      <w:lvlJc w:val="left"/>
      <w:lvlText w:val="%1."/>
      <w:numFmt w:val="decimal"/>
      <w:start w:val="4"/>
    </w:lvl>
  </w:abstractNum>
  <w:abstractNum w:abstractNumId="26">
    <w:nsid w:val="419AC241"/>
    <w:multiLevelType w:val="hybridMultilevel"/>
    <w:lvl w:ilvl="0">
      <w:lvlJc w:val="left"/>
      <w:lvlText w:val="%1."/>
      <w:numFmt w:val="decimal"/>
      <w:start w:val="1"/>
    </w:lvl>
  </w:abstractNum>
  <w:abstractNum w:abstractNumId="27">
    <w:nsid w:val="5577F8E1"/>
    <w:multiLevelType w:val="hybridMultilevel"/>
    <w:lvl w:ilvl="0">
      <w:lvlJc w:val="left"/>
      <w:lvlText w:val="%1."/>
      <w:numFmt w:val="decimal"/>
      <w:start w:val="1"/>
    </w:lvl>
  </w:abstractNum>
  <w:abstractNum w:abstractNumId="28">
    <w:nsid w:val="440BADFC"/>
    <w:multiLevelType w:val="hybridMultilevel"/>
    <w:lvl w:ilvl="0">
      <w:lvlJc w:val="left"/>
      <w:lvlText w:val="%1."/>
      <w:numFmt w:val="decimal"/>
      <w:start w:val="1"/>
    </w:lvl>
  </w:abstractNum>
  <w:abstractNum w:abstractNumId="29">
    <w:nsid w:val="5072367"/>
    <w:multiLevelType w:val="hybridMultilevel"/>
    <w:lvl w:ilvl="0">
      <w:lvlJc w:val="left"/>
      <w:lvlText w:val="%1."/>
      <w:numFmt w:val="decimal"/>
      <w:start w:val="1"/>
    </w:lvl>
  </w:abstractNum>
  <w:abstractNum w:abstractNumId="30">
    <w:nsid w:val="3804823E"/>
    <w:multiLevelType w:val="hybridMultilevel"/>
    <w:lvl w:ilvl="0">
      <w:lvlJc w:val="left"/>
      <w:lvlText w:val="•"/>
      <w:numFmt w:val="bullet"/>
      <w:start w:val="1"/>
    </w:lvl>
  </w:abstractNum>
  <w:abstractNum w:abstractNumId="31">
    <w:nsid w:val="77465F01"/>
    <w:multiLevelType w:val="hybridMultilevel"/>
    <w:lvl w:ilvl="0">
      <w:lvlJc w:val="left"/>
      <w:lvlText w:val="•"/>
      <w:numFmt w:val="bullet"/>
      <w:start w:val="1"/>
    </w:lvl>
  </w:abstractNum>
  <w:abstractNum w:abstractNumId="32">
    <w:nsid w:val="7724C67E"/>
    <w:multiLevelType w:val="hybridMultilevel"/>
    <w:lvl w:ilvl="0">
      <w:lvlJc w:val="left"/>
      <w:lvlText w:val="%1."/>
      <w:numFmt w:val="decimal"/>
      <w:start w:val="1"/>
    </w:lvl>
  </w:abstractNum>
  <w:abstractNum w:abstractNumId="33">
    <w:nsid w:val="5C482A97"/>
    <w:multiLevelType w:val="hybridMultilevel"/>
    <w:lvl w:ilvl="0">
      <w:lvlJc w:val="left"/>
      <w:lvlText w:val="%1."/>
      <w:numFmt w:val="decimal"/>
      <w:start w:val="1"/>
    </w:lvl>
  </w:abstractNum>
  <w:abstractNum w:abstractNumId="34">
    <w:nsid w:val="2463B9EA"/>
    <w:multiLevelType w:val="hybridMultilevel"/>
    <w:lvl w:ilvl="0">
      <w:lvlJc w:val="left"/>
      <w:lvlText w:val="%1."/>
      <w:numFmt w:val="decimal"/>
      <w:start w:val="1"/>
    </w:lvl>
  </w:abstractNum>
  <w:abstractNum w:abstractNumId="35">
    <w:nsid w:val="5E884ADC"/>
    <w:multiLevelType w:val="hybridMultilevel"/>
    <w:lvl w:ilvl="0">
      <w:lvlJc w:val="left"/>
      <w:lvlText w:val="%1"/>
      <w:numFmt w:val="decimal"/>
      <w:start w:val="32"/>
    </w:lvl>
  </w:abstractNum>
  <w:abstractNum w:abstractNumId="36">
    <w:nsid w:val="51EAD36B"/>
    <w:multiLevelType w:val="hybridMultilevel"/>
    <w:lvl w:ilvl="0">
      <w:lvlJc w:val="left"/>
      <w:lvlText w:val="*"/>
      <w:numFmt w:val="bullet"/>
      <w:start w:val="1"/>
    </w:lvl>
  </w:abstractNum>
  <w:abstractNum w:abstractNumId="37">
    <w:nsid w:val="2D517796"/>
    <w:multiLevelType w:val="hybridMultilevel"/>
    <w:lvl w:ilvl="0">
      <w:lvlJc w:val="left"/>
      <w:lvlText w:val="(%1)"/>
      <w:numFmt w:val="lowerLetter"/>
      <w:start w:val="2"/>
    </w:lvl>
  </w:abstractNum>
  <w:abstractNum w:abstractNumId="38">
    <w:nsid w:val="580BD78F"/>
    <w:multiLevelType w:val="hybridMultilevel"/>
    <w:lvl w:ilvl="0">
      <w:lvlJc w:val="left"/>
      <w:lvlText w:val="(%1)"/>
      <w:numFmt w:val="lowerLetter"/>
      <w:start w:val="3"/>
    </w:lvl>
  </w:abstractNum>
  <w:abstractNum w:abstractNumId="39">
    <w:nsid w:val="153EA438"/>
    <w:multiLevelType w:val="hybridMultilevel"/>
    <w:lvl w:ilvl="0">
      <w:lvlJc w:val="left"/>
      <w:lvlText w:val="%1."/>
      <w:numFmt w:val="decimal"/>
      <w:start w:val="1"/>
    </w:lvl>
    <w:lvl w:ilvl="1">
      <w:lvlJc w:val="left"/>
      <w:lvlText w:val="(%2)"/>
      <w:numFmt w:val="lowerLetter"/>
      <w:start w:val="1"/>
    </w:lvl>
  </w:abstractNum>
  <w:abstractNum w:abstractNumId="40">
    <w:nsid w:val="3855585C"/>
    <w:multiLevelType w:val="hybridMultilevel"/>
    <w:lvl w:ilvl="0">
      <w:lvlJc w:val="left"/>
      <w:lvlText w:val="%1."/>
      <w:numFmt w:val="decimal"/>
      <w:start w:val="1"/>
    </w:lvl>
    <w:lvl w:ilvl="1">
      <w:lvlJc w:val="left"/>
      <w:lvlText w:val="(%2)"/>
      <w:numFmt w:val="lowerLetter"/>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75" Type="http://schemas.openxmlformats.org/officeDocument/2006/relationships/image" Target="media/image60.png"/><Relationship Id="rId86" Type="http://schemas.openxmlformats.org/officeDocument/2006/relationships/image" Target="media/image61.png"/><Relationship Id="rId87" Type="http://schemas.openxmlformats.org/officeDocument/2006/relationships/image" Target="media/image62.png"/><Relationship Id="rId88" Type="http://schemas.openxmlformats.org/officeDocument/2006/relationships/image" Target="media/image63.png"/><Relationship Id="rId89" Type="http://schemas.openxmlformats.org/officeDocument/2006/relationships/image" Target="media/image64.png"/><Relationship Id="rId90" Type="http://schemas.openxmlformats.org/officeDocument/2006/relationships/image" Target="media/image65.png"/><Relationship Id="rId91" Type="http://schemas.openxmlformats.org/officeDocument/2006/relationships/image" Target="media/image66.png"/><Relationship Id="rId67" Type="http://schemas.openxmlformats.org/officeDocument/2006/relationships/hyperlink" Target="http://www.sec.gov/Archives/edgar/data/1423689/000142368920000042/agncexhibit313312010-q.htm" TargetMode="External"/><Relationship Id="rId68" Type="http://schemas.openxmlformats.org/officeDocument/2006/relationships/hyperlink" Target="http://www.sec.gov/Archives/edgar/data/1423689/000142368921000017/arbylaws-march2021vrevised.htm" TargetMode="External"/><Relationship Id="rId69" Type="http://schemas.openxmlformats.org/officeDocument/2006/relationships/hyperlink" Target="http://www.sec.gov/Archives/edgar/data/1423689/000142368917000044/ex35certificateofdesignati.htm" TargetMode="External"/><Relationship Id="rId70" Type="http://schemas.openxmlformats.org/officeDocument/2006/relationships/hyperlink" Target="http://www.sec.gov/Archives/edgar/data/1423689/000142368917000065/certificateofelimination.htm" TargetMode="External"/><Relationship Id="rId71" Type="http://schemas.openxmlformats.org/officeDocument/2006/relationships/hyperlink" Target="http://www.sec.gov/Archives/edgar/data/1423689/000142368919000019/certificateofdesignations.htm" TargetMode="External"/><Relationship Id="rId72" Type="http://schemas.openxmlformats.org/officeDocument/2006/relationships/hyperlink" Target="http://www.sec.gov/Archives/edgar/data/1423689/000142368919000064/certofdesignations.htm" TargetMode="External"/><Relationship Id="rId73" Type="http://schemas.openxmlformats.org/officeDocument/2006/relationships/hyperlink" Target="http://www.sec.gov/Archives/edgar/data/1423689/000142368919000078/certificateofeliminati.htm" TargetMode="External"/><Relationship Id="rId74" Type="http://schemas.openxmlformats.org/officeDocument/2006/relationships/hyperlink" Target="http://www.sec.gov/Archives/edgar/data/1423689/000142368920000012/certificateofdesignations-.htm" TargetMode="External"/><Relationship Id="rId76" Type="http://schemas.openxmlformats.org/officeDocument/2006/relationships/hyperlink" Target="http://www.sec.gov/Archives/edgar/data/1423689/000142368916000104/agncexhibit43.htm" TargetMode="External"/><Relationship Id="rId77" Type="http://schemas.openxmlformats.org/officeDocument/2006/relationships/hyperlink" Target="http://www.sec.gov/Archives/edgar/data/1423689/000142368917000044/exhibit41.htm" TargetMode="External"/><Relationship Id="rId78" Type="http://schemas.openxmlformats.org/officeDocument/2006/relationships/hyperlink" Target="http://www.sec.gov/Archives/edgar/data/1423689/000142368919000019/stockcertificateb98.htm" TargetMode="External"/><Relationship Id="rId79" Type="http://schemas.openxmlformats.org/officeDocument/2006/relationships/hyperlink" Target="http://www.sec.gov/Archives/edgar/data/1423689/000142368919000064/stockcertificate.htm" TargetMode="External"/><Relationship Id="rId80" Type="http://schemas.openxmlformats.org/officeDocument/2006/relationships/hyperlink" Target="http://www.sec.gov/Archives/edgar/data/1423689/000142368920000012/stockcertificate.htm" TargetMode="External"/><Relationship Id="rId81" Type="http://schemas.openxmlformats.org/officeDocument/2006/relationships/hyperlink" Target="http://www.sec.gov/Archives/edgar/data/1423689/000142368917000049/depositagreement.htm" TargetMode="External"/><Relationship Id="rId82" Type="http://schemas.openxmlformats.org/officeDocument/2006/relationships/hyperlink" Target="http://www.sec.gov/Archives/edgar/data/1423689/000142368919000021/prefddepositagmt.htm" TargetMode="External"/><Relationship Id="rId83" Type="http://schemas.openxmlformats.org/officeDocument/2006/relationships/hyperlink" Target="http://www.sec.gov/Archives/edgar/data/1423689/000142368919000068/depositagmt-prefe.htm" TargetMode="External"/><Relationship Id="rId84" Type="http://schemas.openxmlformats.org/officeDocument/2006/relationships/hyperlink" Target="http://www.sec.gov/Archives/edgar/data/1423689/000142368920000014/depositaryagmt-seriesf.htm" TargetMode="External"/><Relationship Id="rId85" Type="http://schemas.openxmlformats.org/officeDocument/2006/relationships/hyperlink" Target="http://www.sec.gov/Archives/edgar/data/1423689/000142368921000059/a101indem.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2021-08-05T17:11:00Z</dcterms:created>
  <dcterms:modified xsi:type="dcterms:W3CDTF">2021-08-05T17:11:00Z</dcterms:modified>
</cp:coreProperties>
</file>