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852170</wp:posOffset>
            </wp:positionH>
            <wp:positionV relativeFrom="page">
              <wp:posOffset>534670</wp:posOffset>
            </wp:positionV>
            <wp:extent cx="585724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57240" cy="8890"/>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699770</wp:posOffset>
            </wp:positionH>
            <wp:positionV relativeFrom="paragraph">
              <wp:posOffset>-199390</wp:posOffset>
            </wp:positionV>
            <wp:extent cx="585724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57240" cy="8890"/>
                    </a:xfrm>
                    <a:prstGeom prst="rect">
                      <a:avLst/>
                    </a:prstGeom>
                    <a:noFill/>
                  </pic:spPr>
                </pic:pic>
              </a:graphicData>
            </a:graphic>
          </wp:anchor>
        </w:drawing>
      </w:r>
    </w:p>
    <w:p>
      <w:pPr>
        <w:spacing w:after="0" w:line="16"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SECURITIES AND EXCHANGE COMMISSION</w:t>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20"/>
          <w:szCs w:val="20"/>
          <w:b w:val="1"/>
          <w:bCs w:val="1"/>
          <w:color w:val="auto"/>
        </w:rPr>
        <w:t>Washington, D.C. 20549</w:t>
      </w:r>
    </w:p>
    <w:p>
      <w:pPr>
        <w:spacing w:after="0" w:line="4" w:lineRule="exact"/>
        <w:rPr>
          <w:sz w:val="24"/>
          <w:szCs w:val="24"/>
          <w:color w:val="auto"/>
        </w:rPr>
      </w:pPr>
    </w:p>
    <w:p>
      <w:pPr>
        <w:ind w:left="3660"/>
        <w:spacing w:after="0"/>
        <w:rPr>
          <w:sz w:val="20"/>
          <w:szCs w:val="20"/>
          <w:color w:val="auto"/>
        </w:rPr>
      </w:pPr>
      <w:r>
        <w:rPr>
          <w:rFonts w:ascii="Arial" w:cs="Arial" w:eastAsia="Arial" w:hAnsi="Arial"/>
          <w:sz w:val="16"/>
          <w:szCs w:val="16"/>
          <w:color w:val="auto"/>
        </w:rPr>
        <w:t>__________________________________________________</w:t>
      </w:r>
    </w:p>
    <w:p>
      <w:pPr>
        <w:spacing w:after="0" w:line="22"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FORM 8-K</w:t>
      </w:r>
    </w:p>
    <w:p>
      <w:pPr>
        <w:spacing w:after="0" w:line="14" w:lineRule="exact"/>
        <w:rPr>
          <w:sz w:val="24"/>
          <w:szCs w:val="24"/>
          <w:color w:val="auto"/>
        </w:rPr>
      </w:pPr>
    </w:p>
    <w:p>
      <w:pPr>
        <w:ind w:left="3700"/>
        <w:spacing w:after="0"/>
        <w:rPr>
          <w:sz w:val="20"/>
          <w:szCs w:val="20"/>
          <w:color w:val="auto"/>
        </w:rPr>
      </w:pPr>
      <w:r>
        <w:rPr>
          <w:rFonts w:ascii="Arial" w:cs="Arial" w:eastAsia="Arial" w:hAnsi="Arial"/>
          <w:sz w:val="16"/>
          <w:szCs w:val="16"/>
          <w:color w:val="auto"/>
        </w:rPr>
        <w:t>__________________________________________________</w:t>
      </w:r>
    </w:p>
    <w:p>
      <w:pPr>
        <w:spacing w:after="0" w:line="41"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CURRENT REPORT</w:t>
      </w:r>
    </w:p>
    <w:p>
      <w:pPr>
        <w:spacing w:after="0" w:line="208"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Pursuant to Section 13 or 15(d) of the Securities Exchange Act of 1934</w:t>
      </w:r>
    </w:p>
    <w:p>
      <w:pPr>
        <w:spacing w:after="0" w:line="163"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 xml:space="preserve">Date of Report (Date of earliest event reported): </w:t>
      </w:r>
      <w:r>
        <w:rPr>
          <w:rFonts w:ascii="Arial" w:cs="Arial" w:eastAsia="Arial" w:hAnsi="Arial"/>
          <w:sz w:val="18"/>
          <w:szCs w:val="18"/>
          <w:b w:val="1"/>
          <w:bCs w:val="1"/>
          <w:color w:val="auto"/>
        </w:rPr>
        <w:t>October 30, 2019</w:t>
      </w:r>
    </w:p>
    <w:p>
      <w:pPr>
        <w:spacing w:after="0" w:line="27" w:lineRule="exact"/>
        <w:rPr>
          <w:sz w:val="24"/>
          <w:szCs w:val="24"/>
          <w:color w:val="auto"/>
        </w:rPr>
      </w:pPr>
    </w:p>
    <w:p>
      <w:pPr>
        <w:ind w:left="3680"/>
        <w:spacing w:after="0"/>
        <w:rPr>
          <w:sz w:val="20"/>
          <w:szCs w:val="20"/>
          <w:color w:val="auto"/>
        </w:rPr>
      </w:pPr>
      <w:r>
        <w:rPr>
          <w:rFonts w:ascii="Arial" w:cs="Arial" w:eastAsia="Arial" w:hAnsi="Arial"/>
          <w:sz w:val="16"/>
          <w:szCs w:val="16"/>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3175</wp:posOffset>
            </wp:positionV>
            <wp:extent cx="1835150" cy="5575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35150" cy="557530"/>
                    </a:xfrm>
                    <a:prstGeom prst="rect">
                      <a:avLst/>
                    </a:prstGeom>
                    <a:noFill/>
                  </pic:spPr>
                </pic:pic>
              </a:graphicData>
            </a:graphic>
          </wp:anchor>
        </w:drawing>
      </w:r>
    </w:p>
    <w:p>
      <w:pPr>
        <w:sectPr>
          <w:pgSz w:w="11900" w:h="16838" w:orient="portrait"/>
          <w:cols w:equalWidth="0" w:num="1">
            <w:col w:w="11420"/>
          </w:cols>
          <w:pgMar w:left="240" w:top="958" w:right="2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jc w:val="center"/>
        <w:ind w:left="460"/>
        <w:spacing w:after="0"/>
        <w:rPr>
          <w:sz w:val="20"/>
          <w:szCs w:val="20"/>
          <w:color w:val="auto"/>
        </w:rPr>
      </w:pPr>
      <w:r>
        <w:rPr>
          <w:rFonts w:ascii="Arial" w:cs="Arial" w:eastAsia="Arial" w:hAnsi="Arial"/>
          <w:sz w:val="16"/>
          <w:szCs w:val="16"/>
          <w:b w:val="1"/>
          <w:bCs w:val="1"/>
          <w:color w:val="auto"/>
        </w:rPr>
        <w:t>Delaware</w:t>
      </w:r>
    </w:p>
    <w:p>
      <w:pPr>
        <w:spacing w:after="0" w:line="68" w:lineRule="exact"/>
        <w:rPr>
          <w:sz w:val="24"/>
          <w:szCs w:val="24"/>
          <w:color w:val="auto"/>
        </w:rPr>
      </w:pPr>
    </w:p>
    <w:p>
      <w:pPr>
        <w:jc w:val="both"/>
        <w:ind w:left="700" w:right="240" w:firstLine="32"/>
        <w:spacing w:after="0" w:line="327" w:lineRule="auto"/>
        <w:rPr>
          <w:sz w:val="20"/>
          <w:szCs w:val="20"/>
          <w:color w:val="auto"/>
        </w:rPr>
      </w:pPr>
      <w:r>
        <w:rPr>
          <w:rFonts w:ascii="Arial" w:cs="Arial" w:eastAsia="Arial" w:hAnsi="Arial"/>
          <w:sz w:val="11"/>
          <w:szCs w:val="11"/>
          <w:b w:val="1"/>
          <w:bCs w:val="1"/>
          <w:color w:val="auto"/>
        </w:rPr>
        <w:t>(State or Other Jurisdiction of 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8" w:lineRule="exact"/>
        <w:rPr>
          <w:sz w:val="24"/>
          <w:szCs w:val="24"/>
          <w:color w:val="auto"/>
        </w:rPr>
      </w:pPr>
    </w:p>
    <w:p>
      <w:pPr>
        <w:jc w:val="center"/>
        <w:ind w:right="3340"/>
        <w:spacing w:after="0"/>
        <w:rPr>
          <w:sz w:val="20"/>
          <w:szCs w:val="20"/>
          <w:color w:val="auto"/>
        </w:rPr>
      </w:pPr>
      <w:r>
        <w:rPr>
          <w:rFonts w:ascii="Arial" w:cs="Arial" w:eastAsia="Arial" w:hAnsi="Arial"/>
          <w:sz w:val="36"/>
          <w:szCs w:val="36"/>
          <w:b w:val="1"/>
          <w:bCs w:val="1"/>
          <w:color w:val="auto"/>
        </w:rPr>
        <w:t>AGNC INVESTMENT CORP.</w:t>
      </w:r>
    </w:p>
    <w:p>
      <w:pPr>
        <w:spacing w:after="0" w:line="48" w:lineRule="exact"/>
        <w:rPr>
          <w:sz w:val="24"/>
          <w:szCs w:val="24"/>
          <w:color w:val="auto"/>
        </w:rPr>
      </w:pPr>
    </w:p>
    <w:p>
      <w:pPr>
        <w:jc w:val="center"/>
        <w:ind w:right="3340"/>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5" w:lineRule="exact"/>
        <w:rPr>
          <w:sz w:val="24"/>
          <w:szCs w:val="24"/>
          <w:color w:val="auto"/>
        </w:rPr>
      </w:pPr>
    </w:p>
    <w:p>
      <w:pPr>
        <w:ind w:left="340"/>
        <w:spacing w:after="0"/>
        <w:rPr>
          <w:sz w:val="20"/>
          <w:szCs w:val="20"/>
          <w:color w:val="auto"/>
        </w:rPr>
      </w:pPr>
      <w:r>
        <w:rPr>
          <w:rFonts w:ascii="Arial" w:cs="Arial" w:eastAsia="Arial" w:hAnsi="Arial"/>
          <w:sz w:val="16"/>
          <w:szCs w:val="16"/>
          <w:color w:val="auto"/>
        </w:rPr>
        <w:t>__________________________________________________</w:t>
      </w:r>
    </w:p>
    <w:p>
      <w:pPr>
        <w:spacing w:after="0" w:line="149" w:lineRule="exact"/>
        <w:rPr>
          <w:sz w:val="24"/>
          <w:szCs w:val="24"/>
          <w:color w:val="auto"/>
        </w:rPr>
      </w:pPr>
    </w:p>
    <w:tbl>
      <w:tblPr>
        <w:tblLayout w:type="fixed"/>
        <w:tblInd w:w="540" w:type="dxa"/>
        <w:tblCellMar>
          <w:top w:w="0" w:type="dxa"/>
          <w:left w:w="0" w:type="dxa"/>
          <w:bottom w:w="0" w:type="dxa"/>
          <w:right w:w="0" w:type="dxa"/>
        </w:tblCellMar>
      </w:tblPr>
      <w:tr>
        <w:trPr>
          <w:trHeight w:val="210"/>
        </w:trPr>
        <w:tc>
          <w:tcPr>
            <w:tcW w:w="2380" w:type="dxa"/>
            <w:vAlign w:val="bottom"/>
          </w:tcPr>
          <w:p>
            <w:pPr>
              <w:jc w:val="right"/>
              <w:ind w:right="1228"/>
              <w:spacing w:after="0"/>
              <w:rPr>
                <w:sz w:val="20"/>
                <w:szCs w:val="20"/>
                <w:color w:val="auto"/>
              </w:rPr>
            </w:pPr>
            <w:r>
              <w:rPr>
                <w:rFonts w:ascii="Arial" w:cs="Arial" w:eastAsia="Arial" w:hAnsi="Arial"/>
                <w:sz w:val="16"/>
                <w:szCs w:val="16"/>
                <w:b w:val="1"/>
                <w:bCs w:val="1"/>
                <w:color w:val="auto"/>
              </w:rPr>
              <w:t>001-34057</w:t>
            </w:r>
          </w:p>
        </w:tc>
        <w:tc>
          <w:tcPr>
            <w:tcW w:w="1900" w:type="dxa"/>
            <w:vAlign w:val="bottom"/>
          </w:tcPr>
          <w:p>
            <w:pPr>
              <w:jc w:val="center"/>
              <w:ind w:left="851"/>
              <w:spacing w:after="0"/>
              <w:rPr>
                <w:sz w:val="20"/>
                <w:szCs w:val="20"/>
                <w:color w:val="auto"/>
              </w:rPr>
            </w:pPr>
            <w:r>
              <w:rPr>
                <w:rFonts w:ascii="Arial" w:cs="Arial" w:eastAsia="Arial" w:hAnsi="Arial"/>
                <w:sz w:val="16"/>
                <w:szCs w:val="16"/>
                <w:b w:val="1"/>
                <w:bCs w:val="1"/>
                <w:color w:val="auto"/>
                <w:w w:val="91"/>
              </w:rPr>
              <w:t>26-1701984</w:t>
            </w:r>
          </w:p>
        </w:tc>
      </w:tr>
      <w:tr>
        <w:trPr>
          <w:trHeight w:val="177"/>
        </w:trPr>
        <w:tc>
          <w:tcPr>
            <w:tcW w:w="2380" w:type="dxa"/>
            <w:vAlign w:val="bottom"/>
          </w:tcPr>
          <w:p>
            <w:pPr>
              <w:spacing w:after="0"/>
              <w:rPr>
                <w:sz w:val="15"/>
                <w:szCs w:val="15"/>
                <w:color w:val="auto"/>
              </w:rPr>
            </w:pPr>
          </w:p>
        </w:tc>
        <w:tc>
          <w:tcPr>
            <w:tcW w:w="1900" w:type="dxa"/>
            <w:vAlign w:val="bottom"/>
          </w:tcPr>
          <w:p>
            <w:pPr>
              <w:jc w:val="center"/>
              <w:ind w:left="851"/>
              <w:spacing w:after="0"/>
              <w:rPr>
                <w:sz w:val="20"/>
                <w:szCs w:val="20"/>
                <w:color w:val="auto"/>
              </w:rPr>
            </w:pPr>
            <w:r>
              <w:rPr>
                <w:rFonts w:ascii="Arial" w:cs="Arial" w:eastAsia="Arial" w:hAnsi="Arial"/>
                <w:sz w:val="13"/>
                <w:szCs w:val="13"/>
                <w:b w:val="1"/>
                <w:bCs w:val="1"/>
                <w:color w:val="auto"/>
                <w:w w:val="90"/>
              </w:rPr>
              <w:t>(I.R.S. Employer</w:t>
            </w:r>
          </w:p>
        </w:tc>
      </w:tr>
      <w:tr>
        <w:trPr>
          <w:trHeight w:val="178"/>
        </w:trPr>
        <w:tc>
          <w:tcPr>
            <w:tcW w:w="2380" w:type="dxa"/>
            <w:vAlign w:val="bottom"/>
          </w:tcPr>
          <w:p>
            <w:pPr>
              <w:jc w:val="center"/>
              <w:ind w:right="848"/>
              <w:spacing w:after="0"/>
              <w:rPr>
                <w:sz w:val="20"/>
                <w:szCs w:val="20"/>
                <w:color w:val="auto"/>
              </w:rPr>
            </w:pPr>
            <w:r>
              <w:rPr>
                <w:rFonts w:ascii="Arial" w:cs="Arial" w:eastAsia="Arial" w:hAnsi="Arial"/>
                <w:sz w:val="13"/>
                <w:szCs w:val="13"/>
                <w:b w:val="1"/>
                <w:bCs w:val="1"/>
                <w:color w:val="auto"/>
                <w:w w:val="88"/>
              </w:rPr>
              <w:t>(Commission File Number)</w:t>
            </w:r>
          </w:p>
        </w:tc>
        <w:tc>
          <w:tcPr>
            <w:tcW w:w="1900" w:type="dxa"/>
            <w:vAlign w:val="bottom"/>
          </w:tcPr>
          <w:p>
            <w:pPr>
              <w:jc w:val="center"/>
              <w:ind w:left="851"/>
              <w:spacing w:after="0"/>
              <w:rPr>
                <w:sz w:val="20"/>
                <w:szCs w:val="20"/>
                <w:color w:val="auto"/>
              </w:rPr>
            </w:pPr>
            <w:r>
              <w:rPr>
                <w:rFonts w:ascii="Arial" w:cs="Arial" w:eastAsia="Arial" w:hAnsi="Arial"/>
                <w:sz w:val="13"/>
                <w:szCs w:val="13"/>
                <w:b w:val="1"/>
                <w:bCs w:val="1"/>
                <w:color w:val="auto"/>
                <w:w w:val="89"/>
              </w:rPr>
              <w:t>Identification No.)</w:t>
            </w:r>
          </w:p>
        </w:tc>
      </w:tr>
    </w:tbl>
    <w:p>
      <w:pPr>
        <w:spacing w:after="0" w:line="55" w:lineRule="exact"/>
        <w:rPr>
          <w:sz w:val="24"/>
          <w:szCs w:val="24"/>
          <w:color w:val="auto"/>
        </w:rPr>
      </w:pPr>
    </w:p>
    <w:p>
      <w:pPr>
        <w:sectPr>
          <w:pgSz w:w="11900" w:h="16838" w:orient="portrait"/>
          <w:cols w:equalWidth="0" w:num="2">
            <w:col w:w="2620" w:space="720"/>
            <w:col w:w="8080"/>
          </w:cols>
          <w:pgMar w:left="240" w:top="958" w:right="239" w:bottom="1440" w:gutter="0" w:footer="0" w:header="0"/>
          <w:type w:val="continuous"/>
        </w:sectPr>
      </w:pPr>
    </w:p>
    <w:p>
      <w:pPr>
        <w:jc w:val="center"/>
        <w:spacing w:after="0"/>
        <w:rPr>
          <w:sz w:val="20"/>
          <w:szCs w:val="20"/>
          <w:color w:val="auto"/>
        </w:rPr>
      </w:pPr>
      <w:r>
        <w:rPr>
          <w:rFonts w:ascii="Arial" w:cs="Arial" w:eastAsia="Arial" w:hAnsi="Arial"/>
          <w:sz w:val="16"/>
          <w:szCs w:val="16"/>
          <w:b w:val="1"/>
          <w:bCs w:val="1"/>
          <w:color w:val="auto"/>
        </w:rPr>
        <w:t>2 Bethesda Metro Center, 12th Floor</w:t>
      </w:r>
    </w:p>
    <w:p>
      <w:pPr>
        <w:spacing w:after="0" w:line="20"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Bethesda, Maryland 20814</w:t>
      </w:r>
    </w:p>
    <w:p>
      <w:pPr>
        <w:jc w:val="center"/>
        <w:spacing w:after="0"/>
        <w:rPr>
          <w:sz w:val="20"/>
          <w:szCs w:val="20"/>
          <w:color w:val="auto"/>
        </w:rPr>
      </w:pPr>
      <w:r>
        <w:rPr>
          <w:rFonts w:ascii="Arial" w:cs="Arial" w:eastAsia="Arial" w:hAnsi="Arial"/>
          <w:sz w:val="13"/>
          <w:szCs w:val="13"/>
          <w:b w:val="1"/>
          <w:bCs w:val="1"/>
          <w:color w:val="auto"/>
        </w:rPr>
        <w:t>(Address of principal executive offices)</w:t>
      </w:r>
    </w:p>
    <w:p>
      <w:pPr>
        <w:spacing w:after="0" w:line="201"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Registrant’s telephone number, including area code:</w:t>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(301) 968-9300</w:t>
      </w:r>
    </w:p>
    <w:p>
      <w:pPr>
        <w:spacing w:after="0" w:line="210"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N/A</w:t>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(Former name or former address, if changed since last report)</w:t>
      </w:r>
    </w:p>
    <w:p>
      <w:pPr>
        <w:spacing w:after="0" w:line="1"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__________________________________________________</w:t>
      </w:r>
    </w:p>
    <w:p>
      <w:pPr>
        <w:spacing w:after="0" w:line="173" w:lineRule="exact"/>
        <w:rPr>
          <w:sz w:val="24"/>
          <w:szCs w:val="24"/>
          <w:color w:val="auto"/>
        </w:rPr>
      </w:pPr>
    </w:p>
    <w:p>
      <w:pPr>
        <w:spacing w:after="0"/>
        <w:rPr>
          <w:sz w:val="20"/>
          <w:szCs w:val="20"/>
          <w:color w:val="auto"/>
        </w:rPr>
      </w:pPr>
      <w:r>
        <w:rPr>
          <w:rFonts w:ascii="Arial" w:cs="Arial" w:eastAsia="Arial" w:hAnsi="Arial"/>
          <w:sz w:val="13"/>
          <w:szCs w:val="13"/>
          <w:color w:val="auto"/>
        </w:rPr>
        <w:t>Check the appropriate box below if the Form 8-K filing is intended to simultaneously satisfy the filing obligation of the registrant under any of the following provisions:</w:t>
      </w:r>
    </w:p>
    <w:p>
      <w:pPr>
        <w:spacing w:after="0" w:line="231" w:lineRule="exact"/>
        <w:rPr>
          <w:sz w:val="24"/>
          <w:szCs w:val="24"/>
          <w:color w:val="auto"/>
        </w:rPr>
      </w:pPr>
    </w:p>
    <w:p>
      <w:pPr>
        <w:ind w:left="1220"/>
        <w:spacing w:after="0"/>
        <w:tabs>
          <w:tab w:leader="none" w:pos="330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Written communications pursuant to Rule 425 under the Securities Act (17 CFR 230.425)</w:t>
      </w:r>
    </w:p>
    <w:p>
      <w:pPr>
        <w:spacing w:after="0" w:line="121" w:lineRule="exact"/>
        <w:rPr>
          <w:sz w:val="24"/>
          <w:szCs w:val="24"/>
          <w:color w:val="auto"/>
        </w:rPr>
      </w:pPr>
    </w:p>
    <w:p>
      <w:pPr>
        <w:ind w:left="1220"/>
        <w:spacing w:after="0"/>
        <w:tabs>
          <w:tab w:leader="none" w:pos="330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Soliciting material pursuant to Rule 14a-12 under the Exchange Act (17 CFR 240.14a-12)</w:t>
      </w:r>
    </w:p>
    <w:p>
      <w:pPr>
        <w:spacing w:after="0" w:line="121" w:lineRule="exact"/>
        <w:rPr>
          <w:sz w:val="24"/>
          <w:szCs w:val="24"/>
          <w:color w:val="auto"/>
        </w:rPr>
      </w:pPr>
    </w:p>
    <w:p>
      <w:pPr>
        <w:ind w:left="1220"/>
        <w:spacing w:after="0"/>
        <w:tabs>
          <w:tab w:leader="none" w:pos="330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 xml:space="preserve">Pre-commencement communications pursuant to Rule 14d-2(b) under the Exchange Act </w:t>
      </w:r>
      <w:r>
        <w:rPr>
          <w:rFonts w:ascii="Arial" w:cs="Arial" w:eastAsia="Arial" w:hAnsi="Arial"/>
          <w:sz w:val="13"/>
          <w:szCs w:val="13"/>
          <w:i w:val="1"/>
          <w:iCs w:val="1"/>
          <w:color w:val="auto"/>
        </w:rPr>
        <w:t>(</w:t>
      </w:r>
      <w:r>
        <w:rPr>
          <w:rFonts w:ascii="Arial" w:cs="Arial" w:eastAsia="Arial" w:hAnsi="Arial"/>
          <w:sz w:val="13"/>
          <w:szCs w:val="13"/>
          <w:color w:val="auto"/>
        </w:rPr>
        <w:t>17 CFR 240.14d-2(b))</w:t>
      </w:r>
    </w:p>
    <w:p>
      <w:pPr>
        <w:spacing w:after="0" w:line="121" w:lineRule="exact"/>
        <w:rPr>
          <w:sz w:val="24"/>
          <w:szCs w:val="24"/>
          <w:color w:val="auto"/>
        </w:rPr>
      </w:pPr>
    </w:p>
    <w:p>
      <w:pPr>
        <w:ind w:left="1220"/>
        <w:spacing w:after="0"/>
        <w:tabs>
          <w:tab w:leader="none" w:pos="330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Pre-commencement communications pursuant to Rule 13e-4(c) under the Exchange Act (17 CFR 240.13e-4(c))</w:t>
      </w:r>
    </w:p>
    <w:p>
      <w:pPr>
        <w:spacing w:after="0" w:line="172" w:lineRule="exact"/>
        <w:rPr>
          <w:sz w:val="24"/>
          <w:szCs w:val="24"/>
          <w:color w:val="auto"/>
        </w:rPr>
      </w:pPr>
    </w:p>
    <w:tbl>
      <w:tblPr>
        <w:tblLayout w:type="fixed"/>
        <w:tblInd w:w="0" w:type="dxa"/>
        <w:tblCellMar>
          <w:top w:w="0" w:type="dxa"/>
          <w:left w:w="0" w:type="dxa"/>
          <w:bottom w:w="0" w:type="dxa"/>
          <w:right w:w="0" w:type="dxa"/>
        </w:tblCellMar>
      </w:tblPr>
      <w:tr>
        <w:trPr>
          <w:trHeight w:val="160"/>
        </w:trPr>
        <w:tc>
          <w:tcPr>
            <w:tcW w:w="5380" w:type="dxa"/>
            <w:vAlign w:val="bottom"/>
            <w:gridSpan w:val="3"/>
          </w:tcPr>
          <w:p>
            <w:pPr>
              <w:spacing w:after="0"/>
              <w:rPr>
                <w:sz w:val="20"/>
                <w:szCs w:val="20"/>
                <w:color w:val="auto"/>
              </w:rPr>
            </w:pPr>
            <w:r>
              <w:rPr>
                <w:rFonts w:ascii="Arial" w:cs="Arial" w:eastAsia="Arial" w:hAnsi="Arial"/>
                <w:sz w:val="13"/>
                <w:szCs w:val="13"/>
                <w:color w:val="auto"/>
              </w:rPr>
              <w:t>Securities registered pursuant to Section 12(b) of the Act:</w:t>
            </w:r>
          </w:p>
        </w:tc>
        <w:tc>
          <w:tcPr>
            <w:tcW w:w="1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340" w:type="dxa"/>
            <w:vAlign w:val="bottom"/>
          </w:tcPr>
          <w:p>
            <w:pPr>
              <w:spacing w:after="0"/>
              <w:rPr>
                <w:sz w:val="13"/>
                <w:szCs w:val="13"/>
                <w:color w:val="auto"/>
              </w:rPr>
            </w:pPr>
          </w:p>
        </w:tc>
      </w:tr>
      <w:tr>
        <w:trPr>
          <w:trHeight w:val="401"/>
        </w:trPr>
        <w:tc>
          <w:tcPr>
            <w:tcW w:w="1520" w:type="dxa"/>
            <w:vAlign w:val="bottom"/>
            <w:tcBorders>
              <w:bottom w:val="single" w:sz="8" w:color="auto"/>
            </w:tcBorders>
          </w:tcPr>
          <w:p>
            <w:pPr>
              <w:spacing w:after="0"/>
              <w:rPr>
                <w:sz w:val="24"/>
                <w:szCs w:val="24"/>
                <w:color w:val="auto"/>
              </w:rPr>
            </w:pPr>
          </w:p>
        </w:tc>
        <w:tc>
          <w:tcPr>
            <w:tcW w:w="3740" w:type="dxa"/>
            <w:vAlign w:val="bottom"/>
            <w:tcBorders>
              <w:bottom w:val="single" w:sz="8" w:color="auto"/>
            </w:tcBorders>
          </w:tcPr>
          <w:p>
            <w:pPr>
              <w:jc w:val="center"/>
              <w:ind w:right="1437"/>
              <w:spacing w:after="0"/>
              <w:rPr>
                <w:sz w:val="20"/>
                <w:szCs w:val="20"/>
                <w:color w:val="auto"/>
              </w:rPr>
            </w:pPr>
            <w:r>
              <w:rPr>
                <w:rFonts w:ascii="Arial" w:cs="Arial" w:eastAsia="Arial" w:hAnsi="Arial"/>
                <w:sz w:val="13"/>
                <w:szCs w:val="13"/>
                <w:b w:val="1"/>
                <w:bCs w:val="1"/>
                <w:color w:val="auto"/>
                <w:w w:val="86"/>
              </w:rPr>
              <w:t>Title of Each Class</w:t>
            </w:r>
          </w:p>
        </w:tc>
        <w:tc>
          <w:tcPr>
            <w:tcW w:w="120" w:type="dxa"/>
            <w:vAlign w:val="bottom"/>
          </w:tcPr>
          <w:p>
            <w:pPr>
              <w:spacing w:after="0"/>
              <w:rPr>
                <w:sz w:val="24"/>
                <w:szCs w:val="24"/>
                <w:color w:val="auto"/>
              </w:rPr>
            </w:pPr>
          </w:p>
        </w:tc>
        <w:tc>
          <w:tcPr>
            <w:tcW w:w="16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7"/>
              </w:rPr>
              <w:t>Trading Symbol(s)</w:t>
            </w:r>
          </w:p>
        </w:tc>
        <w:tc>
          <w:tcPr>
            <w:tcW w:w="100" w:type="dxa"/>
            <w:vAlign w:val="bottom"/>
          </w:tcPr>
          <w:p>
            <w:pPr>
              <w:spacing w:after="0"/>
              <w:rPr>
                <w:sz w:val="24"/>
                <w:szCs w:val="24"/>
                <w:color w:val="auto"/>
              </w:rPr>
            </w:pPr>
          </w:p>
        </w:tc>
        <w:tc>
          <w:tcPr>
            <w:tcW w:w="43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Name of Exchange on Which Registered</w:t>
            </w:r>
          </w:p>
        </w:tc>
      </w:tr>
      <w:tr>
        <w:trPr>
          <w:trHeight w:val="200"/>
        </w:trPr>
        <w:tc>
          <w:tcPr>
            <w:tcW w:w="1520" w:type="dxa"/>
            <w:vAlign w:val="bottom"/>
          </w:tcPr>
          <w:p>
            <w:pPr>
              <w:spacing w:after="0"/>
              <w:rPr>
                <w:sz w:val="17"/>
                <w:szCs w:val="17"/>
                <w:color w:val="auto"/>
              </w:rPr>
            </w:pPr>
          </w:p>
        </w:tc>
        <w:tc>
          <w:tcPr>
            <w:tcW w:w="3860" w:type="dxa"/>
            <w:vAlign w:val="bottom"/>
            <w:gridSpan w:val="2"/>
          </w:tcPr>
          <w:p>
            <w:pPr>
              <w:jc w:val="center"/>
              <w:ind w:right="1620"/>
              <w:spacing w:after="0"/>
              <w:rPr>
                <w:sz w:val="20"/>
                <w:szCs w:val="20"/>
                <w:color w:val="auto"/>
              </w:rPr>
            </w:pPr>
            <w:r>
              <w:rPr>
                <w:rFonts w:ascii="Arial" w:cs="Arial" w:eastAsia="Arial" w:hAnsi="Arial"/>
                <w:sz w:val="13"/>
                <w:szCs w:val="13"/>
                <w:color w:val="auto"/>
                <w:w w:val="86"/>
              </w:rPr>
              <w:t>Common Stock, par value $0.01 per share</w:t>
            </w:r>
          </w:p>
        </w:tc>
        <w:tc>
          <w:tcPr>
            <w:tcW w:w="1700" w:type="dxa"/>
            <w:vAlign w:val="bottom"/>
            <w:gridSpan w:val="2"/>
          </w:tcPr>
          <w:p>
            <w:pPr>
              <w:jc w:val="center"/>
              <w:ind w:right="100"/>
              <w:spacing w:after="0"/>
              <w:rPr>
                <w:sz w:val="20"/>
                <w:szCs w:val="20"/>
                <w:color w:val="auto"/>
              </w:rPr>
            </w:pPr>
            <w:r>
              <w:rPr>
                <w:rFonts w:ascii="Arial" w:cs="Arial" w:eastAsia="Arial" w:hAnsi="Arial"/>
                <w:sz w:val="13"/>
                <w:szCs w:val="13"/>
                <w:color w:val="auto"/>
                <w:w w:val="95"/>
              </w:rPr>
              <w:t>AGNC</w:t>
            </w:r>
          </w:p>
        </w:tc>
        <w:tc>
          <w:tcPr>
            <w:tcW w:w="4340" w:type="dxa"/>
            <w:vAlign w:val="bottom"/>
          </w:tcPr>
          <w:p>
            <w:pPr>
              <w:jc w:val="center"/>
              <w:spacing w:after="0"/>
              <w:rPr>
                <w:sz w:val="20"/>
                <w:szCs w:val="20"/>
                <w:color w:val="auto"/>
              </w:rPr>
            </w:pPr>
            <w:r>
              <w:rPr>
                <w:rFonts w:ascii="Arial" w:cs="Arial" w:eastAsia="Arial" w:hAnsi="Arial"/>
                <w:sz w:val="13"/>
                <w:szCs w:val="13"/>
                <w:color w:val="auto"/>
                <w:w w:val="87"/>
              </w:rPr>
              <w:t>The Nasdaq Global Select Market</w:t>
            </w:r>
          </w:p>
        </w:tc>
      </w:tr>
      <w:tr>
        <w:trPr>
          <w:trHeight w:val="270"/>
        </w:trPr>
        <w:tc>
          <w:tcPr>
            <w:tcW w:w="5380" w:type="dxa"/>
            <w:vAlign w:val="bottom"/>
            <w:gridSpan w:val="3"/>
          </w:tcPr>
          <w:p>
            <w:pPr>
              <w:jc w:val="center"/>
              <w:ind w:right="100"/>
              <w:spacing w:after="0"/>
              <w:rPr>
                <w:sz w:val="20"/>
                <w:szCs w:val="20"/>
                <w:color w:val="auto"/>
              </w:rPr>
            </w:pPr>
            <w:r>
              <w:rPr>
                <w:rFonts w:ascii="Arial" w:cs="Arial" w:eastAsia="Arial" w:hAnsi="Arial"/>
                <w:sz w:val="13"/>
                <w:szCs w:val="13"/>
                <w:color w:val="auto"/>
                <w:w w:val="87"/>
              </w:rPr>
              <w:t>Depositary shares of 7.750% Series B Cumulative Redeemable Preferred Stock</w:t>
            </w:r>
          </w:p>
        </w:tc>
        <w:tc>
          <w:tcPr>
            <w:tcW w:w="1700" w:type="dxa"/>
            <w:vAlign w:val="bottom"/>
            <w:gridSpan w:val="2"/>
          </w:tcPr>
          <w:p>
            <w:pPr>
              <w:jc w:val="center"/>
              <w:ind w:right="100"/>
              <w:spacing w:after="0"/>
              <w:rPr>
                <w:sz w:val="20"/>
                <w:szCs w:val="20"/>
                <w:color w:val="auto"/>
              </w:rPr>
            </w:pPr>
            <w:r>
              <w:rPr>
                <w:rFonts w:ascii="Arial" w:cs="Arial" w:eastAsia="Arial" w:hAnsi="Arial"/>
                <w:sz w:val="13"/>
                <w:szCs w:val="13"/>
                <w:color w:val="auto"/>
                <w:w w:val="95"/>
              </w:rPr>
              <w:t>AGNCB</w:t>
            </w:r>
          </w:p>
        </w:tc>
        <w:tc>
          <w:tcPr>
            <w:tcW w:w="4340" w:type="dxa"/>
            <w:vAlign w:val="bottom"/>
          </w:tcPr>
          <w:p>
            <w:pPr>
              <w:jc w:val="center"/>
              <w:spacing w:after="0"/>
              <w:rPr>
                <w:sz w:val="20"/>
                <w:szCs w:val="20"/>
                <w:color w:val="auto"/>
              </w:rPr>
            </w:pPr>
            <w:r>
              <w:rPr>
                <w:rFonts w:ascii="Arial" w:cs="Arial" w:eastAsia="Arial" w:hAnsi="Arial"/>
                <w:sz w:val="13"/>
                <w:szCs w:val="13"/>
                <w:color w:val="auto"/>
                <w:w w:val="87"/>
              </w:rPr>
              <w:t>The Nasdaq Global Select Market</w:t>
            </w:r>
          </w:p>
        </w:tc>
      </w:tr>
      <w:tr>
        <w:trPr>
          <w:trHeight w:val="270"/>
        </w:trPr>
        <w:tc>
          <w:tcPr>
            <w:tcW w:w="5380" w:type="dxa"/>
            <w:vAlign w:val="bottom"/>
            <w:gridSpan w:val="3"/>
          </w:tcPr>
          <w:p>
            <w:pPr>
              <w:jc w:val="center"/>
              <w:ind w:right="120"/>
              <w:spacing w:after="0"/>
              <w:rPr>
                <w:sz w:val="20"/>
                <w:szCs w:val="20"/>
                <w:color w:val="auto"/>
              </w:rPr>
            </w:pPr>
            <w:r>
              <w:rPr>
                <w:rFonts w:ascii="Arial" w:cs="Arial" w:eastAsia="Arial" w:hAnsi="Arial"/>
                <w:sz w:val="13"/>
                <w:szCs w:val="13"/>
                <w:color w:val="auto"/>
                <w:w w:val="87"/>
              </w:rPr>
              <w:t>Depositary shares of 7.000% Series C Fixed-to-Floating Rate Cumulative Redeemable Preferred Stock</w:t>
            </w:r>
          </w:p>
        </w:tc>
        <w:tc>
          <w:tcPr>
            <w:tcW w:w="1700" w:type="dxa"/>
            <w:vAlign w:val="bottom"/>
            <w:gridSpan w:val="2"/>
          </w:tcPr>
          <w:p>
            <w:pPr>
              <w:jc w:val="center"/>
              <w:ind w:right="100"/>
              <w:spacing w:after="0"/>
              <w:rPr>
                <w:sz w:val="20"/>
                <w:szCs w:val="20"/>
                <w:color w:val="auto"/>
              </w:rPr>
            </w:pPr>
            <w:r>
              <w:rPr>
                <w:rFonts w:ascii="Arial" w:cs="Arial" w:eastAsia="Arial" w:hAnsi="Arial"/>
                <w:sz w:val="13"/>
                <w:szCs w:val="13"/>
                <w:color w:val="auto"/>
                <w:w w:val="93"/>
              </w:rPr>
              <w:t>AGNCN</w:t>
            </w:r>
          </w:p>
        </w:tc>
        <w:tc>
          <w:tcPr>
            <w:tcW w:w="4340" w:type="dxa"/>
            <w:vAlign w:val="bottom"/>
          </w:tcPr>
          <w:p>
            <w:pPr>
              <w:jc w:val="center"/>
              <w:spacing w:after="0"/>
              <w:rPr>
                <w:sz w:val="20"/>
                <w:szCs w:val="20"/>
                <w:color w:val="auto"/>
              </w:rPr>
            </w:pPr>
            <w:r>
              <w:rPr>
                <w:rFonts w:ascii="Arial" w:cs="Arial" w:eastAsia="Arial" w:hAnsi="Arial"/>
                <w:sz w:val="13"/>
                <w:szCs w:val="13"/>
                <w:color w:val="auto"/>
                <w:w w:val="87"/>
              </w:rPr>
              <w:t>The Nasdaq Global Select Market</w:t>
            </w:r>
          </w:p>
        </w:tc>
      </w:tr>
      <w:tr>
        <w:trPr>
          <w:trHeight w:val="270"/>
        </w:trPr>
        <w:tc>
          <w:tcPr>
            <w:tcW w:w="5380" w:type="dxa"/>
            <w:vAlign w:val="bottom"/>
            <w:gridSpan w:val="3"/>
          </w:tcPr>
          <w:p>
            <w:pPr>
              <w:jc w:val="center"/>
              <w:ind w:right="100"/>
              <w:spacing w:after="0"/>
              <w:rPr>
                <w:sz w:val="20"/>
                <w:szCs w:val="20"/>
                <w:color w:val="auto"/>
              </w:rPr>
            </w:pPr>
            <w:r>
              <w:rPr>
                <w:rFonts w:ascii="Arial" w:cs="Arial" w:eastAsia="Arial" w:hAnsi="Arial"/>
                <w:sz w:val="13"/>
                <w:szCs w:val="13"/>
                <w:color w:val="auto"/>
                <w:w w:val="87"/>
              </w:rPr>
              <w:t>Depositary shares of 6.875% Series D Fixed-to-Floating Rate Cumulative Redeemable Preferred Stock</w:t>
            </w:r>
          </w:p>
        </w:tc>
        <w:tc>
          <w:tcPr>
            <w:tcW w:w="1700" w:type="dxa"/>
            <w:vAlign w:val="bottom"/>
            <w:gridSpan w:val="2"/>
          </w:tcPr>
          <w:p>
            <w:pPr>
              <w:jc w:val="center"/>
              <w:ind w:right="100"/>
              <w:spacing w:after="0"/>
              <w:rPr>
                <w:sz w:val="20"/>
                <w:szCs w:val="20"/>
                <w:color w:val="auto"/>
              </w:rPr>
            </w:pPr>
            <w:r>
              <w:rPr>
                <w:rFonts w:ascii="Arial" w:cs="Arial" w:eastAsia="Arial" w:hAnsi="Arial"/>
                <w:sz w:val="13"/>
                <w:szCs w:val="13"/>
                <w:color w:val="auto"/>
                <w:w w:val="99"/>
              </w:rPr>
              <w:t>AGNCM</w:t>
            </w:r>
          </w:p>
        </w:tc>
        <w:tc>
          <w:tcPr>
            <w:tcW w:w="4340" w:type="dxa"/>
            <w:vAlign w:val="bottom"/>
          </w:tcPr>
          <w:p>
            <w:pPr>
              <w:jc w:val="center"/>
              <w:spacing w:after="0"/>
              <w:rPr>
                <w:sz w:val="20"/>
                <w:szCs w:val="20"/>
                <w:color w:val="auto"/>
              </w:rPr>
            </w:pPr>
            <w:r>
              <w:rPr>
                <w:rFonts w:ascii="Arial" w:cs="Arial" w:eastAsia="Arial" w:hAnsi="Arial"/>
                <w:sz w:val="13"/>
                <w:szCs w:val="13"/>
                <w:color w:val="auto"/>
                <w:w w:val="87"/>
              </w:rPr>
              <w:t>The Nasdaq Global Select Market</w:t>
            </w:r>
          </w:p>
        </w:tc>
      </w:tr>
      <w:tr>
        <w:trPr>
          <w:trHeight w:val="270"/>
        </w:trPr>
        <w:tc>
          <w:tcPr>
            <w:tcW w:w="5380" w:type="dxa"/>
            <w:vAlign w:val="bottom"/>
            <w:gridSpan w:val="3"/>
          </w:tcPr>
          <w:p>
            <w:pPr>
              <w:jc w:val="center"/>
              <w:ind w:right="100"/>
              <w:spacing w:after="0"/>
              <w:rPr>
                <w:sz w:val="20"/>
                <w:szCs w:val="20"/>
                <w:color w:val="auto"/>
              </w:rPr>
            </w:pPr>
            <w:r>
              <w:rPr>
                <w:rFonts w:ascii="Arial" w:cs="Arial" w:eastAsia="Arial" w:hAnsi="Arial"/>
                <w:sz w:val="13"/>
                <w:szCs w:val="13"/>
                <w:color w:val="auto"/>
                <w:w w:val="87"/>
              </w:rPr>
              <w:t>Depositary shares of 6.50% Series E Fixed-to-Floating Rate Cumulative Redeemable Preferred Stock</w:t>
            </w:r>
          </w:p>
        </w:tc>
        <w:tc>
          <w:tcPr>
            <w:tcW w:w="1700" w:type="dxa"/>
            <w:vAlign w:val="bottom"/>
            <w:gridSpan w:val="2"/>
          </w:tcPr>
          <w:p>
            <w:pPr>
              <w:jc w:val="center"/>
              <w:ind w:right="100"/>
              <w:spacing w:after="0"/>
              <w:rPr>
                <w:sz w:val="20"/>
                <w:szCs w:val="20"/>
                <w:color w:val="auto"/>
              </w:rPr>
            </w:pPr>
            <w:r>
              <w:rPr>
                <w:rFonts w:ascii="Arial" w:cs="Arial" w:eastAsia="Arial" w:hAnsi="Arial"/>
                <w:sz w:val="13"/>
                <w:szCs w:val="13"/>
                <w:color w:val="auto"/>
                <w:w w:val="92"/>
              </w:rPr>
              <w:t>AGNCO</w:t>
            </w:r>
          </w:p>
        </w:tc>
        <w:tc>
          <w:tcPr>
            <w:tcW w:w="4340" w:type="dxa"/>
            <w:vAlign w:val="bottom"/>
          </w:tcPr>
          <w:p>
            <w:pPr>
              <w:jc w:val="center"/>
              <w:spacing w:after="0"/>
              <w:rPr>
                <w:sz w:val="20"/>
                <w:szCs w:val="20"/>
                <w:color w:val="auto"/>
              </w:rPr>
            </w:pPr>
            <w:r>
              <w:rPr>
                <w:rFonts w:ascii="Arial" w:cs="Arial" w:eastAsia="Arial" w:hAnsi="Arial"/>
                <w:sz w:val="13"/>
                <w:szCs w:val="13"/>
                <w:color w:val="auto"/>
                <w:w w:val="87"/>
              </w:rPr>
              <w:t>The Nasdaq Global Select Market</w:t>
            </w:r>
          </w:p>
        </w:tc>
      </w:tr>
      <w:tr>
        <w:trPr>
          <w:trHeight w:val="339"/>
        </w:trPr>
        <w:tc>
          <w:tcPr>
            <w:tcW w:w="11420" w:type="dxa"/>
            <w:vAlign w:val="bottom"/>
            <w:gridSpan w:val="6"/>
          </w:tcPr>
          <w:p>
            <w:pPr>
              <w:ind w:left="40"/>
              <w:spacing w:after="0"/>
              <w:rPr>
                <w:sz w:val="20"/>
                <w:szCs w:val="20"/>
                <w:color w:val="auto"/>
              </w:rPr>
            </w:pPr>
            <w:r>
              <w:rPr>
                <w:rFonts w:ascii="Arial" w:cs="Arial" w:eastAsia="Arial" w:hAnsi="Arial"/>
                <w:sz w:val="13"/>
                <w:szCs w:val="13"/>
                <w:color w:val="auto"/>
              </w:rPr>
              <w:t>Indicate by check mark whether the registrant is an emerging growth company as defined in Rule 405 of the Securities Act of 1933 (§230.405 of this chapter) or Rule 12b-2 of the</w:t>
            </w:r>
          </w:p>
        </w:tc>
      </w:tr>
      <w:tr>
        <w:trPr>
          <w:trHeight w:val="160"/>
        </w:trPr>
        <w:tc>
          <w:tcPr>
            <w:tcW w:w="5380" w:type="dxa"/>
            <w:vAlign w:val="bottom"/>
            <w:gridSpan w:val="3"/>
          </w:tcPr>
          <w:p>
            <w:pPr>
              <w:ind w:left="40"/>
              <w:spacing w:after="0"/>
              <w:rPr>
                <w:sz w:val="20"/>
                <w:szCs w:val="20"/>
                <w:color w:val="auto"/>
              </w:rPr>
            </w:pPr>
            <w:r>
              <w:rPr>
                <w:rFonts w:ascii="Arial" w:cs="Arial" w:eastAsia="Arial" w:hAnsi="Arial"/>
                <w:sz w:val="13"/>
                <w:szCs w:val="13"/>
                <w:color w:val="auto"/>
              </w:rPr>
              <w:t>Securities Exchange Act of 1934 (§240.12b-2 of this chapter).</w:t>
            </w:r>
          </w:p>
        </w:tc>
        <w:tc>
          <w:tcPr>
            <w:tcW w:w="1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340" w:type="dxa"/>
            <w:vAlign w:val="bottom"/>
          </w:tcPr>
          <w:p>
            <w:pPr>
              <w:spacing w:after="0"/>
              <w:rPr>
                <w:sz w:val="13"/>
                <w:szCs w:val="13"/>
                <w:color w:val="auto"/>
              </w:rPr>
            </w:pPr>
          </w:p>
        </w:tc>
      </w:tr>
      <w:tr>
        <w:trPr>
          <w:trHeight w:val="322"/>
        </w:trPr>
        <w:tc>
          <w:tcPr>
            <w:tcW w:w="1520" w:type="dxa"/>
            <w:vAlign w:val="bottom"/>
          </w:tcPr>
          <w:p>
            <w:pPr>
              <w:ind w:left="40"/>
              <w:spacing w:after="0"/>
              <w:rPr>
                <w:sz w:val="20"/>
                <w:szCs w:val="20"/>
                <w:color w:val="auto"/>
              </w:rPr>
            </w:pPr>
            <w:r>
              <w:rPr>
                <w:rFonts w:ascii="Arial" w:cs="Arial" w:eastAsia="Arial" w:hAnsi="Arial"/>
                <w:sz w:val="13"/>
                <w:szCs w:val="13"/>
                <w:color w:val="auto"/>
                <w:w w:val="91"/>
              </w:rPr>
              <w:t>Emerging Growth Company</w:t>
            </w:r>
          </w:p>
        </w:tc>
        <w:tc>
          <w:tcPr>
            <w:tcW w:w="3860" w:type="dxa"/>
            <w:vAlign w:val="bottom"/>
            <w:gridSpan w:val="2"/>
          </w:tcPr>
          <w:p>
            <w:pPr>
              <w:ind w:left="760"/>
              <w:spacing w:after="0" w:line="131" w:lineRule="exact"/>
              <w:rPr>
                <w:sz w:val="20"/>
                <w:szCs w:val="20"/>
                <w:color w:val="auto"/>
              </w:rPr>
            </w:pPr>
            <w:r>
              <w:rPr>
                <w:rFonts w:ascii="MS PGothic" w:cs="MS PGothic" w:eastAsia="MS PGothic" w:hAnsi="MS PGothic"/>
                <w:sz w:val="13"/>
                <w:szCs w:val="13"/>
                <w:color w:val="auto"/>
              </w:rPr>
              <w:t>☐</w:t>
            </w: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340" w:type="dxa"/>
            <w:vAlign w:val="bottom"/>
          </w:tcPr>
          <w:p>
            <w:pPr>
              <w:spacing w:after="0"/>
              <w:rPr>
                <w:sz w:val="24"/>
                <w:szCs w:val="24"/>
                <w:color w:val="auto"/>
              </w:rPr>
            </w:pPr>
          </w:p>
        </w:tc>
      </w:tr>
    </w:tbl>
    <w:p>
      <w:pPr>
        <w:ind w:right="80"/>
        <w:spacing w:after="0" w:line="239" w:lineRule="auto"/>
        <w:rPr>
          <w:sz w:val="20"/>
          <w:szCs w:val="20"/>
          <w:color w:val="auto"/>
        </w:rPr>
      </w:pPr>
      <w:r>
        <w:rPr>
          <w:rFonts w:ascii="Arial" w:cs="Arial" w:eastAsia="Arial" w:hAnsi="Arial"/>
          <w:sz w:val="13"/>
          <w:szCs w:val="13"/>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699770</wp:posOffset>
            </wp:positionH>
            <wp:positionV relativeFrom="paragraph">
              <wp:posOffset>242570</wp:posOffset>
            </wp:positionV>
            <wp:extent cx="585724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857240" cy="8890"/>
                    </a:xfrm>
                    <a:prstGeom prst="rect">
                      <a:avLst/>
                    </a:prstGeom>
                    <a:noFill/>
                  </pic:spPr>
                </pic:pic>
              </a:graphicData>
            </a:graphic>
          </wp:anchor>
        </w:drawing>
        <w:drawing>
          <wp:anchor simplePos="0" relativeHeight="251657728" behindDoc="1" locked="0" layoutInCell="0" allowOverlap="1">
            <wp:simplePos x="0" y="0"/>
            <wp:positionH relativeFrom="column">
              <wp:posOffset>699770</wp:posOffset>
            </wp:positionH>
            <wp:positionV relativeFrom="paragraph">
              <wp:posOffset>156845</wp:posOffset>
            </wp:positionV>
            <wp:extent cx="585724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57240" cy="8890"/>
                    </a:xfrm>
                    <a:prstGeom prst="rect">
                      <a:avLst/>
                    </a:prstGeom>
                    <a:noFill/>
                  </pic:spPr>
                </pic:pic>
              </a:graphicData>
            </a:graphic>
          </wp:anchor>
        </w:drawing>
      </w:r>
    </w:p>
    <w:p>
      <w:pPr>
        <w:sectPr>
          <w:pgSz w:w="11900" w:h="16838" w:orient="portrait"/>
          <w:cols w:equalWidth="0" w:num="1">
            <w:col w:w="11420"/>
          </w:cols>
          <w:pgMar w:left="240" w:top="958" w:right="2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94"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On October 30, 2019, AGNC Investment Corp. issued a press release announcing its financial results for the quarter ended September 30, 2019. The text of the press release is included as exhibit 99.1 to this Form 8-K. Pursuant to the rules and regulations of the Securities and Exchange Commission, such exhibit and the information set forth therein and herein shall not be deemed to be filed for purposes of Section 18 of the Securities Exchange Act of 1934, as amended (the "Exchange Act"), and shall not be deemed to be incorporated by reference in any filing under the Securities Act of 1933, as amended, or the Exchange Act, except as shall be expressly set forth by specific reference in such a filing.</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94" w:lineRule="exact"/>
        <w:rPr>
          <w:sz w:val="20"/>
          <w:szCs w:val="20"/>
          <w:color w:val="auto"/>
        </w:rPr>
      </w:pPr>
    </w:p>
    <w:p>
      <w:pPr>
        <w:ind w:left="260" w:hanging="252"/>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None.</w:t>
      </w:r>
    </w:p>
    <w:p>
      <w:pPr>
        <w:spacing w:after="0" w:line="171" w:lineRule="exact"/>
        <w:rPr>
          <w:rFonts w:ascii="Arial" w:cs="Arial" w:eastAsia="Arial" w:hAnsi="Arial"/>
          <w:sz w:val="18"/>
          <w:szCs w:val="18"/>
          <w:color w:val="auto"/>
        </w:rPr>
      </w:pPr>
    </w:p>
    <w:p>
      <w:pPr>
        <w:ind w:left="260" w:hanging="252"/>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None.</w:t>
      </w:r>
    </w:p>
    <w:p>
      <w:pPr>
        <w:spacing w:after="0" w:line="171" w:lineRule="exact"/>
        <w:rPr>
          <w:rFonts w:ascii="Arial" w:cs="Arial" w:eastAsia="Arial" w:hAnsi="Arial"/>
          <w:sz w:val="18"/>
          <w:szCs w:val="18"/>
          <w:color w:val="auto"/>
        </w:rPr>
      </w:pPr>
    </w:p>
    <w:p>
      <w:pPr>
        <w:ind w:left="260" w:hanging="252"/>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Exhibits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1280"/>
        <w:spacing w:after="0"/>
        <w:tabs>
          <w:tab w:leader="none" w:pos="2440"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6"/>
          <w:szCs w:val="16"/>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794385</wp:posOffset>
            </wp:positionH>
            <wp:positionV relativeFrom="paragraph">
              <wp:posOffset>34290</wp:posOffset>
            </wp:positionV>
            <wp:extent cx="566864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68645" cy="8890"/>
                    </a:xfrm>
                    <a:prstGeom prst="rect">
                      <a:avLst/>
                    </a:prstGeom>
                    <a:noFill/>
                  </pic:spPr>
                </pic:pic>
              </a:graphicData>
            </a:graphic>
          </wp:anchor>
        </w:drawing>
      </w:r>
    </w:p>
    <w:p>
      <w:pPr>
        <w:spacing w:after="0" w:line="61" w:lineRule="exact"/>
        <w:rPr>
          <w:sz w:val="20"/>
          <w:szCs w:val="20"/>
          <w:color w:val="auto"/>
        </w:rPr>
      </w:pPr>
    </w:p>
    <w:p>
      <w:pPr>
        <w:ind w:left="1940"/>
        <w:spacing w:after="0"/>
        <w:tabs>
          <w:tab w:leader="none" w:pos="2500" w:val="left"/>
        </w:tabs>
        <w:rPr>
          <w:rFonts w:ascii="Arial" w:cs="Arial" w:eastAsia="Arial" w:hAnsi="Arial"/>
          <w:sz w:val="15"/>
          <w:szCs w:val="15"/>
          <w:color w:val="auto"/>
        </w:rPr>
      </w:pPr>
      <w:hyperlink w:anchor="page4">
        <w:r>
          <w:rPr>
            <w:rFonts w:ascii="Arial" w:cs="Arial" w:eastAsia="Arial" w:hAnsi="Arial"/>
            <w:sz w:val="18"/>
            <w:szCs w:val="18"/>
            <w:color w:val="auto"/>
          </w:rPr>
          <w:t>99.1</w:t>
        </w:r>
      </w:hyperlink>
      <w:r>
        <w:rPr>
          <w:rFonts w:ascii="Arial" w:cs="Arial" w:eastAsia="Arial" w:hAnsi="Arial"/>
          <w:sz w:val="18"/>
          <w:szCs w:val="18"/>
          <w:color w:val="auto"/>
        </w:rPr>
        <w:tab/>
      </w:r>
      <w:hyperlink w:anchor="page4">
        <w:r>
          <w:rPr>
            <w:rFonts w:ascii="Arial" w:cs="Arial" w:eastAsia="Arial" w:hAnsi="Arial"/>
            <w:sz w:val="15"/>
            <w:szCs w:val="15"/>
            <w:color w:val="auto"/>
          </w:rPr>
          <w:t xml:space="preserve">Press Release dated </w:t>
        </w:r>
      </w:hyperlink>
      <w:r>
        <w:rPr>
          <w:rFonts w:ascii="Arial" w:cs="Arial" w:eastAsia="Arial" w:hAnsi="Arial"/>
          <w:sz w:val="15"/>
          <w:szCs w:val="15"/>
          <w:color w:val="auto"/>
        </w:rPr>
        <w:t>October 30, 2019</w:t>
      </w:r>
    </w:p>
    <w:p>
      <w:pPr>
        <w:sectPr>
          <w:pgSz w:w="11900" w:h="16838" w:orient="portrait"/>
          <w:cols w:equalWidth="0" w:num="1">
            <w:col w:w="11420"/>
          </w:cols>
          <w:pgMar w:left="240" w:top="580" w:right="239" w:bottom="1440" w:gutter="0" w:footer="0" w:header="0"/>
        </w:sectPr>
      </w:pPr>
    </w:p>
    <w:bookmarkStart w:id="2" w:name="page3"/>
    <w:bookmarkEnd w:id="2"/>
    <w:p>
      <w:pPr>
        <w:jc w:val="center"/>
        <w:ind w:right="-71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64"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AGNC I</w:t>
      </w:r>
      <w:r>
        <w:rPr>
          <w:rFonts w:ascii="Arial" w:cs="Arial" w:eastAsia="Arial" w:hAnsi="Arial"/>
          <w:sz w:val="16"/>
          <w:szCs w:val="16"/>
          <w:b w:val="1"/>
          <w:bCs w:val="1"/>
          <w:color w:val="auto"/>
        </w:rPr>
        <w:t>NVESTMENT</w:t>
      </w:r>
      <w:r>
        <w:rPr>
          <w:rFonts w:ascii="Arial" w:cs="Arial" w:eastAsia="Arial" w:hAnsi="Arial"/>
          <w:sz w:val="18"/>
          <w:szCs w:val="18"/>
          <w:b w:val="1"/>
          <w:bCs w:val="1"/>
          <w:color w:val="auto"/>
        </w:rPr>
        <w:t xml:space="preserve"> C</w:t>
      </w:r>
      <w:r>
        <w:rPr>
          <w:rFonts w:ascii="Arial" w:cs="Arial" w:eastAsia="Arial" w:hAnsi="Arial"/>
          <w:sz w:val="16"/>
          <w:szCs w:val="16"/>
          <w:b w:val="1"/>
          <w:bCs w:val="1"/>
          <w:color w:val="auto"/>
        </w:rPr>
        <w:t>ORP</w:t>
      </w:r>
      <w:r>
        <w:rPr>
          <w:rFonts w:ascii="Arial" w:cs="Arial" w:eastAsia="Arial" w:hAnsi="Arial"/>
          <w:sz w:val="18"/>
          <w:szCs w:val="18"/>
          <w:b w:val="1"/>
          <w:bCs w:val="1"/>
          <w:color w:val="auto"/>
        </w:rPr>
        <w:t>.</w:t>
      </w:r>
    </w:p>
    <w:p>
      <w:pPr>
        <w:spacing w:after="0" w:line="189" w:lineRule="exact"/>
        <w:rPr>
          <w:sz w:val="20"/>
          <w:szCs w:val="20"/>
          <w:color w:val="auto"/>
        </w:rPr>
      </w:pPr>
    </w:p>
    <w:p>
      <w:pPr>
        <w:ind w:left="1120"/>
        <w:spacing w:after="0"/>
        <w:tabs>
          <w:tab w:leader="none" w:pos="1780" w:val="left"/>
          <w:tab w:leader="none" w:pos="4860" w:val="left"/>
          <w:tab w:leader="none" w:pos="5280" w:val="left"/>
        </w:tabs>
        <w:rPr>
          <w:sz w:val="20"/>
          <w:szCs w:val="20"/>
          <w:color w:val="auto"/>
        </w:rPr>
      </w:pPr>
      <w:r>
        <w:rPr>
          <w:rFonts w:ascii="Arial" w:cs="Arial" w:eastAsia="Arial" w:hAnsi="Arial"/>
          <w:sz w:val="18"/>
          <w:szCs w:val="18"/>
          <w:color w:val="auto"/>
        </w:rPr>
        <w:t>Dated:</w:t>
        <w:tab/>
        <w:t>October 30,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7"/>
          <w:szCs w:val="17"/>
          <w:color w:val="auto"/>
        </w:rPr>
        <w:t>/s/ B</w:t>
      </w:r>
      <w:r>
        <w:rPr>
          <w:rFonts w:ascii="Arial" w:cs="Arial" w:eastAsia="Arial" w:hAnsi="Arial"/>
          <w:sz w:val="13"/>
          <w:szCs w:val="13"/>
          <w:color w:val="auto"/>
        </w:rPr>
        <w:t>ERNICE</w:t>
      </w:r>
      <w:r>
        <w:rPr>
          <w:rFonts w:ascii="Arial" w:cs="Arial" w:eastAsia="Arial" w:hAnsi="Arial"/>
          <w:sz w:val="17"/>
          <w:szCs w:val="17"/>
          <w:color w:val="auto"/>
        </w:rPr>
        <w:t xml:space="preserve"> E. B</w:t>
      </w:r>
      <w:r>
        <w:rPr>
          <w:rFonts w:ascii="Arial" w:cs="Arial" w:eastAsia="Arial" w:hAnsi="Arial"/>
          <w:sz w:val="13"/>
          <w:szCs w:val="13"/>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1128395</wp:posOffset>
            </wp:positionH>
            <wp:positionV relativeFrom="paragraph">
              <wp:posOffset>31750</wp:posOffset>
            </wp:positionV>
            <wp:extent cx="54286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428615" cy="8890"/>
                    </a:xfrm>
                    <a:prstGeom prst="rect">
                      <a:avLst/>
                    </a:prstGeom>
                    <a:noFill/>
                  </pic:spPr>
                </pic:pic>
              </a:graphicData>
            </a:graphic>
          </wp:anchor>
        </w:drawing>
      </w:r>
    </w:p>
    <w:p>
      <w:pPr>
        <w:spacing w:after="0" w:line="57" w:lineRule="exact"/>
        <w:rPr>
          <w:sz w:val="20"/>
          <w:szCs w:val="20"/>
          <w:color w:val="auto"/>
        </w:rPr>
      </w:pPr>
    </w:p>
    <w:p>
      <w:pPr>
        <w:ind w:left="5260"/>
        <w:spacing w:after="0"/>
        <w:rPr>
          <w:sz w:val="20"/>
          <w:szCs w:val="20"/>
          <w:color w:val="auto"/>
        </w:rPr>
      </w:pPr>
      <w:r>
        <w:rPr>
          <w:rFonts w:ascii="Arial" w:cs="Arial" w:eastAsia="Arial" w:hAnsi="Arial"/>
          <w:sz w:val="18"/>
          <w:szCs w:val="18"/>
          <w:color w:val="auto"/>
        </w:rPr>
        <w:t>Bernice E. Bell</w:t>
      </w:r>
    </w:p>
    <w:p>
      <w:pPr>
        <w:spacing w:after="0" w:line="63" w:lineRule="exact"/>
        <w:rPr>
          <w:sz w:val="20"/>
          <w:szCs w:val="20"/>
          <w:color w:val="auto"/>
        </w:rPr>
      </w:pPr>
    </w:p>
    <w:p>
      <w:pPr>
        <w:ind w:left="5260"/>
        <w:spacing w:after="0"/>
        <w:rPr>
          <w:sz w:val="20"/>
          <w:szCs w:val="20"/>
          <w:color w:val="auto"/>
        </w:rPr>
      </w:pPr>
      <w:r>
        <w:rPr>
          <w:rFonts w:ascii="Arial" w:cs="Arial" w:eastAsia="Arial" w:hAnsi="Arial"/>
          <w:sz w:val="18"/>
          <w:szCs w:val="18"/>
          <w:color w:val="auto"/>
        </w:rPr>
        <w:t>Senior Vice President and Chief Financial Officer</w:t>
      </w:r>
    </w:p>
    <w:p>
      <w:pPr>
        <w:sectPr>
          <w:pgSz w:w="11900" w:h="16838" w:orient="portrait"/>
          <w:cols w:equalWidth="0" w:num="1">
            <w:col w:w="10720"/>
          </w:cols>
          <w:pgMar w:left="240" w:top="580" w:right="939" w:bottom="1440" w:gutter="0" w:footer="0" w:header="0"/>
        </w:sectPr>
      </w:pPr>
    </w:p>
    <w:bookmarkStart w:id="3" w:name="page4"/>
    <w:bookmarkEnd w:id="3"/>
    <w:p>
      <w:pPr>
        <w:jc w:val="right"/>
        <w:spacing w:after="0"/>
        <w:rPr>
          <w:sz w:val="20"/>
          <w:szCs w:val="20"/>
          <w:color w:val="auto"/>
        </w:rPr>
      </w:pPr>
      <w:r>
        <w:rPr>
          <w:rFonts w:ascii="Arial" w:cs="Arial" w:eastAsia="Arial" w:hAnsi="Arial"/>
          <w:sz w:val="20"/>
          <w:szCs w:val="20"/>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3735705</wp:posOffset>
            </wp:positionH>
            <wp:positionV relativeFrom="paragraph">
              <wp:posOffset>2540</wp:posOffset>
            </wp:positionV>
            <wp:extent cx="2452370" cy="7543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452370" cy="7543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color w:val="auto"/>
        </w:rPr>
        <w:t>FOR IMMEDIATE RELEASE</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220"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Investors</w:t>
      </w:r>
      <w:r>
        <w:rPr>
          <w:rFonts w:ascii="Arial" w:cs="Arial" w:eastAsia="Arial" w:hAnsi="Arial"/>
          <w:sz w:val="22"/>
          <w:szCs w:val="22"/>
          <w:color w:val="auto"/>
        </w:rPr>
        <w:t xml:space="preserve"> - (301) 968-9300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Media</w:t>
      </w:r>
      <w:r>
        <w:rPr>
          <w:rFonts w:ascii="Arial" w:cs="Arial" w:eastAsia="Arial" w:hAnsi="Arial"/>
          <w:sz w:val="22"/>
          <w:szCs w:val="22"/>
          <w:color w:val="auto"/>
        </w:rPr>
        <w:t xml:space="preserve"> - (301) 968-9303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AGNC INVESTMENT CORP.</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ANNOUNCES THIRD QUARTER 2019 FINANCIAL RESULTS</w:t>
      </w:r>
    </w:p>
    <w:p>
      <w:pPr>
        <w:spacing w:after="0" w:line="260" w:lineRule="exact"/>
        <w:rPr>
          <w:sz w:val="20"/>
          <w:szCs w:val="20"/>
          <w:color w:val="auto"/>
        </w:rPr>
      </w:pPr>
    </w:p>
    <w:p>
      <w:pPr>
        <w:spacing w:after="0" w:line="249" w:lineRule="auto"/>
        <w:rPr>
          <w:sz w:val="20"/>
          <w:szCs w:val="20"/>
          <w:color w:val="auto"/>
        </w:rPr>
      </w:pPr>
      <w:r>
        <w:rPr>
          <w:rFonts w:ascii="Arial" w:cs="Arial" w:eastAsia="Arial" w:hAnsi="Arial"/>
          <w:sz w:val="22"/>
          <w:szCs w:val="22"/>
          <w:color w:val="auto"/>
        </w:rPr>
        <w:t>Bethesda, MD - October 30, 2019 - AGNC Investment Corp. (“AGNC” or the “Company”) (Nasdaq: AGNC) today announced financial results for the quarter ended September 30, 2019.</w:t>
      </w:r>
    </w:p>
    <w:p>
      <w:pPr>
        <w:spacing w:after="0" w:line="21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THIRD QUARTER 2019 FINANCIAL HIGHLIGHTS</w:t>
      </w:r>
    </w:p>
    <w:p>
      <w:pPr>
        <w:spacing w:after="0" w:line="192" w:lineRule="exact"/>
        <w:rPr>
          <w:sz w:val="20"/>
          <w:szCs w:val="20"/>
          <w:color w:val="auto"/>
        </w:rPr>
      </w:pPr>
    </w:p>
    <w:p>
      <w:pPr>
        <w:ind w:left="180" w:hanging="172"/>
        <w:spacing w:after="0"/>
        <w:tabs>
          <w:tab w:leader="none" w:pos="180" w:val="left"/>
        </w:tabs>
        <w:numPr>
          <w:ilvl w:val="0"/>
          <w:numId w:val="2"/>
        </w:numPr>
        <w:rPr>
          <w:rFonts w:ascii="Arial" w:cs="Arial" w:eastAsia="Arial" w:hAnsi="Arial"/>
          <w:sz w:val="22"/>
          <w:szCs w:val="22"/>
          <w:color w:val="auto"/>
        </w:rPr>
      </w:pPr>
      <w:r>
        <w:rPr>
          <w:rFonts w:ascii="Arial" w:cs="Arial" w:eastAsia="Arial" w:hAnsi="Arial"/>
          <w:sz w:val="22"/>
          <w:szCs w:val="22"/>
          <w:color w:val="auto"/>
        </w:rPr>
        <w:t>$0.42 comprehensive income per common share, comprised of:</w:t>
      </w:r>
    </w:p>
    <w:p>
      <w:pPr>
        <w:spacing w:after="0" w:line="3" w:lineRule="exact"/>
        <w:rPr>
          <w:rFonts w:ascii="Arial" w:cs="Arial" w:eastAsia="Arial" w:hAnsi="Arial"/>
          <w:sz w:val="22"/>
          <w:szCs w:val="22"/>
          <w:color w:val="auto"/>
        </w:rPr>
      </w:pPr>
    </w:p>
    <w:p>
      <w:pPr>
        <w:ind w:left="500" w:hanging="249"/>
        <w:spacing w:after="0"/>
        <w:tabs>
          <w:tab w:leader="none" w:pos="500" w:val="left"/>
        </w:tabs>
        <w:numPr>
          <w:ilvl w:val="2"/>
          <w:numId w:val="2"/>
        </w:numPr>
        <w:rPr>
          <w:rFonts w:ascii="Arial" w:cs="Arial" w:eastAsia="Arial" w:hAnsi="Arial"/>
          <w:sz w:val="22"/>
          <w:szCs w:val="22"/>
          <w:color w:val="auto"/>
        </w:rPr>
      </w:pPr>
      <w:r>
        <w:rPr>
          <w:rFonts w:ascii="Arial" w:cs="Arial" w:eastAsia="Arial" w:hAnsi="Arial"/>
          <w:sz w:val="22"/>
          <w:szCs w:val="22"/>
          <w:color w:val="auto"/>
        </w:rPr>
        <w:t>$(0.03) net loss per common share</w:t>
      </w:r>
    </w:p>
    <w:p>
      <w:pPr>
        <w:spacing w:after="0" w:line="3" w:lineRule="exact"/>
        <w:rPr>
          <w:rFonts w:ascii="Arial" w:cs="Arial" w:eastAsia="Arial" w:hAnsi="Arial"/>
          <w:sz w:val="22"/>
          <w:szCs w:val="22"/>
          <w:color w:val="auto"/>
        </w:rPr>
      </w:pPr>
    </w:p>
    <w:p>
      <w:pPr>
        <w:ind w:left="500" w:hanging="249"/>
        <w:spacing w:after="0"/>
        <w:tabs>
          <w:tab w:leader="none" w:pos="500" w:val="left"/>
        </w:tabs>
        <w:numPr>
          <w:ilvl w:val="2"/>
          <w:numId w:val="2"/>
        </w:numPr>
        <w:rPr>
          <w:rFonts w:ascii="Arial" w:cs="Arial" w:eastAsia="Arial" w:hAnsi="Arial"/>
          <w:sz w:val="22"/>
          <w:szCs w:val="22"/>
          <w:color w:val="auto"/>
        </w:rPr>
      </w:pPr>
      <w:r>
        <w:rPr>
          <w:rFonts w:ascii="Arial" w:cs="Arial" w:eastAsia="Arial" w:hAnsi="Arial"/>
          <w:sz w:val="22"/>
          <w:szCs w:val="22"/>
          <w:color w:val="auto"/>
        </w:rPr>
        <w:t>$0.45 other comprehensive income ("OCI") per common share on investments marked-to-market through OCI</w:t>
      </w:r>
    </w:p>
    <w:p>
      <w:pPr>
        <w:spacing w:after="0" w:line="3" w:lineRule="exact"/>
        <w:rPr>
          <w:rFonts w:ascii="Arial" w:cs="Arial" w:eastAsia="Arial" w:hAnsi="Arial"/>
          <w:sz w:val="22"/>
          <w:szCs w:val="22"/>
          <w:color w:val="auto"/>
        </w:rPr>
      </w:pPr>
    </w:p>
    <w:p>
      <w:pPr>
        <w:ind w:left="180" w:right="20" w:hanging="172"/>
        <w:spacing w:after="0" w:line="214" w:lineRule="auto"/>
        <w:tabs>
          <w:tab w:leader="none" w:pos="180" w:val="left"/>
        </w:tabs>
        <w:numPr>
          <w:ilvl w:val="0"/>
          <w:numId w:val="2"/>
        </w:numPr>
        <w:rPr>
          <w:rFonts w:ascii="Arial" w:cs="Arial" w:eastAsia="Arial" w:hAnsi="Arial"/>
          <w:sz w:val="22"/>
          <w:szCs w:val="22"/>
          <w:color w:val="auto"/>
        </w:rPr>
      </w:pPr>
      <w:r>
        <w:rPr>
          <w:rFonts w:ascii="Arial" w:cs="Arial" w:eastAsia="Arial" w:hAnsi="Arial"/>
          <w:sz w:val="22"/>
          <w:szCs w:val="22"/>
          <w:color w:val="auto"/>
        </w:rPr>
        <w:t xml:space="preserve">$0.59 net spread and dollar roll income per common share, excluding estimated "catch-up" premium amortization cost </w:t>
      </w:r>
      <w:r>
        <w:rPr>
          <w:rFonts w:ascii="Arial" w:cs="Arial" w:eastAsia="Arial" w:hAnsi="Arial"/>
          <w:sz w:val="28"/>
          <w:szCs w:val="28"/>
          <w:color w:val="auto"/>
          <w:vertAlign w:val="superscript"/>
        </w:rPr>
        <w:t>1</w:t>
      </w:r>
    </w:p>
    <w:p>
      <w:pPr>
        <w:jc w:val="both"/>
        <w:ind w:left="500" w:hanging="249"/>
        <w:spacing w:after="0" w:line="243" w:lineRule="auto"/>
        <w:tabs>
          <w:tab w:leader="none" w:pos="500" w:val="left"/>
        </w:tabs>
        <w:numPr>
          <w:ilvl w:val="2"/>
          <w:numId w:val="2"/>
        </w:numPr>
        <w:rPr>
          <w:rFonts w:ascii="Arial" w:cs="Arial" w:eastAsia="Arial" w:hAnsi="Arial"/>
          <w:sz w:val="22"/>
          <w:szCs w:val="22"/>
          <w:color w:val="auto"/>
        </w:rPr>
      </w:pPr>
      <w:r>
        <w:rPr>
          <w:rFonts w:ascii="Arial" w:cs="Arial" w:eastAsia="Arial" w:hAnsi="Arial"/>
          <w:sz w:val="22"/>
          <w:szCs w:val="22"/>
          <w:color w:val="auto"/>
        </w:rPr>
        <w:t>Includes $0.05 per common share of dollar roll income associated with the Company's $10.1 billion average net long position in forward purchases and sales of Agency mortgage-backed securities ("MBS") in the "to-be-announced" ("TBA") market</w:t>
      </w:r>
    </w:p>
    <w:p>
      <w:pPr>
        <w:spacing w:after="0" w:line="1" w:lineRule="exact"/>
        <w:rPr>
          <w:rFonts w:ascii="Arial" w:cs="Arial" w:eastAsia="Arial" w:hAnsi="Arial"/>
          <w:sz w:val="22"/>
          <w:szCs w:val="22"/>
          <w:color w:val="auto"/>
        </w:rPr>
      </w:pPr>
    </w:p>
    <w:p>
      <w:pPr>
        <w:ind w:left="500" w:hanging="249"/>
        <w:spacing w:after="0" w:line="243" w:lineRule="auto"/>
        <w:tabs>
          <w:tab w:leader="none" w:pos="500" w:val="left"/>
        </w:tabs>
        <w:numPr>
          <w:ilvl w:val="2"/>
          <w:numId w:val="2"/>
        </w:numPr>
        <w:rPr>
          <w:rFonts w:ascii="Arial" w:cs="Arial" w:eastAsia="Arial" w:hAnsi="Arial"/>
          <w:sz w:val="22"/>
          <w:szCs w:val="22"/>
          <w:color w:val="auto"/>
        </w:rPr>
      </w:pPr>
      <w:r>
        <w:rPr>
          <w:rFonts w:ascii="Arial" w:cs="Arial" w:eastAsia="Arial" w:hAnsi="Arial"/>
          <w:sz w:val="22"/>
          <w:szCs w:val="22"/>
          <w:color w:val="auto"/>
        </w:rPr>
        <w:t>Excludes $(0.10) per common share of estimated "catch-up" premium amortization cost due to change in projected constant prepayment rate ("CPR") estimates</w:t>
      </w:r>
    </w:p>
    <w:p>
      <w:pPr>
        <w:ind w:left="180" w:hanging="172"/>
        <w:spacing w:after="0"/>
        <w:tabs>
          <w:tab w:leader="none" w:pos="180" w:val="left"/>
        </w:tabs>
        <w:numPr>
          <w:ilvl w:val="0"/>
          <w:numId w:val="2"/>
        </w:numPr>
        <w:rPr>
          <w:rFonts w:ascii="Arial" w:cs="Arial" w:eastAsia="Arial" w:hAnsi="Arial"/>
          <w:sz w:val="22"/>
          <w:szCs w:val="22"/>
          <w:color w:val="auto"/>
        </w:rPr>
      </w:pPr>
      <w:r>
        <w:rPr>
          <w:rFonts w:ascii="Arial" w:cs="Arial" w:eastAsia="Arial" w:hAnsi="Arial"/>
          <w:sz w:val="22"/>
          <w:szCs w:val="22"/>
          <w:color w:val="auto"/>
        </w:rPr>
        <w:t>$16.55 tangible net book value per common share as of September 30, 2019</w:t>
      </w:r>
    </w:p>
    <w:p>
      <w:pPr>
        <w:spacing w:after="0" w:line="3" w:lineRule="exact"/>
        <w:rPr>
          <w:rFonts w:ascii="Arial" w:cs="Arial" w:eastAsia="Arial" w:hAnsi="Arial"/>
          <w:sz w:val="22"/>
          <w:szCs w:val="22"/>
          <w:color w:val="auto"/>
        </w:rPr>
      </w:pPr>
    </w:p>
    <w:p>
      <w:pPr>
        <w:ind w:left="500" w:hanging="249"/>
        <w:spacing w:after="0"/>
        <w:tabs>
          <w:tab w:leader="none" w:pos="500" w:val="left"/>
        </w:tabs>
        <w:numPr>
          <w:ilvl w:val="2"/>
          <w:numId w:val="2"/>
        </w:numPr>
        <w:rPr>
          <w:rFonts w:ascii="Arial" w:cs="Arial" w:eastAsia="Arial" w:hAnsi="Arial"/>
          <w:sz w:val="22"/>
          <w:szCs w:val="22"/>
          <w:color w:val="auto"/>
        </w:rPr>
      </w:pPr>
      <w:r>
        <w:rPr>
          <w:rFonts w:ascii="Arial" w:cs="Arial" w:eastAsia="Arial" w:hAnsi="Arial"/>
          <w:sz w:val="22"/>
          <w:szCs w:val="22"/>
          <w:color w:val="auto"/>
        </w:rPr>
        <w:t>Decreased $(0.03) per common share, or -0.2%, from $16.58 per common share as of June 30, 2019</w:t>
      </w:r>
    </w:p>
    <w:p>
      <w:pPr>
        <w:spacing w:after="0" w:line="3" w:lineRule="exact"/>
        <w:rPr>
          <w:rFonts w:ascii="Arial" w:cs="Arial" w:eastAsia="Arial" w:hAnsi="Arial"/>
          <w:sz w:val="22"/>
          <w:szCs w:val="22"/>
          <w:color w:val="auto"/>
        </w:rPr>
      </w:pPr>
    </w:p>
    <w:p>
      <w:pPr>
        <w:ind w:left="180" w:hanging="172"/>
        <w:spacing w:after="0"/>
        <w:tabs>
          <w:tab w:leader="none" w:pos="180" w:val="left"/>
        </w:tabs>
        <w:numPr>
          <w:ilvl w:val="0"/>
          <w:numId w:val="2"/>
        </w:numPr>
        <w:rPr>
          <w:rFonts w:ascii="Arial" w:cs="Arial" w:eastAsia="Arial" w:hAnsi="Arial"/>
          <w:sz w:val="22"/>
          <w:szCs w:val="22"/>
          <w:color w:val="auto"/>
        </w:rPr>
      </w:pPr>
      <w:r>
        <w:rPr>
          <w:rFonts w:ascii="Arial" w:cs="Arial" w:eastAsia="Arial" w:hAnsi="Arial"/>
          <w:sz w:val="22"/>
          <w:szCs w:val="22"/>
          <w:color w:val="auto"/>
        </w:rPr>
        <w:t>$0.48 dividends declared per common share for the third quarter</w:t>
      </w:r>
    </w:p>
    <w:p>
      <w:pPr>
        <w:spacing w:after="0" w:line="3" w:lineRule="exact"/>
        <w:rPr>
          <w:rFonts w:ascii="Arial" w:cs="Arial" w:eastAsia="Arial" w:hAnsi="Arial"/>
          <w:sz w:val="22"/>
          <w:szCs w:val="22"/>
          <w:color w:val="auto"/>
        </w:rPr>
      </w:pPr>
    </w:p>
    <w:p>
      <w:pPr>
        <w:ind w:left="180" w:hanging="172"/>
        <w:spacing w:after="0"/>
        <w:tabs>
          <w:tab w:leader="none" w:pos="180" w:val="left"/>
        </w:tabs>
        <w:numPr>
          <w:ilvl w:val="0"/>
          <w:numId w:val="2"/>
        </w:numPr>
        <w:rPr>
          <w:rFonts w:ascii="Arial" w:cs="Arial" w:eastAsia="Arial" w:hAnsi="Arial"/>
          <w:sz w:val="22"/>
          <w:szCs w:val="22"/>
          <w:color w:val="auto"/>
        </w:rPr>
      </w:pPr>
      <w:r>
        <w:rPr>
          <w:rFonts w:ascii="Arial" w:cs="Arial" w:eastAsia="Arial" w:hAnsi="Arial"/>
          <w:sz w:val="22"/>
          <w:szCs w:val="22"/>
          <w:color w:val="auto"/>
        </w:rPr>
        <w:t>2.7% economic return on tangible common equity for the quarter</w:t>
      </w:r>
    </w:p>
    <w:p>
      <w:pPr>
        <w:spacing w:after="0" w:line="3" w:lineRule="exact"/>
        <w:rPr>
          <w:rFonts w:ascii="Arial" w:cs="Arial" w:eastAsia="Arial" w:hAnsi="Arial"/>
          <w:sz w:val="22"/>
          <w:szCs w:val="22"/>
          <w:color w:val="auto"/>
        </w:rPr>
      </w:pPr>
    </w:p>
    <w:p>
      <w:pPr>
        <w:ind w:left="900" w:hanging="662"/>
        <w:spacing w:after="0" w:line="249" w:lineRule="auto"/>
        <w:tabs>
          <w:tab w:leader="none" w:pos="495" w:val="left"/>
        </w:tabs>
        <w:numPr>
          <w:ilvl w:val="1"/>
          <w:numId w:val="2"/>
        </w:numPr>
        <w:rPr>
          <w:rFonts w:ascii="Arial" w:cs="Arial" w:eastAsia="Arial" w:hAnsi="Arial"/>
          <w:sz w:val="22"/>
          <w:szCs w:val="22"/>
          <w:color w:val="auto"/>
        </w:rPr>
      </w:pPr>
      <w:r>
        <w:rPr>
          <w:rFonts w:ascii="Arial" w:cs="Arial" w:eastAsia="Arial" w:hAnsi="Arial"/>
          <w:sz w:val="22"/>
          <w:szCs w:val="22"/>
          <w:color w:val="auto"/>
        </w:rPr>
        <w:t>Comprised of $0.48 dividends per common share and $(0.03) decrease in tangible net book value per common share</w:t>
      </w:r>
    </w:p>
    <w:p>
      <w:pPr>
        <w:sectPr>
          <w:pgSz w:w="11900" w:h="16838" w:orient="portrait"/>
          <w:cols w:equalWidth="0" w:num="1">
            <w:col w:w="11420"/>
          </w:cols>
          <w:pgMar w:left="240" w:top="136" w:right="239" w:bottom="1440" w:gutter="0" w:footer="0" w:header="0"/>
        </w:sectPr>
      </w:pPr>
    </w:p>
    <w:bookmarkStart w:id="4" w:name="page5"/>
    <w:bookmarkEnd w:id="4"/>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2</w:t>
      </w:r>
    </w:p>
    <w:p>
      <w:pPr>
        <w:spacing w:after="0" w:line="22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OTHER THIRD QUARTER HIGHLIGHTS</w:t>
      </w:r>
    </w:p>
    <w:p>
      <w:pPr>
        <w:spacing w:after="0" w:line="192" w:lineRule="exact"/>
        <w:rPr>
          <w:sz w:val="20"/>
          <w:szCs w:val="20"/>
          <w:color w:val="auto"/>
        </w:rPr>
      </w:pPr>
    </w:p>
    <w:p>
      <w:pPr>
        <w:ind w:left="180" w:hanging="172"/>
        <w:spacing w:after="0"/>
        <w:tabs>
          <w:tab w:leader="none" w:pos="180" w:val="left"/>
        </w:tabs>
        <w:numPr>
          <w:ilvl w:val="0"/>
          <w:numId w:val="3"/>
        </w:numPr>
        <w:rPr>
          <w:rFonts w:ascii="Arial" w:cs="Arial" w:eastAsia="Arial" w:hAnsi="Arial"/>
          <w:sz w:val="22"/>
          <w:szCs w:val="22"/>
          <w:color w:val="auto"/>
        </w:rPr>
      </w:pPr>
      <w:r>
        <w:rPr>
          <w:rFonts w:ascii="Arial" w:cs="Arial" w:eastAsia="Arial" w:hAnsi="Arial"/>
          <w:sz w:val="22"/>
          <w:szCs w:val="22"/>
          <w:color w:val="auto"/>
        </w:rPr>
        <w:t>$102.6 billion investment portfolio as of September 30, 2019, comprised of:</w:t>
      </w:r>
    </w:p>
    <w:p>
      <w:pPr>
        <w:spacing w:after="0" w:line="3" w:lineRule="exact"/>
        <w:rPr>
          <w:rFonts w:ascii="Arial" w:cs="Arial" w:eastAsia="Arial" w:hAnsi="Arial"/>
          <w:sz w:val="22"/>
          <w:szCs w:val="22"/>
          <w:color w:val="auto"/>
        </w:rPr>
      </w:pPr>
    </w:p>
    <w:p>
      <w:pPr>
        <w:ind w:left="500" w:hanging="262"/>
        <w:spacing w:after="0"/>
        <w:tabs>
          <w:tab w:leader="none" w:pos="500" w:val="left"/>
        </w:tabs>
        <w:numPr>
          <w:ilvl w:val="1"/>
          <w:numId w:val="3"/>
        </w:numPr>
        <w:rPr>
          <w:rFonts w:ascii="Arial" w:cs="Arial" w:eastAsia="Arial" w:hAnsi="Arial"/>
          <w:sz w:val="22"/>
          <w:szCs w:val="22"/>
          <w:color w:val="auto"/>
        </w:rPr>
      </w:pPr>
      <w:r>
        <w:rPr>
          <w:rFonts w:ascii="Arial" w:cs="Arial" w:eastAsia="Arial" w:hAnsi="Arial"/>
          <w:sz w:val="22"/>
          <w:szCs w:val="22"/>
          <w:color w:val="auto"/>
        </w:rPr>
        <w:t>$99.0 billion Agency MBS</w:t>
      </w:r>
    </w:p>
    <w:p>
      <w:pPr>
        <w:spacing w:after="0" w:line="3" w:lineRule="exact"/>
        <w:rPr>
          <w:rFonts w:ascii="Arial" w:cs="Arial" w:eastAsia="Arial" w:hAnsi="Arial"/>
          <w:sz w:val="22"/>
          <w:szCs w:val="22"/>
          <w:color w:val="auto"/>
        </w:rPr>
      </w:pPr>
    </w:p>
    <w:p>
      <w:pPr>
        <w:ind w:left="500" w:hanging="262"/>
        <w:spacing w:after="0"/>
        <w:tabs>
          <w:tab w:leader="none" w:pos="500" w:val="left"/>
        </w:tabs>
        <w:numPr>
          <w:ilvl w:val="1"/>
          <w:numId w:val="3"/>
        </w:numPr>
        <w:rPr>
          <w:rFonts w:ascii="Arial" w:cs="Arial" w:eastAsia="Arial" w:hAnsi="Arial"/>
          <w:sz w:val="22"/>
          <w:szCs w:val="22"/>
          <w:color w:val="auto"/>
        </w:rPr>
      </w:pPr>
      <w:r>
        <w:rPr>
          <w:rFonts w:ascii="Arial" w:cs="Arial" w:eastAsia="Arial" w:hAnsi="Arial"/>
          <w:sz w:val="22"/>
          <w:szCs w:val="22"/>
          <w:color w:val="auto"/>
        </w:rPr>
        <w:t>$1.9 billion net TBA mortgage position</w:t>
      </w:r>
    </w:p>
    <w:p>
      <w:pPr>
        <w:spacing w:after="0" w:line="3" w:lineRule="exact"/>
        <w:rPr>
          <w:rFonts w:ascii="Arial" w:cs="Arial" w:eastAsia="Arial" w:hAnsi="Arial"/>
          <w:sz w:val="22"/>
          <w:szCs w:val="22"/>
          <w:color w:val="auto"/>
        </w:rPr>
      </w:pPr>
    </w:p>
    <w:p>
      <w:pPr>
        <w:ind w:left="500" w:hanging="262"/>
        <w:spacing w:after="0"/>
        <w:tabs>
          <w:tab w:leader="none" w:pos="500" w:val="left"/>
        </w:tabs>
        <w:numPr>
          <w:ilvl w:val="1"/>
          <w:numId w:val="3"/>
        </w:numPr>
        <w:rPr>
          <w:rFonts w:ascii="Arial" w:cs="Arial" w:eastAsia="Arial" w:hAnsi="Arial"/>
          <w:sz w:val="22"/>
          <w:szCs w:val="22"/>
          <w:color w:val="auto"/>
        </w:rPr>
      </w:pPr>
      <w:r>
        <w:rPr>
          <w:rFonts w:ascii="Arial" w:cs="Arial" w:eastAsia="Arial" w:hAnsi="Arial"/>
          <w:sz w:val="22"/>
          <w:szCs w:val="22"/>
          <w:color w:val="auto"/>
        </w:rPr>
        <w:t>$1.7 billion credit risk transfer ("CRT") and non-Agency securities</w:t>
      </w:r>
    </w:p>
    <w:p>
      <w:pPr>
        <w:spacing w:after="0" w:line="3" w:lineRule="exact"/>
        <w:rPr>
          <w:rFonts w:ascii="Arial" w:cs="Arial" w:eastAsia="Arial" w:hAnsi="Arial"/>
          <w:sz w:val="22"/>
          <w:szCs w:val="22"/>
          <w:color w:val="auto"/>
        </w:rPr>
      </w:pPr>
    </w:p>
    <w:p>
      <w:pPr>
        <w:ind w:left="180" w:hanging="172"/>
        <w:spacing w:after="0"/>
        <w:tabs>
          <w:tab w:leader="none" w:pos="180" w:val="left"/>
        </w:tabs>
        <w:numPr>
          <w:ilvl w:val="0"/>
          <w:numId w:val="3"/>
        </w:numPr>
        <w:rPr>
          <w:rFonts w:ascii="Arial" w:cs="Arial" w:eastAsia="Arial" w:hAnsi="Arial"/>
          <w:sz w:val="22"/>
          <w:szCs w:val="22"/>
          <w:color w:val="auto"/>
        </w:rPr>
      </w:pPr>
      <w:r>
        <w:rPr>
          <w:rFonts w:ascii="Arial" w:cs="Arial" w:eastAsia="Arial" w:hAnsi="Arial"/>
          <w:sz w:val="22"/>
          <w:szCs w:val="22"/>
          <w:color w:val="auto"/>
        </w:rPr>
        <w:t>9.8x tangible net book value "at risk" leverage as of September 30, 2019</w:t>
      </w:r>
    </w:p>
    <w:p>
      <w:pPr>
        <w:spacing w:after="0" w:line="3" w:lineRule="exact"/>
        <w:rPr>
          <w:rFonts w:ascii="Arial" w:cs="Arial" w:eastAsia="Arial" w:hAnsi="Arial"/>
          <w:sz w:val="22"/>
          <w:szCs w:val="22"/>
          <w:color w:val="auto"/>
        </w:rPr>
      </w:pPr>
    </w:p>
    <w:p>
      <w:pPr>
        <w:ind w:left="500" w:hanging="249"/>
        <w:spacing w:after="0"/>
        <w:tabs>
          <w:tab w:leader="none" w:pos="500" w:val="left"/>
        </w:tabs>
        <w:numPr>
          <w:ilvl w:val="2"/>
          <w:numId w:val="3"/>
        </w:numPr>
        <w:rPr>
          <w:rFonts w:ascii="Arial" w:cs="Arial" w:eastAsia="Arial" w:hAnsi="Arial"/>
          <w:sz w:val="22"/>
          <w:szCs w:val="22"/>
          <w:color w:val="auto"/>
        </w:rPr>
      </w:pPr>
      <w:r>
        <w:rPr>
          <w:rFonts w:ascii="Arial" w:cs="Arial" w:eastAsia="Arial" w:hAnsi="Arial"/>
          <w:sz w:val="22"/>
          <w:szCs w:val="22"/>
          <w:color w:val="auto"/>
        </w:rPr>
        <w:t>10.0x average tangible net book value "at risk" leverage for the quarter</w:t>
      </w:r>
    </w:p>
    <w:p>
      <w:pPr>
        <w:spacing w:after="0" w:line="3" w:lineRule="exact"/>
        <w:rPr>
          <w:rFonts w:ascii="Arial" w:cs="Arial" w:eastAsia="Arial" w:hAnsi="Arial"/>
          <w:sz w:val="22"/>
          <w:szCs w:val="22"/>
          <w:color w:val="auto"/>
        </w:rPr>
      </w:pPr>
    </w:p>
    <w:p>
      <w:pPr>
        <w:ind w:left="180" w:hanging="172"/>
        <w:spacing w:after="0"/>
        <w:tabs>
          <w:tab w:leader="none" w:pos="180" w:val="left"/>
        </w:tabs>
        <w:numPr>
          <w:ilvl w:val="0"/>
          <w:numId w:val="3"/>
        </w:numPr>
        <w:rPr>
          <w:rFonts w:ascii="Arial" w:cs="Arial" w:eastAsia="Arial" w:hAnsi="Arial"/>
          <w:sz w:val="22"/>
          <w:szCs w:val="22"/>
          <w:color w:val="auto"/>
        </w:rPr>
      </w:pPr>
      <w:r>
        <w:rPr>
          <w:rFonts w:ascii="Arial" w:cs="Arial" w:eastAsia="Arial" w:hAnsi="Arial"/>
          <w:sz w:val="22"/>
          <w:szCs w:val="22"/>
          <w:color w:val="auto"/>
        </w:rPr>
        <w:t>13.5% portfolio CPR for the quarter</w:t>
      </w:r>
    </w:p>
    <w:p>
      <w:pPr>
        <w:spacing w:after="0" w:line="3" w:lineRule="exact"/>
        <w:rPr>
          <w:rFonts w:ascii="Arial" w:cs="Arial" w:eastAsia="Arial" w:hAnsi="Arial"/>
          <w:sz w:val="22"/>
          <w:szCs w:val="22"/>
          <w:color w:val="auto"/>
        </w:rPr>
      </w:pPr>
    </w:p>
    <w:p>
      <w:pPr>
        <w:ind w:left="500" w:hanging="249"/>
        <w:spacing w:after="0"/>
        <w:tabs>
          <w:tab w:leader="none" w:pos="500" w:val="left"/>
        </w:tabs>
        <w:numPr>
          <w:ilvl w:val="2"/>
          <w:numId w:val="3"/>
        </w:numPr>
        <w:rPr>
          <w:rFonts w:ascii="Arial" w:cs="Arial" w:eastAsia="Arial" w:hAnsi="Arial"/>
          <w:sz w:val="22"/>
          <w:szCs w:val="22"/>
          <w:color w:val="auto"/>
        </w:rPr>
      </w:pPr>
      <w:r>
        <w:rPr>
          <w:rFonts w:ascii="Arial" w:cs="Arial" w:eastAsia="Arial" w:hAnsi="Arial"/>
          <w:sz w:val="22"/>
          <w:szCs w:val="22"/>
          <w:color w:val="auto"/>
        </w:rPr>
        <w:t>13.4% average projected portfolio CPR as of September 30, 2019</w:t>
      </w:r>
    </w:p>
    <w:p>
      <w:pPr>
        <w:spacing w:after="0" w:line="3" w:lineRule="exact"/>
        <w:rPr>
          <w:rFonts w:ascii="Arial" w:cs="Arial" w:eastAsia="Arial" w:hAnsi="Arial"/>
          <w:sz w:val="22"/>
          <w:szCs w:val="22"/>
          <w:color w:val="auto"/>
        </w:rPr>
      </w:pPr>
    </w:p>
    <w:p>
      <w:pPr>
        <w:ind w:left="180" w:hanging="172"/>
        <w:spacing w:after="0" w:line="243" w:lineRule="auto"/>
        <w:tabs>
          <w:tab w:leader="none" w:pos="180" w:val="left"/>
        </w:tabs>
        <w:numPr>
          <w:ilvl w:val="0"/>
          <w:numId w:val="3"/>
        </w:numPr>
        <w:rPr>
          <w:rFonts w:ascii="Arial" w:cs="Arial" w:eastAsia="Arial" w:hAnsi="Arial"/>
          <w:sz w:val="22"/>
          <w:szCs w:val="22"/>
          <w:color w:val="auto"/>
        </w:rPr>
      </w:pPr>
      <w:r>
        <w:rPr>
          <w:rFonts w:ascii="Arial" w:cs="Arial" w:eastAsia="Arial" w:hAnsi="Arial"/>
          <w:sz w:val="22"/>
          <w:szCs w:val="22"/>
          <w:color w:val="auto"/>
        </w:rPr>
        <w:t>1.31% annualized net interest spread and TBA dollar roll income for the quarter, excluding estimated "catch-up" premium amortization cost</w:t>
      </w:r>
    </w:p>
    <w:p>
      <w:pPr>
        <w:ind w:left="500" w:hanging="249"/>
        <w:spacing w:after="0"/>
        <w:tabs>
          <w:tab w:leader="none" w:pos="500" w:val="left"/>
        </w:tabs>
        <w:numPr>
          <w:ilvl w:val="2"/>
          <w:numId w:val="3"/>
        </w:numPr>
        <w:rPr>
          <w:rFonts w:ascii="Arial" w:cs="Arial" w:eastAsia="Arial" w:hAnsi="Arial"/>
          <w:sz w:val="22"/>
          <w:szCs w:val="22"/>
          <w:color w:val="auto"/>
        </w:rPr>
      </w:pPr>
      <w:r>
        <w:rPr>
          <w:rFonts w:ascii="Arial" w:cs="Arial" w:eastAsia="Arial" w:hAnsi="Arial"/>
          <w:sz w:val="22"/>
          <w:szCs w:val="22"/>
          <w:color w:val="auto"/>
        </w:rPr>
        <w:t>Excludes -21 bps of "catch-up" premium amortization cost due to change in projected CPR estimates</w:t>
      </w:r>
    </w:p>
    <w:p>
      <w:pPr>
        <w:spacing w:after="0" w:line="3" w:lineRule="exact"/>
        <w:rPr>
          <w:rFonts w:ascii="Arial" w:cs="Arial" w:eastAsia="Arial" w:hAnsi="Arial"/>
          <w:sz w:val="22"/>
          <w:szCs w:val="22"/>
          <w:color w:val="auto"/>
        </w:rPr>
      </w:pPr>
    </w:p>
    <w:p>
      <w:pPr>
        <w:ind w:left="260" w:hanging="252"/>
        <w:spacing w:after="0"/>
        <w:tabs>
          <w:tab w:leader="none" w:pos="260" w:val="left"/>
        </w:tabs>
        <w:numPr>
          <w:ilvl w:val="0"/>
          <w:numId w:val="3"/>
        </w:numPr>
        <w:rPr>
          <w:rFonts w:ascii="Arial" w:cs="Arial" w:eastAsia="Arial" w:hAnsi="Arial"/>
          <w:sz w:val="22"/>
          <w:szCs w:val="22"/>
          <w:color w:val="auto"/>
        </w:rPr>
      </w:pPr>
      <w:r>
        <w:rPr>
          <w:rFonts w:ascii="Arial" w:cs="Arial" w:eastAsia="Arial" w:hAnsi="Arial"/>
          <w:sz w:val="22"/>
          <w:szCs w:val="22"/>
          <w:color w:val="auto"/>
        </w:rPr>
        <w:t>6.9 million shares, or $103 million, of common stock repurchased during the quarter</w:t>
      </w:r>
    </w:p>
    <w:p>
      <w:pPr>
        <w:spacing w:after="0" w:line="3" w:lineRule="exact"/>
        <w:rPr>
          <w:rFonts w:ascii="Arial" w:cs="Arial" w:eastAsia="Arial" w:hAnsi="Arial"/>
          <w:sz w:val="22"/>
          <w:szCs w:val="22"/>
          <w:color w:val="auto"/>
        </w:rPr>
      </w:pPr>
    </w:p>
    <w:p>
      <w:pPr>
        <w:ind w:left="500" w:hanging="249"/>
        <w:spacing w:after="0"/>
        <w:tabs>
          <w:tab w:leader="none" w:pos="500" w:val="left"/>
        </w:tabs>
        <w:numPr>
          <w:ilvl w:val="2"/>
          <w:numId w:val="3"/>
        </w:numPr>
        <w:rPr>
          <w:rFonts w:ascii="Arial" w:cs="Arial" w:eastAsia="Arial" w:hAnsi="Arial"/>
          <w:sz w:val="22"/>
          <w:szCs w:val="22"/>
          <w:color w:val="auto"/>
        </w:rPr>
      </w:pPr>
      <w:r>
        <w:rPr>
          <w:rFonts w:ascii="Arial" w:cs="Arial" w:eastAsia="Arial" w:hAnsi="Arial"/>
          <w:sz w:val="22"/>
          <w:szCs w:val="22"/>
          <w:color w:val="auto"/>
        </w:rPr>
        <w:t>Represents 1.3% of common stock outstanding as of June 30, 2019</w:t>
      </w:r>
    </w:p>
    <w:p>
      <w:pPr>
        <w:spacing w:after="0" w:line="3" w:lineRule="exact"/>
        <w:rPr>
          <w:rFonts w:ascii="Arial" w:cs="Arial" w:eastAsia="Arial" w:hAnsi="Arial"/>
          <w:sz w:val="22"/>
          <w:szCs w:val="22"/>
          <w:color w:val="auto"/>
        </w:rPr>
      </w:pPr>
    </w:p>
    <w:p>
      <w:pPr>
        <w:ind w:left="500" w:hanging="249"/>
        <w:spacing w:after="0"/>
        <w:tabs>
          <w:tab w:leader="none" w:pos="500" w:val="left"/>
        </w:tabs>
        <w:numPr>
          <w:ilvl w:val="2"/>
          <w:numId w:val="3"/>
        </w:numPr>
        <w:rPr>
          <w:rFonts w:ascii="Arial" w:cs="Arial" w:eastAsia="Arial" w:hAnsi="Arial"/>
          <w:sz w:val="22"/>
          <w:szCs w:val="22"/>
          <w:color w:val="auto"/>
        </w:rPr>
      </w:pPr>
      <w:r>
        <w:rPr>
          <w:rFonts w:ascii="Arial" w:cs="Arial" w:eastAsia="Arial" w:hAnsi="Arial"/>
          <w:sz w:val="22"/>
          <w:szCs w:val="22"/>
          <w:color w:val="auto"/>
        </w:rPr>
        <w:t>$14.90 per share average repurchase price, inclusive of transaction costs</w:t>
      </w:r>
    </w:p>
    <w:p>
      <w:pPr>
        <w:spacing w:after="0" w:line="3" w:lineRule="exact"/>
        <w:rPr>
          <w:rFonts w:ascii="Arial" w:cs="Arial" w:eastAsia="Arial" w:hAnsi="Arial"/>
          <w:sz w:val="22"/>
          <w:szCs w:val="22"/>
          <w:color w:val="auto"/>
        </w:rPr>
      </w:pPr>
    </w:p>
    <w:p>
      <w:pPr>
        <w:ind w:left="260" w:hanging="252"/>
        <w:spacing w:after="0"/>
        <w:tabs>
          <w:tab w:leader="none" w:pos="260" w:val="left"/>
        </w:tabs>
        <w:numPr>
          <w:ilvl w:val="0"/>
          <w:numId w:val="3"/>
        </w:numPr>
        <w:rPr>
          <w:rFonts w:ascii="Arial" w:cs="Arial" w:eastAsia="Arial" w:hAnsi="Arial"/>
          <w:sz w:val="22"/>
          <w:szCs w:val="22"/>
          <w:color w:val="auto"/>
        </w:rPr>
      </w:pPr>
      <w:r>
        <w:rPr>
          <w:rFonts w:ascii="Arial" w:cs="Arial" w:eastAsia="Arial" w:hAnsi="Arial"/>
          <w:sz w:val="22"/>
          <w:szCs w:val="22"/>
          <w:color w:val="auto"/>
        </w:rPr>
        <w:t>$403 million of 6.50% fixed-to-floating rate preferred equity issued in October 2019</w:t>
      </w:r>
    </w:p>
    <w:p>
      <w:pPr>
        <w:spacing w:after="0" w:line="3" w:lineRule="exact"/>
        <w:rPr>
          <w:rFonts w:ascii="Arial" w:cs="Arial" w:eastAsia="Arial" w:hAnsi="Arial"/>
          <w:sz w:val="22"/>
          <w:szCs w:val="22"/>
          <w:color w:val="auto"/>
        </w:rPr>
      </w:pPr>
    </w:p>
    <w:p>
      <w:pPr>
        <w:ind w:left="500" w:hanging="249"/>
        <w:spacing w:after="0"/>
        <w:tabs>
          <w:tab w:leader="none" w:pos="500" w:val="left"/>
        </w:tabs>
        <w:numPr>
          <w:ilvl w:val="2"/>
          <w:numId w:val="3"/>
        </w:numPr>
        <w:rPr>
          <w:rFonts w:ascii="Arial" w:cs="Arial" w:eastAsia="Arial" w:hAnsi="Arial"/>
          <w:sz w:val="22"/>
          <w:szCs w:val="22"/>
          <w:color w:val="auto"/>
        </w:rPr>
      </w:pPr>
      <w:r>
        <w:rPr>
          <w:rFonts w:ascii="Arial" w:cs="Arial" w:eastAsia="Arial" w:hAnsi="Arial"/>
          <w:sz w:val="22"/>
          <w:szCs w:val="22"/>
          <w:color w:val="auto"/>
        </w:rPr>
        <w:t>$390 million of proceeds from offering, net of offering costs</w:t>
      </w:r>
    </w:p>
    <w:p>
      <w:pPr>
        <w:spacing w:after="0" w:line="3" w:lineRule="exact"/>
        <w:rPr>
          <w:rFonts w:ascii="Arial" w:cs="Arial" w:eastAsia="Arial" w:hAnsi="Arial"/>
          <w:sz w:val="22"/>
          <w:szCs w:val="22"/>
          <w:color w:val="auto"/>
        </w:rPr>
      </w:pPr>
    </w:p>
    <w:p>
      <w:pPr>
        <w:ind w:left="500" w:hanging="249"/>
        <w:spacing w:after="0"/>
        <w:tabs>
          <w:tab w:leader="none" w:pos="500" w:val="left"/>
        </w:tabs>
        <w:numPr>
          <w:ilvl w:val="2"/>
          <w:numId w:val="3"/>
        </w:numPr>
        <w:rPr>
          <w:rFonts w:ascii="Arial" w:cs="Arial" w:eastAsia="Arial" w:hAnsi="Arial"/>
          <w:sz w:val="22"/>
          <w:szCs w:val="22"/>
          <w:color w:val="auto"/>
        </w:rPr>
      </w:pPr>
      <w:r>
        <w:rPr>
          <w:rFonts w:ascii="Arial" w:cs="Arial" w:eastAsia="Arial" w:hAnsi="Arial"/>
          <w:sz w:val="22"/>
          <w:szCs w:val="22"/>
          <w:color w:val="auto"/>
        </w:rPr>
        <w:t>Announced $175 million redemption of 7.750% Series B preferred stock</w:t>
      </w:r>
    </w:p>
    <w:p>
      <w:pPr>
        <w:spacing w:after="0" w:line="2" w:lineRule="exact"/>
        <w:rPr>
          <w:sz w:val="20"/>
          <w:szCs w:val="20"/>
          <w:color w:val="auto"/>
        </w:rPr>
      </w:pPr>
    </w:p>
    <w:p>
      <w:pPr>
        <w:spacing w:after="0"/>
        <w:rPr>
          <w:sz w:val="20"/>
          <w:szCs w:val="20"/>
          <w:color w:val="auto"/>
        </w:rPr>
      </w:pPr>
      <w:r>
        <w:rPr>
          <w:rFonts w:ascii="Arial" w:cs="Arial" w:eastAsia="Arial" w:hAnsi="Arial"/>
          <w:sz w:val="22"/>
          <w:szCs w:val="22"/>
          <w:color w:val="auto"/>
        </w:rPr>
        <w:t>___________</w:t>
      </w:r>
    </w:p>
    <w:p>
      <w:pPr>
        <w:ind w:left="260" w:hanging="252"/>
        <w:spacing w:after="0" w:line="260" w:lineRule="auto"/>
        <w:tabs>
          <w:tab w:leader="none" w:pos="260" w:val="left"/>
        </w:tabs>
        <w:numPr>
          <w:ilvl w:val="0"/>
          <w:numId w:val="4"/>
        </w:numPr>
        <w:rPr>
          <w:rFonts w:ascii="Arial" w:cs="Arial" w:eastAsia="Arial" w:hAnsi="Arial"/>
          <w:sz w:val="16"/>
          <w:szCs w:val="16"/>
          <w:color w:val="auto"/>
        </w:rPr>
      </w:pPr>
      <w:r>
        <w:rPr>
          <w:rFonts w:ascii="Arial" w:cs="Arial" w:eastAsia="Arial" w:hAnsi="Arial"/>
          <w:sz w:val="16"/>
          <w:szCs w:val="16"/>
          <w:color w:val="auto"/>
        </w:rPr>
        <w:t>Represents a non-GAAP measure. Please refer to a reconciliation to the most applicable GAAP measure and additional information regarding the use of non-GAAP financial information later in this release.</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MANAGEMENT REMARKS</w:t>
      </w:r>
    </w:p>
    <w:p>
      <w:pPr>
        <w:spacing w:after="0" w:line="192"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"In the third quarter, financial market volatility increased in response to weakening global economic indicators and escalating U.S. - China trade tensions. The Federal Reserve (the "Fed"), in turn and consistent with recent messaging, lowered the federal funds target rate 25 basis points at each of its July, September, and October meetings," said Gary Kain, the Company's Chief Executive Officer and Chief Investment Officer. "In addition, following a dislocation in government repo markets, the Fed added substantial liquidity to the funding markets beginning in mid-September through its open market operations. The Fed also subsequently announced its intention to continue its open market operations into 2020 and expand its balance sheet through the acquisition of Treasury bills beginning in mid-October and extending through at least the first quarter of 2020.</w:t>
      </w:r>
    </w:p>
    <w:p>
      <w:pPr>
        <w:spacing w:after="0" w:line="157"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"As a result of this weakening global macroeconomic outlook and monetary easing actions by central banks, interest rates declined, and the yield curve flattened during the third quarter. Spreads on Agency mortgage-backed securities correspondingly widened relative to U.S. Treasury and interest rate swap hedges during the quarter due in part to heightened prepayment concerns and an increase in the supply of newly originated MBS associated with the lower rate environment.</w:t>
      </w:r>
    </w:p>
    <w:p>
      <w:pPr>
        <w:spacing w:after="0" w:line="154"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"As evidenced by our financial results, our portfolio was very well-positioned for the current environment. Our holdings of prepay -protected pools and lower coupon TBA securities have largely insulated the portfolio from the negative effects of faster prepayment speeds on generic pools and higher coupon TBAs. Furthermore, larger prepayment risk premiums on Agency MBS, coupled with a hedging strategy optimized for the current interest rate landscape, have materially improved the expected returns on new and existing investments."</w:t>
      </w:r>
    </w:p>
    <w:p>
      <w:pPr>
        <w:sectPr>
          <w:pgSz w:w="11900" w:h="16838" w:orient="portrait"/>
          <w:cols w:equalWidth="0" w:num="1">
            <w:col w:w="11420"/>
          </w:cols>
          <w:pgMar w:left="240" w:top="147"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3</w:t>
      </w:r>
    </w:p>
    <w:p>
      <w:pPr>
        <w:spacing w:after="0" w:line="200" w:lineRule="exact"/>
        <w:rPr>
          <w:sz w:val="20"/>
          <w:szCs w:val="20"/>
          <w:color w:val="auto"/>
        </w:rPr>
      </w:pPr>
    </w:p>
    <w:p>
      <w:pPr>
        <w:spacing w:after="0" w:line="209" w:lineRule="exact"/>
        <w:rPr>
          <w:sz w:val="20"/>
          <w:szCs w:val="20"/>
          <w:color w:val="auto"/>
        </w:rPr>
      </w:pPr>
    </w:p>
    <w:p>
      <w:pPr>
        <w:jc w:val="both"/>
        <w:spacing w:after="0" w:line="257" w:lineRule="auto"/>
        <w:rPr>
          <w:sz w:val="20"/>
          <w:szCs w:val="20"/>
          <w:color w:val="auto"/>
        </w:rPr>
      </w:pPr>
      <w:r>
        <w:rPr>
          <w:rFonts w:ascii="Arial" w:cs="Arial" w:eastAsia="Arial" w:hAnsi="Arial"/>
          <w:sz w:val="21"/>
          <w:szCs w:val="21"/>
          <w:color w:val="auto"/>
        </w:rPr>
        <w:t>"Despite volatile and challenging market conditions, AGNC's economic return on tangible common equity for the third quarter was 2.7%, consisting of $0.48 in dividends and a $(0.03) decrease in tangible net book value per common share," commented Peter Federico, the Company's President and Chief Operating Officer. "In addition, despite the significant yield curve flattening, AGNC generated $0.59 of net spread and dollar roll income, excluding catch-up premium amortization, in the third quarter, as our substantial hedge repositioning in recent quarters provided a strong tailwind to our third quarter earnings and provided stability in our net book value. Looking ahead, while funding dynamics have been a headwind to earnings throughout the year and continue to be challenging, we are encouraged by the recent actions taken by the Fed to provide additional liquidity to the system. We believe that the focus being placed on the issue by the financial markets and the Fed should serve as a catalyst for the implementation of additional short and medium term solutions to improve and stabilize repo funding levels relative to other short term interest rates."</w:t>
      </w: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TANGIBLE NET BOOK VALUE PER COMMON SHARE</w:t>
      </w:r>
    </w:p>
    <w:p>
      <w:pPr>
        <w:spacing w:after="0" w:line="192"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As of September 30, 2019, the Company's tangible net book value per common share was $16.55 per share, a decrease of -0.2% compared to $16.58 per share as of June 30, 2019. The Company's tangible net book value per common share excludes $526 million, or $0.97 and $0.96 per common share, of goodwill as of September 30, 2019 and June 30, 2019, respectively.</w:t>
      </w:r>
    </w:p>
    <w:p>
      <w:pPr>
        <w:spacing w:after="0" w:line="22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INVESTMENT PORTFOLIO</w:t>
      </w:r>
    </w:p>
    <w:p>
      <w:pPr>
        <w:spacing w:after="0" w:line="192" w:lineRule="exact"/>
        <w:rPr>
          <w:sz w:val="20"/>
          <w:szCs w:val="20"/>
          <w:color w:val="auto"/>
        </w:rPr>
      </w:pPr>
    </w:p>
    <w:p>
      <w:pPr>
        <w:spacing w:after="0"/>
        <w:rPr>
          <w:sz w:val="20"/>
          <w:szCs w:val="20"/>
          <w:color w:val="auto"/>
        </w:rPr>
      </w:pPr>
      <w:r>
        <w:rPr>
          <w:rFonts w:ascii="Arial" w:cs="Arial" w:eastAsia="Arial" w:hAnsi="Arial"/>
          <w:sz w:val="22"/>
          <w:szCs w:val="22"/>
          <w:color w:val="auto"/>
        </w:rPr>
        <w:t>As of September 30, 2019, the Company's investment portfolio totaled $102.6 billion, comprised of:</w:t>
      </w:r>
    </w:p>
    <w:p>
      <w:pPr>
        <w:spacing w:after="0" w:line="166" w:lineRule="exact"/>
        <w:rPr>
          <w:sz w:val="20"/>
          <w:szCs w:val="20"/>
          <w:color w:val="auto"/>
        </w:rPr>
      </w:pPr>
    </w:p>
    <w:p>
      <w:pPr>
        <w:ind w:left="660" w:hanging="328"/>
        <w:spacing w:after="0"/>
        <w:tabs>
          <w:tab w:leader="none" w:pos="660" w:val="left"/>
        </w:tabs>
        <w:numPr>
          <w:ilvl w:val="0"/>
          <w:numId w:val="5"/>
        </w:numPr>
        <w:rPr>
          <w:rFonts w:ascii="Arial" w:cs="Arial" w:eastAsia="Arial" w:hAnsi="Arial"/>
          <w:sz w:val="22"/>
          <w:szCs w:val="22"/>
          <w:color w:val="auto"/>
        </w:rPr>
      </w:pPr>
      <w:r>
        <w:rPr>
          <w:rFonts w:ascii="Arial" w:cs="Arial" w:eastAsia="Arial" w:hAnsi="Arial"/>
          <w:sz w:val="22"/>
          <w:szCs w:val="22"/>
          <w:color w:val="auto"/>
        </w:rPr>
        <w:t>$100.9 billion of Agency MBS and net TBA securities, including:</w:t>
      </w:r>
    </w:p>
    <w:p>
      <w:pPr>
        <w:spacing w:after="0" w:line="3" w:lineRule="exact"/>
        <w:rPr>
          <w:rFonts w:ascii="Arial" w:cs="Arial" w:eastAsia="Arial" w:hAnsi="Arial"/>
          <w:sz w:val="22"/>
          <w:szCs w:val="22"/>
          <w:color w:val="auto"/>
        </w:rPr>
      </w:pPr>
    </w:p>
    <w:p>
      <w:pPr>
        <w:ind w:left="1300" w:hanging="320"/>
        <w:spacing w:after="0"/>
        <w:tabs>
          <w:tab w:leader="none" w:pos="1300" w:val="left"/>
        </w:tabs>
        <w:numPr>
          <w:ilvl w:val="1"/>
          <w:numId w:val="5"/>
        </w:numPr>
        <w:rPr>
          <w:rFonts w:ascii="Arial" w:cs="Arial" w:eastAsia="Arial" w:hAnsi="Arial"/>
          <w:sz w:val="22"/>
          <w:szCs w:val="22"/>
          <w:color w:val="auto"/>
        </w:rPr>
      </w:pPr>
      <w:r>
        <w:rPr>
          <w:rFonts w:ascii="Arial" w:cs="Arial" w:eastAsia="Arial" w:hAnsi="Arial"/>
          <w:sz w:val="22"/>
          <w:szCs w:val="22"/>
          <w:color w:val="auto"/>
        </w:rPr>
        <w:t>$100.0 billion of fixed-rate securities, comprised of:</w:t>
      </w:r>
    </w:p>
    <w:p>
      <w:pPr>
        <w:spacing w:after="0" w:line="3" w:lineRule="exact"/>
        <w:rPr>
          <w:rFonts w:ascii="Arial" w:cs="Arial" w:eastAsia="Arial" w:hAnsi="Arial"/>
          <w:sz w:val="22"/>
          <w:szCs w:val="22"/>
          <w:color w:val="auto"/>
        </w:rPr>
      </w:pPr>
    </w:p>
    <w:p>
      <w:pPr>
        <w:ind w:left="1960" w:hanging="331"/>
        <w:spacing w:after="0"/>
        <w:tabs>
          <w:tab w:leader="none" w:pos="1960" w:val="left"/>
        </w:tabs>
        <w:numPr>
          <w:ilvl w:val="2"/>
          <w:numId w:val="5"/>
        </w:numPr>
        <w:rPr>
          <w:rFonts w:ascii="Arial" w:cs="Arial" w:eastAsia="Arial" w:hAnsi="Arial"/>
          <w:sz w:val="22"/>
          <w:szCs w:val="22"/>
          <w:color w:val="auto"/>
        </w:rPr>
      </w:pPr>
      <w:r>
        <w:rPr>
          <w:rFonts w:ascii="Arial" w:cs="Arial" w:eastAsia="Arial" w:hAnsi="Arial"/>
          <w:sz w:val="22"/>
          <w:szCs w:val="22"/>
          <w:color w:val="auto"/>
        </w:rPr>
        <w:t>$90.1 billion 30-year fixed-rate securities,</w:t>
      </w:r>
    </w:p>
    <w:p>
      <w:pPr>
        <w:spacing w:after="0" w:line="3" w:lineRule="exact"/>
        <w:rPr>
          <w:rFonts w:ascii="Arial" w:cs="Arial" w:eastAsia="Arial" w:hAnsi="Arial"/>
          <w:sz w:val="22"/>
          <w:szCs w:val="22"/>
          <w:color w:val="auto"/>
        </w:rPr>
      </w:pPr>
    </w:p>
    <w:p>
      <w:pPr>
        <w:ind w:left="1960" w:hanging="331"/>
        <w:spacing w:after="0"/>
        <w:tabs>
          <w:tab w:leader="none" w:pos="1960" w:val="left"/>
        </w:tabs>
        <w:numPr>
          <w:ilvl w:val="2"/>
          <w:numId w:val="5"/>
        </w:numPr>
        <w:rPr>
          <w:rFonts w:ascii="Arial" w:cs="Arial" w:eastAsia="Arial" w:hAnsi="Arial"/>
          <w:sz w:val="22"/>
          <w:szCs w:val="22"/>
          <w:color w:val="auto"/>
        </w:rPr>
      </w:pPr>
      <w:r>
        <w:rPr>
          <w:rFonts w:ascii="Arial" w:cs="Arial" w:eastAsia="Arial" w:hAnsi="Arial"/>
          <w:sz w:val="22"/>
          <w:szCs w:val="22"/>
          <w:color w:val="auto"/>
        </w:rPr>
        <w:t>$0.1 billion 30-year TBA securities, net,</w:t>
      </w:r>
    </w:p>
    <w:p>
      <w:pPr>
        <w:spacing w:after="0" w:line="3" w:lineRule="exact"/>
        <w:rPr>
          <w:rFonts w:ascii="Arial" w:cs="Arial" w:eastAsia="Arial" w:hAnsi="Arial"/>
          <w:sz w:val="22"/>
          <w:szCs w:val="22"/>
          <w:color w:val="auto"/>
        </w:rPr>
      </w:pPr>
    </w:p>
    <w:p>
      <w:pPr>
        <w:ind w:left="1960" w:hanging="331"/>
        <w:spacing w:after="0"/>
        <w:tabs>
          <w:tab w:leader="none" w:pos="1960" w:val="left"/>
        </w:tabs>
        <w:numPr>
          <w:ilvl w:val="2"/>
          <w:numId w:val="5"/>
        </w:numPr>
        <w:rPr>
          <w:rFonts w:ascii="Arial" w:cs="Arial" w:eastAsia="Arial" w:hAnsi="Arial"/>
          <w:sz w:val="22"/>
          <w:szCs w:val="22"/>
          <w:color w:val="auto"/>
        </w:rPr>
      </w:pPr>
      <w:r>
        <w:rPr>
          <w:rFonts w:ascii="Arial" w:cs="Arial" w:eastAsia="Arial" w:hAnsi="Arial"/>
          <w:sz w:val="22"/>
          <w:szCs w:val="22"/>
          <w:color w:val="auto"/>
        </w:rPr>
        <w:t>$7.2 billion 15-year securities,</w:t>
      </w:r>
    </w:p>
    <w:p>
      <w:pPr>
        <w:spacing w:after="0" w:line="3" w:lineRule="exact"/>
        <w:rPr>
          <w:rFonts w:ascii="Arial" w:cs="Arial" w:eastAsia="Arial" w:hAnsi="Arial"/>
          <w:sz w:val="22"/>
          <w:szCs w:val="22"/>
          <w:color w:val="auto"/>
        </w:rPr>
      </w:pPr>
    </w:p>
    <w:p>
      <w:pPr>
        <w:ind w:left="1960" w:hanging="331"/>
        <w:spacing w:after="0"/>
        <w:tabs>
          <w:tab w:leader="none" w:pos="1960" w:val="left"/>
        </w:tabs>
        <w:numPr>
          <w:ilvl w:val="2"/>
          <w:numId w:val="5"/>
        </w:numPr>
        <w:rPr>
          <w:rFonts w:ascii="Arial" w:cs="Arial" w:eastAsia="Arial" w:hAnsi="Arial"/>
          <w:sz w:val="22"/>
          <w:szCs w:val="22"/>
          <w:color w:val="auto"/>
        </w:rPr>
      </w:pPr>
      <w:r>
        <w:rPr>
          <w:rFonts w:ascii="Arial" w:cs="Arial" w:eastAsia="Arial" w:hAnsi="Arial"/>
          <w:sz w:val="22"/>
          <w:szCs w:val="22"/>
          <w:color w:val="auto"/>
        </w:rPr>
        <w:t>$1.8 billion 15-year TBA securities, net, and</w:t>
      </w:r>
    </w:p>
    <w:p>
      <w:pPr>
        <w:spacing w:after="0" w:line="3" w:lineRule="exact"/>
        <w:rPr>
          <w:rFonts w:ascii="Arial" w:cs="Arial" w:eastAsia="Arial" w:hAnsi="Arial"/>
          <w:sz w:val="22"/>
          <w:szCs w:val="22"/>
          <w:color w:val="auto"/>
        </w:rPr>
      </w:pPr>
    </w:p>
    <w:p>
      <w:pPr>
        <w:ind w:left="1960" w:hanging="331"/>
        <w:spacing w:after="0"/>
        <w:tabs>
          <w:tab w:leader="none" w:pos="1960" w:val="left"/>
        </w:tabs>
        <w:numPr>
          <w:ilvl w:val="2"/>
          <w:numId w:val="5"/>
        </w:numPr>
        <w:rPr>
          <w:rFonts w:ascii="Arial" w:cs="Arial" w:eastAsia="Arial" w:hAnsi="Arial"/>
          <w:sz w:val="22"/>
          <w:szCs w:val="22"/>
          <w:color w:val="auto"/>
        </w:rPr>
      </w:pPr>
      <w:r>
        <w:rPr>
          <w:rFonts w:ascii="Arial" w:cs="Arial" w:eastAsia="Arial" w:hAnsi="Arial"/>
          <w:sz w:val="22"/>
          <w:szCs w:val="22"/>
          <w:color w:val="auto"/>
        </w:rPr>
        <w:t>$0.8 billion 20-year fixed-rate securities;</w:t>
      </w:r>
    </w:p>
    <w:p>
      <w:pPr>
        <w:spacing w:after="0" w:line="3" w:lineRule="exact"/>
        <w:rPr>
          <w:rFonts w:ascii="Arial" w:cs="Arial" w:eastAsia="Arial" w:hAnsi="Arial"/>
          <w:sz w:val="22"/>
          <w:szCs w:val="22"/>
          <w:color w:val="auto"/>
        </w:rPr>
      </w:pPr>
    </w:p>
    <w:p>
      <w:pPr>
        <w:ind w:left="1300" w:hanging="320"/>
        <w:spacing w:after="0"/>
        <w:tabs>
          <w:tab w:leader="none" w:pos="1300" w:val="left"/>
        </w:tabs>
        <w:numPr>
          <w:ilvl w:val="1"/>
          <w:numId w:val="5"/>
        </w:numPr>
        <w:rPr>
          <w:rFonts w:ascii="Arial" w:cs="Arial" w:eastAsia="Arial" w:hAnsi="Arial"/>
          <w:sz w:val="21"/>
          <w:szCs w:val="21"/>
          <w:color w:val="auto"/>
        </w:rPr>
      </w:pPr>
      <w:r>
        <w:rPr>
          <w:rFonts w:ascii="Arial" w:cs="Arial" w:eastAsia="Arial" w:hAnsi="Arial"/>
          <w:sz w:val="21"/>
          <w:szCs w:val="21"/>
          <w:color w:val="auto"/>
        </w:rPr>
        <w:t>$0.9 billion of collateralized mortgage obligations ("CMOs"), adjustable-rate and other Agency securities;</w:t>
      </w:r>
    </w:p>
    <w:p>
      <w:pPr>
        <w:spacing w:after="0" w:line="15" w:lineRule="exact"/>
        <w:rPr>
          <w:rFonts w:ascii="Arial" w:cs="Arial" w:eastAsia="Arial" w:hAnsi="Arial"/>
          <w:sz w:val="21"/>
          <w:szCs w:val="21"/>
          <w:color w:val="auto"/>
        </w:rPr>
      </w:pPr>
    </w:p>
    <w:p>
      <w:pPr>
        <w:ind w:left="660" w:hanging="328"/>
        <w:spacing w:after="0"/>
        <w:tabs>
          <w:tab w:leader="none" w:pos="660" w:val="left"/>
        </w:tabs>
        <w:numPr>
          <w:ilvl w:val="0"/>
          <w:numId w:val="5"/>
        </w:numPr>
        <w:rPr>
          <w:rFonts w:ascii="Arial" w:cs="Arial" w:eastAsia="Arial" w:hAnsi="Arial"/>
          <w:sz w:val="22"/>
          <w:szCs w:val="22"/>
          <w:color w:val="auto"/>
        </w:rPr>
      </w:pPr>
      <w:r>
        <w:rPr>
          <w:rFonts w:ascii="Arial" w:cs="Arial" w:eastAsia="Arial" w:hAnsi="Arial"/>
          <w:sz w:val="22"/>
          <w:szCs w:val="22"/>
          <w:color w:val="auto"/>
        </w:rPr>
        <w:t>$1.7 billion of CRT and non-Agency securities.</w:t>
      </w:r>
    </w:p>
    <w:p>
      <w:pPr>
        <w:spacing w:after="0" w:line="166" w:lineRule="exact"/>
        <w:rPr>
          <w:sz w:val="20"/>
          <w:szCs w:val="20"/>
          <w:color w:val="auto"/>
        </w:rPr>
      </w:pPr>
    </w:p>
    <w:p>
      <w:pPr>
        <w:spacing w:after="0" w:line="249" w:lineRule="auto"/>
        <w:rPr>
          <w:sz w:val="20"/>
          <w:szCs w:val="20"/>
          <w:color w:val="auto"/>
        </w:rPr>
      </w:pPr>
      <w:r>
        <w:rPr>
          <w:rFonts w:ascii="Arial" w:cs="Arial" w:eastAsia="Arial" w:hAnsi="Arial"/>
          <w:sz w:val="22"/>
          <w:szCs w:val="22"/>
          <w:color w:val="auto"/>
        </w:rPr>
        <w:t>As of September 30, 2019, 30-year and 15-year fixed-rate Agency securities represented 88% and 9%, of the Company's investment portfolio, respectively, compared to 87% and 10%, respectively, as of June 30, 2019.</w:t>
      </w:r>
    </w:p>
    <w:p>
      <w:pPr>
        <w:spacing w:after="0" w:line="150" w:lineRule="exact"/>
        <w:rPr>
          <w:sz w:val="20"/>
          <w:szCs w:val="20"/>
          <w:color w:val="auto"/>
        </w:rPr>
      </w:pPr>
    </w:p>
    <w:p>
      <w:pPr>
        <w:spacing w:after="0" w:line="249" w:lineRule="auto"/>
        <w:rPr>
          <w:sz w:val="20"/>
          <w:szCs w:val="20"/>
          <w:color w:val="auto"/>
        </w:rPr>
      </w:pPr>
      <w:r>
        <w:rPr>
          <w:rFonts w:ascii="Arial" w:cs="Arial" w:eastAsia="Arial" w:hAnsi="Arial"/>
          <w:sz w:val="22"/>
          <w:szCs w:val="22"/>
          <w:color w:val="auto"/>
        </w:rPr>
        <w:t>As of September 30, 2019, the Company's fixed-rate securities' weighted average coupon was 3.65%, compared to 3.75% as of June 30, 2019, comprised of the following weighted average coupons:</w:t>
      </w:r>
    </w:p>
    <w:p>
      <w:pPr>
        <w:spacing w:after="0" w:line="150" w:lineRule="exact"/>
        <w:rPr>
          <w:sz w:val="20"/>
          <w:szCs w:val="20"/>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22"/>
          <w:szCs w:val="22"/>
          <w:color w:val="auto"/>
        </w:rPr>
        <w:t>3.69% for 30-year fixed-rate securities;</w:t>
      </w:r>
    </w:p>
    <w:p>
      <w:pPr>
        <w:spacing w:after="0" w:line="3"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2"/>
          <w:szCs w:val="22"/>
          <w:color w:val="auto"/>
        </w:rPr>
        <w:t>3.28% for 15-year fixed rate securities; and</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2"/>
          <w:szCs w:val="22"/>
          <w:color w:val="auto"/>
        </w:rPr>
        <w:t>3.87% for 20-year fixed-rate securities.</w:t>
      </w:r>
    </w:p>
    <w:p>
      <w:pPr>
        <w:spacing w:after="0" w:line="166"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The Company accounts for TBA securities (or "dollar roll funded assets") as derivative instruments and recognizes dollar roll income in other gain (loss), net on the Company's financial statements. As of September 30, 2019, the Company's net TBA position had a fair value of $1.9 billion, consisting</w:t>
      </w:r>
    </w:p>
    <w:p>
      <w:pPr>
        <w:sectPr>
          <w:pgSz w:w="11900" w:h="16838" w:orient="portrait"/>
          <w:cols w:equalWidth="0" w:num="1">
            <w:col w:w="11420"/>
          </w:cols>
          <w:pgMar w:left="240" w:top="147" w:right="239" w:bottom="1440" w:gutter="0" w:footer="0" w:header="0"/>
        </w:sectPr>
      </w:pPr>
    </w:p>
    <w:bookmarkStart w:id="6" w:name="page7"/>
    <w:bookmarkEnd w:id="6"/>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4</w:t>
      </w:r>
    </w:p>
    <w:p>
      <w:pPr>
        <w:spacing w:after="0" w:line="200" w:lineRule="exact"/>
        <w:rPr>
          <w:sz w:val="20"/>
          <w:szCs w:val="20"/>
          <w:color w:val="auto"/>
        </w:rPr>
      </w:pPr>
    </w:p>
    <w:p>
      <w:pPr>
        <w:spacing w:after="0" w:line="209"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of $10.4 billion long and $(8.5) billion short TBA securities, and a GAAP net carrying value of $47 million reported in derivative assets/(liabilities) on the Company's balance sheet. As of June 30, 2019, the Company's net TBA position had a fair value of $11.2 billion, consisting of $16.4 billion long and $(5.2) billion short TBA securities, and a GAAP net carrying value of $84 million.</w:t>
      </w:r>
    </w:p>
    <w:p>
      <w:pPr>
        <w:spacing w:after="0" w:line="22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CONSTANT PREPAYMENT RATES</w:t>
      </w:r>
    </w:p>
    <w:p>
      <w:pPr>
        <w:spacing w:after="0" w:line="192"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The Company's investment portfolio had a weighted average CPR of 13.5% for the third quarter, compared to 10.0% for the prior quarter. The weighted average projected CPR for the remaining life of the Company's Agency securities held as of September 30, 2019 was 13.4%, compared to 12.4% as of June 30, 2019.</w:t>
      </w:r>
    </w:p>
    <w:p>
      <w:pPr>
        <w:spacing w:after="0" w:line="167"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The weighted average cost basis of the Company's investment portfolio was 103.2% of par value as of September 30, 2019. Net premium amortization cost on the Company's investment portfolio for the third quarter was $(192) million, or $(0.35) per common share, which includes a "catch-up" premium amortization cost of $(55) million, or $(0.10) per common share, due to changes in the Company's projected CPR estimates for securities acquired prior to the third quarter. This compares to net premium amortization cost for the prior quarter of $(183) million, or $(0.34) per common share, including a "catch-up" premium amortization cost of $(58) million, or $(0.11) per common share.</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ASSET YIELDS, COST OF FUNDS AND NET INTEREST RATE SPREAD</w:t>
      </w:r>
    </w:p>
    <w:p>
      <w:pPr>
        <w:spacing w:after="0" w:line="192"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The Company's average asset yield on its investment portfolio, excluding the net TBA position, was 2.91% for the third quarter, compared to 2.99% for the prior quarter. Excluding "catch-up" premium amortization, the Company's average asset yield was 3.15% for the third quarter, compared to 3.24% for the prior quarter. Including the net TBA position and excluding "catch-up" premium amortization, the Company's average asset yield for the third quarter was 3.16%, compared to 3.24% for the prior quarter.</w:t>
      </w:r>
    </w:p>
    <w:p>
      <w:pPr>
        <w:spacing w:after="0" w:line="154"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For the third quarter, the weighted average interest rate on the Company's Agency repurchase agreements was 2.48%, compared to 2.62% for the prior quarter. The Company's average implied TBA funding cost was 2.00% for the third quarter, compared to 2.47% for the prior quarter. Inclusive of interest rate swaps, the Company's combined average cost of funds for the third quarter was 1.85%, compared to 2.24% for the prior quarter.</w:t>
      </w:r>
    </w:p>
    <w:p>
      <w:pPr>
        <w:spacing w:after="0" w:line="156" w:lineRule="exact"/>
        <w:rPr>
          <w:sz w:val="20"/>
          <w:szCs w:val="20"/>
          <w:color w:val="auto"/>
        </w:rPr>
      </w:pPr>
    </w:p>
    <w:p>
      <w:pPr>
        <w:jc w:val="both"/>
        <w:spacing w:after="0" w:line="264" w:lineRule="auto"/>
        <w:rPr>
          <w:sz w:val="20"/>
          <w:szCs w:val="20"/>
          <w:color w:val="auto"/>
        </w:rPr>
      </w:pPr>
      <w:r>
        <w:rPr>
          <w:rFonts w:ascii="Arial" w:cs="Arial" w:eastAsia="Arial" w:hAnsi="Arial"/>
          <w:sz w:val="21"/>
          <w:szCs w:val="21"/>
          <w:color w:val="auto"/>
        </w:rPr>
        <w:t>The Company's annualized net interest spread, including the net TBA position and interest rate swaps, was 1.09% for the third quarter, compared to 0.78% for the prior quarter. Excluding "catch-up" premium amortization, the Company's combined annualized net interest spread for the third quarter was 1.31%, versus 1.00% for the prior quarter.</w:t>
      </w:r>
    </w:p>
    <w:p>
      <w:pPr>
        <w:spacing w:after="0" w:line="20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NET SPREAD AND DOLLAR ROLL INCOME</w:t>
      </w:r>
    </w:p>
    <w:p>
      <w:pPr>
        <w:spacing w:after="0" w:line="192"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The Company recognized net spread and dollar roll income (a non-GAAP financial measure) for the third quarter of $0.59 per common share, excluding $(0.10) per common share of "catch-up" premium amortization cost, compared to $0.49 per common share for the prior quarter, excluding $(0.11) per common share of "catch-up" premium amortization cost.</w:t>
      </w:r>
    </w:p>
    <w:p>
      <w:pPr>
        <w:spacing w:after="0" w:line="156" w:lineRule="exact"/>
        <w:rPr>
          <w:sz w:val="20"/>
          <w:szCs w:val="20"/>
          <w:color w:val="auto"/>
        </w:rPr>
      </w:pPr>
    </w:p>
    <w:p>
      <w:pPr>
        <w:jc w:val="both"/>
        <w:spacing w:after="0" w:line="249" w:lineRule="auto"/>
        <w:rPr>
          <w:sz w:val="20"/>
          <w:szCs w:val="20"/>
          <w:color w:val="auto"/>
        </w:rPr>
      </w:pPr>
      <w:r>
        <w:rPr>
          <w:rFonts w:ascii="Arial" w:cs="Arial" w:eastAsia="Arial" w:hAnsi="Arial"/>
          <w:sz w:val="22"/>
          <w:szCs w:val="22"/>
          <w:color w:val="auto"/>
        </w:rPr>
        <w:t>A reconciliation of the Company's net interest income to net spread and dollar roll income and additional information regarding the Company's use of non-GAAP measures are included later in this release.</w:t>
      </w:r>
    </w:p>
    <w:p>
      <w:pPr>
        <w:sectPr>
          <w:pgSz w:w="11900" w:h="16838" w:orient="portrait"/>
          <w:cols w:equalWidth="0" w:num="1">
            <w:col w:w="11420"/>
          </w:cols>
          <w:pgMar w:left="240" w:top="147" w:right="239" w:bottom="1440" w:gutter="0" w:footer="0" w:header="0"/>
        </w:sectPr>
      </w:pPr>
    </w:p>
    <w:bookmarkStart w:id="7" w:name="page8"/>
    <w:bookmarkEnd w:id="7"/>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5</w:t>
      </w: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LEVERAGE</w:t>
      </w:r>
    </w:p>
    <w:p>
      <w:pPr>
        <w:spacing w:after="0" w:line="192" w:lineRule="exact"/>
        <w:rPr>
          <w:sz w:val="20"/>
          <w:szCs w:val="20"/>
          <w:color w:val="auto"/>
        </w:rPr>
      </w:pPr>
    </w:p>
    <w:p>
      <w:pPr>
        <w:jc w:val="both"/>
        <w:spacing w:after="0" w:line="258" w:lineRule="auto"/>
        <w:rPr>
          <w:sz w:val="20"/>
          <w:szCs w:val="20"/>
          <w:color w:val="auto"/>
        </w:rPr>
      </w:pPr>
      <w:r>
        <w:rPr>
          <w:rFonts w:ascii="Arial" w:cs="Arial" w:eastAsia="Arial" w:hAnsi="Arial"/>
          <w:sz w:val="21"/>
          <w:szCs w:val="21"/>
          <w:color w:val="auto"/>
        </w:rPr>
        <w:t>As of September 30, 2019, $90.2 billion of Agency repurchase agreements, $1.8 billion of net TBA dollar roll positions (at cost) and $0.2 billion of other debt were used to fund the Company's investment portfolio. The remainder, or approximately $0.4 billion, of the Company's repurchase agreements was used to fund purchases of U.S. Treasury securities ("U.S. Treasury repo") and is not included in the Company's leverage measurements. Inclusive of its net TBA position and net payable/(receivable) for unsettled investment securities, the Company's tangible net book value "at risk" leverage ratio was 9.8x as of September 30, 2019, unchanged from June 30, 2019. The Company's average "at risk" leverage for the third quarter was 10.0x tangible net book value, also unchanged from the prior quarter.</w:t>
      </w:r>
    </w:p>
    <w:p>
      <w:pPr>
        <w:spacing w:after="0" w:line="141"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As of September 30, 2019, the Company's Agency repurchase agreements had a weighted average interest rate of 2.48%, compared to 2.64% as of June 30, 2019, and a weighted average remaining maturity of 64 days, compared to 80 days as of June 30, 2019. As of September 30, 2019, $36.1 billion, or 40%, of the Company's Agency repurchase agreements were funded through the Company's captive broker-dealer subsidiary, Bethesda Securities, LLC.</w:t>
      </w:r>
    </w:p>
    <w:p>
      <w:pPr>
        <w:spacing w:after="0" w:line="156" w:lineRule="exact"/>
        <w:rPr>
          <w:sz w:val="20"/>
          <w:szCs w:val="20"/>
          <w:color w:val="auto"/>
        </w:rPr>
      </w:pPr>
    </w:p>
    <w:p>
      <w:pPr>
        <w:spacing w:after="0"/>
        <w:rPr>
          <w:sz w:val="20"/>
          <w:szCs w:val="20"/>
          <w:color w:val="auto"/>
        </w:rPr>
      </w:pPr>
      <w:r>
        <w:rPr>
          <w:rFonts w:ascii="Arial" w:cs="Arial" w:eastAsia="Arial" w:hAnsi="Arial"/>
          <w:sz w:val="22"/>
          <w:szCs w:val="22"/>
          <w:color w:val="auto"/>
        </w:rPr>
        <w:t>As of September 30, 2019, the Company's Agency repurchase agreements had remaining maturities of:</w:t>
      </w:r>
    </w:p>
    <w:p>
      <w:pPr>
        <w:spacing w:after="0" w:line="166" w:lineRule="exact"/>
        <w:rPr>
          <w:sz w:val="20"/>
          <w:szCs w:val="20"/>
          <w:color w:val="auto"/>
        </w:rPr>
      </w:pPr>
    </w:p>
    <w:p>
      <w:pPr>
        <w:ind w:left="660" w:hanging="328"/>
        <w:spacing w:after="0"/>
        <w:tabs>
          <w:tab w:leader="none" w:pos="660" w:val="left"/>
        </w:tabs>
        <w:numPr>
          <w:ilvl w:val="0"/>
          <w:numId w:val="7"/>
        </w:numPr>
        <w:rPr>
          <w:rFonts w:ascii="Arial" w:cs="Arial" w:eastAsia="Arial" w:hAnsi="Arial"/>
          <w:sz w:val="22"/>
          <w:szCs w:val="22"/>
          <w:color w:val="auto"/>
        </w:rPr>
      </w:pPr>
      <w:r>
        <w:rPr>
          <w:rFonts w:ascii="Arial" w:cs="Arial" w:eastAsia="Arial" w:hAnsi="Arial"/>
          <w:sz w:val="22"/>
          <w:szCs w:val="22"/>
          <w:color w:val="auto"/>
        </w:rPr>
        <w:t>$66.5 billion of three months or less;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7"/>
        </w:numPr>
        <w:rPr>
          <w:rFonts w:ascii="Arial" w:cs="Arial" w:eastAsia="Arial" w:hAnsi="Arial"/>
          <w:sz w:val="22"/>
          <w:szCs w:val="22"/>
          <w:color w:val="auto"/>
        </w:rPr>
      </w:pPr>
      <w:r>
        <w:rPr>
          <w:rFonts w:ascii="Arial" w:cs="Arial" w:eastAsia="Arial" w:hAnsi="Arial"/>
          <w:sz w:val="22"/>
          <w:szCs w:val="22"/>
          <w:color w:val="auto"/>
        </w:rPr>
        <w:t>$17.0 billion from three to six months;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7"/>
        </w:numPr>
        <w:rPr>
          <w:rFonts w:ascii="Arial" w:cs="Arial" w:eastAsia="Arial" w:hAnsi="Arial"/>
          <w:sz w:val="22"/>
          <w:szCs w:val="22"/>
          <w:color w:val="auto"/>
        </w:rPr>
      </w:pPr>
      <w:r>
        <w:rPr>
          <w:rFonts w:ascii="Arial" w:cs="Arial" w:eastAsia="Arial" w:hAnsi="Arial"/>
          <w:sz w:val="22"/>
          <w:szCs w:val="22"/>
          <w:color w:val="auto"/>
        </w:rPr>
        <w:t>$4.1 billion from six to twelve months; and</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7"/>
        </w:numPr>
        <w:rPr>
          <w:rFonts w:ascii="Arial" w:cs="Arial" w:eastAsia="Arial" w:hAnsi="Arial"/>
          <w:sz w:val="22"/>
          <w:szCs w:val="22"/>
          <w:color w:val="auto"/>
        </w:rPr>
      </w:pPr>
      <w:r>
        <w:rPr>
          <w:rFonts w:ascii="Arial" w:cs="Arial" w:eastAsia="Arial" w:hAnsi="Arial"/>
          <w:sz w:val="22"/>
          <w:szCs w:val="22"/>
          <w:color w:val="auto"/>
        </w:rPr>
        <w:t>$2.5 billion from one to three years.</w:t>
      </w:r>
    </w:p>
    <w:p>
      <w:pPr>
        <w:spacing w:after="0" w:line="23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HEDGING ACTIVITIES</w:t>
      </w:r>
    </w:p>
    <w:p>
      <w:pPr>
        <w:spacing w:after="0" w:line="192"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As of September 30, 2019, interest rate swaps, swaptions and U.S. Treasury positions equaled 101% of the Company's outstanding balance of Agency repurchase agreements, forward settling investment securities, net TBA position and other debt, compared to 91% as of June 30, 2019.</w:t>
      </w:r>
    </w:p>
    <w:p>
      <w:pPr>
        <w:spacing w:after="0" w:line="154"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As of September 30, 2019, the Company's interest rate swap position totaled $81.8 billion in notional amount, compared to $75.0 billion as of June 30, 2019. As of September 30, 2019, the Company's interest rate swap portfolio had an average fixed pay rate of 1.35%, an average receive rate of 1.98% and an average maturity of 2.8 years, compared to 1.72%, 2.46% and 3.3 years, respectively, as of June 30, 2019. As of September 30, 2019, 79%, 14% and 7% of the Company's interest rate swap portfolio was linked to the Overnight Index Swap Rate ("OIS"), three-month London Interbank Offered Rate ("LIBOR") and Secured Overnight Financing Rate ("SOFR"), respectively, compared to 58%, 42% and 0%, respectively, as of June 30, 2019.</w:t>
      </w:r>
    </w:p>
    <w:p>
      <w:pPr>
        <w:spacing w:after="0" w:line="158"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As of September 30, 2019, the Company had payer swaptions outstanding totaling $8.7 billion, compared to $4.4 billion as of June 30, 2019. As of September 30, 2019, the Company had net short U.S. Treasury positions outstanding totaling $6.2 billion, compared to $8.7 billion as of June 30, 2019.</w:t>
      </w:r>
    </w:p>
    <w:p>
      <w:pPr>
        <w:sectPr>
          <w:pgSz w:w="11900" w:h="16838" w:orient="portrait"/>
          <w:cols w:equalWidth="0" w:num="1">
            <w:col w:w="11420"/>
          </w:cols>
          <w:pgMar w:left="240" w:top="147" w:right="239" w:bottom="1440" w:gutter="0" w:footer="0" w:header="0"/>
        </w:sectPr>
      </w:pPr>
    </w:p>
    <w:bookmarkStart w:id="8" w:name="page9"/>
    <w:bookmarkEnd w:id="8"/>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6</w:t>
      </w:r>
    </w:p>
    <w:p>
      <w:pPr>
        <w:spacing w:after="0" w:line="22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OTHER GAIN (LOSS), NET</w:t>
      </w:r>
    </w:p>
    <w:p>
      <w:pPr>
        <w:spacing w:after="0" w:line="192"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For the third quarter, the Company recorded a net loss of $(104) million in other gain (loss), net, or $(0.19) per common share, compared to a net loss of $(547) million, or $(1.02) per common share, for the prior quarter. Other gain (loss), net for the third quarter was comprised of:</w:t>
      </w:r>
    </w:p>
    <w:p>
      <w:pPr>
        <w:spacing w:after="0" w:line="154" w:lineRule="exact"/>
        <w:rPr>
          <w:sz w:val="20"/>
          <w:szCs w:val="20"/>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$89 million of net realized gains on sales of investment securities;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$355 million of net unrealized gains on investment securities measured at fair value through net income;</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$146 million of interest rate swap periodic income;</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$(628) million of net losses on interest rate swaps;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$(19) million of net losses on interest rate swaptions;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$(189) million of net losses on U.S. Treasury positions;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$29 million of TBA dollar roll income;</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$115 million of net mark-to-market gains on TBA securities; and</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$(2) million of other miscellaneous losses.</w:t>
      </w:r>
    </w:p>
    <w:p>
      <w:pPr>
        <w:spacing w:after="0" w:line="23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OTHER COMPREHENSIVE INCOME</w:t>
      </w:r>
    </w:p>
    <w:p>
      <w:pPr>
        <w:spacing w:after="0" w:line="192"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During the third quarter, the Company recorded other comprehensive income of $246 million, or $0.45 per common share, consisting of net unrealized gains on the Company's Agency securities recognized through OCI, compared to a $379 million, or $0.70 per common share, of other comprehensive income for the prior quarter.</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COMMON STOCK DIVIDENDS</w:t>
      </w:r>
    </w:p>
    <w:p>
      <w:pPr>
        <w:spacing w:after="0" w:line="192"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During the third quarter, the Company declared dividends of $0.16 per share to common stockholders of record as of July 31, August 30 and September 30, 2019, respectively, totaling $0.48 per share for the quarter, which were paid on August 9, September 11, and October 9, 2019, respectively. Since its May 2008 initial public offering through the third quarter of 2019, the Company has declared a total of $9.3 billion in common stock dividends, or $40.84 per common share.</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STOCK REPURCHASE PROGRAM</w:t>
      </w:r>
    </w:p>
    <w:p>
      <w:pPr>
        <w:spacing w:after="0" w:line="192" w:lineRule="exact"/>
        <w:rPr>
          <w:sz w:val="20"/>
          <w:szCs w:val="20"/>
          <w:color w:val="auto"/>
        </w:rPr>
      </w:pPr>
    </w:p>
    <w:p>
      <w:pPr>
        <w:jc w:val="both"/>
        <w:spacing w:after="0" w:line="261" w:lineRule="auto"/>
        <w:rPr>
          <w:sz w:val="20"/>
          <w:szCs w:val="20"/>
          <w:color w:val="auto"/>
        </w:rPr>
      </w:pPr>
      <w:r>
        <w:rPr>
          <w:rFonts w:ascii="Arial" w:cs="Arial" w:eastAsia="Arial" w:hAnsi="Arial"/>
          <w:sz w:val="21"/>
          <w:szCs w:val="21"/>
          <w:color w:val="auto"/>
        </w:rPr>
        <w:t>The Company's Board of Directors has authorized it to repurchase up to $1 billion of its outstanding shares of common stock through December 31, 2020. During the third quarter, the Company repurchased 6.9 million shares, or $103 million, of its common stock for an average repurchase price of $14.90 per common share, inclusive of transaction costs. As of September 30, 2019, the Company had $0.9 billion of common stock remaining available for repurchase.</w:t>
      </w:r>
    </w:p>
    <w:p>
      <w:pPr>
        <w:spacing w:after="0" w:line="138"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The Company may repurchase shares in the open market or privately negotiated transactions or pursuant to a trading plan that may be adopted in accordance with Rule 10b5-1 of the Securities and Exchange Act of 1934, as amended. The Company intends to repurchase shares under the stock repurchase program only when the repurchase price is less than its then-current estimate of its tangible net book value per common share.</w:t>
      </w:r>
    </w:p>
    <w:p>
      <w:pPr>
        <w:spacing w:after="0" w:line="22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FINANCIAL STATEMENTS, OPERATING PERFORMANCE AND PORTFOLIO STATISTICS</w:t>
      </w:r>
    </w:p>
    <w:p>
      <w:pPr>
        <w:spacing w:after="0" w:line="192" w:lineRule="exact"/>
        <w:rPr>
          <w:sz w:val="20"/>
          <w:szCs w:val="20"/>
          <w:color w:val="auto"/>
        </w:rPr>
      </w:pPr>
    </w:p>
    <w:p>
      <w:pPr>
        <w:jc w:val="both"/>
        <w:spacing w:after="0" w:line="249" w:lineRule="auto"/>
        <w:rPr>
          <w:sz w:val="20"/>
          <w:szCs w:val="20"/>
          <w:color w:val="auto"/>
        </w:rPr>
      </w:pPr>
      <w:r>
        <w:rPr>
          <w:rFonts w:ascii="Arial" w:cs="Arial" w:eastAsia="Arial" w:hAnsi="Arial"/>
          <w:sz w:val="22"/>
          <w:szCs w:val="22"/>
          <w:color w:val="auto"/>
        </w:rPr>
        <w:t>The following measures of operating performance include net spread and dollar roll income; net spread and dollar roll income, excluding "catch-up" premium amortization; economic interest income;</w:t>
      </w:r>
    </w:p>
    <w:p>
      <w:pPr>
        <w:sectPr>
          <w:pgSz w:w="11900" w:h="16838" w:orient="portrait"/>
          <w:cols w:equalWidth="0" w:num="1">
            <w:col w:w="11420"/>
          </w:cols>
          <w:pgMar w:left="240" w:top="147" w:right="239" w:bottom="1440" w:gutter="0" w:footer="0" w:header="0"/>
        </w:sectPr>
      </w:pPr>
    </w:p>
    <w:bookmarkStart w:id="9" w:name="page10"/>
    <w:bookmarkEnd w:id="9"/>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7</w:t>
      </w:r>
    </w:p>
    <w:p>
      <w:pPr>
        <w:spacing w:after="0" w:line="200" w:lineRule="exact"/>
        <w:rPr>
          <w:sz w:val="20"/>
          <w:szCs w:val="20"/>
          <w:color w:val="auto"/>
        </w:rPr>
      </w:pPr>
    </w:p>
    <w:p>
      <w:pPr>
        <w:spacing w:after="0" w:line="209"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economic interest expense; estimated taxable income; and the related per common share measures and financial metrics derived from such information, which are non-GAAP financial measures. Please refer to "Use of Non-GAAP Financial Information" later in this release for further discussion of non-GAAP measures.</w:t>
      </w:r>
    </w:p>
    <w:p>
      <w:pPr>
        <w:sectPr>
          <w:pgSz w:w="11900" w:h="16838" w:orient="portrait"/>
          <w:cols w:equalWidth="0" w:num="1">
            <w:col w:w="11420"/>
          </w:cols>
          <w:pgMar w:left="240" w:top="147" w:right="239" w:bottom="1440" w:gutter="0" w:footer="0" w:header="0"/>
        </w:sectPr>
      </w:pPr>
    </w:p>
    <w:bookmarkStart w:id="10" w:name="page11"/>
    <w:bookmarkEnd w:id="10"/>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8</w:t>
      </w:r>
    </w:p>
    <w:p>
      <w:pPr>
        <w:spacing w:after="0" w:line="383" w:lineRule="exact"/>
        <w:rPr>
          <w:sz w:val="20"/>
          <w:szCs w:val="20"/>
          <w:color w:val="auto"/>
        </w:rPr>
      </w:pPr>
    </w:p>
    <w:p>
      <w:pPr>
        <w:jc w:val="center"/>
        <w:ind w:right="879"/>
        <w:spacing w:after="0"/>
        <w:rPr>
          <w:sz w:val="20"/>
          <w:szCs w:val="20"/>
          <w:color w:val="auto"/>
        </w:rPr>
      </w:pPr>
      <w:r>
        <w:rPr>
          <w:rFonts w:ascii="Arial" w:cs="Arial" w:eastAsia="Arial" w:hAnsi="Arial"/>
          <w:sz w:val="14"/>
          <w:szCs w:val="14"/>
          <w:color w:val="auto"/>
        </w:rPr>
        <w:t>AGNC INVESTMENT CORP.</w:t>
      </w:r>
    </w:p>
    <w:p>
      <w:pPr>
        <w:spacing w:after="0" w:line="42" w:lineRule="exact"/>
        <w:rPr>
          <w:sz w:val="20"/>
          <w:szCs w:val="20"/>
          <w:color w:val="auto"/>
        </w:rPr>
      </w:pPr>
    </w:p>
    <w:p>
      <w:pPr>
        <w:jc w:val="center"/>
        <w:ind w:right="879"/>
        <w:spacing w:after="0"/>
        <w:rPr>
          <w:sz w:val="20"/>
          <w:szCs w:val="20"/>
          <w:color w:val="auto"/>
        </w:rPr>
      </w:pPr>
      <w:r>
        <w:rPr>
          <w:rFonts w:ascii="Arial" w:cs="Arial" w:eastAsia="Arial" w:hAnsi="Arial"/>
          <w:sz w:val="14"/>
          <w:szCs w:val="14"/>
          <w:color w:val="auto"/>
        </w:rPr>
        <w:t>CONSOLIDATED BALANCE SHEETS</w:t>
      </w:r>
    </w:p>
    <w:p>
      <w:pPr>
        <w:spacing w:after="0" w:line="42" w:lineRule="exact"/>
        <w:rPr>
          <w:sz w:val="20"/>
          <w:szCs w:val="20"/>
          <w:color w:val="auto"/>
        </w:rPr>
      </w:pPr>
    </w:p>
    <w:p>
      <w:pPr>
        <w:jc w:val="center"/>
        <w:ind w:right="879"/>
        <w:spacing w:after="0"/>
        <w:rPr>
          <w:sz w:val="20"/>
          <w:szCs w:val="20"/>
          <w:color w:val="auto"/>
        </w:rPr>
      </w:pPr>
      <w:r>
        <w:rPr>
          <w:rFonts w:ascii="Arial" w:cs="Arial" w:eastAsia="Arial" w:hAnsi="Arial"/>
          <w:sz w:val="14"/>
          <w:szCs w:val="14"/>
          <w:color w:val="auto"/>
        </w:rPr>
        <w:t>(in millions, except per share data)</w:t>
      </w:r>
    </w:p>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40" w:type="dxa"/>
            <w:vAlign w:val="bottom"/>
          </w:tcPr>
          <w:p>
            <w:pPr>
              <w:spacing w:after="0"/>
              <w:rPr>
                <w:sz w:val="14"/>
                <w:szCs w:val="14"/>
                <w:color w:val="auto"/>
              </w:rPr>
            </w:pPr>
          </w:p>
        </w:tc>
        <w:tc>
          <w:tcPr>
            <w:tcW w:w="1120" w:type="dxa"/>
            <w:vAlign w:val="bottom"/>
            <w:gridSpan w:val="3"/>
          </w:tcPr>
          <w:p>
            <w:pPr>
              <w:jc w:val="center"/>
              <w:ind w:right="120"/>
              <w:spacing w:after="0"/>
              <w:rPr>
                <w:sz w:val="20"/>
                <w:szCs w:val="20"/>
                <w:color w:val="auto"/>
              </w:rPr>
            </w:pPr>
            <w:r>
              <w:rPr>
                <w:rFonts w:ascii="Arial" w:cs="Arial" w:eastAsia="Arial" w:hAnsi="Arial"/>
                <w:sz w:val="14"/>
                <w:szCs w:val="14"/>
                <w:color w:val="auto"/>
                <w:w w:val="91"/>
              </w:rPr>
              <w:t>September 30,</w:t>
            </w:r>
          </w:p>
        </w:tc>
        <w:tc>
          <w:tcPr>
            <w:tcW w:w="120" w:type="dxa"/>
            <w:vAlign w:val="bottom"/>
          </w:tcPr>
          <w:p>
            <w:pPr>
              <w:spacing w:after="0"/>
              <w:rPr>
                <w:sz w:val="14"/>
                <w:szCs w:val="14"/>
                <w:color w:val="auto"/>
              </w:rPr>
            </w:pPr>
          </w:p>
        </w:tc>
        <w:tc>
          <w:tcPr>
            <w:tcW w:w="1000" w:type="dxa"/>
            <w:vAlign w:val="bottom"/>
            <w:gridSpan w:val="2"/>
          </w:tcPr>
          <w:p>
            <w:pPr>
              <w:ind w:left="220"/>
              <w:spacing w:after="0"/>
              <w:rPr>
                <w:sz w:val="20"/>
                <w:szCs w:val="20"/>
                <w:color w:val="auto"/>
              </w:rPr>
            </w:pPr>
            <w:r>
              <w:rPr>
                <w:rFonts w:ascii="Arial" w:cs="Arial" w:eastAsia="Arial" w:hAnsi="Arial"/>
                <w:sz w:val="14"/>
                <w:szCs w:val="14"/>
                <w:color w:val="auto"/>
              </w:rPr>
              <w:t>June 30,</w:t>
            </w:r>
          </w:p>
        </w:tc>
        <w:tc>
          <w:tcPr>
            <w:tcW w:w="1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tcPr>
          <w:p>
            <w:pPr>
              <w:spacing w:after="0"/>
              <w:rPr>
                <w:sz w:val="20"/>
                <w:szCs w:val="20"/>
                <w:color w:val="auto"/>
              </w:rPr>
            </w:pPr>
            <w:r>
              <w:rPr>
                <w:rFonts w:ascii="Arial" w:cs="Arial" w:eastAsia="Arial" w:hAnsi="Arial"/>
                <w:sz w:val="14"/>
                <w:szCs w:val="14"/>
                <w:color w:val="auto"/>
              </w:rPr>
              <w:t>December 31,</w:t>
            </w:r>
          </w:p>
        </w:tc>
        <w:tc>
          <w:tcPr>
            <w:tcW w:w="1000" w:type="dxa"/>
            <w:vAlign w:val="bottom"/>
            <w:gridSpan w:val="2"/>
          </w:tcPr>
          <w:p>
            <w:pPr>
              <w:jc w:val="center"/>
              <w:spacing w:after="0"/>
              <w:rPr>
                <w:sz w:val="20"/>
                <w:szCs w:val="20"/>
                <w:color w:val="auto"/>
              </w:rPr>
            </w:pPr>
            <w:r>
              <w:rPr>
                <w:rFonts w:ascii="Arial" w:cs="Arial" w:eastAsia="Arial" w:hAnsi="Arial"/>
                <w:sz w:val="14"/>
                <w:szCs w:val="14"/>
                <w:color w:val="auto"/>
                <w:w w:val="91"/>
              </w:rPr>
              <w:t>September 30,</w:t>
            </w:r>
          </w:p>
        </w:tc>
      </w:tr>
      <w:tr>
        <w:trPr>
          <w:trHeight w:val="188"/>
        </w:trPr>
        <w:tc>
          <w:tcPr>
            <w:tcW w:w="38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color w:val="auto"/>
                <w:w w:val="89"/>
              </w:rPr>
              <w:t>2019</w:t>
            </w: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2019</w:t>
            </w:r>
          </w:p>
        </w:tc>
        <w:tc>
          <w:tcPr>
            <w:tcW w:w="120" w:type="dxa"/>
            <w:vAlign w:val="bottom"/>
          </w:tcPr>
          <w:p>
            <w:pPr>
              <w:spacing w:after="0"/>
              <w:rPr>
                <w:sz w:val="16"/>
                <w:szCs w:val="16"/>
                <w:color w:val="auto"/>
              </w:rPr>
            </w:pPr>
          </w:p>
        </w:tc>
        <w:tc>
          <w:tcPr>
            <w:tcW w:w="10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color w:val="auto"/>
                <w:w w:val="94"/>
              </w:rPr>
              <w:t>March 31, 2019</w:t>
            </w: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color w:val="auto"/>
              </w:rPr>
              <w:t>2018</w:t>
            </w: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color w:val="auto"/>
                <w:w w:val="89"/>
              </w:rPr>
              <w:t>2018</w:t>
            </w:r>
          </w:p>
        </w:tc>
      </w:tr>
      <w:tr>
        <w:trPr>
          <w:trHeight w:val="264"/>
        </w:trPr>
        <w:tc>
          <w:tcPr>
            <w:tcW w:w="38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gridSpan w:val="2"/>
          </w:tcPr>
          <w:p>
            <w:pPr>
              <w:jc w:val="center"/>
              <w:ind w:right="260"/>
              <w:spacing w:after="0"/>
              <w:rPr>
                <w:sz w:val="20"/>
                <w:szCs w:val="20"/>
                <w:color w:val="auto"/>
              </w:rPr>
            </w:pPr>
            <w:r>
              <w:rPr>
                <w:rFonts w:ascii="Arial" w:cs="Arial" w:eastAsia="Arial" w:hAnsi="Arial"/>
                <w:sz w:val="14"/>
                <w:szCs w:val="14"/>
                <w:color w:val="auto"/>
                <w:w w:val="93"/>
              </w:rPr>
              <w:t>(unaudited)</w:t>
            </w:r>
          </w:p>
        </w:tc>
        <w:tc>
          <w:tcPr>
            <w:tcW w:w="120" w:type="dxa"/>
            <w:vAlign w:val="bottom"/>
          </w:tcPr>
          <w:p>
            <w:pPr>
              <w:spacing w:after="0"/>
              <w:rPr>
                <w:sz w:val="22"/>
                <w:szCs w:val="22"/>
                <w:color w:val="auto"/>
              </w:rPr>
            </w:pPr>
          </w:p>
        </w:tc>
        <w:tc>
          <w:tcPr>
            <w:tcW w:w="1000" w:type="dxa"/>
            <w:vAlign w:val="bottom"/>
            <w:gridSpan w:val="2"/>
          </w:tcPr>
          <w:p>
            <w:pPr>
              <w:ind w:left="40"/>
              <w:spacing w:after="0"/>
              <w:rPr>
                <w:sz w:val="20"/>
                <w:szCs w:val="20"/>
                <w:color w:val="auto"/>
              </w:rPr>
            </w:pPr>
            <w:r>
              <w:rPr>
                <w:rFonts w:ascii="Arial" w:cs="Arial" w:eastAsia="Arial" w:hAnsi="Arial"/>
                <w:sz w:val="14"/>
                <w:szCs w:val="14"/>
                <w:color w:val="auto"/>
              </w:rPr>
              <w:t>(unaudited)</w:t>
            </w:r>
          </w:p>
        </w:tc>
        <w:tc>
          <w:tcPr>
            <w:tcW w:w="120" w:type="dxa"/>
            <w:vAlign w:val="bottom"/>
          </w:tcPr>
          <w:p>
            <w:pPr>
              <w:spacing w:after="0"/>
              <w:rPr>
                <w:sz w:val="22"/>
                <w:szCs w:val="22"/>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color w:val="auto"/>
                <w:w w:val="95"/>
              </w:rPr>
              <w:t>(unaudited)</w:t>
            </w: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center"/>
              <w:ind w:right="68"/>
              <w:spacing w:after="0"/>
              <w:rPr>
                <w:sz w:val="20"/>
                <w:szCs w:val="20"/>
                <w:color w:val="auto"/>
              </w:rPr>
            </w:pPr>
            <w:r>
              <w:rPr>
                <w:rFonts w:ascii="Arial" w:cs="Arial" w:eastAsia="Arial" w:hAnsi="Arial"/>
                <w:sz w:val="14"/>
                <w:szCs w:val="14"/>
                <w:color w:val="auto"/>
                <w:w w:val="95"/>
              </w:rPr>
              <w:t>(unaudited)</w:t>
            </w:r>
          </w:p>
        </w:tc>
      </w:tr>
      <w:tr>
        <w:trPr>
          <w:trHeight w:val="276"/>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Assets:</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r>
      <w:tr>
        <w:trPr>
          <w:trHeight w:val="157"/>
        </w:trPr>
        <w:tc>
          <w:tcPr>
            <w:tcW w:w="3840" w:type="dxa"/>
            <w:vAlign w:val="bottom"/>
          </w:tcPr>
          <w:p>
            <w:pPr>
              <w:ind w:left="180"/>
              <w:spacing w:after="0" w:line="157" w:lineRule="exact"/>
              <w:rPr>
                <w:sz w:val="20"/>
                <w:szCs w:val="20"/>
                <w:color w:val="auto"/>
              </w:rPr>
            </w:pPr>
            <w:r>
              <w:rPr>
                <w:rFonts w:ascii="Arial" w:cs="Arial" w:eastAsia="Arial" w:hAnsi="Arial"/>
                <w:sz w:val="14"/>
                <w:szCs w:val="14"/>
                <w:color w:val="auto"/>
                <w:w w:val="98"/>
              </w:rPr>
              <w:t>Agency securities, at fair value (including pledged securities</w:t>
            </w: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spacing w:after="0"/>
              <w:rPr>
                <w:sz w:val="13"/>
                <w:szCs w:val="13"/>
                <w:color w:val="auto"/>
              </w:rPr>
            </w:pPr>
          </w:p>
        </w:tc>
      </w:tr>
      <w:tr>
        <w:trPr>
          <w:trHeight w:val="149"/>
        </w:trPr>
        <w:tc>
          <w:tcPr>
            <w:tcW w:w="3840" w:type="dxa"/>
            <w:vAlign w:val="bottom"/>
          </w:tcPr>
          <w:p>
            <w:pPr>
              <w:ind w:left="180"/>
              <w:spacing w:after="0" w:line="149" w:lineRule="exact"/>
              <w:rPr>
                <w:sz w:val="20"/>
                <w:szCs w:val="20"/>
                <w:color w:val="auto"/>
              </w:rPr>
            </w:pPr>
            <w:r>
              <w:rPr>
                <w:rFonts w:ascii="Arial" w:cs="Arial" w:eastAsia="Arial" w:hAnsi="Arial"/>
                <w:sz w:val="14"/>
                <w:szCs w:val="14"/>
                <w:color w:val="auto"/>
              </w:rPr>
              <w:t>of $93,688, $87,582, $89,471, $78,619 and $67,889,</w:t>
            </w:r>
          </w:p>
        </w:tc>
        <w:tc>
          <w:tcPr>
            <w:tcW w:w="1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Pr>
          <w:p>
            <w:pPr>
              <w:spacing w:after="0"/>
              <w:rPr>
                <w:sz w:val="12"/>
                <w:szCs w:val="12"/>
                <w:color w:val="auto"/>
              </w:rPr>
            </w:pPr>
          </w:p>
        </w:tc>
      </w:tr>
      <w:tr>
        <w:trPr>
          <w:trHeight w:val="188"/>
        </w:trPr>
        <w:tc>
          <w:tcPr>
            <w:tcW w:w="3840" w:type="dxa"/>
            <w:vAlign w:val="bottom"/>
          </w:tcPr>
          <w:p>
            <w:pPr>
              <w:ind w:left="180"/>
              <w:spacing w:after="0"/>
              <w:rPr>
                <w:sz w:val="20"/>
                <w:szCs w:val="20"/>
                <w:color w:val="auto"/>
              </w:rPr>
            </w:pPr>
            <w:r>
              <w:rPr>
                <w:rFonts w:ascii="Arial" w:cs="Arial" w:eastAsia="Arial" w:hAnsi="Arial"/>
                <w:sz w:val="14"/>
                <w:szCs w:val="14"/>
                <w:color w:val="auto"/>
              </w:rPr>
              <w:t>respectively)</w:t>
            </w: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98,577</w:t>
            </w:r>
          </w:p>
        </w:tc>
        <w:tc>
          <w:tcPr>
            <w:tcW w:w="12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91,140</w:t>
            </w:r>
          </w:p>
        </w:tc>
        <w:tc>
          <w:tcPr>
            <w:tcW w:w="12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93,044</w:t>
            </w:r>
          </w:p>
        </w:tc>
        <w:tc>
          <w:tcPr>
            <w:tcW w:w="120" w:type="dxa"/>
            <w:vAlign w:val="bottom"/>
          </w:tcPr>
          <w:p>
            <w:pPr>
              <w:spacing w:after="0"/>
              <w:rPr>
                <w:sz w:val="16"/>
                <w:szCs w:val="16"/>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82,291</w:t>
            </w:r>
          </w:p>
        </w:tc>
        <w:tc>
          <w:tcPr>
            <w:tcW w:w="1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70,408</w:t>
            </w:r>
          </w:p>
        </w:tc>
      </w:tr>
      <w:tr>
        <w:trPr>
          <w:trHeight w:val="163"/>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5"/>
              </w:rPr>
              <w:t>Agency securities transferred to consolidated variable interest</w:t>
            </w: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r>
      <w:tr>
        <w:trPr>
          <w:trHeight w:val="194"/>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entities, at fair value (pledged securities)</w:t>
            </w: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393</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411</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425</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436</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453</w:t>
            </w:r>
          </w:p>
        </w:tc>
      </w:tr>
      <w:tr>
        <w:trPr>
          <w:trHeight w:val="157"/>
        </w:trPr>
        <w:tc>
          <w:tcPr>
            <w:tcW w:w="3840" w:type="dxa"/>
            <w:vAlign w:val="bottom"/>
          </w:tcPr>
          <w:p>
            <w:pPr>
              <w:ind w:left="180"/>
              <w:spacing w:after="0" w:line="157" w:lineRule="exact"/>
              <w:rPr>
                <w:sz w:val="20"/>
                <w:szCs w:val="20"/>
                <w:color w:val="auto"/>
              </w:rPr>
            </w:pPr>
            <w:r>
              <w:rPr>
                <w:rFonts w:ascii="Arial" w:cs="Arial" w:eastAsia="Arial" w:hAnsi="Arial"/>
                <w:sz w:val="14"/>
                <w:szCs w:val="14"/>
                <w:color w:val="auto"/>
                <w:w w:val="97"/>
              </w:rPr>
              <w:t>Credit risk transfer securities, at fair value (including pledged</w:t>
            </w: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spacing w:after="0"/>
              <w:rPr>
                <w:sz w:val="13"/>
                <w:szCs w:val="13"/>
                <w:color w:val="auto"/>
              </w:rPr>
            </w:pPr>
          </w:p>
        </w:tc>
      </w:tr>
      <w:tr>
        <w:trPr>
          <w:trHeight w:val="188"/>
        </w:trPr>
        <w:tc>
          <w:tcPr>
            <w:tcW w:w="3840" w:type="dxa"/>
            <w:vAlign w:val="bottom"/>
          </w:tcPr>
          <w:p>
            <w:pPr>
              <w:ind w:left="180"/>
              <w:spacing w:after="0"/>
              <w:rPr>
                <w:sz w:val="20"/>
                <w:szCs w:val="20"/>
                <w:color w:val="auto"/>
              </w:rPr>
            </w:pPr>
            <w:r>
              <w:rPr>
                <w:rFonts w:ascii="Arial" w:cs="Arial" w:eastAsia="Arial" w:hAnsi="Arial"/>
                <w:sz w:val="14"/>
                <w:szCs w:val="14"/>
                <w:color w:val="auto"/>
                <w:w w:val="99"/>
              </w:rPr>
              <w:t>securities of $358, $269, $142, $141 and $44, respectively)</w:t>
            </w: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1,134</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1,117</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1,129</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1,012</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997</w:t>
            </w:r>
          </w:p>
        </w:tc>
      </w:tr>
      <w:tr>
        <w:trPr>
          <w:trHeight w:val="163"/>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Non-Agency securities, at fair value (including pledged</w:t>
            </w: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r>
      <w:tr>
        <w:trPr>
          <w:trHeight w:val="194"/>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securities of $0, $0, $45, $45 and $0, respectively)</w:t>
            </w: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579</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603</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672</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548</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507</w:t>
            </w:r>
          </w:p>
        </w:tc>
      </w:tr>
      <w:tr>
        <w:trPr>
          <w:trHeight w:val="157"/>
        </w:trPr>
        <w:tc>
          <w:tcPr>
            <w:tcW w:w="3840" w:type="dxa"/>
            <w:vAlign w:val="bottom"/>
          </w:tcPr>
          <w:p>
            <w:pPr>
              <w:ind w:left="180"/>
              <w:spacing w:after="0" w:line="157" w:lineRule="exact"/>
              <w:rPr>
                <w:sz w:val="20"/>
                <w:szCs w:val="20"/>
                <w:color w:val="auto"/>
              </w:rPr>
            </w:pPr>
            <w:r>
              <w:rPr>
                <w:rFonts w:ascii="Arial" w:cs="Arial" w:eastAsia="Arial" w:hAnsi="Arial"/>
                <w:sz w:val="14"/>
                <w:szCs w:val="14"/>
                <w:color w:val="auto"/>
              </w:rPr>
              <w:t>U.S. Treasury securities, at fair value (including pledged</w:t>
            </w: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spacing w:after="0"/>
              <w:rPr>
                <w:sz w:val="13"/>
                <w:szCs w:val="13"/>
                <w:color w:val="auto"/>
              </w:rPr>
            </w:pPr>
          </w:p>
        </w:tc>
      </w:tr>
      <w:tr>
        <w:trPr>
          <w:trHeight w:val="188"/>
        </w:trPr>
        <w:tc>
          <w:tcPr>
            <w:tcW w:w="3840" w:type="dxa"/>
            <w:vAlign w:val="bottom"/>
          </w:tcPr>
          <w:p>
            <w:pPr>
              <w:ind w:left="180"/>
              <w:spacing w:after="0"/>
              <w:rPr>
                <w:sz w:val="20"/>
                <w:szCs w:val="20"/>
                <w:color w:val="auto"/>
              </w:rPr>
            </w:pPr>
            <w:r>
              <w:rPr>
                <w:rFonts w:ascii="Arial" w:cs="Arial" w:eastAsia="Arial" w:hAnsi="Arial"/>
                <w:sz w:val="14"/>
                <w:szCs w:val="14"/>
                <w:color w:val="auto"/>
              </w:rPr>
              <w:t>securities of $162, $1,152, $121, $0 and $45, respectively)</w:t>
            </w: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215</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1,152</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121</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46</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109</w:t>
            </w:r>
          </w:p>
        </w:tc>
      </w:tr>
      <w:tr>
        <w:trPr>
          <w:trHeight w:val="276"/>
        </w:trPr>
        <w:tc>
          <w:tcPr>
            <w:tcW w:w="38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Cash and cash equivalents</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906</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870</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929</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921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1,071</w:t>
            </w:r>
          </w:p>
        </w:tc>
      </w:tr>
      <w:tr>
        <w:trPr>
          <w:trHeight w:val="264"/>
        </w:trPr>
        <w:tc>
          <w:tcPr>
            <w:tcW w:w="3840" w:type="dxa"/>
            <w:vAlign w:val="bottom"/>
          </w:tcPr>
          <w:p>
            <w:pPr>
              <w:ind w:left="140"/>
              <w:spacing w:after="0"/>
              <w:rPr>
                <w:sz w:val="20"/>
                <w:szCs w:val="20"/>
                <w:color w:val="auto"/>
              </w:rPr>
            </w:pPr>
            <w:r>
              <w:rPr>
                <w:rFonts w:ascii="Arial" w:cs="Arial" w:eastAsia="Arial" w:hAnsi="Arial"/>
                <w:sz w:val="14"/>
                <w:szCs w:val="14"/>
                <w:color w:val="auto"/>
              </w:rPr>
              <w:t>Restricted cash</w:t>
            </w: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734</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789</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517</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599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456</w:t>
            </w:r>
          </w:p>
        </w:tc>
      </w:tr>
      <w:tr>
        <w:trPr>
          <w:trHeight w:val="276"/>
        </w:trPr>
        <w:tc>
          <w:tcPr>
            <w:tcW w:w="38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Derivative assets, at fair value</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175</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116</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253</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273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412</w:t>
            </w:r>
          </w:p>
        </w:tc>
      </w:tr>
      <w:tr>
        <w:trPr>
          <w:trHeight w:val="157"/>
        </w:trPr>
        <w:tc>
          <w:tcPr>
            <w:tcW w:w="3840" w:type="dxa"/>
            <w:vAlign w:val="bottom"/>
          </w:tcPr>
          <w:p>
            <w:pPr>
              <w:ind w:left="180"/>
              <w:spacing w:after="0" w:line="157" w:lineRule="exact"/>
              <w:rPr>
                <w:sz w:val="20"/>
                <w:szCs w:val="20"/>
                <w:color w:val="auto"/>
              </w:rPr>
            </w:pPr>
            <w:r>
              <w:rPr>
                <w:rFonts w:ascii="Arial" w:cs="Arial" w:eastAsia="Arial" w:hAnsi="Arial"/>
                <w:sz w:val="14"/>
                <w:szCs w:val="14"/>
                <w:color w:val="auto"/>
                <w:w w:val="98"/>
              </w:rPr>
              <w:t>Receivable for investment securities sold (including pledged</w:t>
            </w: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spacing w:after="0"/>
              <w:rPr>
                <w:sz w:val="13"/>
                <w:szCs w:val="13"/>
                <w:color w:val="auto"/>
              </w:rPr>
            </w:pPr>
          </w:p>
        </w:tc>
      </w:tr>
      <w:tr>
        <w:trPr>
          <w:trHeight w:val="188"/>
        </w:trPr>
        <w:tc>
          <w:tcPr>
            <w:tcW w:w="3840" w:type="dxa"/>
            <w:vAlign w:val="bottom"/>
          </w:tcPr>
          <w:p>
            <w:pPr>
              <w:ind w:left="180"/>
              <w:spacing w:after="0"/>
              <w:rPr>
                <w:sz w:val="20"/>
                <w:szCs w:val="20"/>
                <w:color w:val="auto"/>
              </w:rPr>
            </w:pPr>
            <w:r>
              <w:rPr>
                <w:rFonts w:ascii="Arial" w:cs="Arial" w:eastAsia="Arial" w:hAnsi="Arial"/>
                <w:sz w:val="14"/>
                <w:szCs w:val="14"/>
                <w:color w:val="auto"/>
                <w:w w:val="97"/>
              </w:rPr>
              <w:t>securities of $105, $673, $439, $489 and $443, respectively)</w:t>
            </w: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105</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679</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439</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489</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524</w:t>
            </w:r>
          </w:p>
        </w:tc>
      </w:tr>
      <w:tr>
        <w:trPr>
          <w:trHeight w:val="276"/>
        </w:trPr>
        <w:tc>
          <w:tcPr>
            <w:tcW w:w="38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Receivable under reverse repurchase agreements</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6,093</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8,848</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20,430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21,813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16,309</w:t>
            </w:r>
          </w:p>
        </w:tc>
      </w:tr>
      <w:tr>
        <w:trPr>
          <w:trHeight w:val="264"/>
        </w:trPr>
        <w:tc>
          <w:tcPr>
            <w:tcW w:w="3840" w:type="dxa"/>
            <w:vAlign w:val="bottom"/>
          </w:tcPr>
          <w:p>
            <w:pPr>
              <w:ind w:left="180"/>
              <w:spacing w:after="0"/>
              <w:rPr>
                <w:sz w:val="20"/>
                <w:szCs w:val="20"/>
                <w:color w:val="auto"/>
              </w:rPr>
            </w:pPr>
            <w:r>
              <w:rPr>
                <w:rFonts w:ascii="Arial" w:cs="Arial" w:eastAsia="Arial" w:hAnsi="Arial"/>
                <w:sz w:val="14"/>
                <w:szCs w:val="14"/>
                <w:color w:val="auto"/>
              </w:rPr>
              <w:t>Goodwill</w:t>
            </w: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526</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526</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526</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526</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526</w:t>
            </w:r>
          </w:p>
        </w:tc>
      </w:tr>
      <w:tr>
        <w:trPr>
          <w:trHeight w:val="270"/>
        </w:trPr>
        <w:tc>
          <w:tcPr>
            <w:tcW w:w="38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Other assets</w:t>
            </w:r>
          </w:p>
        </w:tc>
        <w:tc>
          <w:tcPr>
            <w:tcW w:w="12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324</w:t>
            </w: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325</w:t>
            </w: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322</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287</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259</w:t>
            </w:r>
          </w:p>
        </w:tc>
      </w:tr>
      <w:tr>
        <w:trPr>
          <w:trHeight w:val="283"/>
        </w:trPr>
        <w:tc>
          <w:tcPr>
            <w:tcW w:w="3840" w:type="dxa"/>
            <w:vAlign w:val="bottom"/>
            <w:tcBorders>
              <w:bottom w:val="single" w:sz="8" w:color="CCEEFF"/>
            </w:tcBorders>
          </w:tcPr>
          <w:p>
            <w:pPr>
              <w:ind w:left="840"/>
              <w:spacing w:after="0"/>
              <w:rPr>
                <w:sz w:val="20"/>
                <w:szCs w:val="20"/>
                <w:color w:val="auto"/>
              </w:rPr>
            </w:pPr>
            <w:r>
              <w:rPr>
                <w:rFonts w:ascii="Arial" w:cs="Arial" w:eastAsia="Arial" w:hAnsi="Arial"/>
                <w:sz w:val="14"/>
                <w:szCs w:val="14"/>
                <w:color w:val="auto"/>
              </w:rPr>
              <w:t>Total assets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109,761</w:t>
            </w:r>
          </w:p>
        </w:tc>
        <w:tc>
          <w:tcPr>
            <w:tcW w:w="12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106,576</w:t>
            </w:r>
          </w:p>
        </w:tc>
        <w:tc>
          <w:tcPr>
            <w:tcW w:w="12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118,807</w:t>
            </w:r>
          </w:p>
        </w:tc>
        <w:tc>
          <w:tcPr>
            <w:tcW w:w="12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109,241</w:t>
            </w:r>
          </w:p>
        </w:tc>
        <w:tc>
          <w:tcPr>
            <w:tcW w:w="12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92,031</w:t>
            </w:r>
          </w:p>
        </w:tc>
      </w:tr>
      <w:tr>
        <w:trPr>
          <w:trHeight w:val="251"/>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Liabilities:</w:t>
            </w:r>
          </w:p>
        </w:tc>
        <w:tc>
          <w:tcPr>
            <w:tcW w:w="12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860" w:type="dxa"/>
            <w:vAlign w:val="bottom"/>
            <w:shd w:val="clear" w:color="auto" w:fill="CCEEFF"/>
          </w:tcPr>
          <w:p>
            <w:pPr>
              <w:spacing w:after="0"/>
              <w:rPr>
                <w:sz w:val="21"/>
                <w:szCs w:val="21"/>
                <w:color w:val="auto"/>
              </w:rPr>
            </w:pPr>
          </w:p>
        </w:tc>
      </w:tr>
      <w:tr>
        <w:trPr>
          <w:trHeight w:val="264"/>
        </w:trPr>
        <w:tc>
          <w:tcPr>
            <w:tcW w:w="3840" w:type="dxa"/>
            <w:vAlign w:val="bottom"/>
          </w:tcPr>
          <w:p>
            <w:pPr>
              <w:ind w:left="140"/>
              <w:spacing w:after="0"/>
              <w:rPr>
                <w:sz w:val="20"/>
                <w:szCs w:val="20"/>
                <w:color w:val="auto"/>
              </w:rPr>
            </w:pPr>
            <w:r>
              <w:rPr>
                <w:rFonts w:ascii="Arial" w:cs="Arial" w:eastAsia="Arial" w:hAnsi="Arial"/>
                <w:sz w:val="14"/>
                <w:szCs w:val="14"/>
                <w:color w:val="auto"/>
              </w:rPr>
              <w:t>Repurchase agreements</w:t>
            </w: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90,612</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86,266</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86,685</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75,717</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65,734</w:t>
            </w:r>
          </w:p>
        </w:tc>
      </w:tr>
      <w:tr>
        <w:trPr>
          <w:trHeight w:val="276"/>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Debt of consolidated variable interest entities, at fair value</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238</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251</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266</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275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291</w:t>
            </w:r>
          </w:p>
        </w:tc>
      </w:tr>
      <w:tr>
        <w:trPr>
          <w:trHeight w:val="264"/>
        </w:trPr>
        <w:tc>
          <w:tcPr>
            <w:tcW w:w="3840" w:type="dxa"/>
            <w:vAlign w:val="bottom"/>
          </w:tcPr>
          <w:p>
            <w:pPr>
              <w:ind w:left="140"/>
              <w:spacing w:after="0"/>
              <w:rPr>
                <w:sz w:val="20"/>
                <w:szCs w:val="20"/>
                <w:color w:val="auto"/>
              </w:rPr>
            </w:pPr>
            <w:r>
              <w:rPr>
                <w:rFonts w:ascii="Arial" w:cs="Arial" w:eastAsia="Arial" w:hAnsi="Arial"/>
                <w:sz w:val="14"/>
                <w:szCs w:val="14"/>
                <w:color w:val="auto"/>
              </w:rPr>
              <w:t>Payable for investment securities purchased</w:t>
            </w: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3,094</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878</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1,125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1,204</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23</w:t>
            </w:r>
          </w:p>
        </w:tc>
      </w:tr>
      <w:tr>
        <w:trPr>
          <w:trHeight w:val="276"/>
        </w:trPr>
        <w:tc>
          <w:tcPr>
            <w:tcW w:w="38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Derivative liabilities, at fair value</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22</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63</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53</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62</w:t>
            </w:r>
          </w:p>
        </w:tc>
      </w:tr>
      <w:tr>
        <w:trPr>
          <w:trHeight w:val="264"/>
        </w:trPr>
        <w:tc>
          <w:tcPr>
            <w:tcW w:w="3840" w:type="dxa"/>
            <w:vAlign w:val="bottom"/>
          </w:tcPr>
          <w:p>
            <w:pPr>
              <w:ind w:left="140"/>
              <w:spacing w:after="0"/>
              <w:rPr>
                <w:sz w:val="20"/>
                <w:szCs w:val="20"/>
                <w:color w:val="auto"/>
              </w:rPr>
            </w:pPr>
            <w:r>
              <w:rPr>
                <w:rFonts w:ascii="Arial" w:cs="Arial" w:eastAsia="Arial" w:hAnsi="Arial"/>
                <w:sz w:val="14"/>
                <w:szCs w:val="14"/>
                <w:color w:val="auto"/>
              </w:rPr>
              <w:t>Dividends payable</w:t>
            </w: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100</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101</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107</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106</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95</w:t>
            </w:r>
          </w:p>
        </w:tc>
      </w:tr>
      <w:tr>
        <w:trPr>
          <w:trHeight w:val="163"/>
        </w:trPr>
        <w:tc>
          <w:tcPr>
            <w:tcW w:w="3840" w:type="dxa"/>
            <w:vAlign w:val="bottom"/>
            <w:shd w:val="clear" w:color="auto" w:fill="CCEEFF"/>
          </w:tcPr>
          <w:p>
            <w:pPr>
              <w:ind w:left="160"/>
              <w:spacing w:after="0"/>
              <w:rPr>
                <w:sz w:val="20"/>
                <w:szCs w:val="20"/>
                <w:color w:val="auto"/>
              </w:rPr>
            </w:pPr>
            <w:r>
              <w:rPr>
                <w:rFonts w:ascii="Arial" w:cs="Arial" w:eastAsia="Arial" w:hAnsi="Arial"/>
                <w:sz w:val="14"/>
                <w:szCs w:val="14"/>
                <w:color w:val="auto"/>
              </w:rPr>
              <w:t>Obligation to return securities borrowed under reverse</w:t>
            </w: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r>
      <w:tr>
        <w:trPr>
          <w:trHeight w:val="194"/>
        </w:trPr>
        <w:tc>
          <w:tcPr>
            <w:tcW w:w="3840" w:type="dxa"/>
            <w:vAlign w:val="bottom"/>
            <w:shd w:val="clear" w:color="auto" w:fill="CCEEFF"/>
          </w:tcPr>
          <w:p>
            <w:pPr>
              <w:ind w:left="160"/>
              <w:spacing w:after="0"/>
              <w:rPr>
                <w:sz w:val="20"/>
                <w:szCs w:val="20"/>
                <w:color w:val="auto"/>
              </w:rPr>
            </w:pPr>
            <w:r>
              <w:rPr>
                <w:rFonts w:ascii="Arial" w:cs="Arial" w:eastAsia="Arial" w:hAnsi="Arial"/>
                <w:sz w:val="14"/>
                <w:szCs w:val="14"/>
                <w:color w:val="auto"/>
              </w:rPr>
              <w:t>repurchase agreements, at fair value</w:t>
            </w: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5,114</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7,754</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19,275</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21,431</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15,549</w:t>
            </w:r>
          </w:p>
        </w:tc>
      </w:tr>
      <w:tr>
        <w:trPr>
          <w:trHeight w:val="264"/>
        </w:trPr>
        <w:tc>
          <w:tcPr>
            <w:tcW w:w="384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Accounts payable and other liabilities</w:t>
            </w:r>
          </w:p>
        </w:tc>
        <w:tc>
          <w:tcPr>
            <w:tcW w:w="12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368</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917</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795</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518</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650</w:t>
            </w:r>
          </w:p>
        </w:tc>
      </w:tr>
      <w:tr>
        <w:trPr>
          <w:trHeight w:val="256"/>
        </w:trPr>
        <w:tc>
          <w:tcPr>
            <w:tcW w:w="3840" w:type="dxa"/>
            <w:vAlign w:val="bottom"/>
            <w:shd w:val="clear" w:color="auto" w:fill="CCEEFF"/>
          </w:tcPr>
          <w:p>
            <w:pPr>
              <w:ind w:left="840"/>
              <w:spacing w:after="0"/>
              <w:rPr>
                <w:sz w:val="20"/>
                <w:szCs w:val="20"/>
                <w:color w:val="auto"/>
              </w:rPr>
            </w:pPr>
            <w:r>
              <w:rPr>
                <w:rFonts w:ascii="Arial" w:cs="Arial" w:eastAsia="Arial" w:hAnsi="Arial"/>
                <w:sz w:val="14"/>
                <w:szCs w:val="14"/>
                <w:color w:val="auto"/>
              </w:rPr>
              <w:t>Total liabilities</w:t>
            </w:r>
          </w:p>
        </w:tc>
        <w:tc>
          <w:tcPr>
            <w:tcW w:w="120" w:type="dxa"/>
            <w:vAlign w:val="bottom"/>
            <w:tcBorders>
              <w:bottom w:val="single" w:sz="8" w:color="auto"/>
            </w:tcBorders>
            <w:shd w:val="clear" w:color="auto" w:fill="CCEEFF"/>
          </w:tcPr>
          <w:p>
            <w:pPr>
              <w:spacing w:after="0"/>
              <w:rPr>
                <w:sz w:val="22"/>
                <w:szCs w:val="22"/>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99,548</w:t>
            </w:r>
          </w:p>
        </w:tc>
        <w:tc>
          <w:tcPr>
            <w:tcW w:w="120" w:type="dxa"/>
            <w:vAlign w:val="bottom"/>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2"/>
                <w:szCs w:val="22"/>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96,230</w:t>
            </w:r>
          </w:p>
        </w:tc>
        <w:tc>
          <w:tcPr>
            <w:tcW w:w="120" w:type="dxa"/>
            <w:vAlign w:val="bottom"/>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2"/>
                <w:szCs w:val="22"/>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108,306</w:t>
            </w:r>
          </w:p>
        </w:tc>
        <w:tc>
          <w:tcPr>
            <w:tcW w:w="120" w:type="dxa"/>
            <w:vAlign w:val="bottom"/>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9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99,335</w:t>
            </w:r>
          </w:p>
        </w:tc>
        <w:tc>
          <w:tcPr>
            <w:tcW w:w="120" w:type="dxa"/>
            <w:vAlign w:val="bottom"/>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spacing w:after="0"/>
              <w:rPr>
                <w:sz w:val="22"/>
                <w:szCs w:val="22"/>
                <w:color w:val="auto"/>
              </w:rPr>
            </w:pPr>
          </w:p>
        </w:tc>
        <w:tc>
          <w:tcPr>
            <w:tcW w:w="8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82,404</w:t>
            </w:r>
          </w:p>
        </w:tc>
      </w:tr>
      <w:tr>
        <w:trPr>
          <w:trHeight w:val="258"/>
        </w:trPr>
        <w:tc>
          <w:tcPr>
            <w:tcW w:w="3840" w:type="dxa"/>
            <w:vAlign w:val="bottom"/>
          </w:tcPr>
          <w:p>
            <w:pPr>
              <w:ind w:left="40"/>
              <w:spacing w:after="0"/>
              <w:rPr>
                <w:sz w:val="20"/>
                <w:szCs w:val="20"/>
                <w:color w:val="auto"/>
              </w:rPr>
            </w:pPr>
            <w:r>
              <w:rPr>
                <w:rFonts w:ascii="Arial" w:cs="Arial" w:eastAsia="Arial" w:hAnsi="Arial"/>
                <w:sz w:val="14"/>
                <w:szCs w:val="14"/>
                <w:b w:val="1"/>
                <w:bCs w:val="1"/>
                <w:color w:val="auto"/>
              </w:rPr>
              <w:t>Stockholders' equity:</w:t>
            </w:r>
          </w:p>
        </w:tc>
        <w:tc>
          <w:tcPr>
            <w:tcW w:w="1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spacing w:after="0"/>
              <w:rPr>
                <w:sz w:val="22"/>
                <w:szCs w:val="22"/>
                <w:color w:val="auto"/>
              </w:rPr>
            </w:pPr>
          </w:p>
        </w:tc>
      </w:tr>
      <w:tr>
        <w:trPr>
          <w:trHeight w:val="163"/>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Preferred stock - aggregate liquidation preference of $735,</w:t>
            </w: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r>
      <w:tr>
        <w:trPr>
          <w:trHeight w:val="194"/>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$735, $735, $500 and $500, respectively</w:t>
            </w: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711</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711</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711</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484</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484</w:t>
            </w:r>
          </w:p>
        </w:tc>
      </w:tr>
      <w:tr>
        <w:trPr>
          <w:trHeight w:val="157"/>
        </w:trPr>
        <w:tc>
          <w:tcPr>
            <w:tcW w:w="3840" w:type="dxa"/>
            <w:vAlign w:val="bottom"/>
          </w:tcPr>
          <w:p>
            <w:pPr>
              <w:ind w:left="180"/>
              <w:spacing w:after="0" w:line="157" w:lineRule="exact"/>
              <w:rPr>
                <w:sz w:val="20"/>
                <w:szCs w:val="20"/>
                <w:color w:val="auto"/>
              </w:rPr>
            </w:pPr>
            <w:r>
              <w:rPr>
                <w:rFonts w:ascii="Arial" w:cs="Arial" w:eastAsia="Arial" w:hAnsi="Arial"/>
                <w:sz w:val="14"/>
                <w:szCs w:val="14"/>
                <w:color w:val="auto"/>
                <w:w w:val="97"/>
              </w:rPr>
              <w:t>Common stock - $0.01 par value; 540.9, 547.8, 536.3, 536.3</w:t>
            </w: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spacing w:after="0"/>
              <w:rPr>
                <w:sz w:val="13"/>
                <w:szCs w:val="13"/>
                <w:color w:val="auto"/>
              </w:rPr>
            </w:pPr>
          </w:p>
        </w:tc>
      </w:tr>
      <w:tr>
        <w:trPr>
          <w:trHeight w:val="188"/>
        </w:trPr>
        <w:tc>
          <w:tcPr>
            <w:tcW w:w="3840" w:type="dxa"/>
            <w:vAlign w:val="bottom"/>
          </w:tcPr>
          <w:p>
            <w:pPr>
              <w:ind w:left="180"/>
              <w:spacing w:after="0"/>
              <w:rPr>
                <w:sz w:val="20"/>
                <w:szCs w:val="20"/>
                <w:color w:val="auto"/>
              </w:rPr>
            </w:pPr>
            <w:r>
              <w:rPr>
                <w:rFonts w:ascii="Arial" w:cs="Arial" w:eastAsia="Arial" w:hAnsi="Arial"/>
                <w:sz w:val="14"/>
                <w:szCs w:val="14"/>
                <w:color w:val="auto"/>
              </w:rPr>
              <w:t>and 477.8 shares issued and outstanding, respectively</w:t>
            </w: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5</w:t>
            </w:r>
          </w:p>
        </w:tc>
      </w:tr>
      <w:tr>
        <w:trPr>
          <w:trHeight w:val="276"/>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Additional paid-in capital</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13,888</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13,988</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13,795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13,793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12,785</w:t>
            </w:r>
          </w:p>
        </w:tc>
      </w:tr>
      <w:tr>
        <w:trPr>
          <w:trHeight w:val="264"/>
        </w:trPr>
        <w:tc>
          <w:tcPr>
            <w:tcW w:w="3840" w:type="dxa"/>
            <w:vAlign w:val="bottom"/>
          </w:tcPr>
          <w:p>
            <w:pPr>
              <w:ind w:left="180"/>
              <w:spacing w:after="0"/>
              <w:rPr>
                <w:sz w:val="20"/>
                <w:szCs w:val="20"/>
                <w:color w:val="auto"/>
              </w:rPr>
            </w:pPr>
            <w:r>
              <w:rPr>
                <w:rFonts w:ascii="Arial" w:cs="Arial" w:eastAsia="Arial" w:hAnsi="Arial"/>
                <w:sz w:val="14"/>
                <w:szCs w:val="14"/>
                <w:color w:val="auto"/>
              </w:rPr>
              <w:t>Retained deficit</w:t>
            </w:r>
          </w:p>
        </w:tc>
        <w:tc>
          <w:tcPr>
            <w:tcW w:w="1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(4,473)</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(4,194)</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(3,467)</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(3,433)</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(2,343)</w:t>
            </w:r>
          </w:p>
        </w:tc>
      </w:tr>
      <w:tr>
        <w:trPr>
          <w:trHeight w:val="270"/>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Accumulated other comprehensive income (loss)</w:t>
            </w:r>
          </w:p>
        </w:tc>
        <w:tc>
          <w:tcPr>
            <w:tcW w:w="12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82</w:t>
            </w: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(543)</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(943)</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(1,304)</w:t>
            </w:r>
          </w:p>
        </w:tc>
      </w:tr>
      <w:tr>
        <w:trPr>
          <w:trHeight w:val="250"/>
        </w:trPr>
        <w:tc>
          <w:tcPr>
            <w:tcW w:w="3840" w:type="dxa"/>
            <w:vAlign w:val="bottom"/>
            <w:tcBorders>
              <w:bottom w:val="single" w:sz="8" w:color="CCEEFF"/>
            </w:tcBorders>
          </w:tcPr>
          <w:p>
            <w:pPr>
              <w:ind w:left="840"/>
              <w:spacing w:after="0"/>
              <w:rPr>
                <w:sz w:val="20"/>
                <w:szCs w:val="20"/>
                <w:color w:val="auto"/>
              </w:rPr>
            </w:pPr>
            <w:r>
              <w:rPr>
                <w:rFonts w:ascii="Arial" w:cs="Arial" w:eastAsia="Arial" w:hAnsi="Arial"/>
                <w:sz w:val="14"/>
                <w:szCs w:val="14"/>
                <w:color w:val="auto"/>
              </w:rPr>
              <w:t>Total stockholders' equity</w:t>
            </w:r>
          </w:p>
        </w:tc>
        <w:tc>
          <w:tcPr>
            <w:tcW w:w="12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10,213</w:t>
            </w: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10,346</w:t>
            </w: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10,501</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9,906</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9,627</w:t>
            </w:r>
          </w:p>
        </w:tc>
      </w:tr>
      <w:tr>
        <w:trPr>
          <w:trHeight w:val="243"/>
        </w:trPr>
        <w:tc>
          <w:tcPr>
            <w:tcW w:w="3840" w:type="dxa"/>
            <w:vAlign w:val="bottom"/>
            <w:tcBorders>
              <w:bottom w:val="single" w:sz="8" w:color="CCEEFF"/>
            </w:tcBorders>
            <w:shd w:val="clear" w:color="auto" w:fill="CCEEFF"/>
          </w:tcPr>
          <w:p>
            <w:pPr>
              <w:ind w:left="840"/>
              <w:spacing w:after="0"/>
              <w:rPr>
                <w:sz w:val="20"/>
                <w:szCs w:val="20"/>
                <w:color w:val="auto"/>
              </w:rPr>
            </w:pPr>
            <w:r>
              <w:rPr>
                <w:rFonts w:ascii="Arial" w:cs="Arial" w:eastAsia="Arial" w:hAnsi="Arial"/>
                <w:sz w:val="14"/>
                <w:szCs w:val="14"/>
                <w:color w:val="auto"/>
              </w:rPr>
              <w:t>Total liabilities and stockholders' equity</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109,761</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106,576</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118,807</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109,241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92,031</w:t>
            </w:r>
          </w:p>
        </w:tc>
      </w:tr>
      <w:tr>
        <w:trPr>
          <w:trHeight w:val="20"/>
        </w:trPr>
        <w:tc>
          <w:tcPr>
            <w:tcW w:w="38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251"/>
        </w:trPr>
        <w:tc>
          <w:tcPr>
            <w:tcW w:w="38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spacing w:after="0"/>
              <w:rPr>
                <w:sz w:val="21"/>
                <w:szCs w:val="21"/>
                <w:color w:val="auto"/>
              </w:rPr>
            </w:pPr>
          </w:p>
        </w:tc>
      </w:tr>
      <w:tr>
        <w:trPr>
          <w:trHeight w:val="257"/>
        </w:trPr>
        <w:tc>
          <w:tcPr>
            <w:tcW w:w="3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 xml:space="preserve">Tangible net book value per common share </w:t>
            </w:r>
            <w:r>
              <w:rPr>
                <w:rFonts w:ascii="Arial" w:cs="Arial" w:eastAsia="Arial" w:hAnsi="Arial"/>
                <w:sz w:val="8"/>
                <w:szCs w:val="8"/>
                <w:b w:val="1"/>
                <w:bCs w:val="1"/>
                <w:color w:val="auto"/>
              </w:rPr>
              <w:t>1</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16.55</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16.58</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17.23</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16.56</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18.00</w:t>
            </w:r>
          </w:p>
        </w:tc>
      </w:tr>
      <w:tr>
        <w:trPr>
          <w:trHeight w:val="20"/>
        </w:trPr>
        <w:tc>
          <w:tcPr>
            <w:tcW w:w="38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ectPr>
          <w:pgSz w:w="11900" w:h="16838" w:orient="portrait"/>
          <w:cols w:equalWidth="0" w:num="1">
            <w:col w:w="10219"/>
          </w:cols>
          <w:pgMar w:left="240" w:top="147" w:right="1440" w:bottom="1440" w:gutter="0" w:footer="0" w:header="0"/>
        </w:sectPr>
      </w:pPr>
    </w:p>
    <w:bookmarkStart w:id="11" w:name="page12"/>
    <w:bookmarkEnd w:id="11"/>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9</w:t>
      </w:r>
    </w:p>
    <w:p>
      <w:pPr>
        <w:spacing w:after="0" w:line="383" w:lineRule="exact"/>
        <w:rPr>
          <w:sz w:val="20"/>
          <w:szCs w:val="20"/>
          <w:color w:val="auto"/>
        </w:rPr>
      </w:pPr>
    </w:p>
    <w:p>
      <w:pPr>
        <w:jc w:val="center"/>
        <w:ind w:right="879"/>
        <w:spacing w:after="0"/>
        <w:rPr>
          <w:sz w:val="20"/>
          <w:szCs w:val="20"/>
          <w:color w:val="auto"/>
        </w:rPr>
      </w:pPr>
      <w:r>
        <w:rPr>
          <w:rFonts w:ascii="Arial" w:cs="Arial" w:eastAsia="Arial" w:hAnsi="Arial"/>
          <w:sz w:val="14"/>
          <w:szCs w:val="14"/>
          <w:color w:val="auto"/>
        </w:rPr>
        <w:t>AGNC INVESTMENT CORP.</w:t>
      </w:r>
    </w:p>
    <w:p>
      <w:pPr>
        <w:spacing w:after="0" w:line="42" w:lineRule="exact"/>
        <w:rPr>
          <w:sz w:val="20"/>
          <w:szCs w:val="20"/>
          <w:color w:val="auto"/>
        </w:rPr>
      </w:pPr>
    </w:p>
    <w:p>
      <w:pPr>
        <w:jc w:val="center"/>
        <w:ind w:right="879"/>
        <w:spacing w:after="0"/>
        <w:rPr>
          <w:sz w:val="20"/>
          <w:szCs w:val="20"/>
          <w:color w:val="auto"/>
        </w:rPr>
      </w:pPr>
      <w:r>
        <w:rPr>
          <w:rFonts w:ascii="Arial" w:cs="Arial" w:eastAsia="Arial" w:hAnsi="Arial"/>
          <w:sz w:val="14"/>
          <w:szCs w:val="14"/>
          <w:color w:val="auto"/>
        </w:rPr>
        <w:t>CONSOLIDATED STATEMENTS OF OPERATIONS</w:t>
      </w:r>
    </w:p>
    <w:p>
      <w:pPr>
        <w:spacing w:after="0" w:line="42" w:lineRule="exact"/>
        <w:rPr>
          <w:sz w:val="20"/>
          <w:szCs w:val="20"/>
          <w:color w:val="auto"/>
        </w:rPr>
      </w:pPr>
    </w:p>
    <w:p>
      <w:pPr>
        <w:jc w:val="center"/>
        <w:ind w:right="879"/>
        <w:spacing w:after="0"/>
        <w:rPr>
          <w:sz w:val="20"/>
          <w:szCs w:val="20"/>
          <w:color w:val="auto"/>
        </w:rPr>
      </w:pPr>
      <w:r>
        <w:rPr>
          <w:rFonts w:ascii="Arial" w:cs="Arial" w:eastAsia="Arial" w:hAnsi="Arial"/>
          <w:sz w:val="14"/>
          <w:szCs w:val="14"/>
          <w:color w:val="auto"/>
        </w:rPr>
        <w:t>(in millions, except per share data)</w:t>
      </w:r>
    </w:p>
    <w:p>
      <w:pPr>
        <w:spacing w:after="0" w:line="42" w:lineRule="exact"/>
        <w:rPr>
          <w:sz w:val="20"/>
          <w:szCs w:val="20"/>
          <w:color w:val="auto"/>
        </w:rPr>
      </w:pPr>
    </w:p>
    <w:p>
      <w:pPr>
        <w:jc w:val="center"/>
        <w:ind w:right="879"/>
        <w:spacing w:after="0"/>
        <w:rPr>
          <w:sz w:val="20"/>
          <w:szCs w:val="20"/>
          <w:color w:val="auto"/>
        </w:rPr>
      </w:pPr>
      <w:r>
        <w:rPr>
          <w:rFonts w:ascii="Arial" w:cs="Arial" w:eastAsia="Arial" w:hAnsi="Arial"/>
          <w:sz w:val="14"/>
          <w:szCs w:val="14"/>
          <w:color w:val="auto"/>
        </w:rPr>
        <w:t>(unaudited)</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384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color w:val="auto"/>
                <w:w w:val="93"/>
              </w:rPr>
              <w:t>Three Months Ended</w:t>
            </w: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3840" w:type="dxa"/>
            <w:vAlign w:val="bottom"/>
          </w:tcPr>
          <w:p>
            <w:pPr>
              <w:spacing w:after="0"/>
              <w:rPr>
                <w:sz w:val="13"/>
                <w:szCs w:val="13"/>
                <w:color w:val="auto"/>
              </w:rPr>
            </w:pPr>
          </w:p>
        </w:tc>
        <w:tc>
          <w:tcPr>
            <w:tcW w:w="1120" w:type="dxa"/>
            <w:vAlign w:val="bottom"/>
            <w:gridSpan w:val="3"/>
          </w:tcPr>
          <w:p>
            <w:pPr>
              <w:ind w:left="80"/>
              <w:spacing w:after="0" w:line="157" w:lineRule="exact"/>
              <w:rPr>
                <w:sz w:val="20"/>
                <w:szCs w:val="20"/>
                <w:color w:val="auto"/>
              </w:rPr>
            </w:pPr>
            <w:r>
              <w:rPr>
                <w:rFonts w:ascii="Arial" w:cs="Arial" w:eastAsia="Arial" w:hAnsi="Arial"/>
                <w:sz w:val="14"/>
                <w:szCs w:val="14"/>
                <w:color w:val="auto"/>
              </w:rPr>
              <w:t>September 30,</w:t>
            </w:r>
          </w:p>
        </w:tc>
        <w:tc>
          <w:tcPr>
            <w:tcW w:w="220" w:type="dxa"/>
            <w:vAlign w:val="bottom"/>
          </w:tcPr>
          <w:p>
            <w:pPr>
              <w:spacing w:after="0"/>
              <w:rPr>
                <w:sz w:val="13"/>
                <w:szCs w:val="13"/>
                <w:color w:val="auto"/>
              </w:rPr>
            </w:pPr>
          </w:p>
        </w:tc>
        <w:tc>
          <w:tcPr>
            <w:tcW w:w="780" w:type="dxa"/>
            <w:vAlign w:val="bottom"/>
          </w:tcPr>
          <w:p>
            <w:pPr>
              <w:jc w:val="right"/>
              <w:ind w:right="108"/>
              <w:spacing w:after="0" w:line="157" w:lineRule="exact"/>
              <w:rPr>
                <w:sz w:val="20"/>
                <w:szCs w:val="20"/>
                <w:color w:val="auto"/>
              </w:rPr>
            </w:pPr>
            <w:r>
              <w:rPr>
                <w:rFonts w:ascii="Arial" w:cs="Arial" w:eastAsia="Arial" w:hAnsi="Arial"/>
                <w:sz w:val="14"/>
                <w:szCs w:val="14"/>
                <w:color w:val="auto"/>
              </w:rPr>
              <w:t>June 30,</w:t>
            </w: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gridSpan w:val="2"/>
          </w:tcPr>
          <w:p>
            <w:pPr>
              <w:spacing w:after="0" w:line="157" w:lineRule="exact"/>
              <w:rPr>
                <w:sz w:val="20"/>
                <w:szCs w:val="20"/>
                <w:color w:val="auto"/>
              </w:rPr>
            </w:pPr>
            <w:r>
              <w:rPr>
                <w:rFonts w:ascii="Arial" w:cs="Arial" w:eastAsia="Arial" w:hAnsi="Arial"/>
                <w:sz w:val="14"/>
                <w:szCs w:val="14"/>
                <w:color w:val="auto"/>
              </w:rPr>
              <w:t>December 31,</w:t>
            </w:r>
          </w:p>
        </w:tc>
        <w:tc>
          <w:tcPr>
            <w:tcW w:w="1000" w:type="dxa"/>
            <w:vAlign w:val="bottom"/>
            <w:gridSpan w:val="2"/>
          </w:tcPr>
          <w:p>
            <w:pPr>
              <w:jc w:val="right"/>
              <w:ind w:right="8"/>
              <w:spacing w:after="0" w:line="157" w:lineRule="exact"/>
              <w:rPr>
                <w:sz w:val="20"/>
                <w:szCs w:val="20"/>
                <w:color w:val="auto"/>
              </w:rPr>
            </w:pPr>
            <w:r>
              <w:rPr>
                <w:rFonts w:ascii="Arial" w:cs="Arial" w:eastAsia="Arial" w:hAnsi="Arial"/>
                <w:sz w:val="14"/>
                <w:szCs w:val="14"/>
                <w:color w:val="auto"/>
                <w:w w:val="97"/>
              </w:rPr>
              <w:t>September 30,</w:t>
            </w:r>
          </w:p>
        </w:tc>
        <w:tc>
          <w:tcPr>
            <w:tcW w:w="0" w:type="dxa"/>
            <w:vAlign w:val="bottom"/>
          </w:tcPr>
          <w:p>
            <w:pPr>
              <w:spacing w:after="0"/>
              <w:rPr>
                <w:sz w:val="1"/>
                <w:szCs w:val="1"/>
                <w:color w:val="auto"/>
              </w:rPr>
            </w:pPr>
          </w:p>
        </w:tc>
      </w:tr>
      <w:tr>
        <w:trPr>
          <w:trHeight w:val="188"/>
        </w:trPr>
        <w:tc>
          <w:tcPr>
            <w:tcW w:w="3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ind w:right="288"/>
              <w:spacing w:after="0"/>
              <w:rPr>
                <w:sz w:val="20"/>
                <w:szCs w:val="20"/>
                <w:color w:val="auto"/>
              </w:rPr>
            </w:pPr>
            <w:r>
              <w:rPr>
                <w:rFonts w:ascii="Arial" w:cs="Arial" w:eastAsia="Arial" w:hAnsi="Arial"/>
                <w:sz w:val="14"/>
                <w:szCs w:val="14"/>
                <w:color w:val="auto"/>
              </w:rPr>
              <w:t>2019</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ind w:right="208"/>
              <w:spacing w:after="0"/>
              <w:rPr>
                <w:sz w:val="20"/>
                <w:szCs w:val="20"/>
                <w:color w:val="auto"/>
              </w:rPr>
            </w:pPr>
            <w:r>
              <w:rPr>
                <w:rFonts w:ascii="Arial" w:cs="Arial" w:eastAsia="Arial" w:hAnsi="Arial"/>
                <w:sz w:val="14"/>
                <w:szCs w:val="14"/>
                <w:color w:val="auto"/>
              </w:rPr>
              <w:t>2019</w:t>
            </w:r>
          </w:p>
        </w:tc>
        <w:tc>
          <w:tcPr>
            <w:tcW w:w="120" w:type="dxa"/>
            <w:vAlign w:val="bottom"/>
          </w:tcPr>
          <w:p>
            <w:pPr>
              <w:spacing w:after="0"/>
              <w:rPr>
                <w:sz w:val="16"/>
                <w:szCs w:val="16"/>
                <w:color w:val="auto"/>
              </w:rPr>
            </w:pPr>
          </w:p>
        </w:tc>
        <w:tc>
          <w:tcPr>
            <w:tcW w:w="1120" w:type="dxa"/>
            <w:vAlign w:val="bottom"/>
            <w:gridSpan w:val="3"/>
          </w:tcPr>
          <w:p>
            <w:pPr>
              <w:jc w:val="center"/>
              <w:ind w:right="120"/>
              <w:spacing w:after="0"/>
              <w:rPr>
                <w:sz w:val="20"/>
                <w:szCs w:val="20"/>
                <w:color w:val="auto"/>
              </w:rPr>
            </w:pPr>
            <w:r>
              <w:rPr>
                <w:rFonts w:ascii="Arial" w:cs="Arial" w:eastAsia="Arial" w:hAnsi="Arial"/>
                <w:sz w:val="14"/>
                <w:szCs w:val="14"/>
                <w:color w:val="auto"/>
                <w:w w:val="94"/>
              </w:rPr>
              <w:t>March 31, 2019</w:t>
            </w:r>
          </w:p>
        </w:tc>
        <w:tc>
          <w:tcPr>
            <w:tcW w:w="100" w:type="dxa"/>
            <w:vAlign w:val="bottom"/>
          </w:tcPr>
          <w:p>
            <w:pPr>
              <w:spacing w:after="0"/>
              <w:rPr>
                <w:sz w:val="16"/>
                <w:szCs w:val="16"/>
                <w:color w:val="auto"/>
              </w:rPr>
            </w:pPr>
          </w:p>
        </w:tc>
        <w:tc>
          <w:tcPr>
            <w:tcW w:w="900" w:type="dxa"/>
            <w:vAlign w:val="bottom"/>
          </w:tcPr>
          <w:p>
            <w:pPr>
              <w:jc w:val="right"/>
              <w:ind w:right="288"/>
              <w:spacing w:after="0"/>
              <w:rPr>
                <w:sz w:val="20"/>
                <w:szCs w:val="20"/>
                <w:color w:val="auto"/>
              </w:rPr>
            </w:pPr>
            <w:r>
              <w:rPr>
                <w:rFonts w:ascii="Arial" w:cs="Arial" w:eastAsia="Arial" w:hAnsi="Arial"/>
                <w:sz w:val="14"/>
                <w:szCs w:val="14"/>
                <w:color w:val="auto"/>
              </w:rPr>
              <w:t>2018</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ind w:right="288"/>
              <w:spacing w:after="0"/>
              <w:rPr>
                <w:sz w:val="20"/>
                <w:szCs w:val="20"/>
                <w:color w:val="auto"/>
              </w:rPr>
            </w:pPr>
            <w:r>
              <w:rPr>
                <w:rFonts w:ascii="Arial" w:cs="Arial" w:eastAsia="Arial" w:hAnsi="Arial"/>
                <w:sz w:val="14"/>
                <w:szCs w:val="14"/>
                <w:color w:val="auto"/>
              </w:rPr>
              <w:t>2018</w:t>
            </w:r>
          </w:p>
        </w:tc>
        <w:tc>
          <w:tcPr>
            <w:tcW w:w="0" w:type="dxa"/>
            <w:vAlign w:val="bottom"/>
          </w:tcPr>
          <w:p>
            <w:pPr>
              <w:spacing w:after="0"/>
              <w:rPr>
                <w:sz w:val="1"/>
                <w:szCs w:val="1"/>
                <w:color w:val="auto"/>
              </w:rPr>
            </w:pPr>
          </w:p>
        </w:tc>
      </w:tr>
      <w:tr>
        <w:trPr>
          <w:trHeight w:val="270"/>
        </w:trPr>
        <w:tc>
          <w:tcPr>
            <w:tcW w:w="38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Interest income:</w:t>
            </w:r>
          </w:p>
        </w:tc>
        <w:tc>
          <w:tcPr>
            <w:tcW w:w="220" w:type="dxa"/>
            <w:vAlign w:val="bottom"/>
            <w:tcBorders>
              <w:top w:val="single" w:sz="8" w:color="auto"/>
            </w:tcBorders>
            <w:shd w:val="clear" w:color="auto" w:fill="CCEEFF"/>
          </w:tcPr>
          <w:p>
            <w:pPr>
              <w:spacing w:after="0"/>
              <w:rPr>
                <w:sz w:val="23"/>
                <w:szCs w:val="23"/>
                <w:color w:val="auto"/>
              </w:rPr>
            </w:pPr>
          </w:p>
        </w:tc>
        <w:tc>
          <w:tcPr>
            <w:tcW w:w="7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20" w:type="dxa"/>
            <w:vAlign w:val="bottom"/>
            <w:tcBorders>
              <w:top w:val="single" w:sz="8" w:color="auto"/>
            </w:tcBorders>
            <w:shd w:val="clear" w:color="auto" w:fill="CCEEFF"/>
          </w:tcPr>
          <w:p>
            <w:pPr>
              <w:spacing w:after="0"/>
              <w:rPr>
                <w:sz w:val="23"/>
                <w:szCs w:val="23"/>
                <w:color w:val="auto"/>
              </w:rPr>
            </w:pPr>
          </w:p>
        </w:tc>
        <w:tc>
          <w:tcPr>
            <w:tcW w:w="7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320" w:type="dxa"/>
            <w:vAlign w:val="bottom"/>
            <w:tcBorders>
              <w:top w:val="single" w:sz="8" w:color="auto"/>
            </w:tcBorders>
            <w:shd w:val="clear" w:color="auto" w:fill="CCEEFF"/>
          </w:tcPr>
          <w:p>
            <w:pPr>
              <w:spacing w:after="0"/>
              <w:rPr>
                <w:sz w:val="23"/>
                <w:szCs w:val="23"/>
                <w:color w:val="auto"/>
              </w:rPr>
            </w:pPr>
          </w:p>
        </w:tc>
        <w:tc>
          <w:tcPr>
            <w:tcW w:w="6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20" w:type="dxa"/>
            <w:vAlign w:val="bottom"/>
            <w:tcBorders>
              <w:top w:val="single" w:sz="8" w:color="auto"/>
            </w:tcBorders>
            <w:shd w:val="clear" w:color="auto" w:fill="CCEEFF"/>
          </w:tcPr>
          <w:p>
            <w:pPr>
              <w:spacing w:after="0"/>
              <w:rPr>
                <w:sz w:val="23"/>
                <w:szCs w:val="23"/>
                <w:color w:val="auto"/>
              </w:rPr>
            </w:pPr>
          </w:p>
        </w:tc>
        <w:tc>
          <w:tcPr>
            <w:tcW w:w="78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840" w:type="dxa"/>
            <w:vAlign w:val="bottom"/>
          </w:tcPr>
          <w:p>
            <w:pPr>
              <w:ind w:left="140"/>
              <w:spacing w:after="0"/>
              <w:rPr>
                <w:sz w:val="20"/>
                <w:szCs w:val="20"/>
                <w:color w:val="auto"/>
              </w:rPr>
            </w:pPr>
            <w:r>
              <w:rPr>
                <w:rFonts w:ascii="Arial" w:cs="Arial" w:eastAsia="Arial" w:hAnsi="Arial"/>
                <w:sz w:val="14"/>
                <w:szCs w:val="14"/>
                <w:color w:val="auto"/>
              </w:rPr>
              <w:t>Interest income</w:t>
            </w: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676</w:t>
            </w:r>
          </w:p>
        </w:tc>
        <w:tc>
          <w:tcPr>
            <w:tcW w:w="12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693</w:t>
            </w:r>
          </w:p>
        </w:tc>
        <w:tc>
          <w:tcPr>
            <w:tcW w:w="440" w:type="dxa"/>
            <w:vAlign w:val="bottom"/>
            <w:gridSpan w:val="2"/>
          </w:tcPr>
          <w:p>
            <w:pPr>
              <w:jc w:val="right"/>
              <w:ind w:right="14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705</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604</w:t>
            </w:r>
          </w:p>
        </w:tc>
        <w:tc>
          <w:tcPr>
            <w:tcW w:w="12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500</w:t>
            </w:r>
          </w:p>
        </w:tc>
        <w:tc>
          <w:tcPr>
            <w:tcW w:w="0" w:type="dxa"/>
            <w:vAlign w:val="bottom"/>
          </w:tcPr>
          <w:p>
            <w:pPr>
              <w:spacing w:after="0"/>
              <w:rPr>
                <w:sz w:val="1"/>
                <w:szCs w:val="1"/>
                <w:color w:val="auto"/>
              </w:rPr>
            </w:pPr>
          </w:p>
        </w:tc>
      </w:tr>
      <w:tr>
        <w:trPr>
          <w:trHeight w:val="270"/>
        </w:trPr>
        <w:tc>
          <w:tcPr>
            <w:tcW w:w="38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Interest expense</w:t>
            </w:r>
          </w:p>
        </w:tc>
        <w:tc>
          <w:tcPr>
            <w:tcW w:w="2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557</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570</w:t>
            </w:r>
          </w:p>
        </w:tc>
        <w:tc>
          <w:tcPr>
            <w:tcW w:w="12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541</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418</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312</w:t>
            </w:r>
          </w:p>
        </w:tc>
        <w:tc>
          <w:tcPr>
            <w:tcW w:w="0" w:type="dxa"/>
            <w:vAlign w:val="bottom"/>
          </w:tcPr>
          <w:p>
            <w:pPr>
              <w:spacing w:after="0"/>
              <w:rPr>
                <w:sz w:val="1"/>
                <w:szCs w:val="1"/>
                <w:color w:val="auto"/>
              </w:rPr>
            </w:pPr>
          </w:p>
        </w:tc>
      </w:tr>
      <w:tr>
        <w:trPr>
          <w:trHeight w:val="250"/>
        </w:trPr>
        <w:tc>
          <w:tcPr>
            <w:tcW w:w="3840" w:type="dxa"/>
            <w:vAlign w:val="bottom"/>
            <w:tcBorders>
              <w:bottom w:val="single" w:sz="8" w:color="CCEEFF"/>
            </w:tcBorders>
          </w:tcPr>
          <w:p>
            <w:pPr>
              <w:ind w:left="400"/>
              <w:spacing w:after="0"/>
              <w:rPr>
                <w:sz w:val="20"/>
                <w:szCs w:val="20"/>
                <w:color w:val="auto"/>
              </w:rPr>
            </w:pPr>
            <w:r>
              <w:rPr>
                <w:rFonts w:ascii="Arial" w:cs="Arial" w:eastAsia="Arial" w:hAnsi="Arial"/>
                <w:sz w:val="14"/>
                <w:szCs w:val="14"/>
                <w:color w:val="auto"/>
              </w:rPr>
              <w:t>Net interest income</w:t>
            </w:r>
          </w:p>
        </w:tc>
        <w:tc>
          <w:tcPr>
            <w:tcW w:w="2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119</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123</w:t>
            </w:r>
          </w:p>
        </w:tc>
        <w:tc>
          <w:tcPr>
            <w:tcW w:w="12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164</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186</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188</w:t>
            </w:r>
          </w:p>
        </w:tc>
        <w:tc>
          <w:tcPr>
            <w:tcW w:w="0" w:type="dxa"/>
            <w:vAlign w:val="bottom"/>
          </w:tcPr>
          <w:p>
            <w:pPr>
              <w:spacing w:after="0"/>
              <w:rPr>
                <w:sz w:val="1"/>
                <w:szCs w:val="1"/>
                <w:color w:val="auto"/>
              </w:rPr>
            </w:pPr>
          </w:p>
        </w:tc>
      </w:tr>
      <w:tr>
        <w:trPr>
          <w:trHeight w:val="270"/>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Other gain (loss), net:</w:t>
            </w:r>
          </w:p>
        </w:tc>
        <w:tc>
          <w:tcPr>
            <w:tcW w:w="2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840" w:type="dxa"/>
            <w:vAlign w:val="bottom"/>
          </w:tcPr>
          <w:p>
            <w:pPr>
              <w:ind w:left="180"/>
              <w:spacing w:after="0"/>
              <w:rPr>
                <w:sz w:val="20"/>
                <w:szCs w:val="20"/>
                <w:color w:val="auto"/>
              </w:rPr>
            </w:pPr>
            <w:r>
              <w:rPr>
                <w:rFonts w:ascii="Arial" w:cs="Arial" w:eastAsia="Arial" w:hAnsi="Arial"/>
                <w:sz w:val="14"/>
                <w:szCs w:val="14"/>
                <w:color w:val="auto"/>
              </w:rPr>
              <w:t>Realized gain (loss) on sale of investment securities, net</w:t>
            </w:r>
          </w:p>
        </w:tc>
        <w:tc>
          <w:tcPr>
            <w:tcW w:w="220" w:type="dxa"/>
            <w:vAlign w:val="bottom"/>
          </w:tcPr>
          <w:p>
            <w:pPr>
              <w:spacing w:after="0"/>
              <w:rPr>
                <w:sz w:val="22"/>
                <w:szCs w:val="22"/>
                <w:color w:val="auto"/>
              </w:rPr>
            </w:pP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89</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132</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60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(21)</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(40)</w:t>
            </w:r>
          </w:p>
        </w:tc>
        <w:tc>
          <w:tcPr>
            <w:tcW w:w="0" w:type="dxa"/>
            <w:vAlign w:val="bottom"/>
          </w:tcPr>
          <w:p>
            <w:pPr>
              <w:spacing w:after="0"/>
              <w:rPr>
                <w:sz w:val="1"/>
                <w:szCs w:val="1"/>
                <w:color w:val="auto"/>
              </w:rPr>
            </w:pPr>
          </w:p>
        </w:tc>
      </w:tr>
      <w:tr>
        <w:trPr>
          <w:trHeight w:val="163"/>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8"/>
              </w:rPr>
              <w:t>Unrealized gain (loss) on investment securities measured at</w:t>
            </w:r>
          </w:p>
        </w:tc>
        <w:tc>
          <w:tcPr>
            <w:tcW w:w="2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fair value through net income, net</w:t>
            </w:r>
          </w:p>
        </w:tc>
        <w:tc>
          <w:tcPr>
            <w:tcW w:w="220" w:type="dxa"/>
            <w:vAlign w:val="bottom"/>
            <w:shd w:val="clear" w:color="auto" w:fill="CCEEFF"/>
          </w:tcPr>
          <w:p>
            <w:pPr>
              <w:spacing w:after="0"/>
              <w:rPr>
                <w:sz w:val="16"/>
                <w:szCs w:val="16"/>
                <w:color w:val="auto"/>
              </w:rPr>
            </w:pP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355</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759</w:t>
            </w:r>
          </w:p>
        </w:tc>
        <w:tc>
          <w:tcPr>
            <w:tcW w:w="12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6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1,060</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683</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(363)</w:t>
            </w:r>
          </w:p>
        </w:tc>
        <w:tc>
          <w:tcPr>
            <w:tcW w:w="0" w:type="dxa"/>
            <w:vAlign w:val="bottom"/>
          </w:tcPr>
          <w:p>
            <w:pPr>
              <w:spacing w:after="0"/>
              <w:rPr>
                <w:sz w:val="1"/>
                <w:szCs w:val="1"/>
                <w:color w:val="auto"/>
              </w:rPr>
            </w:pPr>
          </w:p>
        </w:tc>
      </w:tr>
      <w:tr>
        <w:trPr>
          <w:trHeight w:val="264"/>
        </w:trPr>
        <w:tc>
          <w:tcPr>
            <w:tcW w:w="3840" w:type="dxa"/>
            <w:vAlign w:val="bottom"/>
          </w:tcPr>
          <w:p>
            <w:pPr>
              <w:ind w:left="140"/>
              <w:spacing w:after="0"/>
              <w:rPr>
                <w:sz w:val="20"/>
                <w:szCs w:val="20"/>
                <w:color w:val="auto"/>
              </w:rPr>
            </w:pPr>
            <w:r>
              <w:rPr>
                <w:rFonts w:ascii="Arial" w:cs="Arial" w:eastAsia="Arial" w:hAnsi="Arial"/>
                <w:sz w:val="14"/>
                <w:szCs w:val="14"/>
                <w:color w:val="auto"/>
                <w:w w:val="96"/>
              </w:rPr>
              <w:t>Gain (loss) on derivative instruments and other securities, net</w:t>
            </w: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(548)</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(1,438)</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(1,000)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(1,633)</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430</w:t>
            </w:r>
          </w:p>
        </w:tc>
        <w:tc>
          <w:tcPr>
            <w:tcW w:w="0" w:type="dxa"/>
            <w:vAlign w:val="bottom"/>
          </w:tcPr>
          <w:p>
            <w:pPr>
              <w:spacing w:after="0"/>
              <w:rPr>
                <w:sz w:val="1"/>
                <w:szCs w:val="1"/>
                <w:color w:val="auto"/>
              </w:rPr>
            </w:pPr>
          </w:p>
        </w:tc>
      </w:tr>
      <w:tr>
        <w:trPr>
          <w:trHeight w:val="270"/>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Management fee income</w:t>
            </w:r>
          </w:p>
        </w:tc>
        <w:tc>
          <w:tcPr>
            <w:tcW w:w="220" w:type="dxa"/>
            <w:vAlign w:val="bottom"/>
            <w:shd w:val="clear" w:color="auto" w:fill="CCEEFF"/>
          </w:tcPr>
          <w:p>
            <w:pPr>
              <w:spacing w:after="0"/>
              <w:rPr>
                <w:sz w:val="23"/>
                <w:szCs w:val="23"/>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46</w:t>
            </w:r>
          </w:p>
        </w:tc>
        <w:tc>
          <w:tcPr>
            <w:tcW w:w="0" w:type="dxa"/>
            <w:vAlign w:val="bottom"/>
          </w:tcPr>
          <w:p>
            <w:pPr>
              <w:spacing w:after="0"/>
              <w:rPr>
                <w:sz w:val="1"/>
                <w:szCs w:val="1"/>
                <w:color w:val="auto"/>
              </w:rPr>
            </w:pPr>
          </w:p>
        </w:tc>
      </w:tr>
      <w:tr>
        <w:trPr>
          <w:trHeight w:val="250"/>
        </w:trPr>
        <w:tc>
          <w:tcPr>
            <w:tcW w:w="3840" w:type="dxa"/>
            <w:vAlign w:val="bottom"/>
            <w:tcBorders>
              <w:bottom w:val="single" w:sz="8" w:color="CCEEFF"/>
            </w:tcBorders>
          </w:tcPr>
          <w:p>
            <w:pPr>
              <w:ind w:left="380"/>
              <w:spacing w:after="0"/>
              <w:rPr>
                <w:sz w:val="20"/>
                <w:szCs w:val="20"/>
                <w:color w:val="auto"/>
              </w:rPr>
            </w:pPr>
            <w:r>
              <w:rPr>
                <w:rFonts w:ascii="Arial" w:cs="Arial" w:eastAsia="Arial" w:hAnsi="Arial"/>
                <w:sz w:val="14"/>
                <w:szCs w:val="14"/>
                <w:color w:val="auto"/>
              </w:rPr>
              <w:t>Total other gain (loss), net</w:t>
            </w:r>
          </w:p>
        </w:tc>
        <w:tc>
          <w:tcPr>
            <w:tcW w:w="220" w:type="dxa"/>
            <w:vAlign w:val="bottom"/>
            <w:tcBorders>
              <w:top w:val="single" w:sz="8" w:color="auto"/>
              <w:bottom w:val="single" w:sz="8" w:color="auto"/>
            </w:tcBorders>
          </w:tcPr>
          <w:p>
            <w:pPr>
              <w:spacing w:after="0"/>
              <w:rPr>
                <w:sz w:val="21"/>
                <w:szCs w:val="21"/>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(104)</w:t>
            </w:r>
          </w:p>
        </w:tc>
        <w:tc>
          <w:tcPr>
            <w:tcW w:w="12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spacing w:after="0"/>
              <w:rPr>
                <w:sz w:val="21"/>
                <w:szCs w:val="21"/>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(547)</w:t>
            </w:r>
          </w:p>
        </w:tc>
        <w:tc>
          <w:tcPr>
            <w:tcW w:w="12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tcPr>
          <w:p>
            <w:pPr>
              <w:spacing w:after="0"/>
              <w:rPr>
                <w:sz w:val="21"/>
                <w:szCs w:val="21"/>
                <w:color w:val="auto"/>
              </w:rPr>
            </w:pPr>
          </w:p>
        </w:tc>
        <w:tc>
          <w:tcPr>
            <w:tcW w:w="6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120</w:t>
            </w:r>
          </w:p>
        </w:tc>
        <w:tc>
          <w:tcPr>
            <w:tcW w:w="12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spacing w:after="0"/>
              <w:rPr>
                <w:sz w:val="21"/>
                <w:szCs w:val="21"/>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(971)</w:t>
            </w:r>
          </w:p>
        </w:tc>
        <w:tc>
          <w:tcPr>
            <w:tcW w:w="12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spacing w:after="0"/>
              <w:rPr>
                <w:sz w:val="21"/>
                <w:szCs w:val="21"/>
                <w:color w:val="auto"/>
              </w:rPr>
            </w:pPr>
          </w:p>
        </w:tc>
        <w:tc>
          <w:tcPr>
            <w:tcW w:w="7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73</w:t>
            </w:r>
          </w:p>
        </w:tc>
        <w:tc>
          <w:tcPr>
            <w:tcW w:w="0" w:type="dxa"/>
            <w:vAlign w:val="bottom"/>
          </w:tcPr>
          <w:p>
            <w:pPr>
              <w:spacing w:after="0"/>
              <w:rPr>
                <w:sz w:val="1"/>
                <w:szCs w:val="1"/>
                <w:color w:val="auto"/>
              </w:rPr>
            </w:pPr>
          </w:p>
        </w:tc>
      </w:tr>
      <w:tr>
        <w:trPr>
          <w:trHeight w:val="270"/>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Expenses:</w:t>
            </w:r>
          </w:p>
        </w:tc>
        <w:tc>
          <w:tcPr>
            <w:tcW w:w="2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840" w:type="dxa"/>
            <w:vAlign w:val="bottom"/>
          </w:tcPr>
          <w:p>
            <w:pPr>
              <w:ind w:left="180"/>
              <w:spacing w:after="0"/>
              <w:rPr>
                <w:sz w:val="20"/>
                <w:szCs w:val="20"/>
                <w:color w:val="auto"/>
              </w:rPr>
            </w:pPr>
            <w:r>
              <w:rPr>
                <w:rFonts w:ascii="Arial" w:cs="Arial" w:eastAsia="Arial" w:hAnsi="Arial"/>
                <w:sz w:val="14"/>
                <w:szCs w:val="14"/>
                <w:color w:val="auto"/>
              </w:rPr>
              <w:t>Compensation and benefits</w:t>
            </w:r>
          </w:p>
        </w:tc>
        <w:tc>
          <w:tcPr>
            <w:tcW w:w="220" w:type="dxa"/>
            <w:vAlign w:val="bottom"/>
          </w:tcPr>
          <w:p>
            <w:pPr>
              <w:spacing w:after="0"/>
              <w:rPr>
                <w:sz w:val="22"/>
                <w:szCs w:val="22"/>
                <w:color w:val="auto"/>
              </w:rPr>
            </w:pP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10</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11</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10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11</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270"/>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Other operating expense</w:t>
            </w:r>
          </w:p>
        </w:tc>
        <w:tc>
          <w:tcPr>
            <w:tcW w:w="2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w:t>
            </w:r>
          </w:p>
        </w:tc>
        <w:tc>
          <w:tcPr>
            <w:tcW w:w="12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31</w:t>
            </w:r>
          </w:p>
        </w:tc>
        <w:tc>
          <w:tcPr>
            <w:tcW w:w="0" w:type="dxa"/>
            <w:vAlign w:val="bottom"/>
          </w:tcPr>
          <w:p>
            <w:pPr>
              <w:spacing w:after="0"/>
              <w:rPr>
                <w:sz w:val="1"/>
                <w:szCs w:val="1"/>
                <w:color w:val="auto"/>
              </w:rPr>
            </w:pPr>
          </w:p>
        </w:tc>
      </w:tr>
      <w:tr>
        <w:trPr>
          <w:trHeight w:val="250"/>
        </w:trPr>
        <w:tc>
          <w:tcPr>
            <w:tcW w:w="3840" w:type="dxa"/>
            <w:vAlign w:val="bottom"/>
            <w:tcBorders>
              <w:bottom w:val="single" w:sz="8" w:color="CCEEFF"/>
            </w:tcBorders>
          </w:tcPr>
          <w:p>
            <w:pPr>
              <w:ind w:left="400"/>
              <w:spacing w:after="0"/>
              <w:rPr>
                <w:sz w:val="20"/>
                <w:szCs w:val="20"/>
                <w:color w:val="auto"/>
              </w:rPr>
            </w:pPr>
            <w:r>
              <w:rPr>
                <w:rFonts w:ascii="Arial" w:cs="Arial" w:eastAsia="Arial" w:hAnsi="Arial"/>
                <w:sz w:val="14"/>
                <w:szCs w:val="14"/>
                <w:color w:val="auto"/>
              </w:rPr>
              <w:t>Total operating expense</w:t>
            </w:r>
          </w:p>
        </w:tc>
        <w:tc>
          <w:tcPr>
            <w:tcW w:w="2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19</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20</w:t>
            </w:r>
          </w:p>
        </w:tc>
        <w:tc>
          <w:tcPr>
            <w:tcW w:w="12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19</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19</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45</w:t>
            </w:r>
          </w:p>
        </w:tc>
        <w:tc>
          <w:tcPr>
            <w:tcW w:w="0" w:type="dxa"/>
            <w:vAlign w:val="bottom"/>
          </w:tcPr>
          <w:p>
            <w:pPr>
              <w:spacing w:after="0"/>
              <w:rPr>
                <w:sz w:val="1"/>
                <w:szCs w:val="1"/>
                <w:color w:val="auto"/>
              </w:rPr>
            </w:pPr>
          </w:p>
        </w:tc>
      </w:tr>
      <w:tr>
        <w:trPr>
          <w:trHeight w:val="256"/>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Net income (loss)</w:t>
            </w:r>
          </w:p>
        </w:tc>
        <w:tc>
          <w:tcPr>
            <w:tcW w:w="220" w:type="dxa"/>
            <w:vAlign w:val="bottom"/>
            <w:shd w:val="clear" w:color="auto" w:fill="CCEEFF"/>
          </w:tcPr>
          <w:p>
            <w:pPr>
              <w:spacing w:after="0"/>
              <w:rPr>
                <w:sz w:val="22"/>
                <w:szCs w:val="22"/>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(444)</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265</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(804)</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216</w:t>
            </w:r>
          </w:p>
        </w:tc>
        <w:tc>
          <w:tcPr>
            <w:tcW w:w="0" w:type="dxa"/>
            <w:vAlign w:val="bottom"/>
          </w:tcPr>
          <w:p>
            <w:pPr>
              <w:spacing w:after="0"/>
              <w:rPr>
                <w:sz w:val="1"/>
                <w:szCs w:val="1"/>
                <w:color w:val="auto"/>
              </w:rPr>
            </w:pPr>
          </w:p>
        </w:tc>
      </w:tr>
      <w:tr>
        <w:trPr>
          <w:trHeight w:val="264"/>
        </w:trPr>
        <w:tc>
          <w:tcPr>
            <w:tcW w:w="384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Dividend on preferred stock</w:t>
            </w:r>
          </w:p>
        </w:tc>
        <w:tc>
          <w:tcPr>
            <w:tcW w:w="2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13</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13</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139"/>
        </w:trPr>
        <w:tc>
          <w:tcPr>
            <w:tcW w:w="3840" w:type="dxa"/>
            <w:vAlign w:val="bottom"/>
            <w:shd w:val="clear" w:color="auto" w:fill="CCEEFF"/>
          </w:tcPr>
          <w:p>
            <w:pPr>
              <w:ind w:left="40"/>
              <w:spacing w:after="0" w:line="139" w:lineRule="exact"/>
              <w:rPr>
                <w:sz w:val="20"/>
                <w:szCs w:val="20"/>
                <w:color w:val="auto"/>
              </w:rPr>
            </w:pPr>
            <w:r>
              <w:rPr>
                <w:rFonts w:ascii="Arial" w:cs="Arial" w:eastAsia="Arial" w:hAnsi="Arial"/>
                <w:sz w:val="14"/>
                <w:szCs w:val="14"/>
                <w:b w:val="1"/>
                <w:bCs w:val="1"/>
                <w:color w:val="auto"/>
              </w:rPr>
              <w:t>Net income (loss) available (attributable) to common</w:t>
            </w:r>
          </w:p>
        </w:tc>
        <w:tc>
          <w:tcPr>
            <w:tcW w:w="22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12"/>
                <w:szCs w:val="12"/>
                <w:color w:val="auto"/>
              </w:rPr>
            </w:pPr>
          </w:p>
        </w:tc>
        <w:tc>
          <w:tcPr>
            <w:tcW w:w="2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(457)</w:t>
            </w:r>
          </w:p>
        </w:tc>
        <w:tc>
          <w:tcPr>
            <w:tcW w:w="440" w:type="dxa"/>
            <w:vAlign w:val="bottom"/>
            <w:gridSpan w:val="2"/>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255</w:t>
            </w:r>
          </w:p>
        </w:tc>
        <w:tc>
          <w:tcPr>
            <w:tcW w:w="120" w:type="dxa"/>
            <w:vAlign w:val="bottom"/>
            <w:shd w:val="clear" w:color="auto" w:fill="CCEEFF"/>
          </w:tcPr>
          <w:p>
            <w:pPr>
              <w:spacing w:after="0"/>
              <w:rPr>
                <w:sz w:val="12"/>
                <w:szCs w:val="12"/>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(813)</w:t>
            </w:r>
          </w:p>
        </w:tc>
        <w:tc>
          <w:tcPr>
            <w:tcW w:w="120" w:type="dxa"/>
            <w:vAlign w:val="bottom"/>
            <w:shd w:val="clear" w:color="auto" w:fill="CCEEFF"/>
          </w:tcPr>
          <w:p>
            <w:pPr>
              <w:spacing w:after="0"/>
              <w:rPr>
                <w:sz w:val="12"/>
                <w:szCs w:val="12"/>
                <w:color w:val="auto"/>
              </w:rPr>
            </w:pPr>
          </w:p>
        </w:tc>
        <w:tc>
          <w:tcPr>
            <w:tcW w:w="2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207</w:t>
            </w:r>
          </w:p>
        </w:tc>
        <w:tc>
          <w:tcPr>
            <w:tcW w:w="0" w:type="dxa"/>
            <w:vAlign w:val="bottom"/>
          </w:tcPr>
          <w:p>
            <w:pPr>
              <w:spacing w:after="0"/>
              <w:rPr>
                <w:sz w:val="1"/>
                <w:szCs w:val="1"/>
                <w:color w:val="auto"/>
              </w:rPr>
            </w:pPr>
          </w:p>
        </w:tc>
      </w:tr>
      <w:tr>
        <w:trPr>
          <w:trHeight w:val="185"/>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stockholders</w:t>
            </w:r>
          </w:p>
        </w:tc>
        <w:tc>
          <w:tcPr>
            <w:tcW w:w="220" w:type="dxa"/>
            <w:vAlign w:val="bottom"/>
            <w:vMerge w:val="continue"/>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20" w:type="dxa"/>
            <w:vAlign w:val="bottom"/>
            <w:vMerge w:val="continue"/>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440" w:type="dxa"/>
            <w:vAlign w:val="bottom"/>
            <w:gridSpan w:val="2"/>
            <w:vMerge w:val="continue"/>
            <w:shd w:val="clear" w:color="auto" w:fill="CCEEFF"/>
          </w:tcPr>
          <w:p>
            <w:pPr>
              <w:spacing w:after="0"/>
              <w:rPr>
                <w:sz w:val="16"/>
                <w:szCs w:val="16"/>
                <w:color w:val="auto"/>
              </w:rPr>
            </w:pPr>
          </w:p>
        </w:tc>
        <w:tc>
          <w:tcPr>
            <w:tcW w:w="68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vMerge w:val="continue"/>
            <w:shd w:val="clear" w:color="auto" w:fill="CCEEFF"/>
          </w:tcPr>
          <w:p>
            <w:pPr>
              <w:spacing w:after="0"/>
              <w:rPr>
                <w:sz w:val="16"/>
                <w:szCs w:val="16"/>
                <w:color w:val="auto"/>
              </w:rPr>
            </w:pPr>
          </w:p>
        </w:tc>
        <w:tc>
          <w:tcPr>
            <w:tcW w:w="90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20" w:type="dxa"/>
            <w:vAlign w:val="bottom"/>
            <w:vMerge w:val="continue"/>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8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38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Net income (loss)</w:t>
            </w: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(444)</w:t>
            </w:r>
          </w:p>
        </w:tc>
        <w:tc>
          <w:tcPr>
            <w:tcW w:w="440" w:type="dxa"/>
            <w:vAlign w:val="bottom"/>
            <w:gridSpan w:val="2"/>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265</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(804)</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216</w:t>
            </w:r>
          </w:p>
        </w:tc>
        <w:tc>
          <w:tcPr>
            <w:tcW w:w="0" w:type="dxa"/>
            <w:vAlign w:val="bottom"/>
          </w:tcPr>
          <w:p>
            <w:pPr>
              <w:spacing w:after="0"/>
              <w:rPr>
                <w:sz w:val="1"/>
                <w:szCs w:val="1"/>
                <w:color w:val="auto"/>
              </w:rPr>
            </w:pPr>
          </w:p>
        </w:tc>
      </w:tr>
      <w:tr>
        <w:trPr>
          <w:trHeight w:val="157"/>
        </w:trPr>
        <w:tc>
          <w:tcPr>
            <w:tcW w:w="3840" w:type="dxa"/>
            <w:vAlign w:val="bottom"/>
          </w:tcPr>
          <w:p>
            <w:pPr>
              <w:ind w:left="180"/>
              <w:spacing w:after="0" w:line="157" w:lineRule="exact"/>
              <w:rPr>
                <w:sz w:val="20"/>
                <w:szCs w:val="20"/>
                <w:color w:val="auto"/>
              </w:rPr>
            </w:pPr>
            <w:r>
              <w:rPr>
                <w:rFonts w:ascii="Arial" w:cs="Arial" w:eastAsia="Arial" w:hAnsi="Arial"/>
                <w:sz w:val="14"/>
                <w:szCs w:val="14"/>
                <w:color w:val="auto"/>
                <w:w w:val="98"/>
              </w:rPr>
              <w:t>Unrealized gain (loss) on investment securities measured at</w:t>
            </w: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84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fair value through other comprehensive income (loss), net</w:t>
            </w: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246</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379</w:t>
            </w:r>
          </w:p>
        </w:tc>
        <w:tc>
          <w:tcPr>
            <w:tcW w:w="1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400</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361</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(193)</w:t>
            </w:r>
          </w:p>
        </w:tc>
        <w:tc>
          <w:tcPr>
            <w:tcW w:w="0" w:type="dxa"/>
            <w:vAlign w:val="bottom"/>
          </w:tcPr>
          <w:p>
            <w:pPr>
              <w:spacing w:after="0"/>
              <w:rPr>
                <w:sz w:val="1"/>
                <w:szCs w:val="1"/>
                <w:color w:val="auto"/>
              </w:rPr>
            </w:pPr>
          </w:p>
        </w:tc>
      </w:tr>
      <w:tr>
        <w:trPr>
          <w:trHeight w:val="256"/>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Comprehensive income (loss)</w:t>
            </w:r>
          </w:p>
        </w:tc>
        <w:tc>
          <w:tcPr>
            <w:tcW w:w="2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242</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665</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(443)</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264"/>
        </w:trPr>
        <w:tc>
          <w:tcPr>
            <w:tcW w:w="384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Dividend on preferred stock</w:t>
            </w:r>
          </w:p>
        </w:tc>
        <w:tc>
          <w:tcPr>
            <w:tcW w:w="2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13</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13</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139"/>
        </w:trPr>
        <w:tc>
          <w:tcPr>
            <w:tcW w:w="3840" w:type="dxa"/>
            <w:vAlign w:val="bottom"/>
            <w:shd w:val="clear" w:color="auto" w:fill="CCEEFF"/>
          </w:tcPr>
          <w:p>
            <w:pPr>
              <w:ind w:left="40"/>
              <w:spacing w:after="0" w:line="139" w:lineRule="exact"/>
              <w:rPr>
                <w:sz w:val="20"/>
                <w:szCs w:val="20"/>
                <w:color w:val="auto"/>
              </w:rPr>
            </w:pPr>
            <w:r>
              <w:rPr>
                <w:rFonts w:ascii="Arial" w:cs="Arial" w:eastAsia="Arial" w:hAnsi="Arial"/>
                <w:sz w:val="14"/>
                <w:szCs w:val="14"/>
                <w:b w:val="1"/>
                <w:bCs w:val="1"/>
                <w:color w:val="auto"/>
              </w:rPr>
              <w:t>Comprehensive income (loss) available (attributable) to</w:t>
            </w:r>
          </w:p>
        </w:tc>
        <w:tc>
          <w:tcPr>
            <w:tcW w:w="22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229</w:t>
            </w:r>
          </w:p>
        </w:tc>
        <w:tc>
          <w:tcPr>
            <w:tcW w:w="120" w:type="dxa"/>
            <w:vAlign w:val="bottom"/>
            <w:shd w:val="clear" w:color="auto" w:fill="CCEEFF"/>
          </w:tcPr>
          <w:p>
            <w:pPr>
              <w:spacing w:after="0"/>
              <w:rPr>
                <w:sz w:val="12"/>
                <w:szCs w:val="12"/>
                <w:color w:val="auto"/>
              </w:rPr>
            </w:pPr>
          </w:p>
        </w:tc>
        <w:tc>
          <w:tcPr>
            <w:tcW w:w="2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(78)</w:t>
            </w:r>
          </w:p>
        </w:tc>
        <w:tc>
          <w:tcPr>
            <w:tcW w:w="440" w:type="dxa"/>
            <w:vAlign w:val="bottom"/>
            <w:gridSpan w:val="2"/>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655</w:t>
            </w:r>
          </w:p>
        </w:tc>
        <w:tc>
          <w:tcPr>
            <w:tcW w:w="120" w:type="dxa"/>
            <w:vAlign w:val="bottom"/>
            <w:shd w:val="clear" w:color="auto" w:fill="CCEEFF"/>
          </w:tcPr>
          <w:p>
            <w:pPr>
              <w:spacing w:after="0"/>
              <w:rPr>
                <w:sz w:val="12"/>
                <w:szCs w:val="12"/>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(452)</w:t>
            </w:r>
          </w:p>
        </w:tc>
        <w:tc>
          <w:tcPr>
            <w:tcW w:w="120" w:type="dxa"/>
            <w:vAlign w:val="bottom"/>
            <w:shd w:val="clear" w:color="auto" w:fill="CCEEFF"/>
          </w:tcPr>
          <w:p>
            <w:pPr>
              <w:spacing w:after="0"/>
              <w:rPr>
                <w:sz w:val="12"/>
                <w:szCs w:val="12"/>
                <w:color w:val="auto"/>
              </w:rPr>
            </w:pPr>
          </w:p>
        </w:tc>
        <w:tc>
          <w:tcPr>
            <w:tcW w:w="2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185"/>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common stockholders</w:t>
            </w:r>
          </w:p>
        </w:tc>
        <w:tc>
          <w:tcPr>
            <w:tcW w:w="220" w:type="dxa"/>
            <w:vAlign w:val="bottom"/>
            <w:vMerge w:val="continue"/>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20" w:type="dxa"/>
            <w:vAlign w:val="bottom"/>
            <w:vMerge w:val="continue"/>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440" w:type="dxa"/>
            <w:vAlign w:val="bottom"/>
            <w:gridSpan w:val="2"/>
            <w:vMerge w:val="continue"/>
            <w:shd w:val="clear" w:color="auto" w:fill="CCEEFF"/>
          </w:tcPr>
          <w:p>
            <w:pPr>
              <w:spacing w:after="0"/>
              <w:rPr>
                <w:sz w:val="16"/>
                <w:szCs w:val="16"/>
                <w:color w:val="auto"/>
              </w:rPr>
            </w:pPr>
          </w:p>
        </w:tc>
        <w:tc>
          <w:tcPr>
            <w:tcW w:w="68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vMerge w:val="continue"/>
            <w:shd w:val="clear" w:color="auto" w:fill="CCEEFF"/>
          </w:tcPr>
          <w:p>
            <w:pPr>
              <w:spacing w:after="0"/>
              <w:rPr>
                <w:sz w:val="16"/>
                <w:szCs w:val="16"/>
                <w:color w:val="auto"/>
              </w:rPr>
            </w:pPr>
          </w:p>
        </w:tc>
        <w:tc>
          <w:tcPr>
            <w:tcW w:w="90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20" w:type="dxa"/>
            <w:vAlign w:val="bottom"/>
            <w:vMerge w:val="continue"/>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8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38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3840" w:type="dxa"/>
            <w:vAlign w:val="bottom"/>
            <w:shd w:val="clear" w:color="auto" w:fill="CCEEFF"/>
          </w:tcPr>
          <w:p>
            <w:pPr>
              <w:ind w:left="40"/>
              <w:spacing w:after="0" w:line="153" w:lineRule="exact"/>
              <w:rPr>
                <w:sz w:val="20"/>
                <w:szCs w:val="20"/>
                <w:color w:val="auto"/>
              </w:rPr>
            </w:pPr>
            <w:r>
              <w:rPr>
                <w:rFonts w:ascii="Arial" w:cs="Arial" w:eastAsia="Arial" w:hAnsi="Arial"/>
                <w:sz w:val="14"/>
                <w:szCs w:val="14"/>
                <w:b w:val="1"/>
                <w:bCs w:val="1"/>
                <w:color w:val="auto"/>
                <w:w w:val="95"/>
              </w:rPr>
              <w:t>Weighted average number of common shares outstanding -</w:t>
            </w:r>
          </w:p>
        </w:tc>
        <w:tc>
          <w:tcPr>
            <w:tcW w:w="220" w:type="dxa"/>
            <w:vAlign w:val="bottom"/>
            <w:shd w:val="clear" w:color="auto" w:fill="CCEEFF"/>
          </w:tcPr>
          <w:p>
            <w:pPr>
              <w:spacing w:after="0"/>
              <w:rPr>
                <w:sz w:val="13"/>
                <w:szCs w:val="13"/>
                <w:color w:val="auto"/>
              </w:rPr>
            </w:pPr>
          </w:p>
        </w:tc>
        <w:tc>
          <w:tcPr>
            <w:tcW w:w="7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546.4</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7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537.8</w:t>
            </w:r>
          </w:p>
        </w:tc>
        <w:tc>
          <w:tcPr>
            <w:tcW w:w="12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6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536.7</w:t>
            </w: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504.2</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7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462.3</w:t>
            </w:r>
          </w:p>
        </w:tc>
        <w:tc>
          <w:tcPr>
            <w:tcW w:w="0" w:type="dxa"/>
            <w:vAlign w:val="bottom"/>
          </w:tcPr>
          <w:p>
            <w:pPr>
              <w:spacing w:after="0"/>
              <w:rPr>
                <w:sz w:val="1"/>
                <w:szCs w:val="1"/>
                <w:color w:val="auto"/>
              </w:rPr>
            </w:pPr>
          </w:p>
        </w:tc>
      </w:tr>
      <w:tr>
        <w:trPr>
          <w:trHeight w:val="185"/>
        </w:trPr>
        <w:tc>
          <w:tcPr>
            <w:tcW w:w="3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basic</w:t>
            </w:r>
          </w:p>
        </w:tc>
        <w:tc>
          <w:tcPr>
            <w:tcW w:w="22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90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840" w:type="dxa"/>
            <w:vAlign w:val="bottom"/>
            <w:vMerge w:val="restart"/>
          </w:tcPr>
          <w:p>
            <w:pPr>
              <w:ind w:left="40"/>
              <w:spacing w:after="0" w:line="147" w:lineRule="exact"/>
              <w:rPr>
                <w:sz w:val="20"/>
                <w:szCs w:val="20"/>
                <w:color w:val="auto"/>
              </w:rPr>
            </w:pPr>
            <w:r>
              <w:rPr>
                <w:rFonts w:ascii="Arial" w:cs="Arial" w:eastAsia="Arial" w:hAnsi="Arial"/>
                <w:sz w:val="14"/>
                <w:szCs w:val="14"/>
                <w:b w:val="1"/>
                <w:bCs w:val="1"/>
                <w:color w:val="auto"/>
                <w:w w:val="95"/>
              </w:rPr>
              <w:t>Weighted average number of common shares outstanding -</w:t>
            </w: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6"/>
        </w:trPr>
        <w:tc>
          <w:tcPr>
            <w:tcW w:w="3840" w:type="dxa"/>
            <w:vAlign w:val="bottom"/>
            <w:vMerge w:val="continue"/>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vMerge w:val="restart"/>
          </w:tcPr>
          <w:p>
            <w:pPr>
              <w:jc w:val="right"/>
              <w:ind w:right="8"/>
              <w:spacing w:after="0"/>
              <w:rPr>
                <w:sz w:val="20"/>
                <w:szCs w:val="20"/>
                <w:color w:val="auto"/>
              </w:rPr>
            </w:pPr>
            <w:r>
              <w:rPr>
                <w:rFonts w:ascii="Arial" w:cs="Arial" w:eastAsia="Arial" w:hAnsi="Arial"/>
                <w:sz w:val="14"/>
                <w:szCs w:val="14"/>
                <w:color w:val="auto"/>
              </w:rPr>
              <w:t>546.4</w:t>
            </w: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vMerge w:val="restart"/>
          </w:tcPr>
          <w:p>
            <w:pPr>
              <w:jc w:val="right"/>
              <w:spacing w:after="0"/>
              <w:rPr>
                <w:sz w:val="20"/>
                <w:szCs w:val="20"/>
                <w:color w:val="auto"/>
              </w:rPr>
            </w:pPr>
            <w:r>
              <w:rPr>
                <w:rFonts w:ascii="Arial" w:cs="Arial" w:eastAsia="Arial" w:hAnsi="Arial"/>
                <w:sz w:val="14"/>
                <w:szCs w:val="14"/>
                <w:color w:val="auto"/>
              </w:rPr>
              <w:t>537.8</w:t>
            </w:r>
          </w:p>
        </w:tc>
        <w:tc>
          <w:tcPr>
            <w:tcW w:w="120" w:type="dxa"/>
            <w:vAlign w:val="bottom"/>
          </w:tcPr>
          <w:p>
            <w:pPr>
              <w:spacing w:after="0"/>
              <w:rPr>
                <w:sz w:val="9"/>
                <w:szCs w:val="9"/>
                <w:color w:val="auto"/>
              </w:rPr>
            </w:pPr>
          </w:p>
        </w:tc>
        <w:tc>
          <w:tcPr>
            <w:tcW w:w="320" w:type="dxa"/>
            <w:vAlign w:val="bottom"/>
          </w:tcPr>
          <w:p>
            <w:pPr>
              <w:spacing w:after="0"/>
              <w:rPr>
                <w:sz w:val="9"/>
                <w:szCs w:val="9"/>
                <w:color w:val="auto"/>
              </w:rPr>
            </w:pPr>
          </w:p>
        </w:tc>
        <w:tc>
          <w:tcPr>
            <w:tcW w:w="680" w:type="dxa"/>
            <w:vAlign w:val="bottom"/>
            <w:vMerge w:val="restart"/>
          </w:tcPr>
          <w:p>
            <w:pPr>
              <w:jc w:val="right"/>
              <w:spacing w:after="0"/>
              <w:rPr>
                <w:sz w:val="20"/>
                <w:szCs w:val="20"/>
                <w:color w:val="auto"/>
              </w:rPr>
            </w:pPr>
            <w:r>
              <w:rPr>
                <w:rFonts w:ascii="Arial" w:cs="Arial" w:eastAsia="Arial" w:hAnsi="Arial"/>
                <w:sz w:val="14"/>
                <w:szCs w:val="14"/>
                <w:color w:val="auto"/>
              </w:rPr>
              <w:t>537.2</w:t>
            </w: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vMerge w:val="restart"/>
          </w:tcPr>
          <w:p>
            <w:pPr>
              <w:jc w:val="right"/>
              <w:spacing w:after="0"/>
              <w:rPr>
                <w:sz w:val="20"/>
                <w:szCs w:val="20"/>
                <w:color w:val="auto"/>
              </w:rPr>
            </w:pPr>
            <w:r>
              <w:rPr>
                <w:rFonts w:ascii="Arial" w:cs="Arial" w:eastAsia="Arial" w:hAnsi="Arial"/>
                <w:sz w:val="14"/>
                <w:szCs w:val="14"/>
                <w:color w:val="auto"/>
              </w:rPr>
              <w:t>504.2</w:t>
            </w: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vMerge w:val="restart"/>
          </w:tcPr>
          <w:p>
            <w:pPr>
              <w:jc w:val="right"/>
              <w:spacing w:after="0"/>
              <w:rPr>
                <w:sz w:val="20"/>
                <w:szCs w:val="20"/>
                <w:color w:val="auto"/>
              </w:rPr>
            </w:pPr>
            <w:r>
              <w:rPr>
                <w:rFonts w:ascii="Arial" w:cs="Arial" w:eastAsia="Arial" w:hAnsi="Arial"/>
                <w:sz w:val="14"/>
                <w:szCs w:val="14"/>
                <w:color w:val="auto"/>
              </w:rPr>
              <w:t>462.7</w:t>
            </w:r>
          </w:p>
        </w:tc>
        <w:tc>
          <w:tcPr>
            <w:tcW w:w="0" w:type="dxa"/>
            <w:vAlign w:val="bottom"/>
          </w:tcPr>
          <w:p>
            <w:pPr>
              <w:spacing w:after="0"/>
              <w:rPr>
                <w:sz w:val="1"/>
                <w:szCs w:val="1"/>
                <w:color w:val="auto"/>
              </w:rPr>
            </w:pPr>
          </w:p>
        </w:tc>
      </w:tr>
      <w:tr>
        <w:trPr>
          <w:trHeight w:val="225"/>
        </w:trPr>
        <w:tc>
          <w:tcPr>
            <w:tcW w:w="38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diluted</w:t>
            </w:r>
          </w:p>
        </w:tc>
        <w:tc>
          <w:tcPr>
            <w:tcW w:w="2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vMerge w:val="continue"/>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vMerge w:val="continue"/>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vMerge w:val="continue"/>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vMerge w:val="continue"/>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3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Net income (loss) per common share - basic</w:t>
            </w:r>
          </w:p>
        </w:tc>
        <w:tc>
          <w:tcPr>
            <w:tcW w:w="2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(0.03)</w:t>
            </w:r>
          </w:p>
        </w:tc>
        <w:tc>
          <w:tcPr>
            <w:tcW w:w="12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(0.85)</w:t>
            </w:r>
          </w:p>
        </w:tc>
        <w:tc>
          <w:tcPr>
            <w:tcW w:w="12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0.48</w:t>
            </w: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(1.61)</w:t>
            </w:r>
          </w:p>
        </w:tc>
        <w:tc>
          <w:tcPr>
            <w:tcW w:w="12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0.45</w:t>
            </w: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38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Net income (loss) per common share - diluted</w:t>
            </w:r>
          </w:p>
        </w:tc>
        <w:tc>
          <w:tcPr>
            <w:tcW w:w="2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(0.03)</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(0.85)</w:t>
            </w:r>
          </w:p>
        </w:tc>
        <w:tc>
          <w:tcPr>
            <w:tcW w:w="12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0.47</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(1.61)</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0.45</w:t>
            </w:r>
          </w:p>
        </w:tc>
        <w:tc>
          <w:tcPr>
            <w:tcW w:w="0" w:type="dxa"/>
            <w:vAlign w:val="bottom"/>
          </w:tcPr>
          <w:p>
            <w:pPr>
              <w:spacing w:after="0"/>
              <w:rPr>
                <w:sz w:val="1"/>
                <w:szCs w:val="1"/>
                <w:color w:val="auto"/>
              </w:rPr>
            </w:pPr>
          </w:p>
        </w:tc>
      </w:tr>
      <w:tr>
        <w:trPr>
          <w:trHeight w:val="106"/>
        </w:trPr>
        <w:tc>
          <w:tcPr>
            <w:tcW w:w="3840" w:type="dxa"/>
            <w:vAlign w:val="bottom"/>
            <w:shd w:val="clear" w:color="auto" w:fill="CCEEFF"/>
          </w:tcPr>
          <w:p>
            <w:pPr>
              <w:ind w:left="40"/>
              <w:spacing w:after="0" w:line="106" w:lineRule="exact"/>
              <w:rPr>
                <w:sz w:val="20"/>
                <w:szCs w:val="20"/>
                <w:color w:val="auto"/>
              </w:rPr>
            </w:pPr>
            <w:r>
              <w:rPr>
                <w:rFonts w:ascii="Arial" w:cs="Arial" w:eastAsia="Arial" w:hAnsi="Arial"/>
                <w:sz w:val="12"/>
                <w:szCs w:val="12"/>
                <w:b w:val="1"/>
                <w:bCs w:val="1"/>
                <w:color w:val="auto"/>
              </w:rPr>
              <w:t>Comprehensive income (loss) per common share - basic and</w:t>
            </w:r>
          </w:p>
        </w:tc>
        <w:tc>
          <w:tcPr>
            <w:tcW w:w="22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0.42</w:t>
            </w:r>
          </w:p>
        </w:tc>
        <w:tc>
          <w:tcPr>
            <w:tcW w:w="120" w:type="dxa"/>
            <w:vAlign w:val="bottom"/>
            <w:shd w:val="clear" w:color="auto" w:fill="CCEEFF"/>
          </w:tcPr>
          <w:p>
            <w:pPr>
              <w:spacing w:after="0"/>
              <w:rPr>
                <w:sz w:val="9"/>
                <w:szCs w:val="9"/>
                <w:color w:val="auto"/>
              </w:rPr>
            </w:pPr>
          </w:p>
        </w:tc>
        <w:tc>
          <w:tcPr>
            <w:tcW w:w="2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(0.15)</w:t>
            </w:r>
          </w:p>
        </w:tc>
        <w:tc>
          <w:tcPr>
            <w:tcW w:w="120" w:type="dxa"/>
            <w:vAlign w:val="bottom"/>
            <w:vMerge w:val="restart"/>
            <w:shd w:val="clear" w:color="auto" w:fill="CCEEFF"/>
          </w:tcPr>
          <w:p>
            <w:pPr>
              <w:spacing w:after="0"/>
              <w:rPr>
                <w:sz w:val="9"/>
                <w:szCs w:val="9"/>
                <w:color w:val="auto"/>
              </w:rPr>
            </w:pPr>
          </w:p>
        </w:tc>
        <w:tc>
          <w:tcPr>
            <w:tcW w:w="32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1.22</w:t>
            </w:r>
          </w:p>
        </w:tc>
        <w:tc>
          <w:tcPr>
            <w:tcW w:w="120" w:type="dxa"/>
            <w:vAlign w:val="bottom"/>
            <w:shd w:val="clear" w:color="auto" w:fill="CCEEFF"/>
          </w:tcPr>
          <w:p>
            <w:pPr>
              <w:spacing w:after="0"/>
              <w:rPr>
                <w:sz w:val="9"/>
                <w:szCs w:val="9"/>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(0.90)</w:t>
            </w:r>
          </w:p>
        </w:tc>
        <w:tc>
          <w:tcPr>
            <w:tcW w:w="120" w:type="dxa"/>
            <w:vAlign w:val="bottom"/>
            <w:shd w:val="clear" w:color="auto" w:fill="CCEEFF"/>
          </w:tcPr>
          <w:p>
            <w:pPr>
              <w:spacing w:after="0"/>
              <w:rPr>
                <w:sz w:val="9"/>
                <w:szCs w:val="9"/>
                <w:color w:val="auto"/>
              </w:rPr>
            </w:pPr>
          </w:p>
        </w:tc>
        <w:tc>
          <w:tcPr>
            <w:tcW w:w="2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0.03</w:t>
            </w:r>
          </w:p>
        </w:tc>
        <w:tc>
          <w:tcPr>
            <w:tcW w:w="0" w:type="dxa"/>
            <w:vAlign w:val="bottom"/>
          </w:tcPr>
          <w:p>
            <w:pPr>
              <w:spacing w:after="0"/>
              <w:rPr>
                <w:sz w:val="1"/>
                <w:szCs w:val="1"/>
                <w:color w:val="auto"/>
              </w:rPr>
            </w:pPr>
          </w:p>
        </w:tc>
      </w:tr>
      <w:tr>
        <w:trPr>
          <w:trHeight w:val="185"/>
        </w:trPr>
        <w:tc>
          <w:tcPr>
            <w:tcW w:w="3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diluted</w:t>
            </w:r>
          </w:p>
        </w:tc>
        <w:tc>
          <w:tcPr>
            <w:tcW w:w="220" w:type="dxa"/>
            <w:vAlign w:val="bottom"/>
            <w:tcBorders>
              <w:bottom w:val="single" w:sz="8" w:color="auto"/>
            </w:tcBorders>
            <w:vMerge w:val="continue"/>
            <w:shd w:val="clear" w:color="auto" w:fill="CCEEFF"/>
          </w:tcPr>
          <w:p>
            <w:pPr>
              <w:spacing w:after="0"/>
              <w:rPr>
                <w:sz w:val="16"/>
                <w:szCs w:val="16"/>
                <w:color w:val="auto"/>
              </w:rPr>
            </w:pPr>
          </w:p>
        </w:tc>
        <w:tc>
          <w:tcPr>
            <w:tcW w:w="78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auto"/>
            </w:tcBorders>
            <w:vMerge w:val="continue"/>
            <w:shd w:val="clear" w:color="auto" w:fill="CCEEFF"/>
          </w:tcPr>
          <w:p>
            <w:pPr>
              <w:spacing w:after="0"/>
              <w:rPr>
                <w:sz w:val="16"/>
                <w:szCs w:val="16"/>
                <w:color w:val="auto"/>
              </w:rPr>
            </w:pPr>
          </w:p>
        </w:tc>
        <w:tc>
          <w:tcPr>
            <w:tcW w:w="78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tcBorders>
              <w:bottom w:val="single" w:sz="8" w:color="CCEEFF"/>
            </w:tcBorders>
            <w:vMerge w:val="continue"/>
            <w:shd w:val="clear" w:color="auto" w:fill="CCEEFF"/>
          </w:tcPr>
          <w:p>
            <w:pPr>
              <w:spacing w:after="0"/>
              <w:rPr>
                <w:sz w:val="16"/>
                <w:szCs w:val="16"/>
                <w:color w:val="auto"/>
              </w:rPr>
            </w:pPr>
          </w:p>
        </w:tc>
        <w:tc>
          <w:tcPr>
            <w:tcW w:w="320" w:type="dxa"/>
            <w:vAlign w:val="bottom"/>
            <w:tcBorders>
              <w:bottom w:val="single" w:sz="8" w:color="auto"/>
            </w:tcBorders>
            <w:vMerge w:val="continue"/>
            <w:shd w:val="clear" w:color="auto" w:fill="CCEEFF"/>
          </w:tcPr>
          <w:p>
            <w:pPr>
              <w:spacing w:after="0"/>
              <w:rPr>
                <w:sz w:val="16"/>
                <w:szCs w:val="16"/>
                <w:color w:val="auto"/>
              </w:rPr>
            </w:pPr>
          </w:p>
        </w:tc>
        <w:tc>
          <w:tcPr>
            <w:tcW w:w="68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vMerge w:val="continue"/>
            <w:shd w:val="clear" w:color="auto" w:fill="CCEEFF"/>
          </w:tcPr>
          <w:p>
            <w:pPr>
              <w:spacing w:after="0"/>
              <w:rPr>
                <w:sz w:val="16"/>
                <w:szCs w:val="16"/>
                <w:color w:val="auto"/>
              </w:rPr>
            </w:pPr>
          </w:p>
        </w:tc>
        <w:tc>
          <w:tcPr>
            <w:tcW w:w="90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auto"/>
            </w:tcBorders>
            <w:vMerge w:val="continue"/>
            <w:shd w:val="clear" w:color="auto" w:fill="CCEEFF"/>
          </w:tcPr>
          <w:p>
            <w:pPr>
              <w:spacing w:after="0"/>
              <w:rPr>
                <w:sz w:val="16"/>
                <w:szCs w:val="16"/>
                <w:color w:val="auto"/>
              </w:rPr>
            </w:pPr>
          </w:p>
        </w:tc>
        <w:tc>
          <w:tcPr>
            <w:tcW w:w="780" w:type="dxa"/>
            <w:vAlign w:val="bottom"/>
            <w:tcBorders>
              <w:bottom w:val="single" w:sz="8" w:color="auto"/>
            </w:tcBorders>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840" w:type="dxa"/>
            <w:vAlign w:val="bottom"/>
          </w:tcPr>
          <w:p>
            <w:pPr>
              <w:ind w:left="40"/>
              <w:spacing w:after="0"/>
              <w:rPr>
                <w:sz w:val="20"/>
                <w:szCs w:val="20"/>
                <w:color w:val="auto"/>
              </w:rPr>
            </w:pPr>
            <w:r>
              <w:rPr>
                <w:rFonts w:ascii="Arial" w:cs="Arial" w:eastAsia="Arial" w:hAnsi="Arial"/>
                <w:sz w:val="14"/>
                <w:szCs w:val="14"/>
                <w:b w:val="1"/>
                <w:bCs w:val="1"/>
                <w:color w:val="auto"/>
              </w:rPr>
              <w:t>Dividends declared per common share</w:t>
            </w: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0.48</w:t>
            </w:r>
          </w:p>
        </w:tc>
        <w:tc>
          <w:tcPr>
            <w:tcW w:w="120" w:type="dxa"/>
            <w:vAlign w:val="bottom"/>
          </w:tcPr>
          <w:p>
            <w:pPr>
              <w:spacing w:after="0"/>
              <w:rPr>
                <w:sz w:val="18"/>
                <w:szCs w:val="18"/>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0.50</w:t>
            </w:r>
          </w:p>
        </w:tc>
        <w:tc>
          <w:tcPr>
            <w:tcW w:w="440" w:type="dxa"/>
            <w:vAlign w:val="bottom"/>
            <w:gridSpan w:val="2"/>
          </w:tcPr>
          <w:p>
            <w:pPr>
              <w:jc w:val="right"/>
              <w:ind w:right="14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0.54</w:t>
            </w:r>
          </w:p>
        </w:tc>
        <w:tc>
          <w:tcPr>
            <w:tcW w:w="1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0.54</w:t>
            </w:r>
          </w:p>
        </w:tc>
        <w:tc>
          <w:tcPr>
            <w:tcW w:w="120" w:type="dxa"/>
            <w:vAlign w:val="bottom"/>
          </w:tcPr>
          <w:p>
            <w:pPr>
              <w:spacing w:after="0"/>
              <w:rPr>
                <w:sz w:val="18"/>
                <w:szCs w:val="18"/>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0.54</w:t>
            </w: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219"/>
          </w:cols>
          <w:pgMar w:left="240" w:top="147" w:right="1440" w:bottom="1440" w:gutter="0" w:footer="0" w:header="0"/>
        </w:sectPr>
      </w:pPr>
    </w:p>
    <w:bookmarkStart w:id="12" w:name="page13"/>
    <w:bookmarkEnd w:id="12"/>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10</w:t>
      </w:r>
    </w:p>
    <w:p>
      <w:pPr>
        <w:spacing w:after="0" w:line="383" w:lineRule="exact"/>
        <w:rPr>
          <w:sz w:val="20"/>
          <w:szCs w:val="20"/>
          <w:color w:val="auto"/>
        </w:rPr>
      </w:pPr>
    </w:p>
    <w:p>
      <w:pPr>
        <w:jc w:val="center"/>
        <w:ind w:right="939"/>
        <w:spacing w:after="0"/>
        <w:rPr>
          <w:sz w:val="20"/>
          <w:szCs w:val="20"/>
          <w:color w:val="auto"/>
        </w:rPr>
      </w:pPr>
      <w:r>
        <w:rPr>
          <w:rFonts w:ascii="Arial" w:cs="Arial" w:eastAsia="Arial" w:hAnsi="Arial"/>
          <w:sz w:val="14"/>
          <w:szCs w:val="14"/>
          <w:color w:val="auto"/>
        </w:rPr>
        <w:t>AGNC INVESTMENT CORP.</w:t>
      </w:r>
    </w:p>
    <w:p>
      <w:pPr>
        <w:spacing w:after="0" w:line="42" w:lineRule="exact"/>
        <w:rPr>
          <w:sz w:val="20"/>
          <w:szCs w:val="20"/>
          <w:color w:val="auto"/>
        </w:rPr>
      </w:pPr>
    </w:p>
    <w:p>
      <w:pPr>
        <w:jc w:val="center"/>
        <w:ind w:right="939"/>
        <w:spacing w:after="0"/>
        <w:rPr>
          <w:sz w:val="20"/>
          <w:szCs w:val="20"/>
          <w:color w:val="auto"/>
        </w:rPr>
      </w:pPr>
      <w:r>
        <w:rPr>
          <w:rFonts w:ascii="Arial" w:cs="Arial" w:eastAsia="Arial" w:hAnsi="Arial"/>
          <w:sz w:val="14"/>
          <w:szCs w:val="14"/>
          <w:color w:val="auto"/>
        </w:rPr>
        <w:t xml:space="preserve">RECONCILIATION OF GAAP NET INTEREST INCOME TO NET SPREAD AND DOLLAR ROLL INCOME (NON-GAAP MEASURE) </w:t>
      </w:r>
      <w:r>
        <w:rPr>
          <w:rFonts w:ascii="Arial" w:cs="Arial" w:eastAsia="Arial" w:hAnsi="Arial"/>
          <w:sz w:val="8"/>
          <w:szCs w:val="8"/>
          <w:color w:val="auto"/>
        </w:rPr>
        <w:t>2</w:t>
      </w:r>
    </w:p>
    <w:p>
      <w:pPr>
        <w:spacing w:after="0" w:line="42" w:lineRule="exact"/>
        <w:rPr>
          <w:sz w:val="20"/>
          <w:szCs w:val="20"/>
          <w:color w:val="auto"/>
        </w:rPr>
      </w:pPr>
    </w:p>
    <w:p>
      <w:pPr>
        <w:jc w:val="center"/>
        <w:ind w:right="939"/>
        <w:spacing w:after="0"/>
        <w:rPr>
          <w:sz w:val="20"/>
          <w:szCs w:val="20"/>
          <w:color w:val="auto"/>
        </w:rPr>
      </w:pPr>
      <w:r>
        <w:rPr>
          <w:rFonts w:ascii="Arial" w:cs="Arial" w:eastAsia="Arial" w:hAnsi="Arial"/>
          <w:sz w:val="14"/>
          <w:szCs w:val="14"/>
          <w:color w:val="auto"/>
        </w:rPr>
        <w:t>(in millions, except per share data)</w:t>
      </w:r>
    </w:p>
    <w:p>
      <w:pPr>
        <w:spacing w:after="0" w:line="42" w:lineRule="exact"/>
        <w:rPr>
          <w:sz w:val="20"/>
          <w:szCs w:val="20"/>
          <w:color w:val="auto"/>
        </w:rPr>
      </w:pPr>
    </w:p>
    <w:p>
      <w:pPr>
        <w:jc w:val="center"/>
        <w:ind w:right="939"/>
        <w:spacing w:after="0"/>
        <w:rPr>
          <w:sz w:val="20"/>
          <w:szCs w:val="20"/>
          <w:color w:val="auto"/>
        </w:rPr>
      </w:pPr>
      <w:r>
        <w:rPr>
          <w:rFonts w:ascii="Arial" w:cs="Arial" w:eastAsia="Arial" w:hAnsi="Arial"/>
          <w:sz w:val="14"/>
          <w:szCs w:val="14"/>
          <w:color w:val="auto"/>
        </w:rPr>
        <w:t>(unaudited)</w:t>
      </w:r>
    </w:p>
    <w:p>
      <w:pPr>
        <w:spacing w:after="0" w:line="249"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color w:val="auto"/>
                <w:w w:val="87"/>
              </w:rPr>
              <w:t>Three Months Ended</w:t>
            </w: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4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spacing w:after="0" w:line="148" w:lineRule="exact"/>
              <w:rPr>
                <w:sz w:val="20"/>
                <w:szCs w:val="20"/>
                <w:color w:val="auto"/>
              </w:rPr>
            </w:pPr>
            <w:r>
              <w:rPr>
                <w:rFonts w:ascii="Arial" w:cs="Arial" w:eastAsia="Arial" w:hAnsi="Arial"/>
                <w:sz w:val="13"/>
                <w:szCs w:val="13"/>
                <w:color w:val="auto"/>
              </w:rPr>
              <w:t>September 30,</w:t>
            </w: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ind w:left="20"/>
              <w:spacing w:after="0" w:line="148" w:lineRule="exact"/>
              <w:rPr>
                <w:sz w:val="20"/>
                <w:szCs w:val="20"/>
                <w:color w:val="auto"/>
              </w:rPr>
            </w:pPr>
            <w:r>
              <w:rPr>
                <w:rFonts w:ascii="Arial" w:cs="Arial" w:eastAsia="Arial" w:hAnsi="Arial"/>
                <w:sz w:val="13"/>
                <w:szCs w:val="13"/>
                <w:color w:val="auto"/>
              </w:rPr>
              <w:t>December 31,</w:t>
            </w:r>
          </w:p>
        </w:tc>
        <w:tc>
          <w:tcPr>
            <w:tcW w:w="120" w:type="dxa"/>
            <w:vAlign w:val="bottom"/>
          </w:tcPr>
          <w:p>
            <w:pPr>
              <w:spacing w:after="0"/>
              <w:rPr>
                <w:sz w:val="12"/>
                <w:szCs w:val="12"/>
                <w:color w:val="auto"/>
              </w:rPr>
            </w:pPr>
          </w:p>
        </w:tc>
        <w:tc>
          <w:tcPr>
            <w:tcW w:w="840" w:type="dxa"/>
            <w:vAlign w:val="bottom"/>
          </w:tcPr>
          <w:p>
            <w:pPr>
              <w:jc w:val="right"/>
              <w:ind w:right="49"/>
              <w:spacing w:after="0" w:line="148" w:lineRule="exact"/>
              <w:rPr>
                <w:sz w:val="20"/>
                <w:szCs w:val="20"/>
                <w:color w:val="auto"/>
              </w:rPr>
            </w:pPr>
            <w:r>
              <w:rPr>
                <w:rFonts w:ascii="Arial" w:cs="Arial" w:eastAsia="Arial" w:hAnsi="Arial"/>
                <w:sz w:val="13"/>
                <w:szCs w:val="13"/>
                <w:color w:val="auto"/>
                <w:w w:val="82"/>
              </w:rPr>
              <w:t>September 30,</w:t>
            </w:r>
          </w:p>
        </w:tc>
        <w:tc>
          <w:tcPr>
            <w:tcW w:w="0" w:type="dxa"/>
            <w:vAlign w:val="bottom"/>
          </w:tcPr>
          <w:p>
            <w:pPr>
              <w:spacing w:after="0"/>
              <w:rPr>
                <w:sz w:val="1"/>
                <w:szCs w:val="1"/>
                <w:color w:val="auto"/>
              </w:rPr>
            </w:pPr>
          </w:p>
        </w:tc>
      </w:tr>
      <w:tr>
        <w:trPr>
          <w:trHeight w:val="170"/>
        </w:trPr>
        <w:tc>
          <w:tcPr>
            <w:tcW w:w="4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ind w:right="269"/>
              <w:spacing w:after="0"/>
              <w:rPr>
                <w:sz w:val="20"/>
                <w:szCs w:val="20"/>
                <w:color w:val="auto"/>
              </w:rPr>
            </w:pPr>
            <w:r>
              <w:rPr>
                <w:rFonts w:ascii="Arial" w:cs="Arial" w:eastAsia="Arial" w:hAnsi="Arial"/>
                <w:sz w:val="13"/>
                <w:szCs w:val="13"/>
                <w:color w:val="auto"/>
              </w:rPr>
              <w:t>2019</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w w:val="89"/>
              </w:rPr>
              <w:t>June 30, 2019</w:t>
            </w:r>
          </w:p>
        </w:tc>
        <w:tc>
          <w:tcPr>
            <w:tcW w:w="100" w:type="dxa"/>
            <w:vAlign w:val="bottom"/>
          </w:tcPr>
          <w:p>
            <w:pPr>
              <w:spacing w:after="0"/>
              <w:rPr>
                <w:sz w:val="14"/>
                <w:szCs w:val="14"/>
                <w:color w:val="auto"/>
              </w:rPr>
            </w:pPr>
          </w:p>
        </w:tc>
        <w:tc>
          <w:tcPr>
            <w:tcW w:w="1060" w:type="dxa"/>
            <w:vAlign w:val="bottom"/>
            <w:gridSpan w:val="3"/>
          </w:tcPr>
          <w:p>
            <w:pPr>
              <w:jc w:val="center"/>
              <w:ind w:right="100"/>
              <w:spacing w:after="0"/>
              <w:rPr>
                <w:sz w:val="20"/>
                <w:szCs w:val="20"/>
                <w:color w:val="auto"/>
              </w:rPr>
            </w:pPr>
            <w:r>
              <w:rPr>
                <w:rFonts w:ascii="Arial" w:cs="Arial" w:eastAsia="Arial" w:hAnsi="Arial"/>
                <w:sz w:val="13"/>
                <w:szCs w:val="13"/>
                <w:color w:val="auto"/>
                <w:w w:val="88"/>
              </w:rPr>
              <w:t>March 31, 2019</w:t>
            </w:r>
          </w:p>
        </w:tc>
        <w:tc>
          <w:tcPr>
            <w:tcW w:w="100" w:type="dxa"/>
            <w:vAlign w:val="bottom"/>
          </w:tcPr>
          <w:p>
            <w:pPr>
              <w:spacing w:after="0"/>
              <w:rPr>
                <w:sz w:val="14"/>
                <w:szCs w:val="14"/>
                <w:color w:val="auto"/>
              </w:rPr>
            </w:pPr>
          </w:p>
        </w:tc>
        <w:tc>
          <w:tcPr>
            <w:tcW w:w="840" w:type="dxa"/>
            <w:vAlign w:val="bottom"/>
          </w:tcPr>
          <w:p>
            <w:pPr>
              <w:jc w:val="right"/>
              <w:ind w:right="269"/>
              <w:spacing w:after="0"/>
              <w:rPr>
                <w:sz w:val="20"/>
                <w:szCs w:val="20"/>
                <w:color w:val="auto"/>
              </w:rPr>
            </w:pPr>
            <w:r>
              <w:rPr>
                <w:rFonts w:ascii="Arial" w:cs="Arial" w:eastAsia="Arial" w:hAnsi="Arial"/>
                <w:sz w:val="13"/>
                <w:szCs w:val="13"/>
                <w:color w:val="auto"/>
              </w:rPr>
              <w:t>2018</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jc w:val="right"/>
              <w:ind w:right="289"/>
              <w:spacing w:after="0"/>
              <w:rPr>
                <w:sz w:val="20"/>
                <w:szCs w:val="20"/>
                <w:color w:val="auto"/>
              </w:rPr>
            </w:pPr>
            <w:r>
              <w:rPr>
                <w:rFonts w:ascii="Arial" w:cs="Arial" w:eastAsia="Arial" w:hAnsi="Arial"/>
                <w:sz w:val="13"/>
                <w:szCs w:val="13"/>
                <w:color w:val="auto"/>
              </w:rPr>
              <w:t>2018</w:t>
            </w:r>
          </w:p>
        </w:tc>
        <w:tc>
          <w:tcPr>
            <w:tcW w:w="0" w:type="dxa"/>
            <w:vAlign w:val="bottom"/>
          </w:tcPr>
          <w:p>
            <w:pPr>
              <w:spacing w:after="0"/>
              <w:rPr>
                <w:sz w:val="1"/>
                <w:szCs w:val="1"/>
                <w:color w:val="auto"/>
              </w:rPr>
            </w:pPr>
          </w:p>
        </w:tc>
      </w:tr>
      <w:tr>
        <w:trPr>
          <w:trHeight w:val="270"/>
        </w:trPr>
        <w:tc>
          <w:tcPr>
            <w:tcW w:w="412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GAAP net interest income:</w:t>
            </w:r>
          </w:p>
        </w:tc>
        <w:tc>
          <w:tcPr>
            <w:tcW w:w="100" w:type="dxa"/>
            <w:vAlign w:val="bottom"/>
            <w:tcBorders>
              <w:top w:val="single" w:sz="8" w:color="auto"/>
            </w:tcBorders>
            <w:shd w:val="clear" w:color="auto" w:fill="CCEEFF"/>
          </w:tcPr>
          <w:p>
            <w:pPr>
              <w:spacing w:after="0"/>
              <w:rPr>
                <w:sz w:val="23"/>
                <w:szCs w:val="23"/>
                <w:color w:val="auto"/>
              </w:rPr>
            </w:pPr>
          </w:p>
        </w:tc>
        <w:tc>
          <w:tcPr>
            <w:tcW w:w="8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60" w:type="dxa"/>
            <w:vAlign w:val="bottom"/>
            <w:tcBorders>
              <w:top w:val="single" w:sz="8" w:color="auto"/>
            </w:tcBorders>
            <w:shd w:val="clear" w:color="auto" w:fill="CCEEFF"/>
          </w:tcPr>
          <w:p>
            <w:pPr>
              <w:spacing w:after="0"/>
              <w:rPr>
                <w:sz w:val="23"/>
                <w:szCs w:val="23"/>
                <w:color w:val="auto"/>
              </w:rPr>
            </w:pPr>
          </w:p>
        </w:tc>
        <w:tc>
          <w:tcPr>
            <w:tcW w:w="8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320" w:type="dxa"/>
            <w:vAlign w:val="bottom"/>
            <w:tcBorders>
              <w:top w:val="single" w:sz="8" w:color="auto"/>
            </w:tcBorders>
            <w:shd w:val="clear" w:color="auto" w:fill="CCEEFF"/>
          </w:tcPr>
          <w:p>
            <w:pPr>
              <w:spacing w:after="0"/>
              <w:rPr>
                <w:sz w:val="23"/>
                <w:szCs w:val="23"/>
                <w:color w:val="auto"/>
              </w:rPr>
            </w:pPr>
          </w:p>
        </w:tc>
        <w:tc>
          <w:tcPr>
            <w:tcW w:w="6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8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20" w:type="dxa"/>
            <w:vAlign w:val="bottom"/>
            <w:tcBorders>
              <w:top w:val="single" w:sz="8" w:color="auto"/>
            </w:tcBorders>
            <w:shd w:val="clear" w:color="auto" w:fill="CCEEFF"/>
          </w:tcPr>
          <w:p>
            <w:pPr>
              <w:spacing w:after="0"/>
              <w:rPr>
                <w:sz w:val="23"/>
                <w:szCs w:val="23"/>
                <w:color w:val="auto"/>
              </w:rPr>
            </w:pPr>
          </w:p>
        </w:tc>
        <w:tc>
          <w:tcPr>
            <w:tcW w:w="84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120" w:type="dxa"/>
            <w:vAlign w:val="bottom"/>
          </w:tcPr>
          <w:p>
            <w:pPr>
              <w:ind w:left="180"/>
              <w:spacing w:after="0"/>
              <w:rPr>
                <w:sz w:val="20"/>
                <w:szCs w:val="20"/>
                <w:color w:val="auto"/>
              </w:rPr>
            </w:pPr>
            <w:r>
              <w:rPr>
                <w:rFonts w:ascii="Arial" w:cs="Arial" w:eastAsia="Arial" w:hAnsi="Arial"/>
                <w:sz w:val="14"/>
                <w:szCs w:val="14"/>
                <w:color w:val="auto"/>
              </w:rPr>
              <w:t>Interest income</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676</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693</w:t>
            </w:r>
          </w:p>
        </w:tc>
        <w:tc>
          <w:tcPr>
            <w:tcW w:w="420" w:type="dxa"/>
            <w:vAlign w:val="bottom"/>
            <w:gridSpan w:val="2"/>
          </w:tcPr>
          <w:p>
            <w:pPr>
              <w:jc w:val="right"/>
              <w:ind w:right="151"/>
              <w:spacing w:after="0"/>
              <w:rPr>
                <w:sz w:val="20"/>
                <w:szCs w:val="20"/>
                <w:color w:val="auto"/>
              </w:rPr>
            </w:pPr>
            <w:r>
              <w:rPr>
                <w:rFonts w:ascii="Arial" w:cs="Arial" w:eastAsia="Arial" w:hAnsi="Arial"/>
                <w:sz w:val="14"/>
                <w:szCs w:val="14"/>
                <w:color w:val="auto"/>
              </w:rPr>
              <w:t>$</w:t>
            </w: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705</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604</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500</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Interest expense</w:t>
            </w: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557</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570</w:t>
            </w:r>
          </w:p>
        </w:tc>
        <w:tc>
          <w:tcPr>
            <w:tcW w:w="10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541</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418</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312</w:t>
            </w:r>
          </w:p>
        </w:tc>
        <w:tc>
          <w:tcPr>
            <w:tcW w:w="0" w:type="dxa"/>
            <w:vAlign w:val="bottom"/>
          </w:tcPr>
          <w:p>
            <w:pPr>
              <w:spacing w:after="0"/>
              <w:rPr>
                <w:sz w:val="1"/>
                <w:szCs w:val="1"/>
                <w:color w:val="auto"/>
              </w:rPr>
            </w:pPr>
          </w:p>
        </w:tc>
      </w:tr>
      <w:tr>
        <w:trPr>
          <w:trHeight w:val="250"/>
        </w:trPr>
        <w:tc>
          <w:tcPr>
            <w:tcW w:w="4120" w:type="dxa"/>
            <w:vAlign w:val="bottom"/>
          </w:tcPr>
          <w:p>
            <w:pPr>
              <w:ind w:left="40"/>
              <w:spacing w:after="0"/>
              <w:rPr>
                <w:sz w:val="20"/>
                <w:szCs w:val="20"/>
                <w:color w:val="auto"/>
              </w:rPr>
            </w:pPr>
            <w:r>
              <w:rPr>
                <w:rFonts w:ascii="Arial" w:cs="Arial" w:eastAsia="Arial" w:hAnsi="Arial"/>
                <w:sz w:val="14"/>
                <w:szCs w:val="14"/>
                <w:color w:val="auto"/>
              </w:rPr>
              <w:t>GAAP net interest income</w:t>
            </w:r>
          </w:p>
        </w:tc>
        <w:tc>
          <w:tcPr>
            <w:tcW w:w="100" w:type="dxa"/>
            <w:vAlign w:val="bottom"/>
          </w:tcPr>
          <w:p>
            <w:pPr>
              <w:spacing w:after="0"/>
              <w:rPr>
                <w:sz w:val="21"/>
                <w:szCs w:val="21"/>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119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123</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164</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186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188</w:t>
            </w:r>
          </w:p>
        </w:tc>
        <w:tc>
          <w:tcPr>
            <w:tcW w:w="0" w:type="dxa"/>
            <w:vAlign w:val="bottom"/>
          </w:tcPr>
          <w:p>
            <w:pPr>
              <w:spacing w:after="0"/>
              <w:rPr>
                <w:sz w:val="1"/>
                <w:szCs w:val="1"/>
                <w:color w:val="auto"/>
              </w:rPr>
            </w:pPr>
          </w:p>
        </w:tc>
      </w:tr>
      <w:tr>
        <w:trPr>
          <w:trHeight w:val="276"/>
        </w:trPr>
        <w:tc>
          <w:tcPr>
            <w:tcW w:w="41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 xml:space="preserve">TBA dollar roll income, net </w:t>
            </w:r>
            <w:r>
              <w:rPr>
                <w:rFonts w:ascii="Arial" w:cs="Arial" w:eastAsia="Arial" w:hAnsi="Arial"/>
                <w:sz w:val="8"/>
                <w:szCs w:val="8"/>
                <w:color w:val="auto"/>
              </w:rPr>
              <w:t>3,4</w:t>
            </w: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19</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68</w:t>
            </w:r>
          </w:p>
        </w:tc>
        <w:tc>
          <w:tcPr>
            <w:tcW w:w="0" w:type="dxa"/>
            <w:vAlign w:val="bottom"/>
          </w:tcPr>
          <w:p>
            <w:pPr>
              <w:spacing w:after="0"/>
              <w:rPr>
                <w:sz w:val="1"/>
                <w:szCs w:val="1"/>
                <w:color w:val="auto"/>
              </w:rPr>
            </w:pPr>
          </w:p>
        </w:tc>
      </w:tr>
      <w:tr>
        <w:trPr>
          <w:trHeight w:val="264"/>
        </w:trPr>
        <w:tc>
          <w:tcPr>
            <w:tcW w:w="4120" w:type="dxa"/>
            <w:vAlign w:val="bottom"/>
          </w:tcPr>
          <w:p>
            <w:pPr>
              <w:ind w:left="180"/>
              <w:spacing w:after="0"/>
              <w:rPr>
                <w:sz w:val="20"/>
                <w:szCs w:val="20"/>
                <w:color w:val="auto"/>
              </w:rPr>
            </w:pPr>
            <w:r>
              <w:rPr>
                <w:rFonts w:ascii="Arial" w:cs="Arial" w:eastAsia="Arial" w:hAnsi="Arial"/>
                <w:sz w:val="14"/>
                <w:szCs w:val="14"/>
                <w:color w:val="auto"/>
              </w:rPr>
              <w:t xml:space="preserve">Interest rate swap periodic income, net </w:t>
            </w:r>
            <w:r>
              <w:rPr>
                <w:rFonts w:ascii="Arial" w:cs="Arial" w:eastAsia="Arial" w:hAnsi="Arial"/>
                <w:sz w:val="8"/>
                <w:szCs w:val="8"/>
                <w:color w:val="auto"/>
              </w:rPr>
              <w:t>3,9</w:t>
            </w:r>
          </w:p>
        </w:tc>
        <w:tc>
          <w:tcPr>
            <w:tcW w:w="100" w:type="dxa"/>
            <w:vAlign w:val="bottom"/>
          </w:tcPr>
          <w:p>
            <w:pPr>
              <w:spacing w:after="0"/>
              <w:rPr>
                <w:sz w:val="22"/>
                <w:szCs w:val="22"/>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146</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88</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83</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63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56</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 xml:space="preserve">Other interest and dividend income </w:t>
            </w:r>
            <w:r>
              <w:rPr>
                <w:rFonts w:ascii="Arial" w:cs="Arial" w:eastAsia="Arial" w:hAnsi="Arial"/>
                <w:sz w:val="8"/>
                <w:szCs w:val="8"/>
                <w:color w:val="auto"/>
              </w:rPr>
              <w:t>3</w:t>
            </w:r>
          </w:p>
        </w:tc>
        <w:tc>
          <w:tcPr>
            <w:tcW w:w="100" w:type="dxa"/>
            <w:vAlign w:val="bottom"/>
            <w:shd w:val="clear" w:color="auto" w:fill="CCEEFF"/>
          </w:tcPr>
          <w:p>
            <w:pPr>
              <w:spacing w:after="0"/>
              <w:rPr>
                <w:sz w:val="23"/>
                <w:szCs w:val="23"/>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50"/>
        </w:trPr>
        <w:tc>
          <w:tcPr>
            <w:tcW w:w="41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Adjusted net interest and dollar roll income</w:t>
            </w:r>
          </w:p>
        </w:tc>
        <w:tc>
          <w:tcPr>
            <w:tcW w:w="100" w:type="dxa"/>
            <w:vAlign w:val="bottom"/>
            <w:tcBorders>
              <w:top w:val="single" w:sz="8" w:color="auto"/>
              <w:bottom w:val="single" w:sz="8" w:color="auto"/>
            </w:tcBorders>
          </w:tcPr>
          <w:p>
            <w:pPr>
              <w:spacing w:after="0"/>
              <w:rPr>
                <w:sz w:val="21"/>
                <w:szCs w:val="21"/>
                <w:color w:val="auto"/>
              </w:rPr>
            </w:pPr>
          </w:p>
        </w:tc>
        <w:tc>
          <w:tcPr>
            <w:tcW w:w="84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298</w:t>
            </w:r>
          </w:p>
        </w:tc>
        <w:tc>
          <w:tcPr>
            <w:tcW w:w="1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spacing w:after="0"/>
              <w:rPr>
                <w:sz w:val="21"/>
                <w:szCs w:val="21"/>
                <w:color w:val="auto"/>
              </w:rPr>
            </w:pPr>
          </w:p>
        </w:tc>
        <w:tc>
          <w:tcPr>
            <w:tcW w:w="80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237</w:t>
            </w:r>
          </w:p>
        </w:tc>
        <w:tc>
          <w:tcPr>
            <w:tcW w:w="10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tcPr>
          <w:p>
            <w:pPr>
              <w:spacing w:after="0"/>
              <w:rPr>
                <w:sz w:val="21"/>
                <w:szCs w:val="21"/>
                <w:color w:val="auto"/>
              </w:rPr>
            </w:pPr>
          </w:p>
        </w:tc>
        <w:tc>
          <w:tcPr>
            <w:tcW w:w="62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269</w:t>
            </w:r>
          </w:p>
        </w:tc>
        <w:tc>
          <w:tcPr>
            <w:tcW w:w="12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spacing w:after="0"/>
              <w:rPr>
                <w:sz w:val="21"/>
                <w:szCs w:val="21"/>
                <w:color w:val="auto"/>
              </w:rPr>
            </w:pPr>
          </w:p>
        </w:tc>
        <w:tc>
          <w:tcPr>
            <w:tcW w:w="84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276</w:t>
            </w:r>
          </w:p>
        </w:tc>
        <w:tc>
          <w:tcPr>
            <w:tcW w:w="10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spacing w:after="0"/>
              <w:rPr>
                <w:sz w:val="21"/>
                <w:szCs w:val="21"/>
                <w:color w:val="auto"/>
              </w:rPr>
            </w:pPr>
          </w:p>
        </w:tc>
        <w:tc>
          <w:tcPr>
            <w:tcW w:w="84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313</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40"/>
              <w:spacing w:after="0"/>
              <w:rPr>
                <w:sz w:val="20"/>
                <w:szCs w:val="20"/>
                <w:color w:val="auto"/>
              </w:rPr>
            </w:pPr>
            <w:r>
              <w:rPr>
                <w:rFonts w:ascii="Arial" w:cs="Arial" w:eastAsia="Arial" w:hAnsi="Arial"/>
                <w:sz w:val="14"/>
                <w:szCs w:val="14"/>
                <w:color w:val="auto"/>
              </w:rPr>
              <w:t>Other operating income (expense):</w:t>
            </w:r>
          </w:p>
        </w:tc>
        <w:tc>
          <w:tcPr>
            <w:tcW w:w="10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6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120" w:type="dxa"/>
            <w:vAlign w:val="bottom"/>
          </w:tcPr>
          <w:p>
            <w:pPr>
              <w:ind w:left="180"/>
              <w:spacing w:after="0"/>
              <w:rPr>
                <w:sz w:val="20"/>
                <w:szCs w:val="20"/>
                <w:color w:val="auto"/>
              </w:rPr>
            </w:pPr>
            <w:r>
              <w:rPr>
                <w:rFonts w:ascii="Arial" w:cs="Arial" w:eastAsia="Arial" w:hAnsi="Arial"/>
                <w:sz w:val="14"/>
                <w:szCs w:val="14"/>
                <w:color w:val="auto"/>
              </w:rPr>
              <w:t>Operating expense</w:t>
            </w:r>
          </w:p>
        </w:tc>
        <w:tc>
          <w:tcPr>
            <w:tcW w:w="10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(19)</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(20)</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(19)</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(19)</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(45)</w:t>
            </w:r>
          </w:p>
        </w:tc>
        <w:tc>
          <w:tcPr>
            <w:tcW w:w="0" w:type="dxa"/>
            <w:vAlign w:val="bottom"/>
          </w:tcPr>
          <w:p>
            <w:pPr>
              <w:spacing w:after="0"/>
              <w:rPr>
                <w:sz w:val="1"/>
                <w:szCs w:val="1"/>
                <w:color w:val="auto"/>
              </w:rPr>
            </w:pPr>
          </w:p>
        </w:tc>
      </w:tr>
      <w:tr>
        <w:trPr>
          <w:trHeight w:val="163"/>
        </w:trPr>
        <w:tc>
          <w:tcPr>
            <w:tcW w:w="412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4"/>
              </w:rPr>
              <w:t>Less non-recurring write-off of intangible asset and other expenses</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41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associated with termination of management agreement</w:t>
            </w:r>
          </w:p>
        </w:tc>
        <w:tc>
          <w:tcPr>
            <w:tcW w:w="1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26</w:t>
            </w:r>
          </w:p>
        </w:tc>
        <w:tc>
          <w:tcPr>
            <w:tcW w:w="0" w:type="dxa"/>
            <w:vAlign w:val="bottom"/>
          </w:tcPr>
          <w:p>
            <w:pPr>
              <w:spacing w:after="0"/>
              <w:rPr>
                <w:sz w:val="1"/>
                <w:szCs w:val="1"/>
                <w:color w:val="auto"/>
              </w:rPr>
            </w:pPr>
          </w:p>
        </w:tc>
      </w:tr>
      <w:tr>
        <w:trPr>
          <w:trHeight w:val="264"/>
        </w:trPr>
        <w:tc>
          <w:tcPr>
            <w:tcW w:w="4120" w:type="dxa"/>
            <w:vAlign w:val="bottom"/>
          </w:tcPr>
          <w:p>
            <w:pPr>
              <w:ind w:left="180"/>
              <w:spacing w:after="0"/>
              <w:rPr>
                <w:sz w:val="20"/>
                <w:szCs w:val="20"/>
                <w:color w:val="auto"/>
              </w:rPr>
            </w:pPr>
            <w:r>
              <w:rPr>
                <w:rFonts w:ascii="Arial" w:cs="Arial" w:eastAsia="Arial" w:hAnsi="Arial"/>
                <w:sz w:val="14"/>
                <w:szCs w:val="14"/>
                <w:color w:val="auto"/>
              </w:rPr>
              <w:t>Management fee income</w:t>
            </w:r>
          </w:p>
        </w:tc>
        <w:tc>
          <w:tcPr>
            <w:tcW w:w="100" w:type="dxa"/>
            <w:vAlign w:val="bottom"/>
          </w:tcPr>
          <w:p>
            <w:pPr>
              <w:spacing w:after="0"/>
              <w:rPr>
                <w:sz w:val="22"/>
                <w:szCs w:val="22"/>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46</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Less management agreement termination fee income</w:t>
            </w:r>
          </w:p>
        </w:tc>
        <w:tc>
          <w:tcPr>
            <w:tcW w:w="100" w:type="dxa"/>
            <w:vAlign w:val="bottom"/>
            <w:shd w:val="clear" w:color="auto" w:fill="CCEEFF"/>
          </w:tcPr>
          <w:p>
            <w:pPr>
              <w:spacing w:after="0"/>
              <w:rPr>
                <w:sz w:val="23"/>
                <w:szCs w:val="23"/>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w:t>
            </w:r>
          </w:p>
        </w:tc>
        <w:tc>
          <w:tcPr>
            <w:tcW w:w="0" w:type="dxa"/>
            <w:vAlign w:val="bottom"/>
          </w:tcPr>
          <w:p>
            <w:pPr>
              <w:spacing w:after="0"/>
              <w:rPr>
                <w:sz w:val="1"/>
                <w:szCs w:val="1"/>
                <w:color w:val="auto"/>
              </w:rPr>
            </w:pPr>
          </w:p>
        </w:tc>
      </w:tr>
      <w:tr>
        <w:trPr>
          <w:trHeight w:val="250"/>
        </w:trPr>
        <w:tc>
          <w:tcPr>
            <w:tcW w:w="41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Total operating income (expense), net</w:t>
            </w:r>
          </w:p>
        </w:tc>
        <w:tc>
          <w:tcPr>
            <w:tcW w:w="100" w:type="dxa"/>
            <w:vAlign w:val="bottom"/>
            <w:tcBorders>
              <w:top w:val="single" w:sz="8" w:color="auto"/>
              <w:bottom w:val="single" w:sz="8" w:color="auto"/>
            </w:tcBorders>
          </w:tcPr>
          <w:p>
            <w:pPr>
              <w:spacing w:after="0"/>
              <w:rPr>
                <w:sz w:val="21"/>
                <w:szCs w:val="21"/>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(19)</w:t>
            </w:r>
          </w:p>
        </w:tc>
        <w:tc>
          <w:tcPr>
            <w:tcW w:w="1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spacing w:after="0"/>
              <w:rPr>
                <w:sz w:val="21"/>
                <w:szCs w:val="21"/>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(20)</w:t>
            </w:r>
          </w:p>
        </w:tc>
        <w:tc>
          <w:tcPr>
            <w:tcW w:w="10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tcPr>
          <w:p>
            <w:pPr>
              <w:spacing w:after="0"/>
              <w:rPr>
                <w:sz w:val="21"/>
                <w:szCs w:val="21"/>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(19)</w:t>
            </w:r>
          </w:p>
        </w:tc>
        <w:tc>
          <w:tcPr>
            <w:tcW w:w="12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spacing w:after="0"/>
              <w:rPr>
                <w:sz w:val="21"/>
                <w:szCs w:val="21"/>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(18)</w:t>
            </w:r>
          </w:p>
        </w:tc>
        <w:tc>
          <w:tcPr>
            <w:tcW w:w="10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spacing w:after="0"/>
              <w:rPr>
                <w:sz w:val="21"/>
                <w:szCs w:val="21"/>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256"/>
        </w:trPr>
        <w:tc>
          <w:tcPr>
            <w:tcW w:w="412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spread and dollar roll income</w:t>
            </w:r>
          </w:p>
        </w:tc>
        <w:tc>
          <w:tcPr>
            <w:tcW w:w="100" w:type="dxa"/>
            <w:vAlign w:val="bottom"/>
            <w:shd w:val="clear" w:color="auto" w:fill="CCEEFF"/>
          </w:tcPr>
          <w:p>
            <w:pPr>
              <w:spacing w:after="0"/>
              <w:rPr>
                <w:sz w:val="22"/>
                <w:szCs w:val="22"/>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279</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217</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250</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258</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298</w:t>
            </w:r>
          </w:p>
        </w:tc>
        <w:tc>
          <w:tcPr>
            <w:tcW w:w="0" w:type="dxa"/>
            <w:vAlign w:val="bottom"/>
          </w:tcPr>
          <w:p>
            <w:pPr>
              <w:spacing w:after="0"/>
              <w:rPr>
                <w:sz w:val="1"/>
                <w:szCs w:val="1"/>
                <w:color w:val="auto"/>
              </w:rPr>
            </w:pPr>
          </w:p>
        </w:tc>
      </w:tr>
      <w:tr>
        <w:trPr>
          <w:trHeight w:val="264"/>
        </w:trPr>
        <w:tc>
          <w:tcPr>
            <w:tcW w:w="412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Dividend on preferred stock</w:t>
            </w: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13</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13</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9</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256"/>
        </w:trPr>
        <w:tc>
          <w:tcPr>
            <w:tcW w:w="4120" w:type="dxa"/>
            <w:vAlign w:val="bottom"/>
            <w:shd w:val="clear" w:color="auto" w:fill="CCEEFF"/>
          </w:tcPr>
          <w:p>
            <w:pPr>
              <w:ind w:left="40"/>
              <w:spacing w:after="0"/>
              <w:rPr>
                <w:sz w:val="20"/>
                <w:szCs w:val="20"/>
                <w:color w:val="auto"/>
              </w:rPr>
            </w:pPr>
            <w:r>
              <w:rPr>
                <w:rFonts w:ascii="Arial" w:cs="Arial" w:eastAsia="Arial" w:hAnsi="Arial"/>
                <w:sz w:val="14"/>
                <w:szCs w:val="14"/>
                <w:color w:val="auto"/>
                <w:w w:val="96"/>
              </w:rPr>
              <w:t>Net spread and dollar roll income available to common stockholders</w:t>
            </w:r>
          </w:p>
        </w:tc>
        <w:tc>
          <w:tcPr>
            <w:tcW w:w="100" w:type="dxa"/>
            <w:vAlign w:val="bottom"/>
            <w:shd w:val="clear" w:color="auto" w:fill="CCEEFF"/>
          </w:tcPr>
          <w:p>
            <w:pPr>
              <w:spacing w:after="0"/>
              <w:rPr>
                <w:sz w:val="22"/>
                <w:szCs w:val="22"/>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266</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204</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240</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249</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289</w:t>
            </w:r>
          </w:p>
        </w:tc>
        <w:tc>
          <w:tcPr>
            <w:tcW w:w="0" w:type="dxa"/>
            <w:vAlign w:val="bottom"/>
          </w:tcPr>
          <w:p>
            <w:pPr>
              <w:spacing w:after="0"/>
              <w:rPr>
                <w:sz w:val="1"/>
                <w:szCs w:val="1"/>
                <w:color w:val="auto"/>
              </w:rPr>
            </w:pPr>
          </w:p>
        </w:tc>
      </w:tr>
      <w:tr>
        <w:trPr>
          <w:trHeight w:val="157"/>
        </w:trPr>
        <w:tc>
          <w:tcPr>
            <w:tcW w:w="4120" w:type="dxa"/>
            <w:vAlign w:val="bottom"/>
          </w:tcPr>
          <w:p>
            <w:pPr>
              <w:ind w:left="120"/>
              <w:spacing w:after="0" w:line="157" w:lineRule="exact"/>
              <w:rPr>
                <w:sz w:val="20"/>
                <w:szCs w:val="20"/>
                <w:color w:val="auto"/>
              </w:rPr>
            </w:pPr>
            <w:r>
              <w:rPr>
                <w:rFonts w:ascii="Arial" w:cs="Arial" w:eastAsia="Arial" w:hAnsi="Arial"/>
                <w:sz w:val="14"/>
                <w:szCs w:val="14"/>
                <w:color w:val="auto"/>
              </w:rPr>
              <w:t>Estimated "catch-up" premium amortization cost (benefit) due to</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412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 xml:space="preserve">change in CPR forecast </w:t>
            </w:r>
            <w:r>
              <w:rPr>
                <w:rFonts w:ascii="Arial" w:cs="Arial" w:eastAsia="Arial" w:hAnsi="Arial"/>
                <w:sz w:val="8"/>
                <w:szCs w:val="8"/>
                <w:color w:val="auto"/>
              </w:rPr>
              <w:t>11</w:t>
            </w: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55</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58</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39</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16</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w:t>
            </w:r>
          </w:p>
        </w:tc>
        <w:tc>
          <w:tcPr>
            <w:tcW w:w="0" w:type="dxa"/>
            <w:vAlign w:val="bottom"/>
          </w:tcPr>
          <w:p>
            <w:pPr>
              <w:spacing w:after="0"/>
              <w:rPr>
                <w:sz w:val="1"/>
                <w:szCs w:val="1"/>
                <w:color w:val="auto"/>
              </w:rPr>
            </w:pPr>
          </w:p>
        </w:tc>
      </w:tr>
      <w:tr>
        <w:trPr>
          <w:trHeight w:val="143"/>
        </w:trPr>
        <w:tc>
          <w:tcPr>
            <w:tcW w:w="4120" w:type="dxa"/>
            <w:vAlign w:val="bottom"/>
            <w:shd w:val="clear" w:color="auto" w:fill="CCEEFF"/>
          </w:tcPr>
          <w:p>
            <w:pPr>
              <w:ind w:left="40"/>
              <w:spacing w:after="0" w:line="143" w:lineRule="exact"/>
              <w:rPr>
                <w:sz w:val="20"/>
                <w:szCs w:val="20"/>
                <w:color w:val="auto"/>
              </w:rPr>
            </w:pPr>
            <w:r>
              <w:rPr>
                <w:rFonts w:ascii="Arial" w:cs="Arial" w:eastAsia="Arial" w:hAnsi="Arial"/>
                <w:sz w:val="14"/>
                <w:szCs w:val="14"/>
                <w:color w:val="auto"/>
              </w:rPr>
              <w:t>Net spread and dollar roll income, excluding "catch-up" premium</w:t>
            </w: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321</w:t>
            </w:r>
          </w:p>
        </w:tc>
        <w:tc>
          <w:tcPr>
            <w:tcW w:w="100" w:type="dxa"/>
            <w:vAlign w:val="bottom"/>
            <w:shd w:val="clear" w:color="auto" w:fill="CCEEFF"/>
          </w:tcPr>
          <w:p>
            <w:pPr>
              <w:spacing w:after="0"/>
              <w:rPr>
                <w:sz w:val="12"/>
                <w:szCs w:val="12"/>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262</w:t>
            </w:r>
          </w:p>
        </w:tc>
        <w:tc>
          <w:tcPr>
            <w:tcW w:w="420" w:type="dxa"/>
            <w:vAlign w:val="bottom"/>
            <w:gridSpan w:val="2"/>
            <w:vMerge w:val="restart"/>
            <w:shd w:val="clear" w:color="auto" w:fill="CCEEFF"/>
          </w:tcPr>
          <w:p>
            <w:pPr>
              <w:jc w:val="right"/>
              <w:ind w:right="151"/>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279</w:t>
            </w:r>
          </w:p>
        </w:tc>
        <w:tc>
          <w:tcPr>
            <w:tcW w:w="120" w:type="dxa"/>
            <w:vAlign w:val="bottom"/>
            <w:shd w:val="clear" w:color="auto" w:fill="CCEEFF"/>
          </w:tcPr>
          <w:p>
            <w:pPr>
              <w:spacing w:after="0"/>
              <w:rPr>
                <w:sz w:val="12"/>
                <w:szCs w:val="12"/>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265</w:t>
            </w:r>
          </w:p>
        </w:tc>
        <w:tc>
          <w:tcPr>
            <w:tcW w:w="100" w:type="dxa"/>
            <w:vAlign w:val="bottom"/>
            <w:shd w:val="clear" w:color="auto" w:fill="CCEEFF"/>
          </w:tcPr>
          <w:p>
            <w:pPr>
              <w:spacing w:after="0"/>
              <w:rPr>
                <w:sz w:val="12"/>
                <w:szCs w:val="12"/>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283</w:t>
            </w:r>
          </w:p>
        </w:tc>
        <w:tc>
          <w:tcPr>
            <w:tcW w:w="0" w:type="dxa"/>
            <w:vAlign w:val="bottom"/>
          </w:tcPr>
          <w:p>
            <w:pPr>
              <w:spacing w:after="0"/>
              <w:rPr>
                <w:sz w:val="1"/>
                <w:szCs w:val="1"/>
                <w:color w:val="auto"/>
              </w:rPr>
            </w:pPr>
          </w:p>
        </w:tc>
      </w:tr>
      <w:tr>
        <w:trPr>
          <w:trHeight w:val="181"/>
        </w:trPr>
        <w:tc>
          <w:tcPr>
            <w:tcW w:w="4120" w:type="dxa"/>
            <w:vAlign w:val="bottom"/>
            <w:shd w:val="clear" w:color="auto" w:fill="CCEEFF"/>
          </w:tcPr>
          <w:p>
            <w:pPr>
              <w:ind w:left="40"/>
              <w:spacing w:after="0"/>
              <w:rPr>
                <w:sz w:val="20"/>
                <w:szCs w:val="20"/>
                <w:color w:val="auto"/>
              </w:rPr>
            </w:pPr>
            <w:r>
              <w:rPr>
                <w:rFonts w:ascii="Arial" w:cs="Arial" w:eastAsia="Arial" w:hAnsi="Arial"/>
                <w:sz w:val="14"/>
                <w:szCs w:val="14"/>
                <w:color w:val="auto"/>
              </w:rPr>
              <w:t>amortization, available to common stockholders</w:t>
            </w:r>
          </w:p>
        </w:tc>
        <w:tc>
          <w:tcPr>
            <w:tcW w:w="100" w:type="dxa"/>
            <w:vAlign w:val="bottom"/>
            <w:vMerge w:val="continue"/>
            <w:shd w:val="clear" w:color="auto" w:fill="CCEEFF"/>
          </w:tcPr>
          <w:p>
            <w:pPr>
              <w:spacing w:after="0"/>
              <w:rPr>
                <w:sz w:val="15"/>
                <w:szCs w:val="15"/>
                <w:color w:val="auto"/>
              </w:rPr>
            </w:pPr>
          </w:p>
        </w:tc>
        <w:tc>
          <w:tcPr>
            <w:tcW w:w="84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60" w:type="dxa"/>
            <w:vAlign w:val="bottom"/>
            <w:vMerge w:val="continue"/>
            <w:shd w:val="clear" w:color="auto" w:fill="CCEEFF"/>
          </w:tcPr>
          <w:p>
            <w:pPr>
              <w:spacing w:after="0"/>
              <w:rPr>
                <w:sz w:val="15"/>
                <w:szCs w:val="15"/>
                <w:color w:val="auto"/>
              </w:rPr>
            </w:pPr>
          </w:p>
        </w:tc>
        <w:tc>
          <w:tcPr>
            <w:tcW w:w="800" w:type="dxa"/>
            <w:vAlign w:val="bottom"/>
            <w:vMerge w:val="continue"/>
            <w:shd w:val="clear" w:color="auto" w:fill="CCEEFF"/>
          </w:tcPr>
          <w:p>
            <w:pPr>
              <w:spacing w:after="0"/>
              <w:rPr>
                <w:sz w:val="15"/>
                <w:szCs w:val="15"/>
                <w:color w:val="auto"/>
              </w:rPr>
            </w:pPr>
          </w:p>
        </w:tc>
        <w:tc>
          <w:tcPr>
            <w:tcW w:w="420" w:type="dxa"/>
            <w:vAlign w:val="bottom"/>
            <w:gridSpan w:val="2"/>
            <w:vMerge w:val="continue"/>
            <w:shd w:val="clear" w:color="auto" w:fill="CCEEFF"/>
          </w:tcPr>
          <w:p>
            <w:pPr>
              <w:spacing w:after="0"/>
              <w:rPr>
                <w:sz w:val="15"/>
                <w:szCs w:val="15"/>
                <w:color w:val="auto"/>
              </w:rPr>
            </w:pPr>
          </w:p>
        </w:tc>
        <w:tc>
          <w:tcPr>
            <w:tcW w:w="620" w:type="dxa"/>
            <w:vAlign w:val="bottom"/>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vMerge w:val="continue"/>
            <w:shd w:val="clear" w:color="auto" w:fill="CCEEFF"/>
          </w:tcPr>
          <w:p>
            <w:pPr>
              <w:spacing w:after="0"/>
              <w:rPr>
                <w:sz w:val="15"/>
                <w:szCs w:val="15"/>
                <w:color w:val="auto"/>
              </w:rPr>
            </w:pPr>
          </w:p>
        </w:tc>
        <w:tc>
          <w:tcPr>
            <w:tcW w:w="84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vMerge w:val="continue"/>
            <w:shd w:val="clear" w:color="auto" w:fill="CCEEFF"/>
          </w:tcPr>
          <w:p>
            <w:pPr>
              <w:spacing w:after="0"/>
              <w:rPr>
                <w:sz w:val="15"/>
                <w:szCs w:val="15"/>
                <w:color w:val="auto"/>
              </w:rPr>
            </w:pPr>
          </w:p>
        </w:tc>
        <w:tc>
          <w:tcPr>
            <w:tcW w:w="84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4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Weighted average number of common shares outstanding - basic</w:t>
            </w:r>
          </w:p>
        </w:tc>
        <w:tc>
          <w:tcPr>
            <w:tcW w:w="100" w:type="dxa"/>
            <w:vAlign w:val="bottom"/>
            <w:tcBorders>
              <w:bottom w:val="single" w:sz="8" w:color="auto"/>
            </w:tcBorders>
            <w:shd w:val="clear" w:color="auto" w:fill="CCEEFF"/>
          </w:tcPr>
          <w:p>
            <w:pPr>
              <w:spacing w:after="0"/>
              <w:rPr>
                <w:sz w:val="22"/>
                <w:szCs w:val="22"/>
                <w:color w:val="auto"/>
              </w:rPr>
            </w:pPr>
          </w:p>
        </w:tc>
        <w:tc>
          <w:tcPr>
            <w:tcW w:w="8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546.4</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537.8</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spacing w:after="0"/>
              <w:rPr>
                <w:sz w:val="22"/>
                <w:szCs w:val="22"/>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536.7</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8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504.2</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2"/>
                <w:szCs w:val="22"/>
                <w:color w:val="auto"/>
              </w:rPr>
            </w:pPr>
          </w:p>
        </w:tc>
        <w:tc>
          <w:tcPr>
            <w:tcW w:w="8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462.3</w:t>
            </w: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w w:val="98"/>
              </w:rPr>
              <w:t>Weighted average number of common shares outstanding - diluted</w:t>
            </w: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547.1</w:t>
            </w:r>
          </w:p>
        </w:tc>
        <w:tc>
          <w:tcPr>
            <w:tcW w:w="10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538.4</w:t>
            </w:r>
          </w:p>
        </w:tc>
        <w:tc>
          <w:tcPr>
            <w:tcW w:w="10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537.2</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504.7</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462.7</w:t>
            </w:r>
          </w:p>
        </w:tc>
        <w:tc>
          <w:tcPr>
            <w:tcW w:w="0" w:type="dxa"/>
            <w:vAlign w:val="bottom"/>
          </w:tcPr>
          <w:p>
            <w:pPr>
              <w:spacing w:after="0"/>
              <w:rPr>
                <w:sz w:val="1"/>
                <w:szCs w:val="1"/>
                <w:color w:val="auto"/>
              </w:rPr>
            </w:pPr>
          </w:p>
        </w:tc>
      </w:tr>
      <w:tr>
        <w:trPr>
          <w:trHeight w:val="21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Net spread and dollar roll income per common share - basic</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0.49</w:t>
            </w:r>
          </w:p>
        </w:tc>
        <w:tc>
          <w:tcPr>
            <w:tcW w:w="1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0.38</w:t>
            </w:r>
          </w:p>
        </w:tc>
        <w:tc>
          <w:tcPr>
            <w:tcW w:w="10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jc w:val="right"/>
              <w:ind w:right="151"/>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0.45</w:t>
            </w: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0.49</w:t>
            </w:r>
          </w:p>
        </w:tc>
        <w:tc>
          <w:tcPr>
            <w:tcW w:w="1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0.63</w:t>
            </w: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Net spread and dollar roll income per common share - diluted</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0.49</w:t>
            </w:r>
          </w:p>
        </w:tc>
        <w:tc>
          <w:tcPr>
            <w:tcW w:w="10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0.38</w:t>
            </w:r>
          </w:p>
        </w:tc>
        <w:tc>
          <w:tcPr>
            <w:tcW w:w="10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jc w:val="right"/>
              <w:ind w:right="151"/>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0.45</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0.49</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0.62</w:t>
            </w:r>
          </w:p>
        </w:tc>
        <w:tc>
          <w:tcPr>
            <w:tcW w:w="0" w:type="dxa"/>
            <w:vAlign w:val="bottom"/>
          </w:tcPr>
          <w:p>
            <w:pPr>
              <w:spacing w:after="0"/>
              <w:rPr>
                <w:sz w:val="1"/>
                <w:szCs w:val="1"/>
                <w:color w:val="auto"/>
              </w:rPr>
            </w:pPr>
          </w:p>
        </w:tc>
      </w:tr>
      <w:tr>
        <w:trPr>
          <w:trHeight w:val="110"/>
        </w:trPr>
        <w:tc>
          <w:tcPr>
            <w:tcW w:w="4120" w:type="dxa"/>
            <w:vAlign w:val="bottom"/>
            <w:shd w:val="clear" w:color="auto" w:fill="CCEEFF"/>
          </w:tcPr>
          <w:p>
            <w:pPr>
              <w:ind w:left="40"/>
              <w:spacing w:after="0" w:line="110" w:lineRule="exact"/>
              <w:rPr>
                <w:sz w:val="20"/>
                <w:szCs w:val="20"/>
                <w:color w:val="auto"/>
              </w:rPr>
            </w:pPr>
            <w:r>
              <w:rPr>
                <w:rFonts w:ascii="Arial" w:cs="Arial" w:eastAsia="Arial" w:hAnsi="Arial"/>
                <w:sz w:val="12"/>
                <w:szCs w:val="12"/>
                <w:color w:val="auto"/>
              </w:rPr>
              <w:t>Net spread and dollar roll income, excluding "catch-up" premium</w:t>
            </w: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0.59</w:t>
            </w:r>
          </w:p>
        </w:tc>
        <w:tc>
          <w:tcPr>
            <w:tcW w:w="100" w:type="dxa"/>
            <w:vAlign w:val="bottom"/>
            <w:shd w:val="clear" w:color="auto" w:fill="CCEEFF"/>
          </w:tcPr>
          <w:p>
            <w:pPr>
              <w:spacing w:after="0"/>
              <w:rPr>
                <w:sz w:val="9"/>
                <w:szCs w:val="9"/>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0.49</w:t>
            </w:r>
          </w:p>
        </w:tc>
        <w:tc>
          <w:tcPr>
            <w:tcW w:w="420" w:type="dxa"/>
            <w:vAlign w:val="bottom"/>
            <w:gridSpan w:val="2"/>
            <w:vMerge w:val="restart"/>
            <w:shd w:val="clear" w:color="auto" w:fill="CCEEFF"/>
          </w:tcPr>
          <w:p>
            <w:pPr>
              <w:jc w:val="right"/>
              <w:ind w:right="151"/>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0.52</w:t>
            </w:r>
          </w:p>
        </w:tc>
        <w:tc>
          <w:tcPr>
            <w:tcW w:w="120" w:type="dxa"/>
            <w:vAlign w:val="bottom"/>
            <w:shd w:val="clear" w:color="auto" w:fill="CCEEFF"/>
          </w:tcPr>
          <w:p>
            <w:pPr>
              <w:spacing w:after="0"/>
              <w:rPr>
                <w:sz w:val="9"/>
                <w:szCs w:val="9"/>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0.53</w:t>
            </w:r>
          </w:p>
        </w:tc>
        <w:tc>
          <w:tcPr>
            <w:tcW w:w="100" w:type="dxa"/>
            <w:vAlign w:val="bottom"/>
            <w:shd w:val="clear" w:color="auto" w:fill="CCEEFF"/>
          </w:tcPr>
          <w:p>
            <w:pPr>
              <w:spacing w:after="0"/>
              <w:rPr>
                <w:sz w:val="9"/>
                <w:szCs w:val="9"/>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0.61</w:t>
            </w:r>
          </w:p>
        </w:tc>
        <w:tc>
          <w:tcPr>
            <w:tcW w:w="0" w:type="dxa"/>
            <w:vAlign w:val="bottom"/>
          </w:tcPr>
          <w:p>
            <w:pPr>
              <w:spacing w:after="0"/>
              <w:rPr>
                <w:sz w:val="1"/>
                <w:szCs w:val="1"/>
                <w:color w:val="auto"/>
              </w:rPr>
            </w:pPr>
          </w:p>
        </w:tc>
      </w:tr>
      <w:tr>
        <w:trPr>
          <w:trHeight w:val="181"/>
        </w:trPr>
        <w:tc>
          <w:tcPr>
            <w:tcW w:w="4120" w:type="dxa"/>
            <w:vAlign w:val="bottom"/>
            <w:shd w:val="clear" w:color="auto" w:fill="CCEEFF"/>
          </w:tcPr>
          <w:p>
            <w:pPr>
              <w:ind w:left="40"/>
              <w:spacing w:after="0"/>
              <w:rPr>
                <w:sz w:val="20"/>
                <w:szCs w:val="20"/>
                <w:color w:val="auto"/>
              </w:rPr>
            </w:pPr>
            <w:r>
              <w:rPr>
                <w:rFonts w:ascii="Arial" w:cs="Arial" w:eastAsia="Arial" w:hAnsi="Arial"/>
                <w:sz w:val="14"/>
                <w:szCs w:val="14"/>
                <w:color w:val="auto"/>
              </w:rPr>
              <w:t>amortization, per common share - basic</w:t>
            </w:r>
          </w:p>
        </w:tc>
        <w:tc>
          <w:tcPr>
            <w:tcW w:w="100" w:type="dxa"/>
            <w:vAlign w:val="bottom"/>
            <w:vMerge w:val="continue"/>
            <w:shd w:val="clear" w:color="auto" w:fill="CCEEFF"/>
          </w:tcPr>
          <w:p>
            <w:pPr>
              <w:spacing w:after="0"/>
              <w:rPr>
                <w:sz w:val="15"/>
                <w:szCs w:val="15"/>
                <w:color w:val="auto"/>
              </w:rPr>
            </w:pPr>
          </w:p>
        </w:tc>
        <w:tc>
          <w:tcPr>
            <w:tcW w:w="84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60" w:type="dxa"/>
            <w:vAlign w:val="bottom"/>
            <w:vMerge w:val="continue"/>
            <w:shd w:val="clear" w:color="auto" w:fill="CCEEFF"/>
          </w:tcPr>
          <w:p>
            <w:pPr>
              <w:spacing w:after="0"/>
              <w:rPr>
                <w:sz w:val="15"/>
                <w:szCs w:val="15"/>
                <w:color w:val="auto"/>
              </w:rPr>
            </w:pPr>
          </w:p>
        </w:tc>
        <w:tc>
          <w:tcPr>
            <w:tcW w:w="800" w:type="dxa"/>
            <w:vAlign w:val="bottom"/>
            <w:vMerge w:val="continue"/>
            <w:shd w:val="clear" w:color="auto" w:fill="CCEEFF"/>
          </w:tcPr>
          <w:p>
            <w:pPr>
              <w:spacing w:after="0"/>
              <w:rPr>
                <w:sz w:val="15"/>
                <w:szCs w:val="15"/>
                <w:color w:val="auto"/>
              </w:rPr>
            </w:pPr>
          </w:p>
        </w:tc>
        <w:tc>
          <w:tcPr>
            <w:tcW w:w="420" w:type="dxa"/>
            <w:vAlign w:val="bottom"/>
            <w:gridSpan w:val="2"/>
            <w:vMerge w:val="continue"/>
            <w:shd w:val="clear" w:color="auto" w:fill="CCEEFF"/>
          </w:tcPr>
          <w:p>
            <w:pPr>
              <w:spacing w:after="0"/>
              <w:rPr>
                <w:sz w:val="15"/>
                <w:szCs w:val="15"/>
                <w:color w:val="auto"/>
              </w:rPr>
            </w:pPr>
          </w:p>
        </w:tc>
        <w:tc>
          <w:tcPr>
            <w:tcW w:w="620" w:type="dxa"/>
            <w:vAlign w:val="bottom"/>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vMerge w:val="continue"/>
            <w:shd w:val="clear" w:color="auto" w:fill="CCEEFF"/>
          </w:tcPr>
          <w:p>
            <w:pPr>
              <w:spacing w:after="0"/>
              <w:rPr>
                <w:sz w:val="15"/>
                <w:szCs w:val="15"/>
                <w:color w:val="auto"/>
              </w:rPr>
            </w:pPr>
          </w:p>
        </w:tc>
        <w:tc>
          <w:tcPr>
            <w:tcW w:w="84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vMerge w:val="continue"/>
            <w:shd w:val="clear" w:color="auto" w:fill="CCEEFF"/>
          </w:tcPr>
          <w:p>
            <w:pPr>
              <w:spacing w:after="0"/>
              <w:rPr>
                <w:sz w:val="15"/>
                <w:szCs w:val="15"/>
                <w:color w:val="auto"/>
              </w:rPr>
            </w:pPr>
          </w:p>
        </w:tc>
        <w:tc>
          <w:tcPr>
            <w:tcW w:w="84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120" w:type="dxa"/>
            <w:vAlign w:val="bottom"/>
            <w:tcBorders>
              <w:top w:val="single" w:sz="8" w:color="CCEEFF"/>
              <w:bottom w:val="single" w:sz="8" w:color="CCEEFF"/>
            </w:tcBorders>
            <w:vMerge w:val="restart"/>
          </w:tcPr>
          <w:p>
            <w:pPr>
              <w:ind w:left="40"/>
              <w:spacing w:after="0" w:line="151" w:lineRule="exact"/>
              <w:rPr>
                <w:sz w:val="20"/>
                <w:szCs w:val="20"/>
                <w:color w:val="auto"/>
              </w:rPr>
            </w:pPr>
            <w:r>
              <w:rPr>
                <w:rFonts w:ascii="Arial" w:cs="Arial" w:eastAsia="Arial" w:hAnsi="Arial"/>
                <w:sz w:val="14"/>
                <w:szCs w:val="14"/>
                <w:color w:val="auto"/>
              </w:rPr>
              <w:t>Net spread and dollar roll income, excluding "catch-up" premium</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4120" w:type="dxa"/>
            <w:vAlign w:val="bottom"/>
            <w:vMerge w:val="continue"/>
          </w:tcPr>
          <w:p>
            <w:pPr>
              <w:spacing w:after="0"/>
              <w:rPr>
                <w:sz w:val="9"/>
                <w:szCs w:val="9"/>
                <w:color w:val="auto"/>
              </w:rPr>
            </w:pPr>
          </w:p>
        </w:tc>
        <w:tc>
          <w:tcPr>
            <w:tcW w:w="10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tcPr>
          <w:p>
            <w:pPr>
              <w:jc w:val="right"/>
              <w:ind w:right="9"/>
              <w:spacing w:after="0"/>
              <w:rPr>
                <w:sz w:val="20"/>
                <w:szCs w:val="20"/>
                <w:color w:val="auto"/>
              </w:rPr>
            </w:pPr>
            <w:r>
              <w:rPr>
                <w:rFonts w:ascii="Arial" w:cs="Arial" w:eastAsia="Arial" w:hAnsi="Arial"/>
                <w:sz w:val="14"/>
                <w:szCs w:val="14"/>
                <w:color w:val="auto"/>
              </w:rPr>
              <w:t>0.59</w:t>
            </w:r>
          </w:p>
        </w:tc>
        <w:tc>
          <w:tcPr>
            <w:tcW w:w="100" w:type="dxa"/>
            <w:vAlign w:val="bottom"/>
          </w:tcPr>
          <w:p>
            <w:pPr>
              <w:spacing w:after="0"/>
              <w:rPr>
                <w:sz w:val="9"/>
                <w:szCs w:val="9"/>
                <w:color w:val="auto"/>
              </w:rPr>
            </w:pPr>
          </w:p>
        </w:tc>
        <w:tc>
          <w:tcPr>
            <w:tcW w:w="1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00" w:type="dxa"/>
            <w:vAlign w:val="bottom"/>
            <w:vMerge w:val="restart"/>
          </w:tcPr>
          <w:p>
            <w:pPr>
              <w:jc w:val="right"/>
              <w:ind w:right="8"/>
              <w:spacing w:after="0"/>
              <w:rPr>
                <w:sz w:val="20"/>
                <w:szCs w:val="20"/>
                <w:color w:val="auto"/>
              </w:rPr>
            </w:pPr>
            <w:r>
              <w:rPr>
                <w:rFonts w:ascii="Arial" w:cs="Arial" w:eastAsia="Arial" w:hAnsi="Arial"/>
                <w:sz w:val="14"/>
                <w:szCs w:val="14"/>
                <w:color w:val="auto"/>
              </w:rPr>
              <w:t>0.49</w:t>
            </w:r>
          </w:p>
        </w:tc>
        <w:tc>
          <w:tcPr>
            <w:tcW w:w="420" w:type="dxa"/>
            <w:vAlign w:val="bottom"/>
            <w:gridSpan w:val="2"/>
            <w:vMerge w:val="restart"/>
          </w:tcPr>
          <w:p>
            <w:pPr>
              <w:jc w:val="right"/>
              <w:ind w:right="151"/>
              <w:spacing w:after="0"/>
              <w:rPr>
                <w:sz w:val="20"/>
                <w:szCs w:val="20"/>
                <w:color w:val="auto"/>
              </w:rPr>
            </w:pPr>
            <w:r>
              <w:rPr>
                <w:rFonts w:ascii="Arial" w:cs="Arial" w:eastAsia="Arial" w:hAnsi="Arial"/>
                <w:sz w:val="14"/>
                <w:szCs w:val="14"/>
                <w:color w:val="auto"/>
              </w:rPr>
              <w:t>$</w:t>
            </w:r>
          </w:p>
        </w:tc>
        <w:tc>
          <w:tcPr>
            <w:tcW w:w="620" w:type="dxa"/>
            <w:vAlign w:val="bottom"/>
            <w:vMerge w:val="restart"/>
          </w:tcPr>
          <w:p>
            <w:pPr>
              <w:jc w:val="right"/>
              <w:ind w:right="8"/>
              <w:spacing w:after="0"/>
              <w:rPr>
                <w:sz w:val="20"/>
                <w:szCs w:val="20"/>
                <w:color w:val="auto"/>
              </w:rPr>
            </w:pPr>
            <w:r>
              <w:rPr>
                <w:rFonts w:ascii="Arial" w:cs="Arial" w:eastAsia="Arial" w:hAnsi="Arial"/>
                <w:sz w:val="14"/>
                <w:szCs w:val="14"/>
                <w:color w:val="auto"/>
              </w:rPr>
              <w:t>0.52</w:t>
            </w:r>
          </w:p>
        </w:tc>
        <w:tc>
          <w:tcPr>
            <w:tcW w:w="120" w:type="dxa"/>
            <w:vAlign w:val="bottom"/>
          </w:tcPr>
          <w:p>
            <w:pPr>
              <w:spacing w:after="0"/>
              <w:rPr>
                <w:sz w:val="9"/>
                <w:szCs w:val="9"/>
                <w:color w:val="auto"/>
              </w:rPr>
            </w:pPr>
          </w:p>
        </w:tc>
        <w:tc>
          <w:tcPr>
            <w:tcW w:w="10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tcPr>
          <w:p>
            <w:pPr>
              <w:jc w:val="right"/>
              <w:ind w:right="9"/>
              <w:spacing w:after="0"/>
              <w:rPr>
                <w:sz w:val="20"/>
                <w:szCs w:val="20"/>
                <w:color w:val="auto"/>
              </w:rPr>
            </w:pPr>
            <w:r>
              <w:rPr>
                <w:rFonts w:ascii="Arial" w:cs="Arial" w:eastAsia="Arial" w:hAnsi="Arial"/>
                <w:sz w:val="14"/>
                <w:szCs w:val="14"/>
                <w:color w:val="auto"/>
              </w:rPr>
              <w:t>0.53</w:t>
            </w:r>
          </w:p>
        </w:tc>
        <w:tc>
          <w:tcPr>
            <w:tcW w:w="100" w:type="dxa"/>
            <w:vAlign w:val="bottom"/>
          </w:tcPr>
          <w:p>
            <w:pPr>
              <w:spacing w:after="0"/>
              <w:rPr>
                <w:sz w:val="9"/>
                <w:szCs w:val="9"/>
                <w:color w:val="auto"/>
              </w:rPr>
            </w:pPr>
          </w:p>
        </w:tc>
        <w:tc>
          <w:tcPr>
            <w:tcW w:w="12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tcPr>
          <w:p>
            <w:pPr>
              <w:jc w:val="right"/>
              <w:ind w:right="9"/>
              <w:spacing w:after="0"/>
              <w:rPr>
                <w:sz w:val="20"/>
                <w:szCs w:val="20"/>
                <w:color w:val="auto"/>
              </w:rPr>
            </w:pPr>
            <w:r>
              <w:rPr>
                <w:rFonts w:ascii="Arial" w:cs="Arial" w:eastAsia="Arial" w:hAnsi="Arial"/>
                <w:sz w:val="14"/>
                <w:szCs w:val="14"/>
                <w:color w:val="auto"/>
              </w:rPr>
              <w:t>0.61</w:t>
            </w:r>
          </w:p>
        </w:tc>
        <w:tc>
          <w:tcPr>
            <w:tcW w:w="0" w:type="dxa"/>
            <w:vAlign w:val="bottom"/>
          </w:tcPr>
          <w:p>
            <w:pPr>
              <w:spacing w:after="0"/>
              <w:rPr>
                <w:sz w:val="1"/>
                <w:szCs w:val="1"/>
                <w:color w:val="auto"/>
              </w:rPr>
            </w:pPr>
          </w:p>
        </w:tc>
      </w:tr>
      <w:tr>
        <w:trPr>
          <w:trHeight w:val="181"/>
        </w:trPr>
        <w:tc>
          <w:tcPr>
            <w:tcW w:w="4120" w:type="dxa"/>
            <w:vAlign w:val="bottom"/>
          </w:tcPr>
          <w:p>
            <w:pPr>
              <w:ind w:left="40"/>
              <w:spacing w:after="0"/>
              <w:rPr>
                <w:sz w:val="20"/>
                <w:szCs w:val="20"/>
                <w:color w:val="auto"/>
              </w:rPr>
            </w:pPr>
            <w:r>
              <w:rPr>
                <w:rFonts w:ascii="Arial" w:cs="Arial" w:eastAsia="Arial" w:hAnsi="Arial"/>
                <w:sz w:val="14"/>
                <w:szCs w:val="14"/>
                <w:color w:val="auto"/>
              </w:rPr>
              <w:t>amortization, per common share - diluted</w:t>
            </w:r>
          </w:p>
        </w:tc>
        <w:tc>
          <w:tcPr>
            <w:tcW w:w="100" w:type="dxa"/>
            <w:vAlign w:val="bottom"/>
            <w:vMerge w:val="continue"/>
          </w:tcPr>
          <w:p>
            <w:pPr>
              <w:spacing w:after="0"/>
              <w:rPr>
                <w:sz w:val="15"/>
                <w:szCs w:val="15"/>
                <w:color w:val="auto"/>
              </w:rPr>
            </w:pPr>
          </w:p>
        </w:tc>
        <w:tc>
          <w:tcPr>
            <w:tcW w:w="84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420" w:type="dxa"/>
            <w:vAlign w:val="bottom"/>
            <w:gridSpan w:val="2"/>
            <w:vMerge w:val="continue"/>
          </w:tcPr>
          <w:p>
            <w:pPr>
              <w:spacing w:after="0"/>
              <w:rPr>
                <w:sz w:val="15"/>
                <w:szCs w:val="15"/>
                <w:color w:val="auto"/>
              </w:rPr>
            </w:pPr>
          </w:p>
        </w:tc>
        <w:tc>
          <w:tcPr>
            <w:tcW w:w="62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vMerge w:val="continue"/>
          </w:tcPr>
          <w:p>
            <w:pPr>
              <w:spacing w:after="0"/>
              <w:rPr>
                <w:sz w:val="15"/>
                <w:szCs w:val="15"/>
                <w:color w:val="auto"/>
              </w:rPr>
            </w:pPr>
          </w:p>
        </w:tc>
        <w:tc>
          <w:tcPr>
            <w:tcW w:w="84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vMerge w:val="continue"/>
          </w:tcPr>
          <w:p>
            <w:pPr>
              <w:spacing w:after="0"/>
              <w:rPr>
                <w:sz w:val="15"/>
                <w:szCs w:val="15"/>
                <w:color w:val="auto"/>
              </w:rPr>
            </w:pPr>
          </w:p>
        </w:tc>
        <w:tc>
          <w:tcPr>
            <w:tcW w:w="8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219"/>
          </w:cols>
          <w:pgMar w:left="240" w:top="147" w:right="1440" w:bottom="1440" w:gutter="0" w:footer="0" w:header="0"/>
        </w:sectPr>
      </w:pPr>
    </w:p>
    <w:bookmarkStart w:id="13" w:name="page14"/>
    <w:bookmarkEnd w:id="13"/>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11</w:t>
      </w:r>
    </w:p>
    <w:p>
      <w:pPr>
        <w:spacing w:after="0" w:line="383" w:lineRule="exact"/>
        <w:rPr>
          <w:sz w:val="20"/>
          <w:szCs w:val="20"/>
          <w:color w:val="auto"/>
        </w:rPr>
      </w:pPr>
    </w:p>
    <w:p>
      <w:pPr>
        <w:jc w:val="center"/>
        <w:ind w:right="259"/>
        <w:spacing w:after="0"/>
        <w:rPr>
          <w:sz w:val="20"/>
          <w:szCs w:val="20"/>
          <w:color w:val="auto"/>
        </w:rPr>
      </w:pPr>
      <w:r>
        <w:rPr>
          <w:rFonts w:ascii="Arial" w:cs="Arial" w:eastAsia="Arial" w:hAnsi="Arial"/>
          <w:sz w:val="14"/>
          <w:szCs w:val="14"/>
          <w:color w:val="auto"/>
        </w:rPr>
        <w:t>AGNC INVESTMENT CORP.</w:t>
      </w:r>
    </w:p>
    <w:p>
      <w:pPr>
        <w:spacing w:after="0" w:line="42" w:lineRule="exact"/>
        <w:rPr>
          <w:sz w:val="20"/>
          <w:szCs w:val="20"/>
          <w:color w:val="auto"/>
        </w:rPr>
      </w:pPr>
    </w:p>
    <w:p>
      <w:pPr>
        <w:jc w:val="center"/>
        <w:ind w:right="259"/>
        <w:spacing w:after="0"/>
        <w:rPr>
          <w:sz w:val="20"/>
          <w:szCs w:val="20"/>
          <w:color w:val="auto"/>
        </w:rPr>
      </w:pPr>
      <w:r>
        <w:rPr>
          <w:rFonts w:ascii="Arial" w:cs="Arial" w:eastAsia="Arial" w:hAnsi="Arial"/>
          <w:sz w:val="14"/>
          <w:szCs w:val="14"/>
          <w:color w:val="auto"/>
        </w:rPr>
        <w:t xml:space="preserve">RECONCILIATION OF GAAP NET INCOME TO ESTIMATED TAXABLE INCOME (NON-GAAP MEASURE) </w:t>
      </w:r>
      <w:r>
        <w:rPr>
          <w:rFonts w:ascii="Arial" w:cs="Arial" w:eastAsia="Arial" w:hAnsi="Arial"/>
          <w:sz w:val="8"/>
          <w:szCs w:val="8"/>
          <w:color w:val="auto"/>
        </w:rPr>
        <w:t>2</w:t>
      </w:r>
    </w:p>
    <w:p>
      <w:pPr>
        <w:spacing w:after="0" w:line="42" w:lineRule="exact"/>
        <w:rPr>
          <w:sz w:val="20"/>
          <w:szCs w:val="20"/>
          <w:color w:val="auto"/>
        </w:rPr>
      </w:pPr>
    </w:p>
    <w:p>
      <w:pPr>
        <w:jc w:val="center"/>
        <w:ind w:right="259"/>
        <w:spacing w:after="0"/>
        <w:rPr>
          <w:sz w:val="20"/>
          <w:szCs w:val="20"/>
          <w:color w:val="auto"/>
        </w:rPr>
      </w:pPr>
      <w:r>
        <w:rPr>
          <w:rFonts w:ascii="Arial" w:cs="Arial" w:eastAsia="Arial" w:hAnsi="Arial"/>
          <w:sz w:val="14"/>
          <w:szCs w:val="14"/>
          <w:color w:val="auto"/>
        </w:rPr>
        <w:t>(in millions, except per share data)</w:t>
      </w:r>
    </w:p>
    <w:p>
      <w:pPr>
        <w:spacing w:after="0" w:line="42" w:lineRule="exact"/>
        <w:rPr>
          <w:sz w:val="20"/>
          <w:szCs w:val="20"/>
          <w:color w:val="auto"/>
        </w:rPr>
      </w:pPr>
    </w:p>
    <w:p>
      <w:pPr>
        <w:jc w:val="center"/>
        <w:ind w:right="259"/>
        <w:spacing w:after="0"/>
        <w:rPr>
          <w:sz w:val="20"/>
          <w:szCs w:val="20"/>
          <w:color w:val="auto"/>
        </w:rPr>
      </w:pPr>
      <w:r>
        <w:rPr>
          <w:rFonts w:ascii="Arial" w:cs="Arial" w:eastAsia="Arial" w:hAnsi="Arial"/>
          <w:sz w:val="14"/>
          <w:szCs w:val="14"/>
          <w:color w:val="auto"/>
        </w:rPr>
        <w:t>(unaudited)</w:t>
      </w:r>
    </w:p>
    <w:p>
      <w:pPr>
        <w:spacing w:after="0" w:line="249" w:lineRule="exact"/>
        <w:rPr>
          <w:sz w:val="20"/>
          <w:szCs w:val="20"/>
          <w:color w:val="auto"/>
        </w:rPr>
      </w:pPr>
    </w:p>
    <w:tbl>
      <w:tblPr>
        <w:tblLayout w:type="fixed"/>
        <w:tblInd w:w="340" w:type="dxa"/>
        <w:tblCellMar>
          <w:top w:w="0" w:type="dxa"/>
          <w:left w:w="0" w:type="dxa"/>
          <w:bottom w:w="0" w:type="dxa"/>
          <w:right w:w="0" w:type="dxa"/>
        </w:tblCellMar>
      </w:tblPr>
      <w:tr>
        <w:trPr>
          <w:trHeight w:val="170"/>
        </w:trPr>
        <w:tc>
          <w:tcPr>
            <w:tcW w:w="432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gridSpan w:val="5"/>
          </w:tcPr>
          <w:p>
            <w:pPr>
              <w:ind w:left="40"/>
              <w:spacing w:after="0"/>
              <w:rPr>
                <w:sz w:val="20"/>
                <w:szCs w:val="20"/>
                <w:color w:val="auto"/>
              </w:rPr>
            </w:pPr>
            <w:r>
              <w:rPr>
                <w:rFonts w:ascii="Arial" w:cs="Arial" w:eastAsia="Arial" w:hAnsi="Arial"/>
                <w:sz w:val="13"/>
                <w:szCs w:val="13"/>
                <w:color w:val="auto"/>
                <w:w w:val="87"/>
              </w:rPr>
              <w:t>Three Months Ended</w:t>
            </w: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r>
      <w:tr>
        <w:trPr>
          <w:trHeight w:val="148"/>
        </w:trPr>
        <w:tc>
          <w:tcPr>
            <w:tcW w:w="4320" w:type="dxa"/>
            <w:vAlign w:val="bottom"/>
          </w:tcPr>
          <w:p>
            <w:pPr>
              <w:spacing w:after="0"/>
              <w:rPr>
                <w:sz w:val="12"/>
                <w:szCs w:val="12"/>
                <w:color w:val="auto"/>
              </w:rPr>
            </w:pPr>
          </w:p>
        </w:tc>
        <w:tc>
          <w:tcPr>
            <w:tcW w:w="1020" w:type="dxa"/>
            <w:vAlign w:val="bottom"/>
            <w:gridSpan w:val="3"/>
          </w:tcPr>
          <w:p>
            <w:pPr>
              <w:ind w:left="100"/>
              <w:spacing w:after="0" w:line="148" w:lineRule="exact"/>
              <w:rPr>
                <w:sz w:val="20"/>
                <w:szCs w:val="20"/>
                <w:color w:val="auto"/>
              </w:rPr>
            </w:pPr>
            <w:r>
              <w:rPr>
                <w:rFonts w:ascii="Arial" w:cs="Arial" w:eastAsia="Arial" w:hAnsi="Arial"/>
                <w:sz w:val="13"/>
                <w:szCs w:val="13"/>
                <w:color w:val="auto"/>
              </w:rPr>
              <w:t>September 30,</w:t>
            </w:r>
          </w:p>
        </w:tc>
        <w:tc>
          <w:tcPr>
            <w:tcW w:w="200" w:type="dxa"/>
            <w:vAlign w:val="bottom"/>
          </w:tcPr>
          <w:p>
            <w:pPr>
              <w:spacing w:after="0"/>
              <w:rPr>
                <w:sz w:val="12"/>
                <w:szCs w:val="12"/>
                <w:color w:val="auto"/>
              </w:rPr>
            </w:pPr>
          </w:p>
        </w:tc>
        <w:tc>
          <w:tcPr>
            <w:tcW w:w="700" w:type="dxa"/>
            <w:vAlign w:val="bottom"/>
          </w:tcPr>
          <w:p>
            <w:pPr>
              <w:jc w:val="right"/>
              <w:ind w:right="89"/>
              <w:spacing w:after="0" w:line="148" w:lineRule="exact"/>
              <w:rPr>
                <w:sz w:val="20"/>
                <w:szCs w:val="20"/>
                <w:color w:val="auto"/>
              </w:rPr>
            </w:pPr>
            <w:r>
              <w:rPr>
                <w:rFonts w:ascii="Arial" w:cs="Arial" w:eastAsia="Arial" w:hAnsi="Arial"/>
                <w:sz w:val="13"/>
                <w:szCs w:val="13"/>
                <w:color w:val="auto"/>
              </w:rPr>
              <w:t>June 30,</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spacing w:after="0" w:line="148" w:lineRule="exact"/>
              <w:rPr>
                <w:sz w:val="20"/>
                <w:szCs w:val="20"/>
                <w:color w:val="auto"/>
              </w:rPr>
            </w:pPr>
            <w:r>
              <w:rPr>
                <w:rFonts w:ascii="Arial" w:cs="Arial" w:eastAsia="Arial" w:hAnsi="Arial"/>
                <w:sz w:val="13"/>
                <w:szCs w:val="13"/>
                <w:color w:val="auto"/>
              </w:rPr>
              <w:t>December 31,</w:t>
            </w:r>
          </w:p>
        </w:tc>
        <w:tc>
          <w:tcPr>
            <w:tcW w:w="100" w:type="dxa"/>
            <w:vAlign w:val="bottom"/>
          </w:tcPr>
          <w:p>
            <w:pPr>
              <w:spacing w:after="0"/>
              <w:rPr>
                <w:sz w:val="12"/>
                <w:szCs w:val="12"/>
                <w:color w:val="auto"/>
              </w:rPr>
            </w:pPr>
          </w:p>
        </w:tc>
        <w:tc>
          <w:tcPr>
            <w:tcW w:w="820" w:type="dxa"/>
            <w:vAlign w:val="bottom"/>
          </w:tcPr>
          <w:p>
            <w:pPr>
              <w:jc w:val="right"/>
              <w:ind w:right="29"/>
              <w:spacing w:after="0" w:line="148" w:lineRule="exact"/>
              <w:rPr>
                <w:sz w:val="20"/>
                <w:szCs w:val="20"/>
                <w:color w:val="auto"/>
              </w:rPr>
            </w:pPr>
            <w:r>
              <w:rPr>
                <w:rFonts w:ascii="Arial" w:cs="Arial" w:eastAsia="Arial" w:hAnsi="Arial"/>
                <w:sz w:val="13"/>
                <w:szCs w:val="13"/>
                <w:color w:val="auto"/>
                <w:w w:val="82"/>
              </w:rPr>
              <w:t>September 30,</w:t>
            </w:r>
          </w:p>
        </w:tc>
      </w:tr>
      <w:tr>
        <w:trPr>
          <w:trHeight w:val="170"/>
        </w:trPr>
        <w:tc>
          <w:tcPr>
            <w:tcW w:w="432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268"/>
              <w:spacing w:after="0"/>
              <w:rPr>
                <w:sz w:val="20"/>
                <w:szCs w:val="20"/>
                <w:color w:val="auto"/>
              </w:rPr>
            </w:pPr>
            <w:r>
              <w:rPr>
                <w:rFonts w:ascii="Arial" w:cs="Arial" w:eastAsia="Arial" w:hAnsi="Arial"/>
                <w:sz w:val="13"/>
                <w:szCs w:val="13"/>
                <w:color w:val="auto"/>
              </w:rPr>
              <w:t>2019</w:t>
            </w:r>
          </w:p>
        </w:tc>
        <w:tc>
          <w:tcPr>
            <w:tcW w:w="10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69"/>
              <w:spacing w:after="0"/>
              <w:rPr>
                <w:sz w:val="20"/>
                <w:szCs w:val="20"/>
                <w:color w:val="auto"/>
              </w:rPr>
            </w:pPr>
            <w:r>
              <w:rPr>
                <w:rFonts w:ascii="Arial" w:cs="Arial" w:eastAsia="Arial" w:hAnsi="Arial"/>
                <w:sz w:val="13"/>
                <w:szCs w:val="13"/>
                <w:color w:val="auto"/>
              </w:rPr>
              <w:t>2019</w:t>
            </w:r>
          </w:p>
        </w:tc>
        <w:tc>
          <w:tcPr>
            <w:tcW w:w="100" w:type="dxa"/>
            <w:vAlign w:val="bottom"/>
            <w:tcBorders>
              <w:bottom w:val="single" w:sz="8" w:color="CCEEFF"/>
            </w:tcBorders>
          </w:tcPr>
          <w:p>
            <w:pPr>
              <w:spacing w:after="0"/>
              <w:rPr>
                <w:sz w:val="14"/>
                <w:szCs w:val="14"/>
                <w:color w:val="auto"/>
              </w:rPr>
            </w:pPr>
          </w:p>
        </w:tc>
        <w:tc>
          <w:tcPr>
            <w:tcW w:w="900" w:type="dxa"/>
            <w:vAlign w:val="bottom"/>
            <w:tcBorders>
              <w:bottom w:val="single" w:sz="8" w:color="auto"/>
            </w:tcBorders>
            <w:gridSpan w:val="2"/>
          </w:tcPr>
          <w:p>
            <w:pPr>
              <w:jc w:val="right"/>
              <w:spacing w:after="0"/>
              <w:rPr>
                <w:sz w:val="20"/>
                <w:szCs w:val="20"/>
                <w:color w:val="auto"/>
              </w:rPr>
            </w:pPr>
            <w:r>
              <w:rPr>
                <w:rFonts w:ascii="Arial" w:cs="Arial" w:eastAsia="Arial" w:hAnsi="Arial"/>
                <w:sz w:val="13"/>
                <w:szCs w:val="13"/>
                <w:color w:val="auto"/>
                <w:w w:val="90"/>
              </w:rPr>
              <w:t>March 31, 2019</w:t>
            </w:r>
          </w:p>
        </w:tc>
        <w:tc>
          <w:tcPr>
            <w:tcW w:w="100" w:type="dxa"/>
            <w:vAlign w:val="bottom"/>
            <w:tcBorders>
              <w:bottom w:val="single" w:sz="8" w:color="CCEEFF"/>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249"/>
              <w:spacing w:after="0"/>
              <w:rPr>
                <w:sz w:val="20"/>
                <w:szCs w:val="20"/>
                <w:color w:val="auto"/>
              </w:rPr>
            </w:pPr>
            <w:r>
              <w:rPr>
                <w:rFonts w:ascii="Arial" w:cs="Arial" w:eastAsia="Arial" w:hAnsi="Arial"/>
                <w:sz w:val="13"/>
                <w:szCs w:val="13"/>
                <w:color w:val="auto"/>
              </w:rPr>
              <w:t>2018</w:t>
            </w: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269"/>
              <w:spacing w:after="0"/>
              <w:rPr>
                <w:sz w:val="20"/>
                <w:szCs w:val="20"/>
                <w:color w:val="auto"/>
              </w:rPr>
            </w:pPr>
            <w:r>
              <w:rPr>
                <w:rFonts w:ascii="Arial" w:cs="Arial" w:eastAsia="Arial" w:hAnsi="Arial"/>
                <w:sz w:val="13"/>
                <w:szCs w:val="13"/>
                <w:color w:val="auto"/>
              </w:rPr>
              <w:t>2018</w:t>
            </w:r>
          </w:p>
        </w:tc>
      </w:tr>
      <w:tr>
        <w:trPr>
          <w:trHeight w:val="257"/>
        </w:trPr>
        <w:tc>
          <w:tcPr>
            <w:tcW w:w="4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income/(loss)</w:t>
            </w:r>
          </w:p>
        </w:tc>
        <w:tc>
          <w:tcPr>
            <w:tcW w:w="2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(444)</w:t>
            </w:r>
          </w:p>
        </w:tc>
        <w:tc>
          <w:tcPr>
            <w:tcW w:w="400" w:type="dxa"/>
            <w:vAlign w:val="bottom"/>
            <w:gridSpan w:val="2"/>
            <w:shd w:val="clear" w:color="auto" w:fill="CCEEFF"/>
          </w:tcPr>
          <w:p>
            <w:pPr>
              <w:jc w:val="right"/>
              <w:ind w:right="131"/>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265</w:t>
            </w: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(804)</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216</w:t>
            </w:r>
          </w:p>
        </w:tc>
      </w:tr>
      <w:tr>
        <w:trPr>
          <w:trHeight w:val="264"/>
        </w:trPr>
        <w:tc>
          <w:tcPr>
            <w:tcW w:w="4320" w:type="dxa"/>
            <w:vAlign w:val="bottom"/>
          </w:tcPr>
          <w:p>
            <w:pPr>
              <w:ind w:left="20"/>
              <w:spacing w:after="0"/>
              <w:rPr>
                <w:sz w:val="20"/>
                <w:szCs w:val="20"/>
                <w:color w:val="auto"/>
              </w:rPr>
            </w:pPr>
            <w:r>
              <w:rPr>
                <w:rFonts w:ascii="Arial" w:cs="Arial" w:eastAsia="Arial" w:hAnsi="Arial"/>
                <w:sz w:val="14"/>
                <w:szCs w:val="14"/>
                <w:color w:val="auto"/>
              </w:rPr>
              <w:t>Book to tax differences:</w:t>
            </w:r>
          </w:p>
        </w:tc>
        <w:tc>
          <w:tcPr>
            <w:tcW w:w="2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r>
      <w:tr>
        <w:trPr>
          <w:trHeight w:val="276"/>
        </w:trPr>
        <w:tc>
          <w:tcPr>
            <w:tcW w:w="43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Premium amortization, net</w:t>
            </w:r>
          </w:p>
        </w:tc>
        <w:tc>
          <w:tcPr>
            <w:tcW w:w="22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67</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54</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r>
      <w:tr>
        <w:trPr>
          <w:trHeight w:val="264"/>
        </w:trPr>
        <w:tc>
          <w:tcPr>
            <w:tcW w:w="4320" w:type="dxa"/>
            <w:vAlign w:val="bottom"/>
          </w:tcPr>
          <w:p>
            <w:pPr>
              <w:ind w:left="160"/>
              <w:spacing w:after="0"/>
              <w:rPr>
                <w:sz w:val="20"/>
                <w:szCs w:val="20"/>
                <w:color w:val="auto"/>
              </w:rPr>
            </w:pPr>
            <w:r>
              <w:rPr>
                <w:rFonts w:ascii="Arial" w:cs="Arial" w:eastAsia="Arial" w:hAnsi="Arial"/>
                <w:sz w:val="14"/>
                <w:szCs w:val="14"/>
                <w:color w:val="auto"/>
              </w:rPr>
              <w:t>Realized gain/loss, net</w:t>
            </w:r>
          </w:p>
        </w:tc>
        <w:tc>
          <w:tcPr>
            <w:tcW w:w="220" w:type="dxa"/>
            <w:vAlign w:val="bottom"/>
          </w:tcPr>
          <w:p>
            <w:pPr>
              <w:spacing w:after="0"/>
              <w:rPr>
                <w:sz w:val="22"/>
                <w:szCs w:val="22"/>
                <w:color w:val="auto"/>
              </w:rPr>
            </w:pPr>
          </w:p>
        </w:tc>
        <w:tc>
          <w:tcPr>
            <w:tcW w:w="700" w:type="dxa"/>
            <w:vAlign w:val="bottom"/>
          </w:tcPr>
          <w:p>
            <w:pPr>
              <w:jc w:val="right"/>
              <w:ind w:right="8"/>
              <w:spacing w:after="0"/>
              <w:rPr>
                <w:sz w:val="20"/>
                <w:szCs w:val="20"/>
                <w:color w:val="auto"/>
              </w:rPr>
            </w:pPr>
            <w:r>
              <w:rPr>
                <w:rFonts w:ascii="Arial" w:cs="Arial" w:eastAsia="Arial" w:hAnsi="Arial"/>
                <w:sz w:val="14"/>
                <w:szCs w:val="14"/>
                <w:color w:val="auto"/>
              </w:rPr>
              <w:t>521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9"/>
              <w:spacing w:after="0"/>
              <w:rPr>
                <w:sz w:val="20"/>
                <w:szCs w:val="20"/>
                <w:color w:val="auto"/>
              </w:rPr>
            </w:pPr>
            <w:r>
              <w:rPr>
                <w:rFonts w:ascii="Arial" w:cs="Arial" w:eastAsia="Arial" w:hAnsi="Arial"/>
                <w:sz w:val="14"/>
                <w:szCs w:val="14"/>
                <w:color w:val="auto"/>
              </w:rPr>
              <w:t>886</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ind w:right="8"/>
              <w:spacing w:after="0"/>
              <w:rPr>
                <w:sz w:val="20"/>
                <w:szCs w:val="20"/>
                <w:color w:val="auto"/>
              </w:rPr>
            </w:pPr>
            <w:r>
              <w:rPr>
                <w:rFonts w:ascii="Arial" w:cs="Arial" w:eastAsia="Arial" w:hAnsi="Arial"/>
                <w:sz w:val="14"/>
                <w:szCs w:val="14"/>
                <w:color w:val="auto"/>
              </w:rPr>
              <w:t>627</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0" w:type="dxa"/>
            <w:vAlign w:val="bottom"/>
          </w:tcPr>
          <w:p>
            <w:pPr>
              <w:jc w:val="right"/>
              <w:ind w:right="9"/>
              <w:spacing w:after="0"/>
              <w:rPr>
                <w:sz w:val="20"/>
                <w:szCs w:val="20"/>
                <w:color w:val="auto"/>
              </w:rPr>
            </w:pPr>
            <w:r>
              <w:rPr>
                <w:rFonts w:ascii="Arial" w:cs="Arial" w:eastAsia="Arial" w:hAnsi="Arial"/>
                <w:sz w:val="14"/>
                <w:szCs w:val="14"/>
                <w:color w:val="auto"/>
              </w:rPr>
              <w:t>928</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(291)</w:t>
            </w:r>
          </w:p>
        </w:tc>
      </w:tr>
      <w:tr>
        <w:trPr>
          <w:trHeight w:val="276"/>
        </w:trPr>
        <w:tc>
          <w:tcPr>
            <w:tcW w:w="43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Net capital loss/(utilization of net capital loss carryforward)</w:t>
            </w:r>
          </w:p>
        </w:tc>
        <w:tc>
          <w:tcPr>
            <w:tcW w:w="22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34</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320</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(67)</w:t>
            </w:r>
          </w:p>
        </w:tc>
      </w:tr>
      <w:tr>
        <w:trPr>
          <w:trHeight w:val="264"/>
        </w:trPr>
        <w:tc>
          <w:tcPr>
            <w:tcW w:w="4320" w:type="dxa"/>
            <w:vAlign w:val="bottom"/>
          </w:tcPr>
          <w:p>
            <w:pPr>
              <w:ind w:left="160"/>
              <w:spacing w:after="0"/>
              <w:rPr>
                <w:sz w:val="20"/>
                <w:szCs w:val="20"/>
                <w:color w:val="auto"/>
              </w:rPr>
            </w:pPr>
            <w:r>
              <w:rPr>
                <w:rFonts w:ascii="Arial" w:cs="Arial" w:eastAsia="Arial" w:hAnsi="Arial"/>
                <w:sz w:val="14"/>
                <w:szCs w:val="14"/>
                <w:color w:val="auto"/>
              </w:rPr>
              <w:t>Unrealized (gain)/loss, net</w:t>
            </w:r>
          </w:p>
        </w:tc>
        <w:tc>
          <w:tcPr>
            <w:tcW w:w="22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(428)</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(644)</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(719)</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0" w:type="dxa"/>
            <w:vAlign w:val="bottom"/>
          </w:tcPr>
          <w:p>
            <w:pPr>
              <w:jc w:val="right"/>
              <w:ind w:right="9"/>
              <w:spacing w:after="0"/>
              <w:rPr>
                <w:sz w:val="20"/>
                <w:szCs w:val="20"/>
                <w:color w:val="auto"/>
              </w:rPr>
            </w:pPr>
            <w:r>
              <w:rPr>
                <w:rFonts w:ascii="Arial" w:cs="Arial" w:eastAsia="Arial" w:hAnsi="Arial"/>
                <w:sz w:val="14"/>
                <w:szCs w:val="14"/>
                <w:color w:val="auto"/>
              </w:rPr>
              <w:t>140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jc w:val="right"/>
              <w:ind w:right="9"/>
              <w:spacing w:after="0"/>
              <w:rPr>
                <w:sz w:val="20"/>
                <w:szCs w:val="20"/>
                <w:color w:val="auto"/>
              </w:rPr>
            </w:pPr>
            <w:r>
              <w:rPr>
                <w:rFonts w:ascii="Arial" w:cs="Arial" w:eastAsia="Arial" w:hAnsi="Arial"/>
                <w:sz w:val="14"/>
                <w:szCs w:val="14"/>
                <w:color w:val="auto"/>
              </w:rPr>
              <w:t>316</w:t>
            </w:r>
          </w:p>
        </w:tc>
      </w:tr>
      <w:tr>
        <w:trPr>
          <w:trHeight w:val="270"/>
        </w:trPr>
        <w:tc>
          <w:tcPr>
            <w:tcW w:w="43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Other</w:t>
            </w:r>
          </w:p>
        </w:tc>
        <w:tc>
          <w:tcPr>
            <w:tcW w:w="22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0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8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r>
      <w:tr>
        <w:trPr>
          <w:trHeight w:val="250"/>
        </w:trPr>
        <w:tc>
          <w:tcPr>
            <w:tcW w:w="4320" w:type="dxa"/>
            <w:vAlign w:val="bottom"/>
            <w:tcBorders>
              <w:bottom w:val="single" w:sz="8" w:color="CCEEFF"/>
            </w:tcBorders>
          </w:tcPr>
          <w:p>
            <w:pPr>
              <w:ind w:left="820"/>
              <w:spacing w:after="0"/>
              <w:rPr>
                <w:sz w:val="20"/>
                <w:szCs w:val="20"/>
                <w:color w:val="auto"/>
              </w:rPr>
            </w:pPr>
            <w:r>
              <w:rPr>
                <w:rFonts w:ascii="Arial" w:cs="Arial" w:eastAsia="Arial" w:hAnsi="Arial"/>
                <w:sz w:val="14"/>
                <w:szCs w:val="14"/>
                <w:color w:val="auto"/>
              </w:rPr>
              <w:t>Total book to tax differences</w:t>
            </w:r>
          </w:p>
        </w:tc>
        <w:tc>
          <w:tcPr>
            <w:tcW w:w="22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173</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628</w:t>
            </w:r>
          </w:p>
        </w:tc>
        <w:tc>
          <w:tcPr>
            <w:tcW w:w="100" w:type="dxa"/>
            <w:vAlign w:val="bottom"/>
            <w:tcBorders>
              <w:bottom w:val="single" w:sz="8" w:color="CCEEFF"/>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(59)</w:t>
            </w:r>
          </w:p>
        </w:tc>
        <w:tc>
          <w:tcPr>
            <w:tcW w:w="100" w:type="dxa"/>
            <w:vAlign w:val="bottom"/>
            <w:tcBorders>
              <w:bottom w:val="single" w:sz="8" w:color="CCEEFF"/>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977</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(65)</w:t>
            </w:r>
          </w:p>
        </w:tc>
      </w:tr>
      <w:tr>
        <w:trPr>
          <w:trHeight w:val="256"/>
        </w:trPr>
        <w:tc>
          <w:tcPr>
            <w:tcW w:w="4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Estimated REIT taxable income</w:t>
            </w:r>
          </w:p>
        </w:tc>
        <w:tc>
          <w:tcPr>
            <w:tcW w:w="22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169</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184</w:t>
            </w:r>
          </w:p>
        </w:tc>
        <w:tc>
          <w:tcPr>
            <w:tcW w:w="10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206</w:t>
            </w: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173</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151</w:t>
            </w:r>
          </w:p>
        </w:tc>
      </w:tr>
      <w:tr>
        <w:trPr>
          <w:trHeight w:val="264"/>
        </w:trPr>
        <w:tc>
          <w:tcPr>
            <w:tcW w:w="432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Dividend on preferred stock</w:t>
            </w:r>
          </w:p>
        </w:tc>
        <w:tc>
          <w:tcPr>
            <w:tcW w:w="2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13</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13</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9</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9</w:t>
            </w:r>
          </w:p>
        </w:tc>
      </w:tr>
      <w:tr>
        <w:trPr>
          <w:trHeight w:val="243"/>
        </w:trPr>
        <w:tc>
          <w:tcPr>
            <w:tcW w:w="4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Estimated REIT taxable income, net of preferred stock dividend</w:t>
            </w:r>
          </w:p>
        </w:tc>
        <w:tc>
          <w:tcPr>
            <w:tcW w:w="2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156</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171</w:t>
            </w:r>
          </w:p>
        </w:tc>
        <w:tc>
          <w:tcPr>
            <w:tcW w:w="400" w:type="dxa"/>
            <w:vAlign w:val="bottom"/>
            <w:gridSpan w:val="2"/>
            <w:shd w:val="clear" w:color="auto" w:fill="CCEEFF"/>
          </w:tcPr>
          <w:p>
            <w:pPr>
              <w:jc w:val="right"/>
              <w:ind w:right="131"/>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196</w:t>
            </w:r>
          </w:p>
        </w:tc>
        <w:tc>
          <w:tcPr>
            <w:tcW w:w="1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164</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142</w:t>
            </w:r>
          </w:p>
        </w:tc>
      </w:tr>
      <w:tr>
        <w:trPr>
          <w:trHeight w:val="20"/>
        </w:trPr>
        <w:tc>
          <w:tcPr>
            <w:tcW w:w="43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r>
      <w:tr>
        <w:trPr>
          <w:trHeight w:val="250"/>
        </w:trPr>
        <w:tc>
          <w:tcPr>
            <w:tcW w:w="43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22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546.4</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537.8</w:t>
            </w:r>
          </w:p>
        </w:tc>
        <w:tc>
          <w:tcPr>
            <w:tcW w:w="100" w:type="dxa"/>
            <w:vAlign w:val="bottom"/>
            <w:tcBorders>
              <w:bottom w:val="single" w:sz="8" w:color="CCEEFF"/>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536.7</w:t>
            </w:r>
          </w:p>
        </w:tc>
        <w:tc>
          <w:tcPr>
            <w:tcW w:w="100" w:type="dxa"/>
            <w:vAlign w:val="bottom"/>
            <w:tcBorders>
              <w:bottom w:val="single" w:sz="8" w:color="CCEEFF"/>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504.2</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462.3</w:t>
            </w:r>
          </w:p>
        </w:tc>
      </w:tr>
      <w:tr>
        <w:trPr>
          <w:trHeight w:val="210"/>
        </w:trPr>
        <w:tc>
          <w:tcPr>
            <w:tcW w:w="4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22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547.1</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538.4</w:t>
            </w:r>
          </w:p>
        </w:tc>
        <w:tc>
          <w:tcPr>
            <w:tcW w:w="10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537.2</w:t>
            </w:r>
          </w:p>
        </w:tc>
        <w:tc>
          <w:tcPr>
            <w:tcW w:w="10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auto"/>
            </w:tcBorders>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504.7</w:t>
            </w: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462.7</w:t>
            </w:r>
          </w:p>
        </w:tc>
      </w:tr>
      <w:tr>
        <w:trPr>
          <w:trHeight w:val="20"/>
        </w:trPr>
        <w:tc>
          <w:tcPr>
            <w:tcW w:w="43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50"/>
        </w:trPr>
        <w:tc>
          <w:tcPr>
            <w:tcW w:w="43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Estimated REIT taxable income per common share - basic</w:t>
            </w:r>
          </w:p>
        </w:tc>
        <w:tc>
          <w:tcPr>
            <w:tcW w:w="22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0.29</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0.32</w:t>
            </w:r>
          </w:p>
        </w:tc>
        <w:tc>
          <w:tcPr>
            <w:tcW w:w="100" w:type="dxa"/>
            <w:vAlign w:val="bottom"/>
            <w:tcBorders>
              <w:bottom w:val="single" w:sz="8" w:color="CCEEFF"/>
            </w:tcBorders>
          </w:tcPr>
          <w:p>
            <w:pPr>
              <w:spacing w:after="0"/>
              <w:rPr>
                <w:sz w:val="21"/>
                <w:szCs w:val="21"/>
                <w:color w:val="auto"/>
              </w:rPr>
            </w:pPr>
          </w:p>
        </w:tc>
        <w:tc>
          <w:tcPr>
            <w:tcW w:w="300" w:type="dxa"/>
            <w:vAlign w:val="bottom"/>
            <w:tcBorders>
              <w:bottom w:val="single" w:sz="8" w:color="auto"/>
            </w:tcBorders>
          </w:tcPr>
          <w:p>
            <w:pPr>
              <w:jc w:val="right"/>
              <w:ind w:right="131"/>
              <w:spacing w:after="0"/>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0.37</w:t>
            </w:r>
          </w:p>
        </w:tc>
        <w:tc>
          <w:tcPr>
            <w:tcW w:w="100" w:type="dxa"/>
            <w:vAlign w:val="bottom"/>
            <w:tcBorders>
              <w:bottom w:val="single" w:sz="8" w:color="CCEEFF"/>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0.33</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0.31</w:t>
            </w:r>
          </w:p>
        </w:tc>
      </w:tr>
      <w:tr>
        <w:trPr>
          <w:trHeight w:val="210"/>
        </w:trPr>
        <w:tc>
          <w:tcPr>
            <w:tcW w:w="4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Estimated REIT taxable income per common share - diluted</w:t>
            </w:r>
          </w:p>
        </w:tc>
        <w:tc>
          <w:tcPr>
            <w:tcW w:w="2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0.29</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0.32</w:t>
            </w:r>
          </w:p>
        </w:tc>
        <w:tc>
          <w:tcPr>
            <w:tcW w:w="400" w:type="dxa"/>
            <w:vAlign w:val="bottom"/>
            <w:gridSpan w:val="2"/>
            <w:shd w:val="clear" w:color="auto" w:fill="CCEEFF"/>
          </w:tcPr>
          <w:p>
            <w:pPr>
              <w:jc w:val="right"/>
              <w:ind w:right="131"/>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0.36</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0.32</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0.31</w:t>
            </w:r>
          </w:p>
        </w:tc>
      </w:tr>
      <w:tr>
        <w:trPr>
          <w:trHeight w:val="20"/>
        </w:trPr>
        <w:tc>
          <w:tcPr>
            <w:tcW w:w="43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r>
      <w:tr>
        <w:trPr>
          <w:trHeight w:val="372"/>
        </w:trPr>
        <w:tc>
          <w:tcPr>
            <w:tcW w:w="4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270"/>
        </w:trPr>
        <w:tc>
          <w:tcPr>
            <w:tcW w:w="4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Beginning cumulative non-deductible net capital loss</w:t>
            </w:r>
          </w:p>
        </w:tc>
        <w:tc>
          <w:tcPr>
            <w:tcW w:w="2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490</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170</w:t>
            </w:r>
          </w:p>
        </w:tc>
        <w:tc>
          <w:tcPr>
            <w:tcW w:w="400" w:type="dxa"/>
            <w:vAlign w:val="bottom"/>
            <w:gridSpan w:val="2"/>
            <w:shd w:val="clear" w:color="auto" w:fill="CCEEFF"/>
          </w:tcPr>
          <w:p>
            <w:pPr>
              <w:jc w:val="right"/>
              <w:ind w:right="131"/>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182</w:t>
            </w: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644</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711</w:t>
            </w:r>
          </w:p>
        </w:tc>
      </w:tr>
      <w:tr>
        <w:trPr>
          <w:trHeight w:val="264"/>
        </w:trPr>
        <w:tc>
          <w:tcPr>
            <w:tcW w:w="43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 xml:space="preserve">Increase (decrease) in net capital loss carryforward </w:t>
            </w:r>
            <w:r>
              <w:rPr>
                <w:rFonts w:ascii="Arial" w:cs="Arial" w:eastAsia="Arial" w:hAnsi="Arial"/>
                <w:sz w:val="8"/>
                <w:szCs w:val="8"/>
                <w:color w:val="auto"/>
              </w:rPr>
              <w:t>5</w:t>
            </w:r>
          </w:p>
        </w:tc>
        <w:tc>
          <w:tcPr>
            <w:tcW w:w="2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34</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320</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(462)</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(67)</w:t>
            </w:r>
          </w:p>
        </w:tc>
      </w:tr>
      <w:tr>
        <w:trPr>
          <w:trHeight w:val="243"/>
        </w:trPr>
        <w:tc>
          <w:tcPr>
            <w:tcW w:w="4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Ending cumulative non-deductible net capital loss</w:t>
            </w:r>
          </w:p>
        </w:tc>
        <w:tc>
          <w:tcPr>
            <w:tcW w:w="22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524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490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31"/>
              <w:spacing w:after="0"/>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170</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auto"/>
            </w:tcBorders>
            <w:shd w:val="clear" w:color="auto" w:fill="CCEEFF"/>
          </w:tcPr>
          <w:p>
            <w:pPr>
              <w:spacing w:after="0"/>
              <w:rPr>
                <w:sz w:val="21"/>
                <w:szCs w:val="21"/>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182</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644</w:t>
            </w:r>
          </w:p>
        </w:tc>
      </w:tr>
      <w:tr>
        <w:trPr>
          <w:trHeight w:val="20"/>
        </w:trPr>
        <w:tc>
          <w:tcPr>
            <w:tcW w:w="43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10"/>
        </w:trPr>
        <w:tc>
          <w:tcPr>
            <w:tcW w:w="4320" w:type="dxa"/>
            <w:vAlign w:val="bottom"/>
          </w:tcPr>
          <w:p>
            <w:pPr>
              <w:ind w:left="20"/>
              <w:spacing w:after="0"/>
              <w:rPr>
                <w:sz w:val="20"/>
                <w:szCs w:val="20"/>
                <w:color w:val="auto"/>
              </w:rPr>
            </w:pPr>
            <w:r>
              <w:rPr>
                <w:rFonts w:ascii="Arial" w:cs="Arial" w:eastAsia="Arial" w:hAnsi="Arial"/>
                <w:sz w:val="14"/>
                <w:szCs w:val="14"/>
                <w:color w:val="auto"/>
              </w:rPr>
              <w:t>Ending cumulative non-deductible net capital loss per common share</w:t>
            </w:r>
          </w:p>
        </w:tc>
        <w:tc>
          <w:tcPr>
            <w:tcW w:w="220" w:type="dxa"/>
            <w:vAlign w:val="bottom"/>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8"/>
              <w:spacing w:after="0"/>
              <w:rPr>
                <w:sz w:val="20"/>
                <w:szCs w:val="20"/>
                <w:color w:val="auto"/>
              </w:rPr>
            </w:pPr>
            <w:r>
              <w:rPr>
                <w:rFonts w:ascii="Arial" w:cs="Arial" w:eastAsia="Arial" w:hAnsi="Arial"/>
                <w:sz w:val="14"/>
                <w:szCs w:val="14"/>
                <w:color w:val="auto"/>
              </w:rPr>
              <w:t>0.97</w:t>
            </w:r>
          </w:p>
        </w:tc>
        <w:tc>
          <w:tcPr>
            <w:tcW w:w="100" w:type="dxa"/>
            <w:vAlign w:val="bottom"/>
          </w:tcPr>
          <w:p>
            <w:pPr>
              <w:spacing w:after="0"/>
              <w:rPr>
                <w:sz w:val="18"/>
                <w:szCs w:val="18"/>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9"/>
              <w:spacing w:after="0"/>
              <w:rPr>
                <w:sz w:val="20"/>
                <w:szCs w:val="20"/>
                <w:color w:val="auto"/>
              </w:rPr>
            </w:pPr>
            <w:r>
              <w:rPr>
                <w:rFonts w:ascii="Arial" w:cs="Arial" w:eastAsia="Arial" w:hAnsi="Arial"/>
                <w:sz w:val="14"/>
                <w:szCs w:val="14"/>
                <w:color w:val="auto"/>
              </w:rPr>
              <w:t>0.89</w:t>
            </w:r>
          </w:p>
        </w:tc>
        <w:tc>
          <w:tcPr>
            <w:tcW w:w="400" w:type="dxa"/>
            <w:vAlign w:val="bottom"/>
            <w:gridSpan w:val="2"/>
          </w:tcPr>
          <w:p>
            <w:pPr>
              <w:jc w:val="right"/>
              <w:ind w:right="131"/>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8"/>
              <w:spacing w:after="0"/>
              <w:rPr>
                <w:sz w:val="20"/>
                <w:szCs w:val="20"/>
                <w:color w:val="auto"/>
              </w:rPr>
            </w:pPr>
            <w:r>
              <w:rPr>
                <w:rFonts w:ascii="Arial" w:cs="Arial" w:eastAsia="Arial" w:hAnsi="Arial"/>
                <w:sz w:val="14"/>
                <w:szCs w:val="14"/>
                <w:color w:val="auto"/>
              </w:rPr>
              <w:t>0.32</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Pr>
          <w:p>
            <w:pPr>
              <w:jc w:val="right"/>
              <w:ind w:right="9"/>
              <w:spacing w:after="0"/>
              <w:rPr>
                <w:sz w:val="20"/>
                <w:szCs w:val="20"/>
                <w:color w:val="auto"/>
              </w:rPr>
            </w:pPr>
            <w:r>
              <w:rPr>
                <w:rFonts w:ascii="Arial" w:cs="Arial" w:eastAsia="Arial" w:hAnsi="Arial"/>
                <w:sz w:val="14"/>
                <w:szCs w:val="14"/>
                <w:color w:val="auto"/>
              </w:rPr>
              <w:t>0.34</w:t>
            </w:r>
          </w:p>
        </w:tc>
        <w:tc>
          <w:tcPr>
            <w:tcW w:w="1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9"/>
              <w:spacing w:after="0"/>
              <w:rPr>
                <w:sz w:val="20"/>
                <w:szCs w:val="20"/>
                <w:color w:val="auto"/>
              </w:rPr>
            </w:pPr>
            <w:r>
              <w:rPr>
                <w:rFonts w:ascii="Arial" w:cs="Arial" w:eastAsia="Arial" w:hAnsi="Arial"/>
                <w:sz w:val="14"/>
                <w:szCs w:val="14"/>
                <w:color w:val="auto"/>
              </w:rPr>
              <w:t>1.35</w:t>
            </w:r>
          </w:p>
        </w:tc>
      </w:tr>
      <w:tr>
        <w:trPr>
          <w:trHeight w:val="20"/>
        </w:trPr>
        <w:tc>
          <w:tcPr>
            <w:tcW w:w="43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r>
    </w:tbl>
    <w:p>
      <w:pPr>
        <w:sectPr>
          <w:pgSz w:w="11900" w:h="16838" w:orient="portrait"/>
          <w:cols w:equalWidth="0" w:num="1">
            <w:col w:w="10219"/>
          </w:cols>
          <w:pgMar w:left="240" w:top="147" w:right="1440" w:bottom="1440" w:gutter="0" w:footer="0" w:header="0"/>
        </w:sectPr>
      </w:pPr>
    </w:p>
    <w:bookmarkStart w:id="14" w:name="page15"/>
    <w:bookmarkEnd w:id="14"/>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12</w:t>
      </w:r>
    </w:p>
    <w:p>
      <w:pPr>
        <w:spacing w:after="0" w:line="383" w:lineRule="exact"/>
        <w:rPr>
          <w:sz w:val="20"/>
          <w:szCs w:val="20"/>
          <w:color w:val="auto"/>
        </w:rPr>
      </w:pPr>
    </w:p>
    <w:p>
      <w:pPr>
        <w:jc w:val="center"/>
        <w:ind w:right="299"/>
        <w:spacing w:after="0"/>
        <w:rPr>
          <w:sz w:val="20"/>
          <w:szCs w:val="20"/>
          <w:color w:val="auto"/>
        </w:rPr>
      </w:pPr>
      <w:r>
        <w:rPr>
          <w:rFonts w:ascii="Arial" w:cs="Arial" w:eastAsia="Arial" w:hAnsi="Arial"/>
          <w:sz w:val="14"/>
          <w:szCs w:val="14"/>
          <w:color w:val="auto"/>
        </w:rPr>
        <w:t>AGNC INVESTMENT CORP.</w:t>
      </w:r>
    </w:p>
    <w:p>
      <w:pPr>
        <w:spacing w:after="0" w:line="42" w:lineRule="exact"/>
        <w:rPr>
          <w:sz w:val="20"/>
          <w:szCs w:val="20"/>
          <w:color w:val="auto"/>
        </w:rPr>
      </w:pPr>
    </w:p>
    <w:p>
      <w:pPr>
        <w:jc w:val="center"/>
        <w:ind w:right="299"/>
        <w:spacing w:after="0"/>
        <w:rPr>
          <w:sz w:val="20"/>
          <w:szCs w:val="20"/>
          <w:color w:val="auto"/>
        </w:rPr>
      </w:pPr>
      <w:r>
        <w:rPr>
          <w:rFonts w:ascii="Arial" w:cs="Arial" w:eastAsia="Arial" w:hAnsi="Arial"/>
          <w:sz w:val="14"/>
          <w:szCs w:val="14"/>
          <w:color w:val="auto"/>
        </w:rPr>
        <w:t xml:space="preserve">NET INTEREST SPREAD COMPONENTS BY FUNDING SOURCE </w:t>
      </w:r>
      <w:r>
        <w:rPr>
          <w:rFonts w:ascii="Arial" w:cs="Arial" w:eastAsia="Arial" w:hAnsi="Arial"/>
          <w:sz w:val="8"/>
          <w:szCs w:val="8"/>
          <w:color w:val="auto"/>
        </w:rPr>
        <w:t>2</w:t>
      </w:r>
    </w:p>
    <w:p>
      <w:pPr>
        <w:spacing w:after="0" w:line="42" w:lineRule="exact"/>
        <w:rPr>
          <w:sz w:val="20"/>
          <w:szCs w:val="20"/>
          <w:color w:val="auto"/>
        </w:rPr>
      </w:pPr>
    </w:p>
    <w:p>
      <w:pPr>
        <w:jc w:val="center"/>
        <w:ind w:right="299"/>
        <w:spacing w:after="0"/>
        <w:rPr>
          <w:sz w:val="20"/>
          <w:szCs w:val="20"/>
          <w:color w:val="auto"/>
        </w:rPr>
      </w:pPr>
      <w:r>
        <w:rPr>
          <w:rFonts w:ascii="Arial" w:cs="Arial" w:eastAsia="Arial" w:hAnsi="Arial"/>
          <w:sz w:val="14"/>
          <w:szCs w:val="14"/>
          <w:color w:val="auto"/>
        </w:rPr>
        <w:t>(in millions, except per share data)</w:t>
      </w:r>
    </w:p>
    <w:p>
      <w:pPr>
        <w:spacing w:after="0" w:line="42" w:lineRule="exact"/>
        <w:rPr>
          <w:sz w:val="20"/>
          <w:szCs w:val="20"/>
          <w:color w:val="auto"/>
        </w:rPr>
      </w:pPr>
    </w:p>
    <w:p>
      <w:pPr>
        <w:jc w:val="center"/>
        <w:ind w:right="299"/>
        <w:spacing w:after="0"/>
        <w:rPr>
          <w:sz w:val="20"/>
          <w:szCs w:val="20"/>
          <w:color w:val="auto"/>
        </w:rPr>
      </w:pPr>
      <w:r>
        <w:rPr>
          <w:rFonts w:ascii="Arial" w:cs="Arial" w:eastAsia="Arial" w:hAnsi="Arial"/>
          <w:sz w:val="14"/>
          <w:szCs w:val="14"/>
          <w:color w:val="auto"/>
        </w:rPr>
        <w:t>(unaudited)</w:t>
      </w:r>
    </w:p>
    <w:p>
      <w:pPr>
        <w:spacing w:after="0" w:line="249" w:lineRule="exact"/>
        <w:rPr>
          <w:sz w:val="20"/>
          <w:szCs w:val="20"/>
          <w:color w:val="auto"/>
        </w:rPr>
      </w:pPr>
    </w:p>
    <w:tbl>
      <w:tblPr>
        <w:tblLayout w:type="fixed"/>
        <w:tblInd w:w="340" w:type="dxa"/>
        <w:tblCellMar>
          <w:top w:w="0" w:type="dxa"/>
          <w:left w:w="0" w:type="dxa"/>
          <w:bottom w:w="0" w:type="dxa"/>
          <w:right w:w="0" w:type="dxa"/>
        </w:tblCellMar>
      </w:tblPr>
      <w:tr>
        <w:trPr>
          <w:trHeight w:val="170"/>
        </w:trPr>
        <w:tc>
          <w:tcPr>
            <w:tcW w:w="4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color w:val="auto"/>
                <w:w w:val="87"/>
              </w:rPr>
              <w:t>Three Months Ended</w:t>
            </w: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4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spacing w:after="0" w:line="148" w:lineRule="exact"/>
              <w:rPr>
                <w:sz w:val="20"/>
                <w:szCs w:val="20"/>
                <w:color w:val="auto"/>
              </w:rPr>
            </w:pPr>
            <w:r>
              <w:rPr>
                <w:rFonts w:ascii="Arial" w:cs="Arial" w:eastAsia="Arial" w:hAnsi="Arial"/>
                <w:sz w:val="13"/>
                <w:szCs w:val="13"/>
                <w:color w:val="auto"/>
              </w:rPr>
              <w:t>September 30,</w:t>
            </w:r>
          </w:p>
        </w:tc>
        <w:tc>
          <w:tcPr>
            <w:tcW w:w="1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ind w:left="20"/>
              <w:spacing w:after="0" w:line="148" w:lineRule="exact"/>
              <w:rPr>
                <w:sz w:val="20"/>
                <w:szCs w:val="20"/>
                <w:color w:val="auto"/>
              </w:rPr>
            </w:pPr>
            <w:r>
              <w:rPr>
                <w:rFonts w:ascii="Arial" w:cs="Arial" w:eastAsia="Arial" w:hAnsi="Arial"/>
                <w:sz w:val="13"/>
                <w:szCs w:val="13"/>
                <w:color w:val="auto"/>
              </w:rPr>
              <w:t>December 31,</w:t>
            </w:r>
          </w:p>
        </w:tc>
        <w:tc>
          <w:tcPr>
            <w:tcW w:w="100" w:type="dxa"/>
            <w:vAlign w:val="bottom"/>
          </w:tcPr>
          <w:p>
            <w:pPr>
              <w:spacing w:after="0"/>
              <w:rPr>
                <w:sz w:val="12"/>
                <w:szCs w:val="12"/>
                <w:color w:val="auto"/>
              </w:rPr>
            </w:pPr>
          </w:p>
        </w:tc>
        <w:tc>
          <w:tcPr>
            <w:tcW w:w="840" w:type="dxa"/>
            <w:vAlign w:val="bottom"/>
          </w:tcPr>
          <w:p>
            <w:pPr>
              <w:jc w:val="right"/>
              <w:ind w:right="49"/>
              <w:spacing w:after="0" w:line="148" w:lineRule="exact"/>
              <w:rPr>
                <w:sz w:val="20"/>
                <w:szCs w:val="20"/>
                <w:color w:val="auto"/>
              </w:rPr>
            </w:pPr>
            <w:r>
              <w:rPr>
                <w:rFonts w:ascii="Arial" w:cs="Arial" w:eastAsia="Arial" w:hAnsi="Arial"/>
                <w:sz w:val="13"/>
                <w:szCs w:val="13"/>
                <w:color w:val="auto"/>
                <w:w w:val="82"/>
              </w:rPr>
              <w:t>September 30,</w:t>
            </w:r>
          </w:p>
        </w:tc>
        <w:tc>
          <w:tcPr>
            <w:tcW w:w="0" w:type="dxa"/>
            <w:vAlign w:val="bottom"/>
          </w:tcPr>
          <w:p>
            <w:pPr>
              <w:spacing w:after="0"/>
              <w:rPr>
                <w:sz w:val="1"/>
                <w:szCs w:val="1"/>
                <w:color w:val="auto"/>
              </w:rPr>
            </w:pPr>
          </w:p>
        </w:tc>
      </w:tr>
      <w:tr>
        <w:trPr>
          <w:trHeight w:val="170"/>
        </w:trPr>
        <w:tc>
          <w:tcPr>
            <w:tcW w:w="4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ind w:right="269"/>
              <w:spacing w:after="0"/>
              <w:rPr>
                <w:sz w:val="20"/>
                <w:szCs w:val="20"/>
                <w:color w:val="auto"/>
              </w:rPr>
            </w:pPr>
            <w:r>
              <w:rPr>
                <w:rFonts w:ascii="Arial" w:cs="Arial" w:eastAsia="Arial" w:hAnsi="Arial"/>
                <w:sz w:val="13"/>
                <w:szCs w:val="13"/>
                <w:color w:val="auto"/>
              </w:rPr>
              <w:t>2019</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w w:val="89"/>
              </w:rPr>
              <w:t>June 30, 2019</w:t>
            </w:r>
          </w:p>
        </w:tc>
        <w:tc>
          <w:tcPr>
            <w:tcW w:w="100" w:type="dxa"/>
            <w:vAlign w:val="bottom"/>
          </w:tcPr>
          <w:p>
            <w:pPr>
              <w:spacing w:after="0"/>
              <w:rPr>
                <w:sz w:val="14"/>
                <w:szCs w:val="14"/>
                <w:color w:val="auto"/>
              </w:rPr>
            </w:pPr>
          </w:p>
        </w:tc>
        <w:tc>
          <w:tcPr>
            <w:tcW w:w="1060" w:type="dxa"/>
            <w:vAlign w:val="bottom"/>
            <w:gridSpan w:val="3"/>
          </w:tcPr>
          <w:p>
            <w:pPr>
              <w:jc w:val="center"/>
              <w:ind w:right="100"/>
              <w:spacing w:after="0"/>
              <w:rPr>
                <w:sz w:val="20"/>
                <w:szCs w:val="20"/>
                <w:color w:val="auto"/>
              </w:rPr>
            </w:pPr>
            <w:r>
              <w:rPr>
                <w:rFonts w:ascii="Arial" w:cs="Arial" w:eastAsia="Arial" w:hAnsi="Arial"/>
                <w:sz w:val="13"/>
                <w:szCs w:val="13"/>
                <w:color w:val="auto"/>
                <w:w w:val="88"/>
              </w:rPr>
              <w:t>March 31, 2019</w:t>
            </w:r>
          </w:p>
        </w:tc>
        <w:tc>
          <w:tcPr>
            <w:tcW w:w="100" w:type="dxa"/>
            <w:vAlign w:val="bottom"/>
          </w:tcPr>
          <w:p>
            <w:pPr>
              <w:spacing w:after="0"/>
              <w:rPr>
                <w:sz w:val="14"/>
                <w:szCs w:val="14"/>
                <w:color w:val="auto"/>
              </w:rPr>
            </w:pPr>
          </w:p>
        </w:tc>
        <w:tc>
          <w:tcPr>
            <w:tcW w:w="840" w:type="dxa"/>
            <w:vAlign w:val="bottom"/>
          </w:tcPr>
          <w:p>
            <w:pPr>
              <w:jc w:val="right"/>
              <w:ind w:right="269"/>
              <w:spacing w:after="0"/>
              <w:rPr>
                <w:sz w:val="20"/>
                <w:szCs w:val="20"/>
                <w:color w:val="auto"/>
              </w:rPr>
            </w:pPr>
            <w:r>
              <w:rPr>
                <w:rFonts w:ascii="Arial" w:cs="Arial" w:eastAsia="Arial" w:hAnsi="Arial"/>
                <w:sz w:val="13"/>
                <w:szCs w:val="13"/>
                <w:color w:val="auto"/>
              </w:rPr>
              <w:t>2018</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ind w:right="269"/>
              <w:spacing w:after="0"/>
              <w:rPr>
                <w:sz w:val="20"/>
                <w:szCs w:val="20"/>
                <w:color w:val="auto"/>
              </w:rPr>
            </w:pPr>
            <w:r>
              <w:rPr>
                <w:rFonts w:ascii="Arial" w:cs="Arial" w:eastAsia="Arial" w:hAnsi="Arial"/>
                <w:sz w:val="13"/>
                <w:szCs w:val="13"/>
                <w:color w:val="auto"/>
              </w:rPr>
              <w:t>2018</w:t>
            </w:r>
          </w:p>
        </w:tc>
        <w:tc>
          <w:tcPr>
            <w:tcW w:w="0" w:type="dxa"/>
            <w:vAlign w:val="bottom"/>
          </w:tcPr>
          <w:p>
            <w:pPr>
              <w:spacing w:after="0"/>
              <w:rPr>
                <w:sz w:val="1"/>
                <w:szCs w:val="1"/>
                <w:color w:val="auto"/>
              </w:rPr>
            </w:pPr>
          </w:p>
        </w:tc>
      </w:tr>
      <w:tr>
        <w:trPr>
          <w:trHeight w:val="139"/>
        </w:trPr>
        <w:tc>
          <w:tcPr>
            <w:tcW w:w="4100" w:type="dxa"/>
            <w:vAlign w:val="bottom"/>
          </w:tcPr>
          <w:p>
            <w:pPr>
              <w:ind w:left="20"/>
              <w:spacing w:after="0" w:line="139" w:lineRule="exact"/>
              <w:rPr>
                <w:sz w:val="20"/>
                <w:szCs w:val="20"/>
                <w:color w:val="auto"/>
              </w:rPr>
            </w:pPr>
            <w:r>
              <w:rPr>
                <w:rFonts w:ascii="Arial" w:cs="Arial" w:eastAsia="Arial" w:hAnsi="Arial"/>
                <w:sz w:val="14"/>
                <w:szCs w:val="14"/>
                <w:b w:val="1"/>
                <w:bCs w:val="1"/>
                <w:color w:val="auto"/>
                <w:w w:val="98"/>
              </w:rPr>
              <w:t>Adjusted net interest and dollar roll income, excluding "catch-</w:t>
            </w:r>
          </w:p>
        </w:tc>
        <w:tc>
          <w:tcPr>
            <w:tcW w:w="10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4100" w:type="dxa"/>
            <w:vAlign w:val="bottom"/>
          </w:tcPr>
          <w:p>
            <w:pPr>
              <w:ind w:left="20"/>
              <w:spacing w:after="0"/>
              <w:rPr>
                <w:sz w:val="20"/>
                <w:szCs w:val="20"/>
                <w:color w:val="auto"/>
              </w:rPr>
            </w:pPr>
            <w:r>
              <w:rPr>
                <w:rFonts w:ascii="Arial" w:cs="Arial" w:eastAsia="Arial" w:hAnsi="Arial"/>
                <w:sz w:val="14"/>
                <w:szCs w:val="14"/>
                <w:b w:val="1"/>
                <w:bCs w:val="1"/>
                <w:color w:val="auto"/>
              </w:rPr>
              <w:t>up" premium amortization:</w:t>
            </w: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4100" w:type="dxa"/>
            <w:vAlign w:val="bottom"/>
            <w:shd w:val="clear" w:color="auto" w:fill="CCEEFF"/>
          </w:tcPr>
          <w:p>
            <w:pPr>
              <w:ind w:left="160"/>
              <w:spacing w:after="0"/>
              <w:rPr>
                <w:sz w:val="20"/>
                <w:szCs w:val="20"/>
                <w:color w:val="auto"/>
              </w:rPr>
            </w:pPr>
            <w:r>
              <w:rPr>
                <w:rFonts w:ascii="Arial" w:cs="Arial" w:eastAsia="Arial" w:hAnsi="Arial"/>
                <w:sz w:val="14"/>
                <w:szCs w:val="14"/>
                <w:color w:val="auto"/>
              </w:rPr>
              <w:t>Economic interest income:</w:t>
            </w: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100" w:type="dxa"/>
            <w:vAlign w:val="bottom"/>
          </w:tcPr>
          <w:p>
            <w:pPr>
              <w:ind w:left="260"/>
              <w:spacing w:after="0"/>
              <w:rPr>
                <w:sz w:val="20"/>
                <w:szCs w:val="20"/>
                <w:color w:val="auto"/>
              </w:rPr>
            </w:pPr>
            <w:r>
              <w:rPr>
                <w:rFonts w:ascii="Arial" w:cs="Arial" w:eastAsia="Arial" w:hAnsi="Arial"/>
                <w:sz w:val="14"/>
                <w:szCs w:val="14"/>
                <w:color w:val="auto"/>
              </w:rPr>
              <w:t xml:space="preserve">Investment securities - GAAP interest income </w:t>
            </w:r>
            <w:r>
              <w:rPr>
                <w:rFonts w:ascii="Arial" w:cs="Arial" w:eastAsia="Arial" w:hAnsi="Arial"/>
                <w:sz w:val="8"/>
                <w:szCs w:val="8"/>
                <w:color w:val="auto"/>
              </w:rPr>
              <w:t>12</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129"/>
              <w:spacing w:after="0"/>
              <w:rPr>
                <w:sz w:val="20"/>
                <w:szCs w:val="20"/>
                <w:color w:val="auto"/>
              </w:rPr>
            </w:pPr>
            <w:r>
              <w:rPr>
                <w:rFonts w:ascii="Arial" w:cs="Arial" w:eastAsia="Arial" w:hAnsi="Arial"/>
                <w:sz w:val="14"/>
                <w:szCs w:val="14"/>
                <w:color w:val="auto"/>
              </w:rPr>
              <w:t>676</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28"/>
              <w:spacing w:after="0"/>
              <w:rPr>
                <w:sz w:val="20"/>
                <w:szCs w:val="20"/>
                <w:color w:val="auto"/>
              </w:rPr>
            </w:pPr>
            <w:r>
              <w:rPr>
                <w:rFonts w:ascii="Arial" w:cs="Arial" w:eastAsia="Arial" w:hAnsi="Arial"/>
                <w:sz w:val="14"/>
                <w:szCs w:val="14"/>
                <w:color w:val="auto"/>
              </w:rPr>
              <w:t>693</w:t>
            </w:r>
          </w:p>
        </w:tc>
        <w:tc>
          <w:tcPr>
            <w:tcW w:w="380" w:type="dxa"/>
            <w:vAlign w:val="bottom"/>
            <w:gridSpan w:val="2"/>
          </w:tcPr>
          <w:p>
            <w:pPr>
              <w:jc w:val="right"/>
              <w:ind w:right="117"/>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128"/>
              <w:spacing w:after="0"/>
              <w:rPr>
                <w:sz w:val="20"/>
                <w:szCs w:val="20"/>
                <w:color w:val="auto"/>
              </w:rPr>
            </w:pPr>
            <w:r>
              <w:rPr>
                <w:rFonts w:ascii="Arial" w:cs="Arial" w:eastAsia="Arial" w:hAnsi="Arial"/>
                <w:sz w:val="14"/>
                <w:szCs w:val="14"/>
                <w:color w:val="auto"/>
              </w:rPr>
              <w:t>705</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129"/>
              <w:spacing w:after="0"/>
              <w:rPr>
                <w:sz w:val="20"/>
                <w:szCs w:val="20"/>
                <w:color w:val="auto"/>
              </w:rPr>
            </w:pPr>
            <w:r>
              <w:rPr>
                <w:rFonts w:ascii="Arial" w:cs="Arial" w:eastAsia="Arial" w:hAnsi="Arial"/>
                <w:sz w:val="14"/>
                <w:szCs w:val="14"/>
                <w:color w:val="auto"/>
              </w:rPr>
              <w:t>604</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129"/>
              <w:spacing w:after="0"/>
              <w:rPr>
                <w:sz w:val="20"/>
                <w:szCs w:val="20"/>
                <w:color w:val="auto"/>
              </w:rPr>
            </w:pPr>
            <w:r>
              <w:rPr>
                <w:rFonts w:ascii="Arial" w:cs="Arial" w:eastAsia="Arial" w:hAnsi="Arial"/>
                <w:sz w:val="14"/>
                <w:szCs w:val="14"/>
                <w:color w:val="auto"/>
              </w:rPr>
              <w:t>500</w:t>
            </w:r>
          </w:p>
        </w:tc>
        <w:tc>
          <w:tcPr>
            <w:tcW w:w="0" w:type="dxa"/>
            <w:vAlign w:val="bottom"/>
          </w:tcPr>
          <w:p>
            <w:pPr>
              <w:spacing w:after="0"/>
              <w:rPr>
                <w:sz w:val="1"/>
                <w:szCs w:val="1"/>
                <w:color w:val="auto"/>
              </w:rPr>
            </w:pPr>
          </w:p>
        </w:tc>
      </w:tr>
      <w:tr>
        <w:trPr>
          <w:trHeight w:val="163"/>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w w:val="96"/>
              </w:rPr>
              <w:t>Estimated "catch-up" premium amortization cost (benefit) due to</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rPr>
              <w:t xml:space="preserve">change in CPR forecast </w:t>
            </w:r>
            <w:r>
              <w:rPr>
                <w:rFonts w:ascii="Arial" w:cs="Arial" w:eastAsia="Arial" w:hAnsi="Arial"/>
                <w:sz w:val="8"/>
                <w:szCs w:val="8"/>
                <w:color w:val="auto"/>
              </w:rPr>
              <w:t>11</w:t>
            </w: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129"/>
              <w:spacing w:after="0"/>
              <w:rPr>
                <w:sz w:val="20"/>
                <w:szCs w:val="20"/>
                <w:color w:val="auto"/>
              </w:rPr>
            </w:pPr>
            <w:r>
              <w:rPr>
                <w:rFonts w:ascii="Arial" w:cs="Arial" w:eastAsia="Arial" w:hAnsi="Arial"/>
                <w:sz w:val="14"/>
                <w:szCs w:val="14"/>
                <w:color w:val="auto"/>
              </w:rPr>
              <w:t>55</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58</w:t>
            </w: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6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39</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129"/>
              <w:spacing w:after="0"/>
              <w:rPr>
                <w:sz w:val="20"/>
                <w:szCs w:val="20"/>
                <w:color w:val="auto"/>
              </w:rPr>
            </w:pPr>
            <w:r>
              <w:rPr>
                <w:rFonts w:ascii="Arial" w:cs="Arial" w:eastAsia="Arial" w:hAnsi="Arial"/>
                <w:sz w:val="14"/>
                <w:szCs w:val="14"/>
                <w:color w:val="auto"/>
              </w:rPr>
              <w:t>16</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(6)</w:t>
            </w:r>
          </w:p>
        </w:tc>
        <w:tc>
          <w:tcPr>
            <w:tcW w:w="0" w:type="dxa"/>
            <w:vAlign w:val="bottom"/>
          </w:tcPr>
          <w:p>
            <w:pPr>
              <w:spacing w:after="0"/>
              <w:rPr>
                <w:sz w:val="1"/>
                <w:szCs w:val="1"/>
                <w:color w:val="auto"/>
              </w:rPr>
            </w:pPr>
          </w:p>
        </w:tc>
      </w:tr>
      <w:tr>
        <w:trPr>
          <w:trHeight w:val="264"/>
        </w:trPr>
        <w:tc>
          <w:tcPr>
            <w:tcW w:w="4100" w:type="dxa"/>
            <w:vAlign w:val="bottom"/>
            <w:tcBorders>
              <w:bottom w:val="single" w:sz="8" w:color="CCEEFF"/>
            </w:tcBorders>
          </w:tcPr>
          <w:p>
            <w:pPr>
              <w:ind w:left="260"/>
              <w:spacing w:after="0"/>
              <w:rPr>
                <w:sz w:val="20"/>
                <w:szCs w:val="20"/>
                <w:color w:val="auto"/>
              </w:rPr>
            </w:pPr>
            <w:r>
              <w:rPr>
                <w:rFonts w:ascii="Arial" w:cs="Arial" w:eastAsia="Arial" w:hAnsi="Arial"/>
                <w:sz w:val="14"/>
                <w:szCs w:val="14"/>
                <w:color w:val="auto"/>
              </w:rPr>
              <w:t xml:space="preserve">TBA dollar roll income - implied interest income </w:t>
            </w:r>
            <w:r>
              <w:rPr>
                <w:rFonts w:ascii="Arial" w:cs="Arial" w:eastAsia="Arial" w:hAnsi="Arial"/>
                <w:sz w:val="8"/>
                <w:szCs w:val="8"/>
                <w:color w:val="auto"/>
              </w:rPr>
              <w:t>3,7</w:t>
            </w: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129"/>
              <w:spacing w:after="0"/>
              <w:rPr>
                <w:sz w:val="20"/>
                <w:szCs w:val="20"/>
                <w:color w:val="auto"/>
              </w:rPr>
            </w:pPr>
            <w:r>
              <w:rPr>
                <w:rFonts w:ascii="Arial" w:cs="Arial" w:eastAsia="Arial" w:hAnsi="Arial"/>
                <w:sz w:val="14"/>
                <w:szCs w:val="14"/>
                <w:color w:val="auto"/>
              </w:rPr>
              <w:t>81</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96</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71</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129"/>
              <w:spacing w:after="0"/>
              <w:rPr>
                <w:sz w:val="20"/>
                <w:szCs w:val="20"/>
                <w:color w:val="auto"/>
              </w:rPr>
            </w:pPr>
            <w:r>
              <w:rPr>
                <w:rFonts w:ascii="Arial" w:cs="Arial" w:eastAsia="Arial" w:hAnsi="Arial"/>
                <w:sz w:val="14"/>
                <w:szCs w:val="14"/>
                <w:color w:val="auto"/>
              </w:rPr>
              <w:t>74</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129"/>
              <w:spacing w:after="0"/>
              <w:rPr>
                <w:sz w:val="20"/>
                <w:szCs w:val="20"/>
                <w:color w:val="auto"/>
              </w:rPr>
            </w:pPr>
            <w:r>
              <w:rPr>
                <w:rFonts w:ascii="Arial" w:cs="Arial" w:eastAsia="Arial" w:hAnsi="Arial"/>
                <w:sz w:val="14"/>
                <w:szCs w:val="14"/>
                <w:color w:val="auto"/>
              </w:rPr>
              <w:t>162</w:t>
            </w:r>
          </w:p>
        </w:tc>
        <w:tc>
          <w:tcPr>
            <w:tcW w:w="0" w:type="dxa"/>
            <w:vAlign w:val="bottom"/>
          </w:tcPr>
          <w:p>
            <w:pPr>
              <w:spacing w:after="0"/>
              <w:rPr>
                <w:sz w:val="1"/>
                <w:szCs w:val="1"/>
                <w:color w:val="auto"/>
              </w:rPr>
            </w:pPr>
          </w:p>
        </w:tc>
      </w:tr>
      <w:tr>
        <w:trPr>
          <w:trHeight w:val="143"/>
        </w:trPr>
        <w:tc>
          <w:tcPr>
            <w:tcW w:w="4100" w:type="dxa"/>
            <w:vAlign w:val="bottom"/>
            <w:shd w:val="clear" w:color="auto" w:fill="CCEEFF"/>
          </w:tcPr>
          <w:p>
            <w:pPr>
              <w:ind w:left="160"/>
              <w:spacing w:after="0" w:line="143" w:lineRule="exact"/>
              <w:rPr>
                <w:sz w:val="20"/>
                <w:szCs w:val="20"/>
                <w:color w:val="auto"/>
              </w:rPr>
            </w:pPr>
            <w:r>
              <w:rPr>
                <w:rFonts w:ascii="Arial" w:cs="Arial" w:eastAsia="Arial" w:hAnsi="Arial"/>
                <w:sz w:val="14"/>
                <w:szCs w:val="14"/>
                <w:color w:val="auto"/>
              </w:rPr>
              <w:t>Economic interest income, excluding "catch-up" premium</w:t>
            </w: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4100" w:type="dxa"/>
            <w:vAlign w:val="bottom"/>
            <w:shd w:val="clear" w:color="auto" w:fill="CCEEFF"/>
          </w:tcPr>
          <w:p>
            <w:pPr>
              <w:ind w:left="160"/>
              <w:spacing w:after="0"/>
              <w:rPr>
                <w:sz w:val="20"/>
                <w:szCs w:val="20"/>
                <w:color w:val="auto"/>
              </w:rPr>
            </w:pPr>
            <w:r>
              <w:rPr>
                <w:rFonts w:ascii="Arial" w:cs="Arial" w:eastAsia="Arial" w:hAnsi="Arial"/>
                <w:sz w:val="14"/>
                <w:szCs w:val="14"/>
                <w:color w:val="auto"/>
              </w:rPr>
              <w:t>amortization</w:t>
            </w:r>
          </w:p>
        </w:tc>
        <w:tc>
          <w:tcPr>
            <w:tcW w:w="10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812</w:t>
            </w:r>
          </w:p>
        </w:tc>
        <w:tc>
          <w:tcPr>
            <w:tcW w:w="12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847</w:t>
            </w:r>
          </w:p>
        </w:tc>
        <w:tc>
          <w:tcPr>
            <w:tcW w:w="10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66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815</w:t>
            </w:r>
          </w:p>
        </w:tc>
        <w:tc>
          <w:tcPr>
            <w:tcW w:w="12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694</w:t>
            </w:r>
          </w:p>
        </w:tc>
        <w:tc>
          <w:tcPr>
            <w:tcW w:w="12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656</w:t>
            </w:r>
          </w:p>
        </w:tc>
        <w:tc>
          <w:tcPr>
            <w:tcW w:w="0" w:type="dxa"/>
            <w:vAlign w:val="bottom"/>
          </w:tcPr>
          <w:p>
            <w:pPr>
              <w:spacing w:after="0"/>
              <w:rPr>
                <w:sz w:val="1"/>
                <w:szCs w:val="1"/>
                <w:color w:val="auto"/>
              </w:rPr>
            </w:pPr>
          </w:p>
        </w:tc>
      </w:tr>
      <w:tr>
        <w:trPr>
          <w:trHeight w:val="258"/>
        </w:trPr>
        <w:tc>
          <w:tcPr>
            <w:tcW w:w="4100" w:type="dxa"/>
            <w:vAlign w:val="bottom"/>
          </w:tcPr>
          <w:p>
            <w:pPr>
              <w:ind w:left="160"/>
              <w:spacing w:after="0"/>
              <w:rPr>
                <w:sz w:val="20"/>
                <w:szCs w:val="20"/>
                <w:color w:val="auto"/>
              </w:rPr>
            </w:pPr>
            <w:r>
              <w:rPr>
                <w:rFonts w:ascii="Arial" w:cs="Arial" w:eastAsia="Arial" w:hAnsi="Arial"/>
                <w:sz w:val="14"/>
                <w:szCs w:val="14"/>
                <w:color w:val="auto"/>
              </w:rPr>
              <w:t>Economic interest expense:</w:t>
            </w:r>
          </w:p>
        </w:tc>
        <w:tc>
          <w:tcPr>
            <w:tcW w:w="1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w w:val="94"/>
              </w:rPr>
              <w:t>Repurchase agreements and other debt - GAAP interest expense</w:t>
            </w: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(557)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(570)</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(541)</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(418)</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(312)</w:t>
            </w:r>
          </w:p>
        </w:tc>
        <w:tc>
          <w:tcPr>
            <w:tcW w:w="0" w:type="dxa"/>
            <w:vAlign w:val="bottom"/>
          </w:tcPr>
          <w:p>
            <w:pPr>
              <w:spacing w:after="0"/>
              <w:rPr>
                <w:sz w:val="1"/>
                <w:szCs w:val="1"/>
                <w:color w:val="auto"/>
              </w:rPr>
            </w:pPr>
          </w:p>
        </w:tc>
      </w:tr>
      <w:tr>
        <w:trPr>
          <w:trHeight w:val="264"/>
        </w:trPr>
        <w:tc>
          <w:tcPr>
            <w:tcW w:w="4100" w:type="dxa"/>
            <w:vAlign w:val="bottom"/>
          </w:tcPr>
          <w:p>
            <w:pPr>
              <w:ind w:left="260"/>
              <w:spacing w:after="0"/>
              <w:rPr>
                <w:sz w:val="20"/>
                <w:szCs w:val="20"/>
                <w:color w:val="auto"/>
              </w:rPr>
            </w:pPr>
            <w:r>
              <w:rPr>
                <w:rFonts w:ascii="Arial" w:cs="Arial" w:eastAsia="Arial" w:hAnsi="Arial"/>
                <w:sz w:val="14"/>
                <w:szCs w:val="14"/>
                <w:color w:val="auto"/>
              </w:rPr>
              <w:t xml:space="preserve">TBA dollar roll income - implied interest expense </w:t>
            </w:r>
            <w:r>
              <w:rPr>
                <w:rFonts w:ascii="Arial" w:cs="Arial" w:eastAsia="Arial" w:hAnsi="Arial"/>
                <w:sz w:val="8"/>
                <w:szCs w:val="8"/>
                <w:color w:val="auto"/>
              </w:rPr>
              <w:t>3,6</w:t>
            </w:r>
          </w:p>
        </w:tc>
        <w:tc>
          <w:tcPr>
            <w:tcW w:w="100" w:type="dxa"/>
            <w:vAlign w:val="bottom"/>
          </w:tcPr>
          <w:p>
            <w:pPr>
              <w:spacing w:after="0"/>
              <w:rPr>
                <w:sz w:val="22"/>
                <w:szCs w:val="22"/>
                <w:color w:val="auto"/>
              </w:rPr>
            </w:pPr>
          </w:p>
        </w:tc>
        <w:tc>
          <w:tcPr>
            <w:tcW w:w="840" w:type="dxa"/>
            <w:vAlign w:val="bottom"/>
          </w:tcPr>
          <w:p>
            <w:pPr>
              <w:jc w:val="right"/>
              <w:ind w:right="89"/>
              <w:spacing w:after="0"/>
              <w:rPr>
                <w:sz w:val="20"/>
                <w:szCs w:val="20"/>
                <w:color w:val="auto"/>
              </w:rPr>
            </w:pPr>
            <w:r>
              <w:rPr>
                <w:rFonts w:ascii="Arial" w:cs="Arial" w:eastAsia="Arial" w:hAnsi="Arial"/>
                <w:sz w:val="14"/>
                <w:szCs w:val="14"/>
                <w:color w:val="auto"/>
              </w:rPr>
              <w:t>(52)</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(74)</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60" w:type="dxa"/>
            <w:vAlign w:val="bottom"/>
          </w:tcPr>
          <w:p>
            <w:pPr>
              <w:jc w:val="right"/>
              <w:ind w:right="68"/>
              <w:spacing w:after="0"/>
              <w:rPr>
                <w:sz w:val="20"/>
                <w:szCs w:val="20"/>
                <w:color w:val="auto"/>
              </w:rPr>
            </w:pPr>
            <w:r>
              <w:rPr>
                <w:rFonts w:ascii="Arial" w:cs="Arial" w:eastAsia="Arial" w:hAnsi="Arial"/>
                <w:sz w:val="14"/>
                <w:szCs w:val="14"/>
                <w:color w:val="auto"/>
              </w:rPr>
              <w:t>(52)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ind w:right="89"/>
              <w:spacing w:after="0"/>
              <w:rPr>
                <w:sz w:val="20"/>
                <w:szCs w:val="20"/>
                <w:color w:val="auto"/>
              </w:rPr>
            </w:pPr>
            <w:r>
              <w:rPr>
                <w:rFonts w:ascii="Arial" w:cs="Arial" w:eastAsia="Arial" w:hAnsi="Arial"/>
                <w:sz w:val="14"/>
                <w:szCs w:val="14"/>
                <w:color w:val="auto"/>
              </w:rPr>
              <w:t>(47)</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ind w:right="89"/>
              <w:spacing w:after="0"/>
              <w:rPr>
                <w:sz w:val="20"/>
                <w:szCs w:val="20"/>
                <w:color w:val="auto"/>
              </w:rPr>
            </w:pPr>
            <w:r>
              <w:rPr>
                <w:rFonts w:ascii="Arial" w:cs="Arial" w:eastAsia="Arial" w:hAnsi="Arial"/>
                <w:sz w:val="14"/>
                <w:szCs w:val="14"/>
                <w:color w:val="auto"/>
              </w:rPr>
              <w:t>(94)</w:t>
            </w:r>
          </w:p>
        </w:tc>
        <w:tc>
          <w:tcPr>
            <w:tcW w:w="0" w:type="dxa"/>
            <w:vAlign w:val="bottom"/>
          </w:tcPr>
          <w:p>
            <w:pPr>
              <w:spacing w:after="0"/>
              <w:rPr>
                <w:sz w:val="1"/>
                <w:szCs w:val="1"/>
                <w:color w:val="auto"/>
              </w:rPr>
            </w:pPr>
          </w:p>
        </w:tc>
      </w:tr>
      <w:tr>
        <w:trPr>
          <w:trHeight w:val="270"/>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rPr>
              <w:t xml:space="preserve">Interest rate swap periodic income (cost) </w:t>
            </w:r>
            <w:r>
              <w:rPr>
                <w:rFonts w:ascii="Arial" w:cs="Arial" w:eastAsia="Arial" w:hAnsi="Arial"/>
                <w:sz w:val="8"/>
                <w:szCs w:val="8"/>
                <w:color w:val="auto"/>
              </w:rPr>
              <w:t>3,9</w:t>
            </w: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146</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88</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83</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63</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56</w:t>
            </w:r>
          </w:p>
        </w:tc>
        <w:tc>
          <w:tcPr>
            <w:tcW w:w="0" w:type="dxa"/>
            <w:vAlign w:val="bottom"/>
          </w:tcPr>
          <w:p>
            <w:pPr>
              <w:spacing w:after="0"/>
              <w:rPr>
                <w:sz w:val="1"/>
                <w:szCs w:val="1"/>
                <w:color w:val="auto"/>
              </w:rPr>
            </w:pPr>
          </w:p>
        </w:tc>
      </w:tr>
      <w:tr>
        <w:trPr>
          <w:trHeight w:val="250"/>
        </w:trPr>
        <w:tc>
          <w:tcPr>
            <w:tcW w:w="410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Economic interest expense</w:t>
            </w: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(463)</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(556)</w:t>
            </w:r>
          </w:p>
        </w:tc>
        <w:tc>
          <w:tcPr>
            <w:tcW w:w="10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(510)</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(402)</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(350)</w:t>
            </w:r>
          </w:p>
        </w:tc>
        <w:tc>
          <w:tcPr>
            <w:tcW w:w="0" w:type="dxa"/>
            <w:vAlign w:val="bottom"/>
          </w:tcPr>
          <w:p>
            <w:pPr>
              <w:spacing w:after="0"/>
              <w:rPr>
                <w:sz w:val="1"/>
                <w:szCs w:val="1"/>
                <w:color w:val="auto"/>
              </w:rPr>
            </w:pPr>
          </w:p>
        </w:tc>
      </w:tr>
      <w:tr>
        <w:trPr>
          <w:trHeight w:val="256"/>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rPr>
              <w:t xml:space="preserve">Other interest and dividend income </w:t>
            </w:r>
            <w:r>
              <w:rPr>
                <w:rFonts w:ascii="Arial" w:cs="Arial" w:eastAsia="Arial" w:hAnsi="Arial"/>
                <w:sz w:val="8"/>
                <w:szCs w:val="8"/>
                <w:color w:val="auto"/>
              </w:rPr>
              <w:t>3</w:t>
            </w:r>
          </w:p>
        </w:tc>
        <w:tc>
          <w:tcPr>
            <w:tcW w:w="100" w:type="dxa"/>
            <w:vAlign w:val="bottom"/>
            <w:tcBorders>
              <w:bottom w:val="single" w:sz="8" w:color="auto"/>
            </w:tcBorders>
            <w:shd w:val="clear" w:color="auto" w:fill="CCEEFF"/>
          </w:tcPr>
          <w:p>
            <w:pPr>
              <w:spacing w:after="0"/>
              <w:rPr>
                <w:sz w:val="22"/>
                <w:szCs w:val="22"/>
                <w:color w:val="auto"/>
              </w:rPr>
            </w:pPr>
          </w:p>
        </w:tc>
        <w:tc>
          <w:tcPr>
            <w:tcW w:w="84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spacing w:after="0"/>
              <w:rPr>
                <w:sz w:val="22"/>
                <w:szCs w:val="22"/>
                <w:color w:val="auto"/>
              </w:rPr>
            </w:pPr>
          </w:p>
        </w:tc>
        <w:tc>
          <w:tcPr>
            <w:tcW w:w="66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84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84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37"/>
        </w:trPr>
        <w:tc>
          <w:tcPr>
            <w:tcW w:w="4100" w:type="dxa"/>
            <w:vAlign w:val="bottom"/>
          </w:tcPr>
          <w:p>
            <w:pPr>
              <w:ind w:left="160"/>
              <w:spacing w:after="0" w:line="137" w:lineRule="exact"/>
              <w:rPr>
                <w:sz w:val="20"/>
                <w:szCs w:val="20"/>
                <w:color w:val="auto"/>
              </w:rPr>
            </w:pPr>
            <w:r>
              <w:rPr>
                <w:rFonts w:ascii="Arial" w:cs="Arial" w:eastAsia="Arial" w:hAnsi="Arial"/>
                <w:sz w:val="14"/>
                <w:szCs w:val="14"/>
                <w:color w:val="auto"/>
                <w:w w:val="98"/>
              </w:rPr>
              <w:t>Adjusted net interest and dollar roll income, excluding "catch-up"</w:t>
            </w:r>
          </w:p>
        </w:tc>
        <w:tc>
          <w:tcPr>
            <w:tcW w:w="10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tcPr>
          <w:p>
            <w:pPr>
              <w:jc w:val="right"/>
              <w:ind w:right="129"/>
              <w:spacing w:after="0"/>
              <w:rPr>
                <w:sz w:val="20"/>
                <w:szCs w:val="20"/>
                <w:color w:val="auto"/>
              </w:rPr>
            </w:pPr>
            <w:r>
              <w:rPr>
                <w:rFonts w:ascii="Arial" w:cs="Arial" w:eastAsia="Arial" w:hAnsi="Arial"/>
                <w:sz w:val="14"/>
                <w:szCs w:val="14"/>
                <w:color w:val="auto"/>
              </w:rPr>
              <w:t>353</w:t>
            </w:r>
          </w:p>
        </w:tc>
        <w:tc>
          <w:tcPr>
            <w:tcW w:w="120" w:type="dxa"/>
            <w:vAlign w:val="bottom"/>
          </w:tcPr>
          <w:p>
            <w:pPr>
              <w:spacing w:after="0"/>
              <w:rPr>
                <w:sz w:val="11"/>
                <w:szCs w:val="11"/>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00" w:type="dxa"/>
            <w:vAlign w:val="bottom"/>
            <w:vMerge w:val="restart"/>
          </w:tcPr>
          <w:p>
            <w:pPr>
              <w:jc w:val="right"/>
              <w:ind w:right="128"/>
              <w:spacing w:after="0"/>
              <w:rPr>
                <w:sz w:val="20"/>
                <w:szCs w:val="20"/>
                <w:color w:val="auto"/>
              </w:rPr>
            </w:pPr>
            <w:r>
              <w:rPr>
                <w:rFonts w:ascii="Arial" w:cs="Arial" w:eastAsia="Arial" w:hAnsi="Arial"/>
                <w:sz w:val="14"/>
                <w:szCs w:val="14"/>
                <w:color w:val="auto"/>
              </w:rPr>
              <w:t>295</w:t>
            </w:r>
          </w:p>
        </w:tc>
        <w:tc>
          <w:tcPr>
            <w:tcW w:w="380" w:type="dxa"/>
            <w:vAlign w:val="bottom"/>
            <w:gridSpan w:val="2"/>
            <w:vMerge w:val="restart"/>
          </w:tcPr>
          <w:p>
            <w:pPr>
              <w:jc w:val="right"/>
              <w:ind w:right="117"/>
              <w:spacing w:after="0"/>
              <w:rPr>
                <w:sz w:val="20"/>
                <w:szCs w:val="20"/>
                <w:color w:val="auto"/>
              </w:rPr>
            </w:pPr>
            <w:r>
              <w:rPr>
                <w:rFonts w:ascii="Arial" w:cs="Arial" w:eastAsia="Arial" w:hAnsi="Arial"/>
                <w:sz w:val="14"/>
                <w:szCs w:val="14"/>
                <w:color w:val="auto"/>
              </w:rPr>
              <w:t>$</w:t>
            </w:r>
          </w:p>
        </w:tc>
        <w:tc>
          <w:tcPr>
            <w:tcW w:w="660" w:type="dxa"/>
            <w:vAlign w:val="bottom"/>
            <w:vMerge w:val="restart"/>
          </w:tcPr>
          <w:p>
            <w:pPr>
              <w:jc w:val="right"/>
              <w:ind w:right="128"/>
              <w:spacing w:after="0"/>
              <w:rPr>
                <w:sz w:val="20"/>
                <w:szCs w:val="20"/>
                <w:color w:val="auto"/>
              </w:rPr>
            </w:pPr>
            <w:r>
              <w:rPr>
                <w:rFonts w:ascii="Arial" w:cs="Arial" w:eastAsia="Arial" w:hAnsi="Arial"/>
                <w:sz w:val="14"/>
                <w:szCs w:val="14"/>
                <w:color w:val="auto"/>
              </w:rPr>
              <w:t>308</w:t>
            </w:r>
          </w:p>
        </w:tc>
        <w:tc>
          <w:tcPr>
            <w:tcW w:w="120" w:type="dxa"/>
            <w:vAlign w:val="bottom"/>
          </w:tcPr>
          <w:p>
            <w:pPr>
              <w:spacing w:after="0"/>
              <w:rPr>
                <w:sz w:val="11"/>
                <w:szCs w:val="11"/>
                <w:color w:val="auto"/>
              </w:rPr>
            </w:pPr>
          </w:p>
        </w:tc>
        <w:tc>
          <w:tcPr>
            <w:tcW w:w="10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tcPr>
          <w:p>
            <w:pPr>
              <w:jc w:val="right"/>
              <w:ind w:right="129"/>
              <w:spacing w:after="0"/>
              <w:rPr>
                <w:sz w:val="20"/>
                <w:szCs w:val="20"/>
                <w:color w:val="auto"/>
              </w:rPr>
            </w:pPr>
            <w:r>
              <w:rPr>
                <w:rFonts w:ascii="Arial" w:cs="Arial" w:eastAsia="Arial" w:hAnsi="Arial"/>
                <w:sz w:val="14"/>
                <w:szCs w:val="14"/>
                <w:color w:val="auto"/>
              </w:rPr>
              <w:t>292</w:t>
            </w:r>
          </w:p>
        </w:tc>
        <w:tc>
          <w:tcPr>
            <w:tcW w:w="120" w:type="dxa"/>
            <w:vAlign w:val="bottom"/>
          </w:tcPr>
          <w:p>
            <w:pPr>
              <w:spacing w:after="0"/>
              <w:rPr>
                <w:sz w:val="11"/>
                <w:szCs w:val="11"/>
                <w:color w:val="auto"/>
              </w:rPr>
            </w:pPr>
          </w:p>
        </w:tc>
        <w:tc>
          <w:tcPr>
            <w:tcW w:w="10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tcPr>
          <w:p>
            <w:pPr>
              <w:jc w:val="right"/>
              <w:ind w:right="129"/>
              <w:spacing w:after="0"/>
              <w:rPr>
                <w:sz w:val="20"/>
                <w:szCs w:val="20"/>
                <w:color w:val="auto"/>
              </w:rPr>
            </w:pPr>
            <w:r>
              <w:rPr>
                <w:rFonts w:ascii="Arial" w:cs="Arial" w:eastAsia="Arial" w:hAnsi="Arial"/>
                <w:sz w:val="14"/>
                <w:szCs w:val="14"/>
                <w:color w:val="auto"/>
              </w:rPr>
              <w:t>307</w:t>
            </w:r>
          </w:p>
        </w:tc>
        <w:tc>
          <w:tcPr>
            <w:tcW w:w="0" w:type="dxa"/>
            <w:vAlign w:val="bottom"/>
          </w:tcPr>
          <w:p>
            <w:pPr>
              <w:spacing w:after="0"/>
              <w:rPr>
                <w:sz w:val="1"/>
                <w:szCs w:val="1"/>
                <w:color w:val="auto"/>
              </w:rPr>
            </w:pPr>
          </w:p>
        </w:tc>
      </w:tr>
      <w:tr>
        <w:trPr>
          <w:trHeight w:val="181"/>
        </w:trPr>
        <w:tc>
          <w:tcPr>
            <w:tcW w:w="4100" w:type="dxa"/>
            <w:vAlign w:val="bottom"/>
          </w:tcPr>
          <w:p>
            <w:pPr>
              <w:ind w:left="160"/>
              <w:spacing w:after="0"/>
              <w:rPr>
                <w:sz w:val="20"/>
                <w:szCs w:val="20"/>
                <w:color w:val="auto"/>
              </w:rPr>
            </w:pPr>
            <w:r>
              <w:rPr>
                <w:rFonts w:ascii="Arial" w:cs="Arial" w:eastAsia="Arial" w:hAnsi="Arial"/>
                <w:sz w:val="14"/>
                <w:szCs w:val="14"/>
                <w:color w:val="auto"/>
              </w:rPr>
              <w:t>premium amortization</w:t>
            </w:r>
          </w:p>
        </w:tc>
        <w:tc>
          <w:tcPr>
            <w:tcW w:w="100" w:type="dxa"/>
            <w:vAlign w:val="bottom"/>
            <w:vMerge w:val="continue"/>
          </w:tcPr>
          <w:p>
            <w:pPr>
              <w:spacing w:after="0"/>
              <w:rPr>
                <w:sz w:val="15"/>
                <w:szCs w:val="15"/>
                <w:color w:val="auto"/>
              </w:rPr>
            </w:pPr>
          </w:p>
        </w:tc>
        <w:tc>
          <w:tcPr>
            <w:tcW w:w="84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380" w:type="dxa"/>
            <w:vAlign w:val="bottom"/>
            <w:gridSpan w:val="2"/>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vMerge w:val="continue"/>
          </w:tcPr>
          <w:p>
            <w:pPr>
              <w:spacing w:after="0"/>
              <w:rPr>
                <w:sz w:val="15"/>
                <w:szCs w:val="15"/>
                <w:color w:val="auto"/>
              </w:rPr>
            </w:pPr>
          </w:p>
        </w:tc>
        <w:tc>
          <w:tcPr>
            <w:tcW w:w="84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vMerge w:val="continue"/>
          </w:tcPr>
          <w:p>
            <w:pPr>
              <w:spacing w:after="0"/>
              <w:rPr>
                <w:sz w:val="15"/>
                <w:szCs w:val="15"/>
                <w:color w:val="auto"/>
              </w:rPr>
            </w:pPr>
          </w:p>
        </w:tc>
        <w:tc>
          <w:tcPr>
            <w:tcW w:w="8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1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Net interest spread, excluding "catch-up" amortization:</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8"/>
        </w:trPr>
        <w:tc>
          <w:tcPr>
            <w:tcW w:w="410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100" w:type="dxa"/>
            <w:vAlign w:val="bottom"/>
            <w:shd w:val="clear" w:color="auto" w:fill="CCEEFF"/>
          </w:tcPr>
          <w:p>
            <w:pPr>
              <w:ind w:left="160"/>
              <w:spacing w:after="0"/>
              <w:rPr>
                <w:sz w:val="20"/>
                <w:szCs w:val="20"/>
                <w:color w:val="auto"/>
              </w:rPr>
            </w:pPr>
            <w:r>
              <w:rPr>
                <w:rFonts w:ascii="Arial" w:cs="Arial" w:eastAsia="Arial" w:hAnsi="Arial"/>
                <w:sz w:val="14"/>
                <w:szCs w:val="14"/>
                <w:color w:val="auto"/>
              </w:rPr>
              <w:t>Average asset yield:</w:t>
            </w: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100" w:type="dxa"/>
            <w:vAlign w:val="bottom"/>
          </w:tcPr>
          <w:p>
            <w:pPr>
              <w:ind w:left="260"/>
              <w:spacing w:after="0"/>
              <w:rPr>
                <w:sz w:val="20"/>
                <w:szCs w:val="20"/>
                <w:color w:val="auto"/>
              </w:rPr>
            </w:pPr>
            <w:r>
              <w:rPr>
                <w:rFonts w:ascii="Arial" w:cs="Arial" w:eastAsia="Arial" w:hAnsi="Arial"/>
                <w:sz w:val="14"/>
                <w:szCs w:val="14"/>
                <w:color w:val="auto"/>
              </w:rPr>
              <w:t>Investment securities - average asset yield</w:t>
            </w:r>
          </w:p>
        </w:tc>
        <w:tc>
          <w:tcPr>
            <w:tcW w:w="10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2.91 %</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2.99 %</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3.14 %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3.13 %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3.11 %</w:t>
            </w:r>
          </w:p>
        </w:tc>
        <w:tc>
          <w:tcPr>
            <w:tcW w:w="0" w:type="dxa"/>
            <w:vAlign w:val="bottom"/>
          </w:tcPr>
          <w:p>
            <w:pPr>
              <w:spacing w:after="0"/>
              <w:rPr>
                <w:sz w:val="1"/>
                <w:szCs w:val="1"/>
                <w:color w:val="auto"/>
              </w:rPr>
            </w:pPr>
          </w:p>
        </w:tc>
      </w:tr>
      <w:tr>
        <w:trPr>
          <w:trHeight w:val="163"/>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w w:val="96"/>
              </w:rPr>
              <w:t>Estimated "catch-up" premium amortization cost (benefit) due to</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rPr>
              <w:t>change in CPR forecast</w:t>
            </w:r>
          </w:p>
        </w:tc>
        <w:tc>
          <w:tcPr>
            <w:tcW w:w="10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0.24 %</w:t>
            </w:r>
          </w:p>
        </w:tc>
        <w:tc>
          <w:tcPr>
            <w:tcW w:w="12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0.25 %</w:t>
            </w:r>
          </w:p>
        </w:tc>
        <w:tc>
          <w:tcPr>
            <w:tcW w:w="10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0.17 %</w:t>
            </w:r>
          </w:p>
        </w:tc>
        <w:tc>
          <w:tcPr>
            <w:tcW w:w="12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0.08 %</w:t>
            </w:r>
          </w:p>
        </w:tc>
        <w:tc>
          <w:tcPr>
            <w:tcW w:w="12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(0.04)%</w:t>
            </w:r>
          </w:p>
        </w:tc>
        <w:tc>
          <w:tcPr>
            <w:tcW w:w="0" w:type="dxa"/>
            <w:vAlign w:val="bottom"/>
          </w:tcPr>
          <w:p>
            <w:pPr>
              <w:spacing w:after="0"/>
              <w:rPr>
                <w:sz w:val="1"/>
                <w:szCs w:val="1"/>
                <w:color w:val="auto"/>
              </w:rPr>
            </w:pPr>
          </w:p>
        </w:tc>
      </w:tr>
      <w:tr>
        <w:trPr>
          <w:trHeight w:val="137"/>
        </w:trPr>
        <w:tc>
          <w:tcPr>
            <w:tcW w:w="4100" w:type="dxa"/>
            <w:vAlign w:val="bottom"/>
          </w:tcPr>
          <w:p>
            <w:pPr>
              <w:ind w:left="260"/>
              <w:spacing w:after="0" w:line="137" w:lineRule="exact"/>
              <w:rPr>
                <w:sz w:val="20"/>
                <w:szCs w:val="20"/>
                <w:color w:val="auto"/>
              </w:rPr>
            </w:pPr>
            <w:r>
              <w:rPr>
                <w:rFonts w:ascii="Arial" w:cs="Arial" w:eastAsia="Arial" w:hAnsi="Arial"/>
                <w:sz w:val="14"/>
                <w:szCs w:val="14"/>
                <w:color w:val="auto"/>
                <w:w w:val="97"/>
              </w:rPr>
              <w:t>Investment securities average asset yield, excluding "catch-up"</w:t>
            </w:r>
          </w:p>
        </w:tc>
        <w:tc>
          <w:tcPr>
            <w:tcW w:w="1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4100" w:type="dxa"/>
            <w:vAlign w:val="bottom"/>
          </w:tcPr>
          <w:p>
            <w:pPr>
              <w:ind w:left="260"/>
              <w:spacing w:after="0"/>
              <w:rPr>
                <w:sz w:val="20"/>
                <w:szCs w:val="20"/>
                <w:color w:val="auto"/>
              </w:rPr>
            </w:pPr>
            <w:r>
              <w:rPr>
                <w:rFonts w:ascii="Arial" w:cs="Arial" w:eastAsia="Arial" w:hAnsi="Arial"/>
                <w:sz w:val="14"/>
                <w:szCs w:val="14"/>
                <w:color w:val="auto"/>
              </w:rPr>
              <w:t>premium amortization</w:t>
            </w: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3.15 %</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3.24 %</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3.31 %</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3.21 %</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3.07 %</w:t>
            </w:r>
          </w:p>
        </w:tc>
        <w:tc>
          <w:tcPr>
            <w:tcW w:w="0" w:type="dxa"/>
            <w:vAlign w:val="bottom"/>
          </w:tcPr>
          <w:p>
            <w:pPr>
              <w:spacing w:after="0"/>
              <w:rPr>
                <w:sz w:val="1"/>
                <w:szCs w:val="1"/>
                <w:color w:val="auto"/>
              </w:rPr>
            </w:pPr>
          </w:p>
        </w:tc>
      </w:tr>
      <w:tr>
        <w:trPr>
          <w:trHeight w:val="270"/>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rPr>
              <w:t xml:space="preserve">TBA securities - average implied asset yield </w:t>
            </w:r>
            <w:r>
              <w:rPr>
                <w:rFonts w:ascii="Arial" w:cs="Arial" w:eastAsia="Arial" w:hAnsi="Arial"/>
                <w:sz w:val="8"/>
                <w:szCs w:val="8"/>
                <w:color w:val="auto"/>
              </w:rPr>
              <w:t>7</w:t>
            </w: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3.19 %</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3.21 %</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3.55 %</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3.66 %</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3.54 %</w:t>
            </w:r>
          </w:p>
        </w:tc>
        <w:tc>
          <w:tcPr>
            <w:tcW w:w="0" w:type="dxa"/>
            <w:vAlign w:val="bottom"/>
          </w:tcPr>
          <w:p>
            <w:pPr>
              <w:spacing w:after="0"/>
              <w:rPr>
                <w:sz w:val="1"/>
                <w:szCs w:val="1"/>
                <w:color w:val="auto"/>
              </w:rPr>
            </w:pPr>
          </w:p>
        </w:tc>
      </w:tr>
      <w:tr>
        <w:trPr>
          <w:trHeight w:val="250"/>
        </w:trPr>
        <w:tc>
          <w:tcPr>
            <w:tcW w:w="410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w w:val="97"/>
              </w:rPr>
              <w:t xml:space="preserve">Average asset yield, excluding "catch-up" premium amortization </w:t>
            </w:r>
            <w:r>
              <w:rPr>
                <w:rFonts w:ascii="Arial" w:cs="Arial" w:eastAsia="Arial" w:hAnsi="Arial"/>
                <w:sz w:val="8"/>
                <w:szCs w:val="8"/>
                <w:color w:val="auto"/>
                <w:w w:val="97"/>
              </w:rPr>
              <w:t>8</w:t>
            </w: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3.16 %</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3.24 %</w:t>
            </w:r>
          </w:p>
        </w:tc>
        <w:tc>
          <w:tcPr>
            <w:tcW w:w="10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3.33 %</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3.26 %</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3.18 %</w:t>
            </w:r>
          </w:p>
        </w:tc>
        <w:tc>
          <w:tcPr>
            <w:tcW w:w="0" w:type="dxa"/>
            <w:vAlign w:val="bottom"/>
          </w:tcPr>
          <w:p>
            <w:pPr>
              <w:spacing w:after="0"/>
              <w:rPr>
                <w:sz w:val="1"/>
                <w:szCs w:val="1"/>
                <w:color w:val="auto"/>
              </w:rPr>
            </w:pPr>
          </w:p>
        </w:tc>
      </w:tr>
      <w:tr>
        <w:trPr>
          <w:trHeight w:val="270"/>
        </w:trPr>
        <w:tc>
          <w:tcPr>
            <w:tcW w:w="4100" w:type="dxa"/>
            <w:vAlign w:val="bottom"/>
            <w:shd w:val="clear" w:color="auto" w:fill="CCEEFF"/>
          </w:tcPr>
          <w:p>
            <w:pPr>
              <w:ind w:left="160"/>
              <w:spacing w:after="0"/>
              <w:rPr>
                <w:sz w:val="20"/>
                <w:szCs w:val="20"/>
                <w:color w:val="auto"/>
              </w:rPr>
            </w:pPr>
            <w:r>
              <w:rPr>
                <w:rFonts w:ascii="Arial" w:cs="Arial" w:eastAsia="Arial" w:hAnsi="Arial"/>
                <w:sz w:val="14"/>
                <w:szCs w:val="14"/>
                <w:color w:val="auto"/>
              </w:rPr>
              <w:t>Average total cost of funds:</w:t>
            </w:r>
          </w:p>
        </w:tc>
        <w:tc>
          <w:tcPr>
            <w:tcW w:w="10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6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100" w:type="dxa"/>
            <w:vAlign w:val="bottom"/>
          </w:tcPr>
          <w:p>
            <w:pPr>
              <w:ind w:left="260"/>
              <w:spacing w:after="0"/>
              <w:rPr>
                <w:sz w:val="20"/>
                <w:szCs w:val="20"/>
                <w:color w:val="auto"/>
              </w:rPr>
            </w:pPr>
            <w:r>
              <w:rPr>
                <w:rFonts w:ascii="Arial" w:cs="Arial" w:eastAsia="Arial" w:hAnsi="Arial"/>
                <w:sz w:val="14"/>
                <w:szCs w:val="14"/>
                <w:color w:val="auto"/>
                <w:w w:val="97"/>
              </w:rPr>
              <w:t>Repurchase agreements and other debt - average funding cost</w:t>
            </w:r>
          </w:p>
        </w:tc>
        <w:tc>
          <w:tcPr>
            <w:tcW w:w="10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2.48 %</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2.62 %</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2.64 %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2.42 %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2.20 %</w:t>
            </w:r>
          </w:p>
        </w:tc>
        <w:tc>
          <w:tcPr>
            <w:tcW w:w="0" w:type="dxa"/>
            <w:vAlign w:val="bottom"/>
          </w:tcPr>
          <w:p>
            <w:pPr>
              <w:spacing w:after="0"/>
              <w:rPr>
                <w:sz w:val="1"/>
                <w:szCs w:val="1"/>
                <w:color w:val="auto"/>
              </w:rPr>
            </w:pPr>
          </w:p>
        </w:tc>
      </w:tr>
      <w:tr>
        <w:trPr>
          <w:trHeight w:val="276"/>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rPr>
              <w:t xml:space="preserve">TBA securities - average implied funding cost </w:t>
            </w:r>
            <w:r>
              <w:rPr>
                <w:rFonts w:ascii="Arial" w:cs="Arial" w:eastAsia="Arial" w:hAnsi="Arial"/>
                <w:sz w:val="8"/>
                <w:szCs w:val="8"/>
                <w:color w:val="auto"/>
              </w:rPr>
              <w:t>6</w:t>
            </w:r>
          </w:p>
        </w:tc>
        <w:tc>
          <w:tcPr>
            <w:tcW w:w="100" w:type="dxa"/>
            <w:vAlign w:val="bottom"/>
            <w:tcBorders>
              <w:bottom w:val="single" w:sz="8" w:color="auto"/>
            </w:tcBorders>
            <w:shd w:val="clear" w:color="auto" w:fill="CCEEFF"/>
          </w:tcPr>
          <w:p>
            <w:pPr>
              <w:spacing w:after="0"/>
              <w:rPr>
                <w:sz w:val="24"/>
                <w:szCs w:val="2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2.00 %</w:t>
            </w:r>
          </w:p>
        </w:tc>
        <w:tc>
          <w:tcPr>
            <w:tcW w:w="12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2.47 %</w:t>
            </w:r>
          </w:p>
        </w:tc>
        <w:tc>
          <w:tcPr>
            <w:tcW w:w="100" w:type="dxa"/>
            <w:vAlign w:val="bottom"/>
            <w:shd w:val="clear" w:color="auto" w:fill="CCEEFF"/>
          </w:tcPr>
          <w:p>
            <w:pPr>
              <w:spacing w:after="0"/>
              <w:rPr>
                <w:sz w:val="24"/>
                <w:szCs w:val="24"/>
                <w:color w:val="auto"/>
              </w:rPr>
            </w:pPr>
          </w:p>
        </w:tc>
        <w:tc>
          <w:tcPr>
            <w:tcW w:w="280" w:type="dxa"/>
            <w:vAlign w:val="bottom"/>
            <w:tcBorders>
              <w:bottom w:val="single" w:sz="8" w:color="auto"/>
            </w:tcBorders>
            <w:shd w:val="clear" w:color="auto" w:fill="CCEEFF"/>
          </w:tcPr>
          <w:p>
            <w:pPr>
              <w:spacing w:after="0"/>
              <w:rPr>
                <w:sz w:val="24"/>
                <w:szCs w:val="24"/>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2.60 %</w:t>
            </w:r>
          </w:p>
        </w:tc>
        <w:tc>
          <w:tcPr>
            <w:tcW w:w="120" w:type="dxa"/>
            <w:vAlign w:val="bottom"/>
            <w:shd w:val="clear" w:color="auto" w:fill="CCEEFF"/>
          </w:tcPr>
          <w:p>
            <w:pPr>
              <w:spacing w:after="0"/>
              <w:rPr>
                <w:sz w:val="24"/>
                <w:szCs w:val="24"/>
                <w:color w:val="auto"/>
              </w:rPr>
            </w:pPr>
          </w:p>
        </w:tc>
        <w:tc>
          <w:tcPr>
            <w:tcW w:w="100" w:type="dxa"/>
            <w:vAlign w:val="bottom"/>
            <w:tcBorders>
              <w:bottom w:val="single" w:sz="8" w:color="auto"/>
            </w:tcBorders>
            <w:shd w:val="clear" w:color="auto" w:fill="CCEEFF"/>
          </w:tcPr>
          <w:p>
            <w:pPr>
              <w:spacing w:after="0"/>
              <w:rPr>
                <w:sz w:val="24"/>
                <w:szCs w:val="2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2.32 %</w:t>
            </w:r>
          </w:p>
        </w:tc>
        <w:tc>
          <w:tcPr>
            <w:tcW w:w="120" w:type="dxa"/>
            <w:vAlign w:val="bottom"/>
            <w:shd w:val="clear" w:color="auto" w:fill="CCEEFF"/>
          </w:tcPr>
          <w:p>
            <w:pPr>
              <w:spacing w:after="0"/>
              <w:rPr>
                <w:sz w:val="24"/>
                <w:szCs w:val="24"/>
                <w:color w:val="auto"/>
              </w:rPr>
            </w:pPr>
          </w:p>
        </w:tc>
        <w:tc>
          <w:tcPr>
            <w:tcW w:w="100" w:type="dxa"/>
            <w:vAlign w:val="bottom"/>
            <w:tcBorders>
              <w:bottom w:val="single" w:sz="8" w:color="auto"/>
            </w:tcBorders>
            <w:shd w:val="clear" w:color="auto" w:fill="CCEEFF"/>
          </w:tcPr>
          <w:p>
            <w:pPr>
              <w:spacing w:after="0"/>
              <w:rPr>
                <w:sz w:val="24"/>
                <w:szCs w:val="2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2.05 %</w:t>
            </w:r>
          </w:p>
        </w:tc>
        <w:tc>
          <w:tcPr>
            <w:tcW w:w="0" w:type="dxa"/>
            <w:vAlign w:val="bottom"/>
          </w:tcPr>
          <w:p>
            <w:pPr>
              <w:spacing w:after="0"/>
              <w:rPr>
                <w:sz w:val="1"/>
                <w:szCs w:val="1"/>
                <w:color w:val="auto"/>
              </w:rPr>
            </w:pPr>
          </w:p>
        </w:tc>
      </w:tr>
      <w:tr>
        <w:trPr>
          <w:trHeight w:val="137"/>
        </w:trPr>
        <w:tc>
          <w:tcPr>
            <w:tcW w:w="4100" w:type="dxa"/>
            <w:vAlign w:val="bottom"/>
          </w:tcPr>
          <w:p>
            <w:pPr>
              <w:ind w:left="260"/>
              <w:spacing w:after="0" w:line="137" w:lineRule="exact"/>
              <w:rPr>
                <w:sz w:val="20"/>
                <w:szCs w:val="20"/>
                <w:color w:val="auto"/>
              </w:rPr>
            </w:pPr>
            <w:r>
              <w:rPr>
                <w:rFonts w:ascii="Arial" w:cs="Arial" w:eastAsia="Arial" w:hAnsi="Arial"/>
                <w:sz w:val="14"/>
                <w:szCs w:val="14"/>
                <w:color w:val="auto"/>
                <w:w w:val="93"/>
              </w:rPr>
              <w:t>Average cost of funds, before interest rate swap periodic (income)</w:t>
            </w:r>
          </w:p>
        </w:tc>
        <w:tc>
          <w:tcPr>
            <w:tcW w:w="1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4100" w:type="dxa"/>
            <w:vAlign w:val="bottom"/>
          </w:tcPr>
          <w:p>
            <w:pPr>
              <w:ind w:left="260"/>
              <w:spacing w:after="0"/>
              <w:rPr>
                <w:sz w:val="20"/>
                <w:szCs w:val="20"/>
                <w:color w:val="auto"/>
              </w:rPr>
            </w:pPr>
            <w:r>
              <w:rPr>
                <w:rFonts w:ascii="Arial" w:cs="Arial" w:eastAsia="Arial" w:hAnsi="Arial"/>
                <w:sz w:val="14"/>
                <w:szCs w:val="14"/>
                <w:color w:val="auto"/>
              </w:rPr>
              <w:t xml:space="preserve">cost </w:t>
            </w:r>
            <w:r>
              <w:rPr>
                <w:rFonts w:ascii="Arial" w:cs="Arial" w:eastAsia="Arial" w:hAnsi="Arial"/>
                <w:sz w:val="8"/>
                <w:szCs w:val="8"/>
                <w:color w:val="auto"/>
              </w:rPr>
              <w:t>8</w:t>
            </w: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2.43 %</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2.60 %</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2.64 %</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2.41 %</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2.18 %</w:t>
            </w:r>
          </w:p>
        </w:tc>
        <w:tc>
          <w:tcPr>
            <w:tcW w:w="0" w:type="dxa"/>
            <w:vAlign w:val="bottom"/>
          </w:tcPr>
          <w:p>
            <w:pPr>
              <w:spacing w:after="0"/>
              <w:rPr>
                <w:sz w:val="1"/>
                <w:szCs w:val="1"/>
                <w:color w:val="auto"/>
              </w:rPr>
            </w:pPr>
          </w:p>
        </w:tc>
      </w:tr>
      <w:tr>
        <w:trPr>
          <w:trHeight w:val="270"/>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rPr>
              <w:t xml:space="preserve">Interest rate swap periodic (income) cost of funds </w:t>
            </w:r>
            <w:r>
              <w:rPr>
                <w:rFonts w:ascii="Arial" w:cs="Arial" w:eastAsia="Arial" w:hAnsi="Arial"/>
                <w:sz w:val="8"/>
                <w:szCs w:val="8"/>
                <w:color w:val="auto"/>
              </w:rPr>
              <w:t>10</w:t>
            </w: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(0.58)%</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(0.36)%</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(0.37)%</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(0.32)%</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(0.30)%</w:t>
            </w:r>
          </w:p>
        </w:tc>
        <w:tc>
          <w:tcPr>
            <w:tcW w:w="0" w:type="dxa"/>
            <w:vAlign w:val="bottom"/>
          </w:tcPr>
          <w:p>
            <w:pPr>
              <w:spacing w:after="0"/>
              <w:rPr>
                <w:sz w:val="1"/>
                <w:szCs w:val="1"/>
                <w:color w:val="auto"/>
              </w:rPr>
            </w:pPr>
          </w:p>
        </w:tc>
      </w:tr>
      <w:tr>
        <w:trPr>
          <w:trHeight w:val="250"/>
        </w:trPr>
        <w:tc>
          <w:tcPr>
            <w:tcW w:w="410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Average total cost of funds</w:t>
            </w: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1.85 %</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2.24 %</w:t>
            </w:r>
          </w:p>
        </w:tc>
        <w:tc>
          <w:tcPr>
            <w:tcW w:w="10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2.27 %</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2.09 %</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1.88 %</w:t>
            </w:r>
          </w:p>
        </w:tc>
        <w:tc>
          <w:tcPr>
            <w:tcW w:w="0" w:type="dxa"/>
            <w:vAlign w:val="bottom"/>
          </w:tcPr>
          <w:p>
            <w:pPr>
              <w:spacing w:after="0"/>
              <w:rPr>
                <w:sz w:val="1"/>
                <w:szCs w:val="1"/>
                <w:color w:val="auto"/>
              </w:rPr>
            </w:pPr>
          </w:p>
        </w:tc>
      </w:tr>
      <w:tr>
        <w:trPr>
          <w:trHeight w:val="143"/>
        </w:trPr>
        <w:tc>
          <w:tcPr>
            <w:tcW w:w="4100" w:type="dxa"/>
            <w:vAlign w:val="bottom"/>
            <w:shd w:val="clear" w:color="auto" w:fill="CCEEFF"/>
          </w:tcPr>
          <w:p>
            <w:pPr>
              <w:ind w:left="160"/>
              <w:spacing w:after="0" w:line="143" w:lineRule="exact"/>
              <w:rPr>
                <w:sz w:val="20"/>
                <w:szCs w:val="20"/>
                <w:color w:val="auto"/>
              </w:rPr>
            </w:pPr>
            <w:r>
              <w:rPr>
                <w:rFonts w:ascii="Arial" w:cs="Arial" w:eastAsia="Arial" w:hAnsi="Arial"/>
                <w:sz w:val="14"/>
                <w:szCs w:val="14"/>
                <w:color w:val="auto"/>
              </w:rPr>
              <w:t>Average net interest spread, excluding "catch-up" premium</w:t>
            </w:r>
          </w:p>
        </w:tc>
        <w:tc>
          <w:tcPr>
            <w:tcW w:w="100" w:type="dxa"/>
            <w:vAlign w:val="bottom"/>
            <w:shd w:val="clear" w:color="auto" w:fill="CCEEFF"/>
          </w:tcPr>
          <w:p>
            <w:pPr>
              <w:spacing w:after="0"/>
              <w:rPr>
                <w:sz w:val="12"/>
                <w:szCs w:val="12"/>
                <w:color w:val="auto"/>
              </w:rPr>
            </w:pP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1.31 %</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1.00 %</w:t>
            </w: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1.06 %</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1.17 %</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1.30 %</w:t>
            </w:r>
          </w:p>
        </w:tc>
        <w:tc>
          <w:tcPr>
            <w:tcW w:w="0" w:type="dxa"/>
            <w:vAlign w:val="bottom"/>
          </w:tcPr>
          <w:p>
            <w:pPr>
              <w:spacing w:after="0"/>
              <w:rPr>
                <w:sz w:val="1"/>
                <w:szCs w:val="1"/>
                <w:color w:val="auto"/>
              </w:rPr>
            </w:pPr>
          </w:p>
        </w:tc>
      </w:tr>
      <w:tr>
        <w:trPr>
          <w:trHeight w:val="181"/>
        </w:trPr>
        <w:tc>
          <w:tcPr>
            <w:tcW w:w="41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4"/>
                <w:szCs w:val="14"/>
                <w:color w:val="auto"/>
              </w:rPr>
              <w:t>amortization</w:t>
            </w:r>
          </w:p>
        </w:tc>
        <w:tc>
          <w:tcPr>
            <w:tcW w:w="100" w:type="dxa"/>
            <w:vAlign w:val="bottom"/>
            <w:tcBorders>
              <w:bottom w:val="single" w:sz="8" w:color="auto"/>
            </w:tcBorders>
            <w:shd w:val="clear" w:color="auto" w:fill="CCEEFF"/>
          </w:tcPr>
          <w:p>
            <w:pPr>
              <w:spacing w:after="0"/>
              <w:rPr>
                <w:sz w:val="15"/>
                <w:szCs w:val="15"/>
                <w:color w:val="auto"/>
              </w:rPr>
            </w:pPr>
          </w:p>
        </w:tc>
        <w:tc>
          <w:tcPr>
            <w:tcW w:w="84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8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8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84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84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219"/>
          </w:cols>
          <w:pgMar w:left="240" w:top="147" w:right="1440" w:bottom="1440" w:gutter="0" w:footer="0" w:header="0"/>
        </w:sectPr>
      </w:pPr>
    </w:p>
    <w:bookmarkStart w:id="15" w:name="page16"/>
    <w:bookmarkEnd w:id="15"/>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13</w:t>
      </w:r>
    </w:p>
    <w:p>
      <w:pPr>
        <w:spacing w:after="0" w:line="383" w:lineRule="exact"/>
        <w:rPr>
          <w:sz w:val="20"/>
          <w:szCs w:val="20"/>
          <w:color w:val="auto"/>
        </w:rPr>
      </w:pPr>
    </w:p>
    <w:p>
      <w:pPr>
        <w:jc w:val="center"/>
        <w:ind w:right="959"/>
        <w:spacing w:after="0"/>
        <w:rPr>
          <w:sz w:val="20"/>
          <w:szCs w:val="20"/>
          <w:color w:val="auto"/>
        </w:rPr>
      </w:pPr>
      <w:r>
        <w:rPr>
          <w:rFonts w:ascii="Arial" w:cs="Arial" w:eastAsia="Arial" w:hAnsi="Arial"/>
          <w:sz w:val="14"/>
          <w:szCs w:val="14"/>
          <w:color w:val="auto"/>
        </w:rPr>
        <w:t>AGNC INVESTMENT CORP.</w:t>
      </w:r>
    </w:p>
    <w:p>
      <w:pPr>
        <w:spacing w:after="0" w:line="42" w:lineRule="exact"/>
        <w:rPr>
          <w:sz w:val="20"/>
          <w:szCs w:val="20"/>
          <w:color w:val="auto"/>
        </w:rPr>
      </w:pPr>
    </w:p>
    <w:p>
      <w:pPr>
        <w:jc w:val="center"/>
        <w:ind w:right="959"/>
        <w:spacing w:after="0"/>
        <w:rPr>
          <w:sz w:val="20"/>
          <w:szCs w:val="20"/>
          <w:color w:val="auto"/>
        </w:rPr>
      </w:pPr>
      <w:r>
        <w:rPr>
          <w:rFonts w:ascii="Arial" w:cs="Arial" w:eastAsia="Arial" w:hAnsi="Arial"/>
          <w:sz w:val="14"/>
          <w:szCs w:val="14"/>
          <w:color w:val="auto"/>
        </w:rPr>
        <w:t>KEY STATISTICS*</w:t>
      </w:r>
    </w:p>
    <w:p>
      <w:pPr>
        <w:spacing w:after="0" w:line="42" w:lineRule="exact"/>
        <w:rPr>
          <w:sz w:val="20"/>
          <w:szCs w:val="20"/>
          <w:color w:val="auto"/>
        </w:rPr>
      </w:pPr>
    </w:p>
    <w:p>
      <w:pPr>
        <w:jc w:val="center"/>
        <w:ind w:right="959"/>
        <w:spacing w:after="0"/>
        <w:rPr>
          <w:sz w:val="20"/>
          <w:szCs w:val="20"/>
          <w:color w:val="auto"/>
        </w:rPr>
      </w:pPr>
      <w:r>
        <w:rPr>
          <w:rFonts w:ascii="Arial" w:cs="Arial" w:eastAsia="Arial" w:hAnsi="Arial"/>
          <w:sz w:val="14"/>
          <w:szCs w:val="14"/>
          <w:color w:val="auto"/>
        </w:rPr>
        <w:t>(in millions, except per share data)</w:t>
      </w:r>
    </w:p>
    <w:p>
      <w:pPr>
        <w:spacing w:after="0" w:line="42" w:lineRule="exact"/>
        <w:rPr>
          <w:sz w:val="20"/>
          <w:szCs w:val="20"/>
          <w:color w:val="auto"/>
        </w:rPr>
      </w:pPr>
    </w:p>
    <w:p>
      <w:pPr>
        <w:jc w:val="center"/>
        <w:ind w:right="959"/>
        <w:spacing w:after="0"/>
        <w:rPr>
          <w:sz w:val="20"/>
          <w:szCs w:val="20"/>
          <w:color w:val="auto"/>
        </w:rPr>
      </w:pPr>
      <w:r>
        <w:rPr>
          <w:rFonts w:ascii="Arial" w:cs="Arial" w:eastAsia="Arial" w:hAnsi="Arial"/>
          <w:sz w:val="14"/>
          <w:szCs w:val="14"/>
          <w:color w:val="auto"/>
        </w:rPr>
        <w:t>(unaudited)</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37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color w:val="auto"/>
                <w:w w:val="91"/>
              </w:rPr>
              <w:t>Three Months Ended</w:t>
            </w:r>
          </w:p>
        </w:tc>
        <w:tc>
          <w:tcPr>
            <w:tcW w:w="2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37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Key Balance Sheet Statistics:</w:t>
            </w:r>
          </w:p>
        </w:tc>
        <w:tc>
          <w:tcPr>
            <w:tcW w:w="1140" w:type="dxa"/>
            <w:vAlign w:val="bottom"/>
            <w:gridSpan w:val="3"/>
          </w:tcPr>
          <w:p>
            <w:pPr>
              <w:ind w:left="100"/>
              <w:spacing w:after="0" w:line="157" w:lineRule="exact"/>
              <w:rPr>
                <w:sz w:val="20"/>
                <w:szCs w:val="20"/>
                <w:color w:val="auto"/>
              </w:rPr>
            </w:pPr>
            <w:r>
              <w:rPr>
                <w:rFonts w:ascii="Arial" w:cs="Arial" w:eastAsia="Arial" w:hAnsi="Arial"/>
                <w:sz w:val="14"/>
                <w:szCs w:val="14"/>
                <w:color w:val="auto"/>
              </w:rPr>
              <w:t>September 30,</w:t>
            </w:r>
          </w:p>
        </w:tc>
        <w:tc>
          <w:tcPr>
            <w:tcW w:w="200" w:type="dxa"/>
            <w:vAlign w:val="bottom"/>
          </w:tcPr>
          <w:p>
            <w:pPr>
              <w:spacing w:after="0"/>
              <w:rPr>
                <w:sz w:val="13"/>
                <w:szCs w:val="13"/>
                <w:color w:val="auto"/>
              </w:rPr>
            </w:pPr>
          </w:p>
        </w:tc>
        <w:tc>
          <w:tcPr>
            <w:tcW w:w="780" w:type="dxa"/>
            <w:vAlign w:val="bottom"/>
          </w:tcPr>
          <w:p>
            <w:pPr>
              <w:jc w:val="right"/>
              <w:ind w:right="88"/>
              <w:spacing w:after="0" w:line="157" w:lineRule="exact"/>
              <w:rPr>
                <w:sz w:val="20"/>
                <w:szCs w:val="20"/>
                <w:color w:val="auto"/>
              </w:rPr>
            </w:pPr>
            <w:r>
              <w:rPr>
                <w:rFonts w:ascii="Arial" w:cs="Arial" w:eastAsia="Arial" w:hAnsi="Arial"/>
                <w:sz w:val="14"/>
                <w:szCs w:val="14"/>
                <w:color w:val="auto"/>
              </w:rPr>
              <w:t>June 30,</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100" w:type="dxa"/>
            <w:vAlign w:val="bottom"/>
            <w:gridSpan w:val="3"/>
          </w:tcPr>
          <w:p>
            <w:pPr>
              <w:ind w:left="80"/>
              <w:spacing w:after="0" w:line="157" w:lineRule="exact"/>
              <w:rPr>
                <w:sz w:val="20"/>
                <w:szCs w:val="20"/>
                <w:color w:val="auto"/>
              </w:rPr>
            </w:pPr>
            <w:r>
              <w:rPr>
                <w:rFonts w:ascii="Arial" w:cs="Arial" w:eastAsia="Arial" w:hAnsi="Arial"/>
                <w:sz w:val="14"/>
                <w:szCs w:val="14"/>
                <w:color w:val="auto"/>
              </w:rPr>
              <w:t>December 31,</w:t>
            </w:r>
          </w:p>
        </w:tc>
        <w:tc>
          <w:tcPr>
            <w:tcW w:w="1000" w:type="dxa"/>
            <w:vAlign w:val="bottom"/>
            <w:gridSpan w:val="2"/>
          </w:tcPr>
          <w:p>
            <w:pPr>
              <w:jc w:val="right"/>
              <w:ind w:right="8"/>
              <w:spacing w:after="0" w:line="157" w:lineRule="exact"/>
              <w:rPr>
                <w:sz w:val="20"/>
                <w:szCs w:val="20"/>
                <w:color w:val="auto"/>
              </w:rPr>
            </w:pPr>
            <w:r>
              <w:rPr>
                <w:rFonts w:ascii="Arial" w:cs="Arial" w:eastAsia="Arial" w:hAnsi="Arial"/>
                <w:sz w:val="14"/>
                <w:szCs w:val="14"/>
                <w:color w:val="auto"/>
                <w:w w:val="97"/>
              </w:rPr>
              <w:t>September 30,</w:t>
            </w:r>
          </w:p>
        </w:tc>
        <w:tc>
          <w:tcPr>
            <w:tcW w:w="0" w:type="dxa"/>
            <w:vAlign w:val="bottom"/>
          </w:tcPr>
          <w:p>
            <w:pPr>
              <w:spacing w:after="0"/>
              <w:rPr>
                <w:sz w:val="1"/>
                <w:szCs w:val="1"/>
                <w:color w:val="auto"/>
              </w:rPr>
            </w:pPr>
          </w:p>
        </w:tc>
      </w:tr>
      <w:tr>
        <w:trPr>
          <w:trHeight w:val="188"/>
        </w:trPr>
        <w:tc>
          <w:tcPr>
            <w:tcW w:w="3780" w:type="dxa"/>
            <w:vAlign w:val="bottom"/>
            <w:vMerge w:val="continue"/>
          </w:tcPr>
          <w:p>
            <w:pPr>
              <w:spacing w:after="0"/>
              <w:rPr>
                <w:sz w:val="16"/>
                <w:szCs w:val="16"/>
                <w:color w:val="auto"/>
              </w:rPr>
            </w:pPr>
          </w:p>
        </w:tc>
        <w:tc>
          <w:tcPr>
            <w:tcW w:w="220" w:type="dxa"/>
            <w:vAlign w:val="bottom"/>
          </w:tcPr>
          <w:p>
            <w:pPr>
              <w:spacing w:after="0"/>
              <w:rPr>
                <w:sz w:val="16"/>
                <w:szCs w:val="16"/>
                <w:color w:val="auto"/>
              </w:rPr>
            </w:pPr>
          </w:p>
        </w:tc>
        <w:tc>
          <w:tcPr>
            <w:tcW w:w="800" w:type="dxa"/>
            <w:vAlign w:val="bottom"/>
          </w:tcPr>
          <w:p>
            <w:pPr>
              <w:jc w:val="center"/>
              <w:ind w:right="128"/>
              <w:spacing w:after="0"/>
              <w:rPr>
                <w:sz w:val="20"/>
                <w:szCs w:val="20"/>
                <w:color w:val="auto"/>
              </w:rPr>
            </w:pPr>
            <w:r>
              <w:rPr>
                <w:rFonts w:ascii="Arial" w:cs="Arial" w:eastAsia="Arial" w:hAnsi="Arial"/>
                <w:sz w:val="14"/>
                <w:szCs w:val="14"/>
                <w:color w:val="auto"/>
                <w:w w:val="89"/>
              </w:rPr>
              <w:t>2019</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80" w:type="dxa"/>
            <w:vAlign w:val="bottom"/>
          </w:tcPr>
          <w:p>
            <w:pPr>
              <w:jc w:val="right"/>
              <w:ind w:right="188"/>
              <w:spacing w:after="0"/>
              <w:rPr>
                <w:sz w:val="20"/>
                <w:szCs w:val="20"/>
                <w:color w:val="auto"/>
              </w:rPr>
            </w:pPr>
            <w:r>
              <w:rPr>
                <w:rFonts w:ascii="Arial" w:cs="Arial" w:eastAsia="Arial" w:hAnsi="Arial"/>
                <w:sz w:val="14"/>
                <w:szCs w:val="14"/>
                <w:color w:val="auto"/>
              </w:rPr>
              <w:t>2019</w:t>
            </w:r>
          </w:p>
        </w:tc>
        <w:tc>
          <w:tcPr>
            <w:tcW w:w="120" w:type="dxa"/>
            <w:vAlign w:val="bottom"/>
          </w:tcPr>
          <w:p>
            <w:pPr>
              <w:spacing w:after="0"/>
              <w:rPr>
                <w:sz w:val="16"/>
                <w:szCs w:val="16"/>
                <w:color w:val="auto"/>
              </w:rPr>
            </w:pPr>
          </w:p>
        </w:tc>
        <w:tc>
          <w:tcPr>
            <w:tcW w:w="1120" w:type="dxa"/>
            <w:vAlign w:val="bottom"/>
            <w:gridSpan w:val="4"/>
          </w:tcPr>
          <w:p>
            <w:pPr>
              <w:ind w:left="40"/>
              <w:spacing w:after="0"/>
              <w:rPr>
                <w:sz w:val="20"/>
                <w:szCs w:val="20"/>
                <w:color w:val="auto"/>
              </w:rPr>
            </w:pPr>
            <w:r>
              <w:rPr>
                <w:rFonts w:ascii="Arial" w:cs="Arial" w:eastAsia="Arial" w:hAnsi="Arial"/>
                <w:sz w:val="14"/>
                <w:szCs w:val="14"/>
                <w:color w:val="auto"/>
              </w:rPr>
              <w:t>March 31, 2019</w:t>
            </w:r>
          </w:p>
        </w:tc>
        <w:tc>
          <w:tcPr>
            <w:tcW w:w="220" w:type="dxa"/>
            <w:vAlign w:val="bottom"/>
          </w:tcPr>
          <w:p>
            <w:pPr>
              <w:spacing w:after="0"/>
              <w:rPr>
                <w:sz w:val="16"/>
                <w:szCs w:val="16"/>
                <w:color w:val="auto"/>
              </w:rPr>
            </w:pPr>
          </w:p>
        </w:tc>
        <w:tc>
          <w:tcPr>
            <w:tcW w:w="760" w:type="dxa"/>
            <w:vAlign w:val="bottom"/>
          </w:tcPr>
          <w:p>
            <w:pPr>
              <w:jc w:val="right"/>
              <w:ind w:right="288"/>
              <w:spacing w:after="0"/>
              <w:rPr>
                <w:sz w:val="20"/>
                <w:szCs w:val="20"/>
                <w:color w:val="auto"/>
              </w:rPr>
            </w:pPr>
            <w:r>
              <w:rPr>
                <w:rFonts w:ascii="Arial" w:cs="Arial" w:eastAsia="Arial" w:hAnsi="Arial"/>
                <w:sz w:val="14"/>
                <w:szCs w:val="14"/>
                <w:color w:val="auto"/>
              </w:rPr>
              <w:t>2018</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ind w:right="288"/>
              <w:spacing w:after="0"/>
              <w:rPr>
                <w:sz w:val="20"/>
                <w:szCs w:val="20"/>
                <w:color w:val="auto"/>
              </w:rPr>
            </w:pPr>
            <w:r>
              <w:rPr>
                <w:rFonts w:ascii="Arial" w:cs="Arial" w:eastAsia="Arial" w:hAnsi="Arial"/>
                <w:sz w:val="14"/>
                <w:szCs w:val="14"/>
                <w:color w:val="auto"/>
              </w:rPr>
              <w:t>2018</w:t>
            </w:r>
          </w:p>
        </w:tc>
        <w:tc>
          <w:tcPr>
            <w:tcW w:w="0" w:type="dxa"/>
            <w:vAlign w:val="bottom"/>
          </w:tcPr>
          <w:p>
            <w:pPr>
              <w:spacing w:after="0"/>
              <w:rPr>
                <w:sz w:val="1"/>
                <w:szCs w:val="1"/>
                <w:color w:val="auto"/>
              </w:rPr>
            </w:pPr>
          </w:p>
        </w:tc>
      </w:tr>
      <w:tr>
        <w:trPr>
          <w:trHeight w:val="270"/>
        </w:trPr>
        <w:tc>
          <w:tcPr>
            <w:tcW w:w="37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 xml:space="preserve">Investment securities: </w:t>
            </w:r>
            <w:r>
              <w:rPr>
                <w:rFonts w:ascii="Arial" w:cs="Arial" w:eastAsia="Arial" w:hAnsi="Arial"/>
                <w:sz w:val="8"/>
                <w:szCs w:val="8"/>
                <w:color w:val="auto"/>
              </w:rPr>
              <w:t>12</w:t>
            </w:r>
          </w:p>
        </w:tc>
        <w:tc>
          <w:tcPr>
            <w:tcW w:w="220" w:type="dxa"/>
            <w:vAlign w:val="bottom"/>
            <w:tcBorders>
              <w:top w:val="single" w:sz="8" w:color="auto"/>
            </w:tcBorders>
            <w:shd w:val="clear" w:color="auto" w:fill="CCEEFF"/>
          </w:tcPr>
          <w:p>
            <w:pPr>
              <w:spacing w:after="0"/>
              <w:rPr>
                <w:sz w:val="23"/>
                <w:szCs w:val="23"/>
                <w:color w:val="auto"/>
              </w:rPr>
            </w:pPr>
          </w:p>
        </w:tc>
        <w:tc>
          <w:tcPr>
            <w:tcW w:w="80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7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20" w:type="dxa"/>
            <w:vAlign w:val="bottom"/>
            <w:tcBorders>
              <w:top w:val="single" w:sz="8" w:color="auto"/>
            </w:tcBorders>
            <w:shd w:val="clear" w:color="auto" w:fill="CCEEFF"/>
          </w:tcPr>
          <w:p>
            <w:pPr>
              <w:spacing w:after="0"/>
              <w:rPr>
                <w:sz w:val="23"/>
                <w:szCs w:val="23"/>
                <w:color w:val="auto"/>
              </w:rPr>
            </w:pPr>
          </w:p>
        </w:tc>
        <w:tc>
          <w:tcPr>
            <w:tcW w:w="78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 w:type="dxa"/>
            <w:vAlign w:val="bottom"/>
            <w:tcBorders>
              <w:top w:val="single" w:sz="8" w:color="auto"/>
            </w:tcBorders>
            <w:shd w:val="clear" w:color="auto" w:fill="CCEEFF"/>
          </w:tcPr>
          <w:p>
            <w:pPr>
              <w:spacing w:after="0"/>
              <w:rPr>
                <w:sz w:val="23"/>
                <w:szCs w:val="23"/>
                <w:color w:val="auto"/>
              </w:rPr>
            </w:pPr>
          </w:p>
        </w:tc>
        <w:tc>
          <w:tcPr>
            <w:tcW w:w="220" w:type="dxa"/>
            <w:vAlign w:val="bottom"/>
            <w:tcBorders>
              <w:top w:val="single" w:sz="8" w:color="auto"/>
            </w:tcBorders>
            <w:shd w:val="clear" w:color="auto" w:fill="CCEEFF"/>
          </w:tcPr>
          <w:p>
            <w:pPr>
              <w:spacing w:after="0"/>
              <w:rPr>
                <w:sz w:val="23"/>
                <w:szCs w:val="23"/>
                <w:color w:val="auto"/>
              </w:rPr>
            </w:pPr>
          </w:p>
        </w:tc>
        <w:tc>
          <w:tcPr>
            <w:tcW w:w="7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20" w:type="dxa"/>
            <w:vAlign w:val="bottom"/>
            <w:tcBorders>
              <w:top w:val="single" w:sz="8" w:color="auto"/>
            </w:tcBorders>
            <w:shd w:val="clear" w:color="auto" w:fill="CCEEFF"/>
          </w:tcPr>
          <w:p>
            <w:pPr>
              <w:spacing w:after="0"/>
              <w:rPr>
                <w:sz w:val="23"/>
                <w:szCs w:val="23"/>
                <w:color w:val="auto"/>
              </w:rPr>
            </w:pPr>
          </w:p>
        </w:tc>
        <w:tc>
          <w:tcPr>
            <w:tcW w:w="78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780" w:type="dxa"/>
            <w:vAlign w:val="bottom"/>
          </w:tcPr>
          <w:p>
            <w:pPr>
              <w:ind w:left="200"/>
              <w:spacing w:after="0"/>
              <w:rPr>
                <w:sz w:val="20"/>
                <w:szCs w:val="20"/>
                <w:color w:val="auto"/>
              </w:rPr>
            </w:pPr>
            <w:r>
              <w:rPr>
                <w:rFonts w:ascii="Arial" w:cs="Arial" w:eastAsia="Arial" w:hAnsi="Arial"/>
                <w:sz w:val="14"/>
                <w:szCs w:val="14"/>
                <w:color w:val="auto"/>
              </w:rPr>
              <w:t>Fixed-rate Agency MBS, at fair value - as of period end</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28"/>
              <w:spacing w:after="0"/>
              <w:rPr>
                <w:sz w:val="20"/>
                <w:szCs w:val="20"/>
                <w:color w:val="auto"/>
              </w:rPr>
            </w:pPr>
            <w:r>
              <w:rPr>
                <w:rFonts w:ascii="Arial" w:cs="Arial" w:eastAsia="Arial" w:hAnsi="Arial"/>
                <w:sz w:val="14"/>
                <w:szCs w:val="14"/>
                <w:color w:val="auto"/>
              </w:rPr>
              <w:t>98,090</w:t>
            </w:r>
          </w:p>
        </w:tc>
        <w:tc>
          <w:tcPr>
            <w:tcW w:w="120" w:type="dxa"/>
            <w:vAlign w:val="bottom"/>
          </w:tcPr>
          <w:p>
            <w:pPr>
              <w:spacing w:after="0"/>
              <w:rPr>
                <w:sz w:val="22"/>
                <w:szCs w:val="22"/>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90,627</w:t>
            </w:r>
          </w:p>
        </w:tc>
        <w:tc>
          <w:tcPr>
            <w:tcW w:w="3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92,502</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81,753</w:t>
            </w:r>
          </w:p>
        </w:tc>
        <w:tc>
          <w:tcPr>
            <w:tcW w:w="12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69,844</w:t>
            </w: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Other Agency MBS, at fair value - as of period end</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880</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924</w:t>
            </w:r>
          </w:p>
        </w:tc>
        <w:tc>
          <w:tcPr>
            <w:tcW w:w="34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967</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974</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1,017</w:t>
            </w:r>
          </w:p>
        </w:tc>
        <w:tc>
          <w:tcPr>
            <w:tcW w:w="0" w:type="dxa"/>
            <w:vAlign w:val="bottom"/>
          </w:tcPr>
          <w:p>
            <w:pPr>
              <w:spacing w:after="0"/>
              <w:rPr>
                <w:sz w:val="1"/>
                <w:szCs w:val="1"/>
                <w:color w:val="auto"/>
              </w:rPr>
            </w:pPr>
          </w:p>
        </w:tc>
      </w:tr>
      <w:tr>
        <w:trPr>
          <w:trHeight w:val="264"/>
        </w:trPr>
        <w:tc>
          <w:tcPr>
            <w:tcW w:w="3780" w:type="dxa"/>
            <w:vAlign w:val="bottom"/>
          </w:tcPr>
          <w:p>
            <w:pPr>
              <w:ind w:left="200"/>
              <w:spacing w:after="0"/>
              <w:rPr>
                <w:sz w:val="20"/>
                <w:szCs w:val="20"/>
                <w:color w:val="auto"/>
              </w:rPr>
            </w:pPr>
            <w:r>
              <w:rPr>
                <w:rFonts w:ascii="Arial" w:cs="Arial" w:eastAsia="Arial" w:hAnsi="Arial"/>
                <w:sz w:val="14"/>
                <w:szCs w:val="14"/>
                <w:color w:val="auto"/>
                <w:w w:val="96"/>
              </w:rPr>
              <w:t>Credit risk transfer securities, at fair value - as of period end</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28"/>
              <w:spacing w:after="0"/>
              <w:rPr>
                <w:sz w:val="20"/>
                <w:szCs w:val="20"/>
                <w:color w:val="auto"/>
              </w:rPr>
            </w:pPr>
            <w:r>
              <w:rPr>
                <w:rFonts w:ascii="Arial" w:cs="Arial" w:eastAsia="Arial" w:hAnsi="Arial"/>
                <w:sz w:val="14"/>
                <w:szCs w:val="14"/>
                <w:color w:val="auto"/>
              </w:rPr>
              <w:t>1,134</w:t>
            </w:r>
          </w:p>
        </w:tc>
        <w:tc>
          <w:tcPr>
            <w:tcW w:w="120" w:type="dxa"/>
            <w:vAlign w:val="bottom"/>
          </w:tcPr>
          <w:p>
            <w:pPr>
              <w:spacing w:after="0"/>
              <w:rPr>
                <w:sz w:val="22"/>
                <w:szCs w:val="22"/>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1,117</w:t>
            </w:r>
          </w:p>
        </w:tc>
        <w:tc>
          <w:tcPr>
            <w:tcW w:w="3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1,129</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1,012</w:t>
            </w:r>
          </w:p>
        </w:tc>
        <w:tc>
          <w:tcPr>
            <w:tcW w:w="12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997</w:t>
            </w: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Non-Agency MBS, at fair value - as of period end</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579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603</w:t>
            </w:r>
          </w:p>
        </w:tc>
        <w:tc>
          <w:tcPr>
            <w:tcW w:w="34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672</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548</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507</w:t>
            </w:r>
          </w:p>
        </w:tc>
        <w:tc>
          <w:tcPr>
            <w:tcW w:w="0" w:type="dxa"/>
            <w:vAlign w:val="bottom"/>
          </w:tcPr>
          <w:p>
            <w:pPr>
              <w:spacing w:after="0"/>
              <w:rPr>
                <w:sz w:val="1"/>
                <w:szCs w:val="1"/>
                <w:color w:val="auto"/>
              </w:rPr>
            </w:pPr>
          </w:p>
        </w:tc>
      </w:tr>
      <w:tr>
        <w:trPr>
          <w:trHeight w:val="264"/>
        </w:trPr>
        <w:tc>
          <w:tcPr>
            <w:tcW w:w="3780" w:type="dxa"/>
            <w:vAlign w:val="bottom"/>
          </w:tcPr>
          <w:p>
            <w:pPr>
              <w:ind w:left="200"/>
              <w:spacing w:after="0"/>
              <w:rPr>
                <w:sz w:val="20"/>
                <w:szCs w:val="20"/>
                <w:color w:val="auto"/>
              </w:rPr>
            </w:pPr>
            <w:r>
              <w:rPr>
                <w:rFonts w:ascii="Arial" w:cs="Arial" w:eastAsia="Arial" w:hAnsi="Arial"/>
                <w:sz w:val="14"/>
                <w:szCs w:val="14"/>
                <w:color w:val="auto"/>
                <w:w w:val="99"/>
              </w:rPr>
              <w:t>Total investment securities, at fair value - as of period end</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28"/>
              <w:spacing w:after="0"/>
              <w:rPr>
                <w:sz w:val="20"/>
                <w:szCs w:val="20"/>
                <w:color w:val="auto"/>
              </w:rPr>
            </w:pPr>
            <w:r>
              <w:rPr>
                <w:rFonts w:ascii="Arial" w:cs="Arial" w:eastAsia="Arial" w:hAnsi="Arial"/>
                <w:sz w:val="14"/>
                <w:szCs w:val="14"/>
                <w:color w:val="auto"/>
              </w:rPr>
              <w:t>100,683</w:t>
            </w:r>
          </w:p>
        </w:tc>
        <w:tc>
          <w:tcPr>
            <w:tcW w:w="120" w:type="dxa"/>
            <w:vAlign w:val="bottom"/>
          </w:tcPr>
          <w:p>
            <w:pPr>
              <w:spacing w:after="0"/>
              <w:rPr>
                <w:sz w:val="22"/>
                <w:szCs w:val="22"/>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93,271</w:t>
            </w:r>
          </w:p>
        </w:tc>
        <w:tc>
          <w:tcPr>
            <w:tcW w:w="3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95,270</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84,287</w:t>
            </w:r>
          </w:p>
        </w:tc>
        <w:tc>
          <w:tcPr>
            <w:tcW w:w="12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72,365</w:t>
            </w: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Total investment securities, at cost - as of period end</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98,763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91,953</w:t>
            </w:r>
          </w:p>
        </w:tc>
        <w:tc>
          <w:tcPr>
            <w:tcW w:w="34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95,090</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85,569</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74,691</w:t>
            </w:r>
          </w:p>
        </w:tc>
        <w:tc>
          <w:tcPr>
            <w:tcW w:w="0" w:type="dxa"/>
            <w:vAlign w:val="bottom"/>
          </w:tcPr>
          <w:p>
            <w:pPr>
              <w:spacing w:after="0"/>
              <w:rPr>
                <w:sz w:val="1"/>
                <w:szCs w:val="1"/>
                <w:color w:val="auto"/>
              </w:rPr>
            </w:pPr>
          </w:p>
        </w:tc>
      </w:tr>
      <w:tr>
        <w:trPr>
          <w:trHeight w:val="264"/>
        </w:trPr>
        <w:tc>
          <w:tcPr>
            <w:tcW w:w="3780" w:type="dxa"/>
            <w:vAlign w:val="bottom"/>
          </w:tcPr>
          <w:p>
            <w:pPr>
              <w:ind w:left="200"/>
              <w:spacing w:after="0"/>
              <w:rPr>
                <w:sz w:val="20"/>
                <w:szCs w:val="20"/>
                <w:color w:val="auto"/>
              </w:rPr>
            </w:pPr>
            <w:r>
              <w:rPr>
                <w:rFonts w:ascii="Arial" w:cs="Arial" w:eastAsia="Arial" w:hAnsi="Arial"/>
                <w:sz w:val="14"/>
                <w:szCs w:val="14"/>
                <w:color w:val="auto"/>
              </w:rPr>
              <w:t>Total investment securities, at par - as of period end</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28"/>
              <w:spacing w:after="0"/>
              <w:rPr>
                <w:sz w:val="20"/>
                <w:szCs w:val="20"/>
                <w:color w:val="auto"/>
              </w:rPr>
            </w:pPr>
            <w:r>
              <w:rPr>
                <w:rFonts w:ascii="Arial" w:cs="Arial" w:eastAsia="Arial" w:hAnsi="Arial"/>
                <w:sz w:val="14"/>
                <w:szCs w:val="14"/>
                <w:color w:val="auto"/>
              </w:rPr>
              <w:t>95,629</w:t>
            </w:r>
          </w:p>
        </w:tc>
        <w:tc>
          <w:tcPr>
            <w:tcW w:w="120" w:type="dxa"/>
            <w:vAlign w:val="bottom"/>
          </w:tcPr>
          <w:p>
            <w:pPr>
              <w:spacing w:after="0"/>
              <w:rPr>
                <w:sz w:val="22"/>
                <w:szCs w:val="22"/>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88,880</w:t>
            </w:r>
          </w:p>
        </w:tc>
        <w:tc>
          <w:tcPr>
            <w:tcW w:w="3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92,091</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82,693</w:t>
            </w:r>
          </w:p>
        </w:tc>
        <w:tc>
          <w:tcPr>
            <w:tcW w:w="12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71,844</w:t>
            </w: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Average investment securities, at cost</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92,764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92,610</w:t>
            </w:r>
          </w:p>
        </w:tc>
        <w:tc>
          <w:tcPr>
            <w:tcW w:w="34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89,952</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77,182</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64,346</w:t>
            </w:r>
          </w:p>
        </w:tc>
        <w:tc>
          <w:tcPr>
            <w:tcW w:w="0" w:type="dxa"/>
            <w:vAlign w:val="bottom"/>
          </w:tcPr>
          <w:p>
            <w:pPr>
              <w:spacing w:after="0"/>
              <w:rPr>
                <w:sz w:val="1"/>
                <w:szCs w:val="1"/>
                <w:color w:val="auto"/>
              </w:rPr>
            </w:pPr>
          </w:p>
        </w:tc>
      </w:tr>
      <w:tr>
        <w:trPr>
          <w:trHeight w:val="264"/>
        </w:trPr>
        <w:tc>
          <w:tcPr>
            <w:tcW w:w="3780" w:type="dxa"/>
            <w:vAlign w:val="bottom"/>
          </w:tcPr>
          <w:p>
            <w:pPr>
              <w:ind w:left="200"/>
              <w:spacing w:after="0"/>
              <w:rPr>
                <w:sz w:val="20"/>
                <w:szCs w:val="20"/>
                <w:color w:val="auto"/>
              </w:rPr>
            </w:pPr>
            <w:r>
              <w:rPr>
                <w:rFonts w:ascii="Arial" w:cs="Arial" w:eastAsia="Arial" w:hAnsi="Arial"/>
                <w:sz w:val="14"/>
                <w:szCs w:val="14"/>
                <w:color w:val="auto"/>
              </w:rPr>
              <w:t>Average investment securities, at par</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28"/>
              <w:spacing w:after="0"/>
              <w:rPr>
                <w:sz w:val="20"/>
                <w:szCs w:val="20"/>
                <w:color w:val="auto"/>
              </w:rPr>
            </w:pPr>
            <w:r>
              <w:rPr>
                <w:rFonts w:ascii="Arial" w:cs="Arial" w:eastAsia="Arial" w:hAnsi="Arial"/>
                <w:sz w:val="14"/>
                <w:szCs w:val="14"/>
                <w:color w:val="auto"/>
              </w:rPr>
              <w:t>89,741</w:t>
            </w:r>
          </w:p>
        </w:tc>
        <w:tc>
          <w:tcPr>
            <w:tcW w:w="120" w:type="dxa"/>
            <w:vAlign w:val="bottom"/>
          </w:tcPr>
          <w:p>
            <w:pPr>
              <w:spacing w:after="0"/>
              <w:rPr>
                <w:sz w:val="22"/>
                <w:szCs w:val="22"/>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89,586</w:t>
            </w:r>
          </w:p>
        </w:tc>
        <w:tc>
          <w:tcPr>
            <w:tcW w:w="3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87,021</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74,395</w:t>
            </w:r>
          </w:p>
        </w:tc>
        <w:tc>
          <w:tcPr>
            <w:tcW w:w="12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61,696</w:t>
            </w: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40"/>
              <w:spacing w:after="0"/>
              <w:rPr>
                <w:sz w:val="20"/>
                <w:szCs w:val="20"/>
                <w:color w:val="auto"/>
              </w:rPr>
            </w:pPr>
            <w:r>
              <w:rPr>
                <w:rFonts w:ascii="Arial" w:cs="Arial" w:eastAsia="Arial" w:hAnsi="Arial"/>
                <w:sz w:val="14"/>
                <w:szCs w:val="14"/>
                <w:color w:val="auto"/>
              </w:rPr>
              <w:t>TBA securities:</w:t>
            </w: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780" w:type="dxa"/>
            <w:vAlign w:val="bottom"/>
          </w:tcPr>
          <w:p>
            <w:pPr>
              <w:ind w:left="200"/>
              <w:spacing w:after="0"/>
              <w:rPr>
                <w:sz w:val="20"/>
                <w:szCs w:val="20"/>
                <w:color w:val="auto"/>
              </w:rPr>
            </w:pPr>
            <w:r>
              <w:rPr>
                <w:rFonts w:ascii="Arial" w:cs="Arial" w:eastAsia="Arial" w:hAnsi="Arial"/>
                <w:sz w:val="14"/>
                <w:szCs w:val="14"/>
                <w:color w:val="auto"/>
              </w:rPr>
              <w:t>Net TBA portfolio - as of period end, at fair value</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28"/>
              <w:spacing w:after="0"/>
              <w:rPr>
                <w:sz w:val="20"/>
                <w:szCs w:val="20"/>
                <w:color w:val="auto"/>
              </w:rPr>
            </w:pPr>
            <w:r>
              <w:rPr>
                <w:rFonts w:ascii="Arial" w:cs="Arial" w:eastAsia="Arial" w:hAnsi="Arial"/>
                <w:sz w:val="14"/>
                <w:szCs w:val="14"/>
                <w:color w:val="auto"/>
              </w:rPr>
              <w:t>1,867</w:t>
            </w:r>
          </w:p>
        </w:tc>
        <w:tc>
          <w:tcPr>
            <w:tcW w:w="120" w:type="dxa"/>
            <w:vAlign w:val="bottom"/>
          </w:tcPr>
          <w:p>
            <w:pPr>
              <w:spacing w:after="0"/>
              <w:rPr>
                <w:sz w:val="22"/>
                <w:szCs w:val="22"/>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11,170</w:t>
            </w:r>
          </w:p>
        </w:tc>
        <w:tc>
          <w:tcPr>
            <w:tcW w:w="3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6,955</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7,322</w:t>
            </w:r>
          </w:p>
        </w:tc>
        <w:tc>
          <w:tcPr>
            <w:tcW w:w="12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9,393</w:t>
            </w: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Net TBA portfolio - as of period end, at cost</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1,820</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11,086</w:t>
            </w:r>
          </w:p>
        </w:tc>
        <w:tc>
          <w:tcPr>
            <w:tcW w:w="34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6,885</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7,252</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9,436</w:t>
            </w:r>
          </w:p>
        </w:tc>
        <w:tc>
          <w:tcPr>
            <w:tcW w:w="0" w:type="dxa"/>
            <w:vAlign w:val="bottom"/>
          </w:tcPr>
          <w:p>
            <w:pPr>
              <w:spacing w:after="0"/>
              <w:rPr>
                <w:sz w:val="1"/>
                <w:szCs w:val="1"/>
                <w:color w:val="auto"/>
              </w:rPr>
            </w:pPr>
          </w:p>
        </w:tc>
      </w:tr>
      <w:tr>
        <w:trPr>
          <w:trHeight w:val="264"/>
        </w:trPr>
        <w:tc>
          <w:tcPr>
            <w:tcW w:w="3780" w:type="dxa"/>
            <w:vAlign w:val="bottom"/>
          </w:tcPr>
          <w:p>
            <w:pPr>
              <w:ind w:left="200"/>
              <w:spacing w:after="0"/>
              <w:rPr>
                <w:sz w:val="20"/>
                <w:szCs w:val="20"/>
                <w:color w:val="auto"/>
              </w:rPr>
            </w:pPr>
            <w:r>
              <w:rPr>
                <w:rFonts w:ascii="Arial" w:cs="Arial" w:eastAsia="Arial" w:hAnsi="Arial"/>
                <w:sz w:val="14"/>
                <w:szCs w:val="14"/>
                <w:color w:val="auto"/>
              </w:rPr>
              <w:t>Net TBA portfolio - as of period end, carrying value</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28"/>
              <w:spacing w:after="0"/>
              <w:rPr>
                <w:sz w:val="20"/>
                <w:szCs w:val="20"/>
                <w:color w:val="auto"/>
              </w:rPr>
            </w:pPr>
            <w:r>
              <w:rPr>
                <w:rFonts w:ascii="Arial" w:cs="Arial" w:eastAsia="Arial" w:hAnsi="Arial"/>
                <w:sz w:val="14"/>
                <w:szCs w:val="14"/>
                <w:color w:val="auto"/>
              </w:rPr>
              <w:t>47</w:t>
            </w:r>
          </w:p>
        </w:tc>
        <w:tc>
          <w:tcPr>
            <w:tcW w:w="120" w:type="dxa"/>
            <w:vAlign w:val="bottom"/>
          </w:tcPr>
          <w:p>
            <w:pPr>
              <w:spacing w:after="0"/>
              <w:rPr>
                <w:sz w:val="22"/>
                <w:szCs w:val="22"/>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84</w:t>
            </w:r>
          </w:p>
        </w:tc>
        <w:tc>
          <w:tcPr>
            <w:tcW w:w="3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70</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70</w:t>
            </w:r>
          </w:p>
        </w:tc>
        <w:tc>
          <w:tcPr>
            <w:tcW w:w="12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68"/>
              <w:spacing w:after="0"/>
              <w:rPr>
                <w:sz w:val="20"/>
                <w:szCs w:val="20"/>
                <w:color w:val="auto"/>
              </w:rPr>
            </w:pPr>
            <w:r>
              <w:rPr>
                <w:rFonts w:ascii="Arial" w:cs="Arial" w:eastAsia="Arial" w:hAnsi="Arial"/>
                <w:sz w:val="14"/>
                <w:szCs w:val="14"/>
                <w:color w:val="auto"/>
              </w:rPr>
              <w:t>(43)</w:t>
            </w: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Average net TBA portfolio, at cost</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10,146</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11,864</w:t>
            </w:r>
          </w:p>
        </w:tc>
        <w:tc>
          <w:tcPr>
            <w:tcW w:w="34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8,002</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8,066</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18,270</w:t>
            </w:r>
          </w:p>
        </w:tc>
        <w:tc>
          <w:tcPr>
            <w:tcW w:w="0" w:type="dxa"/>
            <w:vAlign w:val="bottom"/>
          </w:tcPr>
          <w:p>
            <w:pPr>
              <w:spacing w:after="0"/>
              <w:rPr>
                <w:sz w:val="1"/>
                <w:szCs w:val="1"/>
                <w:color w:val="auto"/>
              </w:rPr>
            </w:pPr>
          </w:p>
        </w:tc>
      </w:tr>
      <w:tr>
        <w:trPr>
          <w:trHeight w:val="264"/>
        </w:trPr>
        <w:tc>
          <w:tcPr>
            <w:tcW w:w="3780" w:type="dxa"/>
            <w:vAlign w:val="bottom"/>
          </w:tcPr>
          <w:p>
            <w:pPr>
              <w:ind w:left="40"/>
              <w:spacing w:after="0"/>
              <w:rPr>
                <w:sz w:val="20"/>
                <w:szCs w:val="20"/>
                <w:color w:val="auto"/>
              </w:rPr>
            </w:pPr>
            <w:r>
              <w:rPr>
                <w:rFonts w:ascii="Arial" w:cs="Arial" w:eastAsia="Arial" w:hAnsi="Arial"/>
                <w:sz w:val="14"/>
                <w:szCs w:val="14"/>
                <w:color w:val="auto"/>
              </w:rPr>
              <w:t xml:space="preserve">Average repurchase agreements and other debt </w:t>
            </w:r>
            <w:r>
              <w:rPr>
                <w:rFonts w:ascii="Arial" w:cs="Arial" w:eastAsia="Arial" w:hAnsi="Arial"/>
                <w:sz w:val="8"/>
                <w:szCs w:val="8"/>
                <w:color w:val="auto"/>
              </w:rPr>
              <w:t>13</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28"/>
              <w:spacing w:after="0"/>
              <w:rPr>
                <w:sz w:val="20"/>
                <w:szCs w:val="20"/>
                <w:color w:val="auto"/>
              </w:rPr>
            </w:pPr>
            <w:r>
              <w:rPr>
                <w:rFonts w:ascii="Arial" w:cs="Arial" w:eastAsia="Arial" w:hAnsi="Arial"/>
                <w:sz w:val="14"/>
                <w:szCs w:val="14"/>
                <w:color w:val="auto"/>
              </w:rPr>
              <w:t>87,938</w:t>
            </w:r>
          </w:p>
        </w:tc>
        <w:tc>
          <w:tcPr>
            <w:tcW w:w="120" w:type="dxa"/>
            <w:vAlign w:val="bottom"/>
          </w:tcPr>
          <w:p>
            <w:pPr>
              <w:spacing w:after="0"/>
              <w:rPr>
                <w:sz w:val="22"/>
                <w:szCs w:val="22"/>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86,147</w:t>
            </w:r>
          </w:p>
        </w:tc>
        <w:tc>
          <w:tcPr>
            <w:tcW w:w="3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82,070</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68,499</w:t>
            </w:r>
          </w:p>
        </w:tc>
        <w:tc>
          <w:tcPr>
            <w:tcW w:w="12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56,265</w:t>
            </w: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40"/>
              <w:spacing w:after="0"/>
              <w:rPr>
                <w:sz w:val="20"/>
                <w:szCs w:val="20"/>
                <w:color w:val="auto"/>
              </w:rPr>
            </w:pPr>
            <w:r>
              <w:rPr>
                <w:rFonts w:ascii="Arial" w:cs="Arial" w:eastAsia="Arial" w:hAnsi="Arial"/>
                <w:sz w:val="14"/>
                <w:szCs w:val="14"/>
                <w:color w:val="auto"/>
              </w:rPr>
              <w:t xml:space="preserve">Average stockholders' equity </w:t>
            </w:r>
            <w:r>
              <w:rPr>
                <w:rFonts w:ascii="Arial" w:cs="Arial" w:eastAsia="Arial" w:hAnsi="Arial"/>
                <w:sz w:val="8"/>
                <w:szCs w:val="8"/>
                <w:color w:val="auto"/>
              </w:rPr>
              <w:t>14</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10,347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10,371</w:t>
            </w:r>
          </w:p>
        </w:tc>
        <w:tc>
          <w:tcPr>
            <w:tcW w:w="34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10,186</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9,634</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9,345</w:t>
            </w:r>
          </w:p>
        </w:tc>
        <w:tc>
          <w:tcPr>
            <w:tcW w:w="0" w:type="dxa"/>
            <w:vAlign w:val="bottom"/>
          </w:tcPr>
          <w:p>
            <w:pPr>
              <w:spacing w:after="0"/>
              <w:rPr>
                <w:sz w:val="1"/>
                <w:szCs w:val="1"/>
                <w:color w:val="auto"/>
              </w:rPr>
            </w:pPr>
          </w:p>
        </w:tc>
      </w:tr>
      <w:tr>
        <w:trPr>
          <w:trHeight w:val="264"/>
        </w:trPr>
        <w:tc>
          <w:tcPr>
            <w:tcW w:w="3780" w:type="dxa"/>
            <w:vAlign w:val="bottom"/>
          </w:tcPr>
          <w:p>
            <w:pPr>
              <w:ind w:left="40"/>
              <w:spacing w:after="0"/>
              <w:rPr>
                <w:sz w:val="20"/>
                <w:szCs w:val="20"/>
                <w:color w:val="auto"/>
              </w:rPr>
            </w:pPr>
            <w:r>
              <w:rPr>
                <w:rFonts w:ascii="Arial" w:cs="Arial" w:eastAsia="Arial" w:hAnsi="Arial"/>
                <w:sz w:val="14"/>
                <w:szCs w:val="14"/>
                <w:color w:val="auto"/>
              </w:rPr>
              <w:t xml:space="preserve">Tangible net book value per common share </w:t>
            </w:r>
            <w:r>
              <w:rPr>
                <w:rFonts w:ascii="Arial" w:cs="Arial" w:eastAsia="Arial" w:hAnsi="Arial"/>
                <w:sz w:val="8"/>
                <w:szCs w:val="8"/>
                <w:color w:val="auto"/>
              </w:rPr>
              <w:t>1</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28"/>
              <w:spacing w:after="0"/>
              <w:rPr>
                <w:sz w:val="20"/>
                <w:szCs w:val="20"/>
                <w:color w:val="auto"/>
              </w:rPr>
            </w:pPr>
            <w:r>
              <w:rPr>
                <w:rFonts w:ascii="Arial" w:cs="Arial" w:eastAsia="Arial" w:hAnsi="Arial"/>
                <w:sz w:val="14"/>
                <w:szCs w:val="14"/>
                <w:color w:val="auto"/>
              </w:rPr>
              <w:t>16.55</w:t>
            </w:r>
          </w:p>
        </w:tc>
        <w:tc>
          <w:tcPr>
            <w:tcW w:w="120" w:type="dxa"/>
            <w:vAlign w:val="bottom"/>
          </w:tcPr>
          <w:p>
            <w:pPr>
              <w:spacing w:after="0"/>
              <w:rPr>
                <w:sz w:val="22"/>
                <w:szCs w:val="22"/>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16.58</w:t>
            </w:r>
          </w:p>
        </w:tc>
        <w:tc>
          <w:tcPr>
            <w:tcW w:w="3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17.23</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16.56</w:t>
            </w:r>
          </w:p>
        </w:tc>
        <w:tc>
          <w:tcPr>
            <w:tcW w:w="12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28"/>
              <w:spacing w:after="0"/>
              <w:rPr>
                <w:sz w:val="20"/>
                <w:szCs w:val="20"/>
                <w:color w:val="auto"/>
              </w:rPr>
            </w:pPr>
            <w:r>
              <w:rPr>
                <w:rFonts w:ascii="Arial" w:cs="Arial" w:eastAsia="Arial" w:hAnsi="Arial"/>
                <w:sz w:val="14"/>
                <w:szCs w:val="14"/>
                <w:color w:val="auto"/>
              </w:rPr>
              <w:t>18.00</w:t>
            </w: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40"/>
              <w:spacing w:after="0"/>
              <w:rPr>
                <w:sz w:val="20"/>
                <w:szCs w:val="20"/>
                <w:color w:val="auto"/>
              </w:rPr>
            </w:pPr>
            <w:r>
              <w:rPr>
                <w:rFonts w:ascii="Arial" w:cs="Arial" w:eastAsia="Arial" w:hAnsi="Arial"/>
                <w:sz w:val="14"/>
                <w:szCs w:val="14"/>
                <w:color w:val="auto"/>
              </w:rPr>
              <w:t xml:space="preserve">Tangible net book value "at risk" leverage - average </w:t>
            </w:r>
            <w:r>
              <w:rPr>
                <w:rFonts w:ascii="Arial" w:cs="Arial" w:eastAsia="Arial" w:hAnsi="Arial"/>
                <w:sz w:val="8"/>
                <w:szCs w:val="8"/>
                <w:color w:val="auto"/>
              </w:rPr>
              <w:t>15</w:t>
            </w: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center"/>
              <w:ind w:right="128"/>
              <w:spacing w:after="0"/>
              <w:rPr>
                <w:sz w:val="20"/>
                <w:szCs w:val="20"/>
                <w:color w:val="auto"/>
              </w:rPr>
            </w:pPr>
            <w:r>
              <w:rPr>
                <w:rFonts w:ascii="Arial" w:cs="Arial" w:eastAsia="Arial" w:hAnsi="Arial"/>
                <w:sz w:val="14"/>
                <w:szCs w:val="14"/>
                <w:color w:val="auto"/>
                <w:w w:val="92"/>
              </w:rPr>
              <w:t>10.0:1</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10.0:1</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8"/>
              <w:spacing w:after="0"/>
              <w:rPr>
                <w:sz w:val="20"/>
                <w:szCs w:val="20"/>
                <w:color w:val="auto"/>
              </w:rPr>
            </w:pPr>
            <w:r>
              <w:rPr>
                <w:rFonts w:ascii="Arial" w:cs="Arial" w:eastAsia="Arial" w:hAnsi="Arial"/>
                <w:sz w:val="14"/>
                <w:szCs w:val="14"/>
                <w:color w:val="auto"/>
              </w:rPr>
              <w:t>9.3:1</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8.4:1</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8"/>
              <w:spacing w:after="0"/>
              <w:rPr>
                <w:sz w:val="20"/>
                <w:szCs w:val="20"/>
                <w:color w:val="auto"/>
              </w:rPr>
            </w:pPr>
            <w:r>
              <w:rPr>
                <w:rFonts w:ascii="Arial" w:cs="Arial" w:eastAsia="Arial" w:hAnsi="Arial"/>
                <w:sz w:val="14"/>
                <w:szCs w:val="14"/>
                <w:color w:val="auto"/>
              </w:rPr>
              <w:t>8.5:1</w:t>
            </w:r>
          </w:p>
        </w:tc>
        <w:tc>
          <w:tcPr>
            <w:tcW w:w="0" w:type="dxa"/>
            <w:vAlign w:val="bottom"/>
          </w:tcPr>
          <w:p>
            <w:pPr>
              <w:spacing w:after="0"/>
              <w:rPr>
                <w:sz w:val="1"/>
                <w:szCs w:val="1"/>
                <w:color w:val="auto"/>
              </w:rPr>
            </w:pPr>
          </w:p>
        </w:tc>
      </w:tr>
      <w:tr>
        <w:trPr>
          <w:trHeight w:val="264"/>
        </w:trPr>
        <w:tc>
          <w:tcPr>
            <w:tcW w:w="3780" w:type="dxa"/>
            <w:vAlign w:val="bottom"/>
          </w:tcPr>
          <w:p>
            <w:pPr>
              <w:ind w:left="40"/>
              <w:spacing w:after="0"/>
              <w:rPr>
                <w:sz w:val="20"/>
                <w:szCs w:val="20"/>
                <w:color w:val="auto"/>
              </w:rPr>
            </w:pPr>
            <w:r>
              <w:rPr>
                <w:rFonts w:ascii="Arial" w:cs="Arial" w:eastAsia="Arial" w:hAnsi="Arial"/>
                <w:sz w:val="14"/>
                <w:szCs w:val="14"/>
                <w:color w:val="auto"/>
                <w:w w:val="97"/>
              </w:rPr>
              <w:t xml:space="preserve">Tangible net book value "at risk" leverage - as of period end </w:t>
            </w:r>
            <w:r>
              <w:rPr>
                <w:rFonts w:ascii="Arial" w:cs="Arial" w:eastAsia="Arial" w:hAnsi="Arial"/>
                <w:sz w:val="8"/>
                <w:szCs w:val="8"/>
                <w:color w:val="auto"/>
                <w:w w:val="97"/>
              </w:rPr>
              <w:t>16</w:t>
            </w:r>
          </w:p>
        </w:tc>
        <w:tc>
          <w:tcPr>
            <w:tcW w:w="220" w:type="dxa"/>
            <w:vAlign w:val="bottom"/>
          </w:tcPr>
          <w:p>
            <w:pPr>
              <w:spacing w:after="0"/>
              <w:rPr>
                <w:sz w:val="22"/>
                <w:szCs w:val="22"/>
                <w:color w:val="auto"/>
              </w:rPr>
            </w:pPr>
          </w:p>
        </w:tc>
        <w:tc>
          <w:tcPr>
            <w:tcW w:w="800" w:type="dxa"/>
            <w:vAlign w:val="bottom"/>
          </w:tcPr>
          <w:p>
            <w:pPr>
              <w:jc w:val="center"/>
              <w:ind w:right="128"/>
              <w:spacing w:after="0"/>
              <w:rPr>
                <w:sz w:val="20"/>
                <w:szCs w:val="20"/>
                <w:color w:val="auto"/>
              </w:rPr>
            </w:pPr>
            <w:r>
              <w:rPr>
                <w:rFonts w:ascii="Arial" w:cs="Arial" w:eastAsia="Arial" w:hAnsi="Arial"/>
                <w:sz w:val="14"/>
                <w:szCs w:val="14"/>
                <w:color w:val="auto"/>
                <w:w w:val="89"/>
              </w:rPr>
              <w:t>9.8:1</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80" w:type="dxa"/>
            <w:vAlign w:val="bottom"/>
          </w:tcPr>
          <w:p>
            <w:pPr>
              <w:jc w:val="right"/>
              <w:ind w:right="268"/>
              <w:spacing w:after="0"/>
              <w:rPr>
                <w:sz w:val="20"/>
                <w:szCs w:val="20"/>
                <w:color w:val="auto"/>
              </w:rPr>
            </w:pPr>
            <w:r>
              <w:rPr>
                <w:rFonts w:ascii="Arial" w:cs="Arial" w:eastAsia="Arial" w:hAnsi="Arial"/>
                <w:sz w:val="14"/>
                <w:szCs w:val="14"/>
                <w:color w:val="auto"/>
              </w:rPr>
              <w:t>9.8:1</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ind w:right="288"/>
              <w:spacing w:after="0"/>
              <w:rPr>
                <w:sz w:val="20"/>
                <w:szCs w:val="20"/>
                <w:color w:val="auto"/>
              </w:rPr>
            </w:pPr>
            <w:r>
              <w:rPr>
                <w:rFonts w:ascii="Arial" w:cs="Arial" w:eastAsia="Arial" w:hAnsi="Arial"/>
                <w:sz w:val="14"/>
                <w:szCs w:val="14"/>
                <w:color w:val="auto"/>
              </w:rPr>
              <w:t>9.4:1</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ind w:right="268"/>
              <w:spacing w:after="0"/>
              <w:rPr>
                <w:sz w:val="20"/>
                <w:szCs w:val="20"/>
                <w:color w:val="auto"/>
              </w:rPr>
            </w:pPr>
            <w:r>
              <w:rPr>
                <w:rFonts w:ascii="Arial" w:cs="Arial" w:eastAsia="Arial" w:hAnsi="Arial"/>
                <w:sz w:val="14"/>
                <w:szCs w:val="14"/>
                <w:color w:val="auto"/>
              </w:rPr>
              <w:t>9.0:1</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ind w:right="288"/>
              <w:spacing w:after="0"/>
              <w:rPr>
                <w:sz w:val="20"/>
                <w:szCs w:val="20"/>
                <w:color w:val="auto"/>
              </w:rPr>
            </w:pPr>
            <w:r>
              <w:rPr>
                <w:rFonts w:ascii="Arial" w:cs="Arial" w:eastAsia="Arial" w:hAnsi="Arial"/>
                <w:sz w:val="14"/>
                <w:szCs w:val="14"/>
                <w:color w:val="auto"/>
              </w:rPr>
              <w:t>8.2:1</w:t>
            </w:r>
          </w:p>
        </w:tc>
        <w:tc>
          <w:tcPr>
            <w:tcW w:w="0" w:type="dxa"/>
            <w:vAlign w:val="bottom"/>
          </w:tcPr>
          <w:p>
            <w:pPr>
              <w:spacing w:after="0"/>
              <w:rPr>
                <w:sz w:val="1"/>
                <w:szCs w:val="1"/>
                <w:color w:val="auto"/>
              </w:rPr>
            </w:pPr>
          </w:p>
        </w:tc>
      </w:tr>
      <w:tr>
        <w:trPr>
          <w:trHeight w:val="249"/>
        </w:trPr>
        <w:tc>
          <w:tcPr>
            <w:tcW w:w="378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8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7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7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7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7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3780" w:type="dxa"/>
            <w:vAlign w:val="bottom"/>
          </w:tcPr>
          <w:p>
            <w:pPr>
              <w:ind w:left="40"/>
              <w:spacing w:after="0"/>
              <w:rPr>
                <w:sz w:val="20"/>
                <w:szCs w:val="20"/>
                <w:color w:val="auto"/>
              </w:rPr>
            </w:pPr>
            <w:r>
              <w:rPr>
                <w:rFonts w:ascii="Arial" w:cs="Arial" w:eastAsia="Arial" w:hAnsi="Arial"/>
                <w:sz w:val="14"/>
                <w:szCs w:val="14"/>
                <w:b w:val="1"/>
                <w:bCs w:val="1"/>
                <w:color w:val="auto"/>
              </w:rPr>
              <w:t>Key Performance Statistics:</w:t>
            </w: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40"/>
              <w:spacing w:after="0"/>
              <w:rPr>
                <w:sz w:val="20"/>
                <w:szCs w:val="20"/>
                <w:color w:val="auto"/>
              </w:rPr>
            </w:pPr>
            <w:r>
              <w:rPr>
                <w:rFonts w:ascii="Arial" w:cs="Arial" w:eastAsia="Arial" w:hAnsi="Arial"/>
                <w:sz w:val="14"/>
                <w:szCs w:val="14"/>
                <w:color w:val="auto"/>
              </w:rPr>
              <w:t xml:space="preserve">Investment securities: </w:t>
            </w:r>
            <w:r>
              <w:rPr>
                <w:rFonts w:ascii="Arial" w:cs="Arial" w:eastAsia="Arial" w:hAnsi="Arial"/>
                <w:sz w:val="8"/>
                <w:szCs w:val="8"/>
                <w:color w:val="auto"/>
              </w:rPr>
              <w:t>12</w:t>
            </w: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780" w:type="dxa"/>
            <w:vAlign w:val="bottom"/>
          </w:tcPr>
          <w:p>
            <w:pPr>
              <w:ind w:left="200"/>
              <w:spacing w:after="0"/>
              <w:rPr>
                <w:sz w:val="20"/>
                <w:szCs w:val="20"/>
                <w:color w:val="auto"/>
              </w:rPr>
            </w:pPr>
            <w:r>
              <w:rPr>
                <w:rFonts w:ascii="Arial" w:cs="Arial" w:eastAsia="Arial" w:hAnsi="Arial"/>
                <w:sz w:val="14"/>
                <w:szCs w:val="14"/>
                <w:color w:val="auto"/>
              </w:rPr>
              <w:t>Average coupon</w:t>
            </w: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3.86 %</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3.88 %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3.87 %</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3.83 %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3.78 %</w:t>
            </w: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Average asset yield</w:t>
            </w: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2.91 %</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2.99 %</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3.14 %</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3.13 %</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3.11 %</w:t>
            </w:r>
          </w:p>
        </w:tc>
        <w:tc>
          <w:tcPr>
            <w:tcW w:w="0" w:type="dxa"/>
            <w:vAlign w:val="bottom"/>
          </w:tcPr>
          <w:p>
            <w:pPr>
              <w:spacing w:after="0"/>
              <w:rPr>
                <w:sz w:val="1"/>
                <w:szCs w:val="1"/>
                <w:color w:val="auto"/>
              </w:rPr>
            </w:pPr>
          </w:p>
        </w:tc>
      </w:tr>
      <w:tr>
        <w:trPr>
          <w:trHeight w:val="157"/>
        </w:trPr>
        <w:tc>
          <w:tcPr>
            <w:tcW w:w="3780" w:type="dxa"/>
            <w:vAlign w:val="bottom"/>
          </w:tcPr>
          <w:p>
            <w:pPr>
              <w:ind w:left="200"/>
              <w:spacing w:after="0" w:line="157" w:lineRule="exact"/>
              <w:rPr>
                <w:sz w:val="20"/>
                <w:szCs w:val="20"/>
                <w:color w:val="auto"/>
              </w:rPr>
            </w:pPr>
            <w:r>
              <w:rPr>
                <w:rFonts w:ascii="Arial" w:cs="Arial" w:eastAsia="Arial" w:hAnsi="Arial"/>
                <w:sz w:val="14"/>
                <w:szCs w:val="14"/>
                <w:color w:val="auto"/>
              </w:rPr>
              <w:t>Average asset yield, excluding "catch-up" premium</w:t>
            </w:r>
          </w:p>
        </w:tc>
        <w:tc>
          <w:tcPr>
            <w:tcW w:w="2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780" w:type="dxa"/>
            <w:vAlign w:val="bottom"/>
          </w:tcPr>
          <w:p>
            <w:pPr>
              <w:ind w:left="40"/>
              <w:spacing w:after="0"/>
              <w:rPr>
                <w:sz w:val="20"/>
                <w:szCs w:val="20"/>
                <w:color w:val="auto"/>
              </w:rPr>
            </w:pPr>
            <w:r>
              <w:rPr>
                <w:rFonts w:ascii="Arial" w:cs="Arial" w:eastAsia="Arial" w:hAnsi="Arial"/>
                <w:sz w:val="14"/>
                <w:szCs w:val="14"/>
                <w:color w:val="auto"/>
              </w:rPr>
              <w:t>amortization</w:t>
            </w:r>
          </w:p>
        </w:tc>
        <w:tc>
          <w:tcPr>
            <w:tcW w:w="22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3.15 %</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3.24 %</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3.31 %</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3.21 %</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3.07 %</w:t>
            </w: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Average coupon - as of period end</w:t>
            </w: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3.76 %</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3.88 %</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3.88 %</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3.86 %</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3.82 %</w:t>
            </w:r>
          </w:p>
        </w:tc>
        <w:tc>
          <w:tcPr>
            <w:tcW w:w="0" w:type="dxa"/>
            <w:vAlign w:val="bottom"/>
          </w:tcPr>
          <w:p>
            <w:pPr>
              <w:spacing w:after="0"/>
              <w:rPr>
                <w:sz w:val="1"/>
                <w:szCs w:val="1"/>
                <w:color w:val="auto"/>
              </w:rPr>
            </w:pPr>
          </w:p>
        </w:tc>
      </w:tr>
      <w:tr>
        <w:trPr>
          <w:trHeight w:val="264"/>
        </w:trPr>
        <w:tc>
          <w:tcPr>
            <w:tcW w:w="3780" w:type="dxa"/>
            <w:vAlign w:val="bottom"/>
          </w:tcPr>
          <w:p>
            <w:pPr>
              <w:ind w:left="200"/>
              <w:spacing w:after="0"/>
              <w:rPr>
                <w:sz w:val="20"/>
                <w:szCs w:val="20"/>
                <w:color w:val="auto"/>
              </w:rPr>
            </w:pPr>
            <w:r>
              <w:rPr>
                <w:rFonts w:ascii="Arial" w:cs="Arial" w:eastAsia="Arial" w:hAnsi="Arial"/>
                <w:sz w:val="14"/>
                <w:szCs w:val="14"/>
                <w:color w:val="auto"/>
              </w:rPr>
              <w:t>Average asset yield - as of period end</w:t>
            </w: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3.08 %</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3.21 %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3.29 %</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3.31 %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3.22 %</w:t>
            </w: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Average actual CPR for securities held during the period</w:t>
            </w: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13.5 %</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10.0 %</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6.3 %</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7.4 %</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9.7 %</w:t>
            </w:r>
          </w:p>
        </w:tc>
        <w:tc>
          <w:tcPr>
            <w:tcW w:w="0" w:type="dxa"/>
            <w:vAlign w:val="bottom"/>
          </w:tcPr>
          <w:p>
            <w:pPr>
              <w:spacing w:after="0"/>
              <w:rPr>
                <w:sz w:val="1"/>
                <w:szCs w:val="1"/>
                <w:color w:val="auto"/>
              </w:rPr>
            </w:pPr>
          </w:p>
        </w:tc>
      </w:tr>
      <w:tr>
        <w:trPr>
          <w:trHeight w:val="264"/>
        </w:trPr>
        <w:tc>
          <w:tcPr>
            <w:tcW w:w="3780" w:type="dxa"/>
            <w:vAlign w:val="bottom"/>
          </w:tcPr>
          <w:p>
            <w:pPr>
              <w:ind w:left="200"/>
              <w:spacing w:after="0"/>
              <w:rPr>
                <w:sz w:val="20"/>
                <w:szCs w:val="20"/>
                <w:color w:val="auto"/>
              </w:rPr>
            </w:pPr>
            <w:r>
              <w:rPr>
                <w:rFonts w:ascii="Arial" w:cs="Arial" w:eastAsia="Arial" w:hAnsi="Arial"/>
                <w:sz w:val="14"/>
                <w:szCs w:val="14"/>
                <w:color w:val="auto"/>
              </w:rPr>
              <w:t>Average forecasted CPR - as of period end</w:t>
            </w: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13.4 %</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12.4 %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10.5 %</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7.9 %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6.8 %</w:t>
            </w: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Total premium amortization, net</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(192)</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(183)</w:t>
            </w:r>
          </w:p>
        </w:tc>
        <w:tc>
          <w:tcPr>
            <w:tcW w:w="34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(142)</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(107)</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(81)</w:t>
            </w:r>
          </w:p>
        </w:tc>
        <w:tc>
          <w:tcPr>
            <w:tcW w:w="0" w:type="dxa"/>
            <w:vAlign w:val="bottom"/>
          </w:tcPr>
          <w:p>
            <w:pPr>
              <w:spacing w:after="0"/>
              <w:rPr>
                <w:sz w:val="1"/>
                <w:szCs w:val="1"/>
                <w:color w:val="auto"/>
              </w:rPr>
            </w:pPr>
          </w:p>
        </w:tc>
      </w:tr>
      <w:tr>
        <w:trPr>
          <w:trHeight w:val="264"/>
        </w:trPr>
        <w:tc>
          <w:tcPr>
            <w:tcW w:w="3780" w:type="dxa"/>
            <w:vAlign w:val="bottom"/>
          </w:tcPr>
          <w:p>
            <w:pPr>
              <w:ind w:left="40"/>
              <w:spacing w:after="0"/>
              <w:rPr>
                <w:sz w:val="20"/>
                <w:szCs w:val="20"/>
                <w:color w:val="auto"/>
              </w:rPr>
            </w:pPr>
            <w:r>
              <w:rPr>
                <w:rFonts w:ascii="Arial" w:cs="Arial" w:eastAsia="Arial" w:hAnsi="Arial"/>
                <w:sz w:val="14"/>
                <w:szCs w:val="14"/>
                <w:color w:val="auto"/>
              </w:rPr>
              <w:t>TBA securities:</w:t>
            </w: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 xml:space="preserve">Average coupon - as of period end </w:t>
            </w:r>
            <w:r>
              <w:rPr>
                <w:rFonts w:ascii="Arial" w:cs="Arial" w:eastAsia="Arial" w:hAnsi="Arial"/>
                <w:sz w:val="8"/>
                <w:szCs w:val="8"/>
                <w:color w:val="auto"/>
              </w:rPr>
              <w:t>17</w:t>
            </w: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2.99 %</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3.29 %</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3.64 %</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4.03 %</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3.90 %</w:t>
            </w:r>
          </w:p>
        </w:tc>
        <w:tc>
          <w:tcPr>
            <w:tcW w:w="0" w:type="dxa"/>
            <w:vAlign w:val="bottom"/>
          </w:tcPr>
          <w:p>
            <w:pPr>
              <w:spacing w:after="0"/>
              <w:rPr>
                <w:sz w:val="1"/>
                <w:szCs w:val="1"/>
                <w:color w:val="auto"/>
              </w:rPr>
            </w:pPr>
          </w:p>
        </w:tc>
      </w:tr>
      <w:tr>
        <w:trPr>
          <w:trHeight w:val="264"/>
        </w:trPr>
        <w:tc>
          <w:tcPr>
            <w:tcW w:w="3780" w:type="dxa"/>
            <w:vAlign w:val="bottom"/>
          </w:tcPr>
          <w:p>
            <w:pPr>
              <w:ind w:left="200"/>
              <w:spacing w:after="0"/>
              <w:rPr>
                <w:sz w:val="20"/>
                <w:szCs w:val="20"/>
                <w:color w:val="auto"/>
              </w:rPr>
            </w:pPr>
            <w:r>
              <w:rPr>
                <w:rFonts w:ascii="Arial" w:cs="Arial" w:eastAsia="Arial" w:hAnsi="Arial"/>
                <w:sz w:val="14"/>
                <w:szCs w:val="14"/>
                <w:color w:val="auto"/>
              </w:rPr>
              <w:t xml:space="preserve">Average implied asset yield </w:t>
            </w:r>
            <w:r>
              <w:rPr>
                <w:rFonts w:ascii="Arial" w:cs="Arial" w:eastAsia="Arial" w:hAnsi="Arial"/>
                <w:sz w:val="8"/>
                <w:szCs w:val="8"/>
                <w:color w:val="auto"/>
              </w:rPr>
              <w:t>7</w:t>
            </w: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3.19 %</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3.21 %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3.55 %</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3.66 %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3.54 %</w:t>
            </w:r>
          </w:p>
        </w:tc>
        <w:tc>
          <w:tcPr>
            <w:tcW w:w="0" w:type="dxa"/>
            <w:vAlign w:val="bottom"/>
          </w:tcPr>
          <w:p>
            <w:pPr>
              <w:spacing w:after="0"/>
              <w:rPr>
                <w:sz w:val="1"/>
                <w:szCs w:val="1"/>
                <w:color w:val="auto"/>
              </w:rPr>
            </w:pPr>
          </w:p>
        </w:tc>
      </w:tr>
      <w:tr>
        <w:trPr>
          <w:trHeight w:val="163"/>
        </w:trPr>
        <w:tc>
          <w:tcPr>
            <w:tcW w:w="3780" w:type="dxa"/>
            <w:vAlign w:val="bottom"/>
            <w:shd w:val="clear" w:color="auto" w:fill="CCEEFF"/>
          </w:tcPr>
          <w:p>
            <w:pPr>
              <w:ind w:left="40"/>
              <w:spacing w:after="0"/>
              <w:rPr>
                <w:sz w:val="20"/>
                <w:szCs w:val="20"/>
                <w:color w:val="auto"/>
              </w:rPr>
            </w:pPr>
            <w:r>
              <w:rPr>
                <w:rFonts w:ascii="Arial" w:cs="Arial" w:eastAsia="Arial" w:hAnsi="Arial"/>
                <w:sz w:val="14"/>
                <w:szCs w:val="14"/>
                <w:color w:val="auto"/>
                <w:w w:val="94"/>
              </w:rPr>
              <w:t>Combined investment and TBA securities - average asset yield,</w:t>
            </w:r>
          </w:p>
        </w:tc>
        <w:tc>
          <w:tcPr>
            <w:tcW w:w="2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780" w:type="dxa"/>
            <w:vAlign w:val="bottom"/>
            <w:shd w:val="clear" w:color="auto" w:fill="CCEEFF"/>
          </w:tcPr>
          <w:p>
            <w:pPr>
              <w:ind w:left="40"/>
              <w:spacing w:after="0"/>
              <w:rPr>
                <w:sz w:val="20"/>
                <w:szCs w:val="20"/>
                <w:color w:val="auto"/>
              </w:rPr>
            </w:pPr>
            <w:r>
              <w:rPr>
                <w:rFonts w:ascii="Arial" w:cs="Arial" w:eastAsia="Arial" w:hAnsi="Arial"/>
                <w:sz w:val="14"/>
                <w:szCs w:val="14"/>
                <w:color w:val="auto"/>
              </w:rPr>
              <w:t xml:space="preserve">excluding "catch-up" premium amortization </w:t>
            </w:r>
            <w:r>
              <w:rPr>
                <w:rFonts w:ascii="Arial" w:cs="Arial" w:eastAsia="Arial" w:hAnsi="Arial"/>
                <w:sz w:val="8"/>
                <w:szCs w:val="8"/>
                <w:color w:val="auto"/>
              </w:rPr>
              <w:t>8</w:t>
            </w:r>
          </w:p>
        </w:tc>
        <w:tc>
          <w:tcPr>
            <w:tcW w:w="22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3.16 %</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3.24 %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3.33 %</w:t>
            </w: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3.26 %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3.18 %</w:t>
            </w:r>
          </w:p>
        </w:tc>
        <w:tc>
          <w:tcPr>
            <w:tcW w:w="0" w:type="dxa"/>
            <w:vAlign w:val="bottom"/>
          </w:tcPr>
          <w:p>
            <w:pPr>
              <w:spacing w:after="0"/>
              <w:rPr>
                <w:sz w:val="1"/>
                <w:szCs w:val="1"/>
                <w:color w:val="auto"/>
              </w:rPr>
            </w:pPr>
          </w:p>
        </w:tc>
      </w:tr>
      <w:tr>
        <w:trPr>
          <w:trHeight w:val="264"/>
        </w:trPr>
        <w:tc>
          <w:tcPr>
            <w:tcW w:w="3780" w:type="dxa"/>
            <w:vAlign w:val="bottom"/>
          </w:tcPr>
          <w:p>
            <w:pPr>
              <w:ind w:left="40"/>
              <w:spacing w:after="0"/>
              <w:rPr>
                <w:sz w:val="20"/>
                <w:szCs w:val="20"/>
                <w:color w:val="auto"/>
              </w:rPr>
            </w:pPr>
            <w:r>
              <w:rPr>
                <w:rFonts w:ascii="Arial" w:cs="Arial" w:eastAsia="Arial" w:hAnsi="Arial"/>
                <w:sz w:val="14"/>
                <w:szCs w:val="14"/>
                <w:color w:val="auto"/>
              </w:rPr>
              <w:t>Cost of funds:</w:t>
            </w: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Repurchase agreements - average funding cost</w:t>
            </w: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2.48 %</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2.62 %</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2.64 %</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2.42 %</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2.20 %</w:t>
            </w:r>
          </w:p>
        </w:tc>
        <w:tc>
          <w:tcPr>
            <w:tcW w:w="0" w:type="dxa"/>
            <w:vAlign w:val="bottom"/>
          </w:tcPr>
          <w:p>
            <w:pPr>
              <w:spacing w:after="0"/>
              <w:rPr>
                <w:sz w:val="1"/>
                <w:szCs w:val="1"/>
                <w:color w:val="auto"/>
              </w:rPr>
            </w:pPr>
          </w:p>
        </w:tc>
      </w:tr>
      <w:tr>
        <w:trPr>
          <w:trHeight w:val="264"/>
        </w:trPr>
        <w:tc>
          <w:tcPr>
            <w:tcW w:w="3780" w:type="dxa"/>
            <w:vAlign w:val="bottom"/>
          </w:tcPr>
          <w:p>
            <w:pPr>
              <w:ind w:left="200"/>
              <w:spacing w:after="0"/>
              <w:rPr>
                <w:sz w:val="20"/>
                <w:szCs w:val="20"/>
                <w:color w:val="auto"/>
              </w:rPr>
            </w:pPr>
            <w:r>
              <w:rPr>
                <w:rFonts w:ascii="Arial" w:cs="Arial" w:eastAsia="Arial" w:hAnsi="Arial"/>
                <w:sz w:val="14"/>
                <w:szCs w:val="14"/>
                <w:color w:val="auto"/>
              </w:rPr>
              <w:t xml:space="preserve">TBA securities - average implied funding cost </w:t>
            </w:r>
            <w:r>
              <w:rPr>
                <w:rFonts w:ascii="Arial" w:cs="Arial" w:eastAsia="Arial" w:hAnsi="Arial"/>
                <w:sz w:val="8"/>
                <w:szCs w:val="8"/>
                <w:color w:val="auto"/>
              </w:rPr>
              <w:t>6</w:t>
            </w: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2.00 %</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2.47 %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2.60 %</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2.32 %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2.05 %</w:t>
            </w:r>
          </w:p>
        </w:tc>
        <w:tc>
          <w:tcPr>
            <w:tcW w:w="0" w:type="dxa"/>
            <w:vAlign w:val="bottom"/>
          </w:tcPr>
          <w:p>
            <w:pPr>
              <w:spacing w:after="0"/>
              <w:rPr>
                <w:sz w:val="1"/>
                <w:szCs w:val="1"/>
                <w:color w:val="auto"/>
              </w:rPr>
            </w:pPr>
          </w:p>
        </w:tc>
      </w:tr>
      <w:tr>
        <w:trPr>
          <w:trHeight w:val="174"/>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w w:val="94"/>
              </w:rPr>
              <w:t>Interest rate swaps - average periodic (income) cost of funds</w:t>
            </w:r>
          </w:p>
        </w:tc>
        <w:tc>
          <w:tcPr>
            <w:tcW w:w="220" w:type="dxa"/>
            <w:vAlign w:val="bottom"/>
            <w:shd w:val="clear" w:color="auto" w:fill="CCEEFF"/>
          </w:tcPr>
          <w:p>
            <w:pPr>
              <w:spacing w:after="0"/>
              <w:rPr>
                <w:sz w:val="15"/>
                <w:szCs w:val="15"/>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(0.58)%</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(0.36)%</w:t>
            </w:r>
          </w:p>
        </w:tc>
        <w:tc>
          <w:tcPr>
            <w:tcW w:w="1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(0.37)%</w:t>
            </w:r>
          </w:p>
        </w:tc>
        <w:tc>
          <w:tcPr>
            <w:tcW w:w="1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(0.32)%</w:t>
            </w:r>
          </w:p>
        </w:tc>
        <w:tc>
          <w:tcPr>
            <w:tcW w:w="1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(0.30)%</w:t>
            </w:r>
          </w:p>
        </w:tc>
        <w:tc>
          <w:tcPr>
            <w:tcW w:w="0" w:type="dxa"/>
            <w:vAlign w:val="bottom"/>
          </w:tcPr>
          <w:p>
            <w:pPr>
              <w:spacing w:after="0"/>
              <w:rPr>
                <w:sz w:val="1"/>
                <w:szCs w:val="1"/>
                <w:color w:val="auto"/>
              </w:rPr>
            </w:pPr>
          </w:p>
        </w:tc>
      </w:tr>
      <w:tr>
        <w:trPr>
          <w:trHeight w:val="142"/>
        </w:trPr>
        <w:tc>
          <w:tcPr>
            <w:tcW w:w="3780" w:type="dxa"/>
            <w:vAlign w:val="bottom"/>
            <w:shd w:val="clear" w:color="auto" w:fill="CCEEFF"/>
          </w:tcPr>
          <w:p>
            <w:pPr>
              <w:ind w:left="40"/>
              <w:spacing w:after="0"/>
              <w:rPr>
                <w:sz w:val="20"/>
                <w:szCs w:val="20"/>
                <w:color w:val="auto"/>
              </w:rPr>
            </w:pPr>
            <w:r>
              <w:rPr>
                <w:rFonts w:ascii="Arial" w:cs="Arial" w:eastAsia="Arial" w:hAnsi="Arial"/>
                <w:sz w:val="9"/>
                <w:szCs w:val="9"/>
                <w:color w:val="auto"/>
              </w:rPr>
              <w:t>10</w:t>
            </w:r>
          </w:p>
        </w:tc>
        <w:tc>
          <w:tcPr>
            <w:tcW w:w="220" w:type="dxa"/>
            <w:vAlign w:val="bottom"/>
            <w:shd w:val="clear" w:color="auto" w:fill="CCEEFF"/>
          </w:tcPr>
          <w:p>
            <w:pPr>
              <w:spacing w:after="0"/>
              <w:rPr>
                <w:sz w:val="12"/>
                <w:szCs w:val="12"/>
                <w:color w:val="auto"/>
              </w:rPr>
            </w:pPr>
          </w:p>
        </w:tc>
        <w:tc>
          <w:tcPr>
            <w:tcW w:w="800" w:type="dxa"/>
            <w:vAlign w:val="bottom"/>
            <w:vMerge w:val="continue"/>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80" w:type="dxa"/>
            <w:vAlign w:val="bottom"/>
            <w:vMerge w:val="continue"/>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780" w:type="dxa"/>
            <w:vAlign w:val="bottom"/>
            <w:vMerge w:val="continue"/>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760" w:type="dxa"/>
            <w:vAlign w:val="bottom"/>
            <w:vMerge w:val="continue"/>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780" w:type="dxa"/>
            <w:vAlign w:val="bottom"/>
            <w:vMerge w:val="continue"/>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3780" w:type="dxa"/>
            <w:vAlign w:val="bottom"/>
          </w:tcPr>
          <w:p>
            <w:pPr>
              <w:ind w:left="200"/>
              <w:spacing w:after="0" w:line="157" w:lineRule="exact"/>
              <w:rPr>
                <w:sz w:val="20"/>
                <w:szCs w:val="20"/>
                <w:color w:val="auto"/>
              </w:rPr>
            </w:pPr>
            <w:r>
              <w:rPr>
                <w:rFonts w:ascii="Arial" w:cs="Arial" w:eastAsia="Arial" w:hAnsi="Arial"/>
                <w:sz w:val="14"/>
                <w:szCs w:val="14"/>
                <w:color w:val="auto"/>
                <w:w w:val="99"/>
              </w:rPr>
              <w:t>Average total cost of funds, inclusive of TBAs and interest</w:t>
            </w:r>
          </w:p>
        </w:tc>
        <w:tc>
          <w:tcPr>
            <w:tcW w:w="2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780" w:type="dxa"/>
            <w:vAlign w:val="bottom"/>
          </w:tcPr>
          <w:p>
            <w:pPr>
              <w:ind w:left="200"/>
              <w:spacing w:after="0"/>
              <w:rPr>
                <w:sz w:val="20"/>
                <w:szCs w:val="20"/>
                <w:color w:val="auto"/>
              </w:rPr>
            </w:pPr>
            <w:r>
              <w:rPr>
                <w:rFonts w:ascii="Arial" w:cs="Arial" w:eastAsia="Arial" w:hAnsi="Arial"/>
                <w:sz w:val="14"/>
                <w:szCs w:val="14"/>
                <w:color w:val="auto"/>
              </w:rPr>
              <w:t xml:space="preserve">rate swap periodic (income) cost </w:t>
            </w:r>
            <w:r>
              <w:rPr>
                <w:rFonts w:ascii="Arial" w:cs="Arial" w:eastAsia="Arial" w:hAnsi="Arial"/>
                <w:sz w:val="8"/>
                <w:szCs w:val="8"/>
                <w:color w:val="auto"/>
              </w:rPr>
              <w:t>8</w:t>
            </w:r>
          </w:p>
        </w:tc>
        <w:tc>
          <w:tcPr>
            <w:tcW w:w="22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1.85 %</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2.24 %</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2.27 %</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2.09 %</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1.88 %</w:t>
            </w:r>
          </w:p>
        </w:tc>
        <w:tc>
          <w:tcPr>
            <w:tcW w:w="0" w:type="dxa"/>
            <w:vAlign w:val="bottom"/>
          </w:tcPr>
          <w:p>
            <w:pPr>
              <w:spacing w:after="0"/>
              <w:rPr>
                <w:sz w:val="1"/>
                <w:szCs w:val="1"/>
                <w:color w:val="auto"/>
              </w:rPr>
            </w:pPr>
          </w:p>
        </w:tc>
      </w:tr>
      <w:tr>
        <w:trPr>
          <w:trHeight w:val="163"/>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w w:val="95"/>
              </w:rPr>
              <w:t>Repurchase agreements - average funding cost as of period</w:t>
            </w:r>
          </w:p>
        </w:tc>
        <w:tc>
          <w:tcPr>
            <w:tcW w:w="2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780" w:type="dxa"/>
            <w:vAlign w:val="bottom"/>
            <w:shd w:val="clear" w:color="auto" w:fill="CCEEFF"/>
          </w:tcPr>
          <w:p>
            <w:pPr>
              <w:ind w:left="40"/>
              <w:spacing w:after="0"/>
              <w:rPr>
                <w:sz w:val="20"/>
                <w:szCs w:val="20"/>
                <w:color w:val="auto"/>
              </w:rPr>
            </w:pPr>
            <w:r>
              <w:rPr>
                <w:rFonts w:ascii="Arial" w:cs="Arial" w:eastAsia="Arial" w:hAnsi="Arial"/>
                <w:sz w:val="14"/>
                <w:szCs w:val="14"/>
                <w:color w:val="auto"/>
              </w:rPr>
              <w:t>end</w:t>
            </w:r>
          </w:p>
        </w:tc>
        <w:tc>
          <w:tcPr>
            <w:tcW w:w="22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2.48 %</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2.64 %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2.82 %</w:t>
            </w: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2.79 %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2.30 %</w:t>
            </w:r>
          </w:p>
        </w:tc>
        <w:tc>
          <w:tcPr>
            <w:tcW w:w="0" w:type="dxa"/>
            <w:vAlign w:val="bottom"/>
          </w:tcPr>
          <w:p>
            <w:pPr>
              <w:spacing w:after="0"/>
              <w:rPr>
                <w:sz w:val="1"/>
                <w:szCs w:val="1"/>
                <w:color w:val="auto"/>
              </w:rPr>
            </w:pPr>
          </w:p>
        </w:tc>
      </w:tr>
      <w:tr>
        <w:trPr>
          <w:trHeight w:val="157"/>
        </w:trPr>
        <w:tc>
          <w:tcPr>
            <w:tcW w:w="3780" w:type="dxa"/>
            <w:vAlign w:val="bottom"/>
          </w:tcPr>
          <w:p>
            <w:pPr>
              <w:ind w:left="200"/>
              <w:spacing w:after="0" w:line="157" w:lineRule="exact"/>
              <w:rPr>
                <w:sz w:val="20"/>
                <w:szCs w:val="20"/>
                <w:color w:val="auto"/>
              </w:rPr>
            </w:pPr>
            <w:r>
              <w:rPr>
                <w:rFonts w:ascii="Arial" w:cs="Arial" w:eastAsia="Arial" w:hAnsi="Arial"/>
                <w:sz w:val="14"/>
                <w:szCs w:val="14"/>
                <w:color w:val="auto"/>
              </w:rPr>
              <w:t>Interest rate swaps - average net pay/(receive) rate as of</w:t>
            </w:r>
          </w:p>
        </w:tc>
        <w:tc>
          <w:tcPr>
            <w:tcW w:w="2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780" w:type="dxa"/>
            <w:vAlign w:val="bottom"/>
          </w:tcPr>
          <w:p>
            <w:pPr>
              <w:ind w:left="40"/>
              <w:spacing w:after="0"/>
              <w:rPr>
                <w:sz w:val="20"/>
                <w:szCs w:val="20"/>
                <w:color w:val="auto"/>
              </w:rPr>
            </w:pPr>
            <w:r>
              <w:rPr>
                <w:rFonts w:ascii="Arial" w:cs="Arial" w:eastAsia="Arial" w:hAnsi="Arial"/>
                <w:sz w:val="14"/>
                <w:szCs w:val="14"/>
                <w:color w:val="auto"/>
              </w:rPr>
              <w:t xml:space="preserve">period end </w:t>
            </w:r>
            <w:r>
              <w:rPr>
                <w:rFonts w:ascii="Arial" w:cs="Arial" w:eastAsia="Arial" w:hAnsi="Arial"/>
                <w:sz w:val="8"/>
                <w:szCs w:val="8"/>
                <w:color w:val="auto"/>
              </w:rPr>
              <w:t>18</w:t>
            </w:r>
          </w:p>
        </w:tc>
        <w:tc>
          <w:tcPr>
            <w:tcW w:w="22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(0.63)%</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(0.74)%</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(0.68)%</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(0.52)%</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(0.32)%</w:t>
            </w:r>
          </w:p>
        </w:tc>
        <w:tc>
          <w:tcPr>
            <w:tcW w:w="0" w:type="dxa"/>
            <w:vAlign w:val="bottom"/>
          </w:tcPr>
          <w:p>
            <w:pPr>
              <w:spacing w:after="0"/>
              <w:rPr>
                <w:sz w:val="1"/>
                <w:szCs w:val="1"/>
                <w:color w:val="auto"/>
              </w:rPr>
            </w:pPr>
          </w:p>
        </w:tc>
      </w:tr>
      <w:tr>
        <w:trPr>
          <w:trHeight w:val="276"/>
        </w:trPr>
        <w:tc>
          <w:tcPr>
            <w:tcW w:w="378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interest spread:</w:t>
            </w: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3780" w:type="dxa"/>
            <w:vAlign w:val="bottom"/>
          </w:tcPr>
          <w:p>
            <w:pPr>
              <w:ind w:left="200"/>
              <w:spacing w:after="0" w:line="157" w:lineRule="exact"/>
              <w:rPr>
                <w:sz w:val="20"/>
                <w:szCs w:val="20"/>
                <w:color w:val="auto"/>
              </w:rPr>
            </w:pPr>
            <w:r>
              <w:rPr>
                <w:rFonts w:ascii="Arial" w:cs="Arial" w:eastAsia="Arial" w:hAnsi="Arial"/>
                <w:sz w:val="14"/>
                <w:szCs w:val="14"/>
                <w:color w:val="auto"/>
              </w:rPr>
              <w:t>Combined investment and TBA securities average net</w:t>
            </w:r>
          </w:p>
        </w:tc>
        <w:tc>
          <w:tcPr>
            <w:tcW w:w="2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780" w:type="dxa"/>
            <w:vAlign w:val="bottom"/>
          </w:tcPr>
          <w:p>
            <w:pPr>
              <w:ind w:left="200"/>
              <w:spacing w:after="0"/>
              <w:rPr>
                <w:sz w:val="20"/>
                <w:szCs w:val="20"/>
                <w:color w:val="auto"/>
              </w:rPr>
            </w:pPr>
            <w:r>
              <w:rPr>
                <w:rFonts w:ascii="Arial" w:cs="Arial" w:eastAsia="Arial" w:hAnsi="Arial"/>
                <w:sz w:val="14"/>
                <w:szCs w:val="14"/>
                <w:color w:val="auto"/>
              </w:rPr>
              <w:t>interest spread</w:t>
            </w:r>
          </w:p>
        </w:tc>
        <w:tc>
          <w:tcPr>
            <w:tcW w:w="22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1.09 %</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0.78 %</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0.90 %</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1.09 %</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1.33 %</w:t>
            </w:r>
          </w:p>
        </w:tc>
        <w:tc>
          <w:tcPr>
            <w:tcW w:w="0" w:type="dxa"/>
            <w:vAlign w:val="bottom"/>
          </w:tcPr>
          <w:p>
            <w:pPr>
              <w:spacing w:after="0"/>
              <w:rPr>
                <w:sz w:val="1"/>
                <w:szCs w:val="1"/>
                <w:color w:val="auto"/>
              </w:rPr>
            </w:pPr>
          </w:p>
        </w:tc>
      </w:tr>
      <w:tr>
        <w:trPr>
          <w:trHeight w:val="163"/>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Combined investment and TBA securities average net</w:t>
            </w:r>
          </w:p>
        </w:tc>
        <w:tc>
          <w:tcPr>
            <w:tcW w:w="2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780" w:type="dxa"/>
            <w:vAlign w:val="bottom"/>
            <w:shd w:val="clear" w:color="auto" w:fill="CCEEFF"/>
          </w:tcPr>
          <w:p>
            <w:pPr>
              <w:ind w:left="200"/>
              <w:spacing w:after="0"/>
              <w:rPr>
                <w:sz w:val="20"/>
                <w:szCs w:val="20"/>
                <w:color w:val="auto"/>
              </w:rPr>
            </w:pPr>
            <w:r>
              <w:rPr>
                <w:rFonts w:ascii="Arial" w:cs="Arial" w:eastAsia="Arial" w:hAnsi="Arial"/>
                <w:sz w:val="14"/>
                <w:szCs w:val="14"/>
                <w:color w:val="auto"/>
                <w:w w:val="97"/>
              </w:rPr>
              <w:t>interest spread, excluding "catch-up" premium amortization</w:t>
            </w:r>
          </w:p>
        </w:tc>
        <w:tc>
          <w:tcPr>
            <w:tcW w:w="22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1.31 %</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1.06 %</w:t>
            </w: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1.30 %</w:t>
            </w:r>
          </w:p>
        </w:tc>
        <w:tc>
          <w:tcPr>
            <w:tcW w:w="0" w:type="dxa"/>
            <w:vAlign w:val="bottom"/>
          </w:tcPr>
          <w:p>
            <w:pPr>
              <w:spacing w:after="0"/>
              <w:rPr>
                <w:sz w:val="1"/>
                <w:szCs w:val="1"/>
                <w:color w:val="auto"/>
              </w:rPr>
            </w:pPr>
          </w:p>
        </w:tc>
      </w:tr>
      <w:tr>
        <w:trPr>
          <w:trHeight w:val="264"/>
        </w:trPr>
        <w:tc>
          <w:tcPr>
            <w:tcW w:w="3780" w:type="dxa"/>
            <w:vAlign w:val="bottom"/>
          </w:tcPr>
          <w:p>
            <w:pPr>
              <w:ind w:left="40"/>
              <w:spacing w:after="0"/>
              <w:rPr>
                <w:sz w:val="20"/>
                <w:szCs w:val="20"/>
                <w:color w:val="auto"/>
              </w:rPr>
            </w:pPr>
            <w:r>
              <w:rPr>
                <w:rFonts w:ascii="Arial" w:cs="Arial" w:eastAsia="Arial" w:hAnsi="Arial"/>
                <w:sz w:val="14"/>
                <w:szCs w:val="14"/>
                <w:color w:val="auto"/>
              </w:rPr>
              <w:t xml:space="preserve">Expenses % of average stockholders' equity - annualized </w:t>
            </w:r>
            <w:r>
              <w:rPr>
                <w:rFonts w:ascii="Arial" w:cs="Arial" w:eastAsia="Arial" w:hAnsi="Arial"/>
                <w:sz w:val="8"/>
                <w:szCs w:val="8"/>
                <w:color w:val="auto"/>
              </w:rPr>
              <w:t>19</w:t>
            </w: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0.73 %</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0.77 %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0.75 %</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0.75 %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0.81 %</w:t>
            </w:r>
          </w:p>
        </w:tc>
        <w:tc>
          <w:tcPr>
            <w:tcW w:w="0" w:type="dxa"/>
            <w:vAlign w:val="bottom"/>
          </w:tcPr>
          <w:p>
            <w:pPr>
              <w:spacing w:after="0"/>
              <w:rPr>
                <w:sz w:val="1"/>
                <w:szCs w:val="1"/>
                <w:color w:val="auto"/>
              </w:rPr>
            </w:pPr>
          </w:p>
        </w:tc>
      </w:tr>
      <w:tr>
        <w:trPr>
          <w:trHeight w:val="163"/>
        </w:trPr>
        <w:tc>
          <w:tcPr>
            <w:tcW w:w="3780" w:type="dxa"/>
            <w:vAlign w:val="bottom"/>
            <w:shd w:val="clear" w:color="auto" w:fill="CCEEFF"/>
          </w:tcPr>
          <w:p>
            <w:pPr>
              <w:ind w:left="40"/>
              <w:spacing w:after="0"/>
              <w:rPr>
                <w:sz w:val="20"/>
                <w:szCs w:val="20"/>
                <w:color w:val="auto"/>
              </w:rPr>
            </w:pPr>
            <w:r>
              <w:rPr>
                <w:rFonts w:ascii="Arial" w:cs="Arial" w:eastAsia="Arial" w:hAnsi="Arial"/>
                <w:sz w:val="14"/>
                <w:szCs w:val="14"/>
                <w:color w:val="auto"/>
              </w:rPr>
              <w:t>Economic return (loss) on tangible common equity -</w:t>
            </w:r>
          </w:p>
        </w:tc>
        <w:tc>
          <w:tcPr>
            <w:tcW w:w="2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780" w:type="dxa"/>
            <w:vAlign w:val="bottom"/>
            <w:shd w:val="clear" w:color="auto" w:fill="CCEEFF"/>
          </w:tcPr>
          <w:p>
            <w:pPr>
              <w:ind w:left="40"/>
              <w:spacing w:after="0"/>
              <w:rPr>
                <w:sz w:val="20"/>
                <w:szCs w:val="20"/>
                <w:color w:val="auto"/>
              </w:rPr>
            </w:pPr>
            <w:r>
              <w:rPr>
                <w:rFonts w:ascii="Arial" w:cs="Arial" w:eastAsia="Arial" w:hAnsi="Arial"/>
                <w:sz w:val="14"/>
                <w:szCs w:val="14"/>
                <w:color w:val="auto"/>
              </w:rPr>
              <w:t xml:space="preserve">unannualized </w:t>
            </w:r>
            <w:r>
              <w:rPr>
                <w:rFonts w:ascii="Arial" w:cs="Arial" w:eastAsia="Arial" w:hAnsi="Arial"/>
                <w:sz w:val="8"/>
                <w:szCs w:val="8"/>
                <w:color w:val="auto"/>
              </w:rPr>
              <w:t>20</w:t>
            </w:r>
          </w:p>
        </w:tc>
        <w:tc>
          <w:tcPr>
            <w:tcW w:w="22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2.7 %</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(0.9)%</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7.3 %</w:t>
            </w: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0.7 %</w:t>
            </w:r>
          </w:p>
        </w:tc>
        <w:tc>
          <w:tcPr>
            <w:tcW w:w="0" w:type="dxa"/>
            <w:vAlign w:val="bottom"/>
          </w:tcPr>
          <w:p>
            <w:pPr>
              <w:spacing w:after="0"/>
              <w:rPr>
                <w:sz w:val="1"/>
                <w:szCs w:val="1"/>
                <w:color w:val="auto"/>
              </w:rPr>
            </w:pPr>
          </w:p>
        </w:tc>
      </w:tr>
    </w:tbl>
    <w:p>
      <w:pPr>
        <w:sectPr>
          <w:pgSz w:w="11900" w:h="16838" w:orient="portrait"/>
          <w:cols w:equalWidth="0" w:num="1">
            <w:col w:w="10219"/>
          </w:cols>
          <w:pgMar w:left="240" w:top="147" w:right="1440" w:bottom="49" w:gutter="0" w:footer="0" w:header="0"/>
        </w:sectPr>
      </w:pPr>
    </w:p>
    <w:bookmarkStart w:id="16" w:name="page17"/>
    <w:bookmarkEnd w:id="16"/>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14</w:t>
      </w:r>
    </w:p>
    <w:p>
      <w:pPr>
        <w:spacing w:after="0" w:line="242" w:lineRule="exact"/>
        <w:rPr>
          <w:sz w:val="20"/>
          <w:szCs w:val="20"/>
          <w:color w:val="auto"/>
        </w:rPr>
      </w:pPr>
    </w:p>
    <w:p>
      <w:pPr>
        <w:ind w:right="20"/>
        <w:spacing w:after="0" w:line="246" w:lineRule="auto"/>
        <w:rPr>
          <w:sz w:val="20"/>
          <w:szCs w:val="20"/>
          <w:color w:val="auto"/>
        </w:rPr>
      </w:pPr>
      <w:r>
        <w:rPr>
          <w:rFonts w:ascii="Arial" w:cs="Arial" w:eastAsia="Arial" w:hAnsi="Arial"/>
          <w:sz w:val="16"/>
          <w:szCs w:val="16"/>
          <w:color w:val="auto"/>
        </w:rPr>
        <w:t>*Except as noted below, average numbers for each period are weighted based on days on the Company's books and records. All percentages are annualized, unless otherwise noted.</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Numbers in financial tables may not total due to rounding.</w:t>
      </w:r>
    </w:p>
    <w:p>
      <w:pPr>
        <w:spacing w:after="0" w:line="194" w:lineRule="exact"/>
        <w:rPr>
          <w:sz w:val="20"/>
          <w:szCs w:val="20"/>
          <w:color w:val="auto"/>
        </w:rPr>
      </w:pP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Tangible net book value per common share excludes preferred stock liquidation preference and goodwill.</w:t>
      </w:r>
    </w:p>
    <w:p>
      <w:pPr>
        <w:spacing w:after="0" w:line="5" w:lineRule="exact"/>
        <w:rPr>
          <w:rFonts w:ascii="Arial" w:cs="Arial" w:eastAsia="Arial" w:hAnsi="Arial"/>
          <w:sz w:val="16"/>
          <w:szCs w:val="16"/>
          <w:color w:val="auto"/>
        </w:rPr>
      </w:pPr>
    </w:p>
    <w:p>
      <w:pPr>
        <w:ind w:left="340" w:right="20" w:hanging="332"/>
        <w:spacing w:after="0" w:line="246"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Table includes non-GAAP financial measures and/or amounts derived from non-GAAP measures. Refer to "Use of Non-GAAP Financial Information" for additional discussion of non-GAAP financial measures.</w:t>
      </w: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Amount reported in gain (loss) on derivatives instruments and other securities, net in the accompanying consolidated statements of operations.</w:t>
      </w:r>
    </w:p>
    <w:p>
      <w:pPr>
        <w:spacing w:after="0" w:line="5" w:lineRule="exact"/>
        <w:rPr>
          <w:rFonts w:ascii="Arial" w:cs="Arial" w:eastAsia="Arial" w:hAnsi="Arial"/>
          <w:sz w:val="16"/>
          <w:szCs w:val="16"/>
          <w:color w:val="auto"/>
        </w:rPr>
      </w:pPr>
    </w:p>
    <w:p>
      <w:pPr>
        <w:ind w:left="340" w:hanging="332"/>
        <w:spacing w:after="0" w:line="246"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Dollar roll income represents the price differential, or "price drop," between the TBA price for current month settlement versus the TBA price for forward month settlement. Amount includes dollar roll income (loss) on long and short TBA securities. Amount excludes TBA mark-to-market adjustments.</w:t>
      </w: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Includes decrease in net capital loss carryforwards due to expiration of unutilized net capital loss carryforwards from prior years.</w:t>
      </w:r>
    </w:p>
    <w:p>
      <w:pPr>
        <w:spacing w:after="0" w:line="5" w:lineRule="exact"/>
        <w:rPr>
          <w:rFonts w:ascii="Arial" w:cs="Arial" w:eastAsia="Arial" w:hAnsi="Arial"/>
          <w:sz w:val="16"/>
          <w:szCs w:val="16"/>
          <w:color w:val="auto"/>
        </w:rPr>
      </w:pPr>
    </w:p>
    <w:p>
      <w:pPr>
        <w:jc w:val="both"/>
        <w:ind w:left="340" w:hanging="332"/>
        <w:spacing w:after="0" w:line="246"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implied funding cost of TBA dollar roll transactions is determined using the "price drop" (Note 4) and market based assumptions regarding the "cheapest-to-deliver" collateral that can be delivered to satisfy the TBA contract, such as the anticipated collateral’s weighted average coupon, weighted average maturity and projected 1-month CPR. The average implied funding cost for all TBA transactions is weighted based on the Company’s daily average TBA balance outstanding for the period.</w:t>
      </w:r>
    </w:p>
    <w:p>
      <w:pPr>
        <w:spacing w:after="0" w:line="1" w:lineRule="exact"/>
        <w:rPr>
          <w:rFonts w:ascii="Arial" w:cs="Arial" w:eastAsia="Arial" w:hAnsi="Arial"/>
          <w:sz w:val="16"/>
          <w:szCs w:val="16"/>
          <w:color w:val="auto"/>
        </w:rPr>
      </w:pPr>
    </w:p>
    <w:p>
      <w:pPr>
        <w:ind w:left="340" w:right="20" w:hanging="332"/>
        <w:spacing w:after="0" w:line="246"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average implied asset yield for TBA dollar roll transactions is extrapolated by adding the average TBA implied funding cost (Note 6) to the net dollar roll yield. The net dollar roll yield is calculated by dividing dollar roll income (Note 4) by the average net TBA cost basis outstanding for the period.</w:t>
      </w: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Amount calculated on a weighted average basis based on average balances outstanding during the period and their respective asset yield/funding cost.</w:t>
      </w:r>
    </w:p>
    <w:p>
      <w:pPr>
        <w:spacing w:after="0" w:line="5" w:lineRule="exact"/>
        <w:rPr>
          <w:rFonts w:ascii="Arial" w:cs="Arial" w:eastAsia="Arial" w:hAnsi="Arial"/>
          <w:sz w:val="16"/>
          <w:szCs w:val="16"/>
          <w:color w:val="auto"/>
        </w:rPr>
      </w:pP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Represents periodic interest rate swap settlements. Amount excludes interest rate swap termination fees and mark-to-market adjustments.</w:t>
      </w:r>
    </w:p>
    <w:p>
      <w:pPr>
        <w:spacing w:after="0" w:line="5" w:lineRule="exact"/>
        <w:rPr>
          <w:rFonts w:ascii="Arial" w:cs="Arial" w:eastAsia="Arial" w:hAnsi="Arial"/>
          <w:sz w:val="16"/>
          <w:szCs w:val="16"/>
          <w:color w:val="auto"/>
        </w:rPr>
      </w:pPr>
    </w:p>
    <w:p>
      <w:pPr>
        <w:ind w:left="340" w:hanging="332"/>
        <w:spacing w:after="0" w:line="246"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Represents interest rate swap periodic income/cost measured as a percent of total mortgage funding (Agency repurchase agreements, other debt and net TBA securities).</w:t>
      </w: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"Catch-up" premium amortization cost/benefit is reported in interest income on the accompanying consolidated statements of operations</w:t>
      </w:r>
    </w:p>
    <w:p>
      <w:pPr>
        <w:spacing w:after="0" w:line="5" w:lineRule="exact"/>
        <w:rPr>
          <w:rFonts w:ascii="Arial" w:cs="Arial" w:eastAsia="Arial" w:hAnsi="Arial"/>
          <w:sz w:val="16"/>
          <w:szCs w:val="16"/>
          <w:color w:val="auto"/>
        </w:rPr>
      </w:pP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Investment securities include Agency MBS, CRT and non-Agency securities. Amounts exclude TBA securities.</w:t>
      </w:r>
    </w:p>
    <w:p>
      <w:pPr>
        <w:spacing w:after="0" w:line="5" w:lineRule="exact"/>
        <w:rPr>
          <w:rFonts w:ascii="Arial" w:cs="Arial" w:eastAsia="Arial" w:hAnsi="Arial"/>
          <w:sz w:val="16"/>
          <w:szCs w:val="16"/>
          <w:color w:val="auto"/>
        </w:rPr>
      </w:pP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repurchase agreements and other debt excludes U.S. Treasury repurchase agreements.</w:t>
      </w:r>
    </w:p>
    <w:p>
      <w:pPr>
        <w:spacing w:after="0" w:line="5" w:lineRule="exact"/>
        <w:rPr>
          <w:rFonts w:ascii="Arial" w:cs="Arial" w:eastAsia="Arial" w:hAnsi="Arial"/>
          <w:sz w:val="16"/>
          <w:szCs w:val="16"/>
          <w:color w:val="auto"/>
        </w:rPr>
      </w:pP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stockholders' equity calculated as the average month-ended stockholders' equity during the quarter.</w:t>
      </w:r>
    </w:p>
    <w:p>
      <w:pPr>
        <w:spacing w:after="0" w:line="5" w:lineRule="exact"/>
        <w:rPr>
          <w:rFonts w:ascii="Arial" w:cs="Arial" w:eastAsia="Arial" w:hAnsi="Arial"/>
          <w:sz w:val="16"/>
          <w:szCs w:val="16"/>
          <w:color w:val="auto"/>
        </w:rPr>
      </w:pPr>
    </w:p>
    <w:p>
      <w:pPr>
        <w:jc w:val="both"/>
        <w:ind w:left="340" w:hanging="332"/>
        <w:spacing w:after="0" w:line="246"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tangible net book value "at risk" leverage during the period was calculated by dividing the sum of the daily weighted average Agency repurchase agreements, other debt, forward settling investment securities and net TBA position (at cost) outstanding for the period by the sum of average stockholders' equity adjusted to exclude goodwill. Leverage excludes U.S. Treasury repurchase agreements.</w:t>
      </w:r>
    </w:p>
    <w:p>
      <w:pPr>
        <w:spacing w:after="0" w:line="1" w:lineRule="exact"/>
        <w:rPr>
          <w:rFonts w:ascii="Arial" w:cs="Arial" w:eastAsia="Arial" w:hAnsi="Arial"/>
          <w:sz w:val="16"/>
          <w:szCs w:val="16"/>
          <w:color w:val="auto"/>
        </w:rPr>
      </w:pPr>
    </w:p>
    <w:p>
      <w:pPr>
        <w:jc w:val="both"/>
        <w:ind w:left="340" w:hanging="332"/>
        <w:spacing w:after="0" w:line="246"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Tangible net book value "at risk" leverage as of period end was calculated by dividing the sum of the amount outstanding under Agency repurchase agreements, other debt, net TBA position (at cost) and net receivable / payable for unsettled investment securities outstanding by the sum of total stockholders' equity adjusted to exclude goodwill. Leverage excludes U.S. Treasury repurchase agreements.</w:t>
      </w:r>
    </w:p>
    <w:p>
      <w:pPr>
        <w:spacing w:after="0" w:line="1" w:lineRule="exact"/>
        <w:rPr>
          <w:rFonts w:ascii="Arial" w:cs="Arial" w:eastAsia="Arial" w:hAnsi="Arial"/>
          <w:sz w:val="16"/>
          <w:szCs w:val="16"/>
          <w:color w:val="auto"/>
        </w:rPr>
      </w:pP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TBA coupon, as of September 30, 2019 and June 30, 2019, is for the long TBA position only.</w:t>
      </w:r>
    </w:p>
    <w:p>
      <w:pPr>
        <w:spacing w:after="0" w:line="5" w:lineRule="exact"/>
        <w:rPr>
          <w:rFonts w:ascii="Arial" w:cs="Arial" w:eastAsia="Arial" w:hAnsi="Arial"/>
          <w:sz w:val="16"/>
          <w:szCs w:val="16"/>
          <w:color w:val="auto"/>
        </w:rPr>
      </w:pP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Includes forward starting swaps not yet in effect as of reported period-end.</w:t>
      </w:r>
    </w:p>
    <w:p>
      <w:pPr>
        <w:spacing w:after="0" w:line="5" w:lineRule="exact"/>
        <w:rPr>
          <w:rFonts w:ascii="Arial" w:cs="Arial" w:eastAsia="Arial" w:hAnsi="Arial"/>
          <w:sz w:val="16"/>
          <w:szCs w:val="16"/>
          <w:color w:val="auto"/>
        </w:rPr>
      </w:pPr>
    </w:p>
    <w:p>
      <w:pPr>
        <w:ind w:left="340" w:hanging="332"/>
        <w:spacing w:after="0" w:line="246"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Annualized Q4 2018 and Q3 2018 operating expenses exclude the non-recurring write-off of the intangible asset and other expenses associated with sale of MTGE Investment Corp. and the resulting termination of the Company's management agreement with MTGE.</w:t>
      </w:r>
    </w:p>
    <w:p>
      <w:pPr>
        <w:ind w:left="340" w:hanging="332"/>
        <w:spacing w:after="0" w:line="260"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Economic return (loss) on tangible common equity represents the sum of the change in tangible net book value per common share and dividends declared on common stock during the period over the beginning tangible net book value per common share.</w:t>
      </w:r>
    </w:p>
    <w:p>
      <w:pPr>
        <w:spacing w:after="0" w:line="14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STOCKHOLDER CALL</w:t>
      </w:r>
    </w:p>
    <w:p>
      <w:pPr>
        <w:spacing w:after="0" w:line="192"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 xml:space="preserve">AGNC invites stockholders, prospective stockholders and analysts to attend the AGNC stockholder call on October 31, 2019 at 8:30 am ET. Interested persons who do not plan on asking a question and have internet access are encouraged to utilize the free live webcast at </w:t>
      </w:r>
      <w:r>
        <w:rPr>
          <w:rFonts w:ascii="Arial" w:cs="Arial" w:eastAsia="Arial" w:hAnsi="Arial"/>
          <w:sz w:val="22"/>
          <w:szCs w:val="22"/>
          <w:u w:val="single" w:color="auto"/>
          <w:color w:val="0563C1"/>
        </w:rPr>
        <w:t>www.AGNC.com</w:t>
      </w:r>
      <w:r>
        <w:rPr>
          <w:rFonts w:ascii="Arial" w:cs="Arial" w:eastAsia="Arial" w:hAnsi="Arial"/>
          <w:sz w:val="22"/>
          <w:szCs w:val="22"/>
          <w:color w:val="auto"/>
        </w:rPr>
        <w:t>. Those who plan on participating in the Q&amp;A or do not have internet available may access the call by dialing (877) 300-5922 (U.S. domestic) or (412) 902-6621 (international). Please advise the operator you are dialing in for the AGNC Investment Corp. stockholder call.</w:t>
      </w:r>
    </w:p>
    <w:p>
      <w:pPr>
        <w:spacing w:after="0" w:line="154" w:lineRule="exact"/>
        <w:rPr>
          <w:sz w:val="20"/>
          <w:szCs w:val="20"/>
          <w:color w:val="auto"/>
        </w:rPr>
      </w:pPr>
    </w:p>
    <w:p>
      <w:pPr>
        <w:jc w:val="both"/>
        <w:ind w:right="20"/>
        <w:spacing w:after="0" w:line="249" w:lineRule="auto"/>
        <w:rPr>
          <w:sz w:val="20"/>
          <w:szCs w:val="20"/>
          <w:color w:val="auto"/>
        </w:rPr>
      </w:pPr>
      <w:r>
        <w:rPr>
          <w:rFonts w:ascii="Arial" w:cs="Arial" w:eastAsia="Arial" w:hAnsi="Arial"/>
          <w:sz w:val="22"/>
          <w:szCs w:val="22"/>
          <w:color w:val="auto"/>
        </w:rPr>
        <w:t xml:space="preserve">A slide presentation will accompany the call and will be available at </w:t>
      </w:r>
      <w:r>
        <w:rPr>
          <w:rFonts w:ascii="Arial" w:cs="Arial" w:eastAsia="Arial" w:hAnsi="Arial"/>
          <w:sz w:val="22"/>
          <w:szCs w:val="22"/>
          <w:u w:val="single" w:color="auto"/>
          <w:color w:val="0563C1"/>
        </w:rPr>
        <w:t>www.AGNC.com</w:t>
      </w:r>
      <w:r>
        <w:rPr>
          <w:rFonts w:ascii="Arial" w:cs="Arial" w:eastAsia="Arial" w:hAnsi="Arial"/>
          <w:sz w:val="22"/>
          <w:szCs w:val="22"/>
          <w:color w:val="auto"/>
        </w:rPr>
        <w:t>. Select the Q3 2019 Earnings Presentation link to download and print the presentation in advance of the stockholder call.</w:t>
      </w:r>
    </w:p>
    <w:p>
      <w:pPr>
        <w:sectPr>
          <w:pgSz w:w="11900" w:h="16838" w:orient="portrait"/>
          <w:cols w:equalWidth="0" w:num="1">
            <w:col w:w="11420"/>
          </w:cols>
          <w:pgMar w:left="240" w:top="147" w:right="239" w:bottom="1440" w:gutter="0" w:footer="0" w:header="0"/>
        </w:sectPr>
      </w:pPr>
    </w:p>
    <w:bookmarkStart w:id="17" w:name="page18"/>
    <w:bookmarkEnd w:id="17"/>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15</w:t>
      </w:r>
    </w:p>
    <w:p>
      <w:pPr>
        <w:spacing w:after="0" w:line="200" w:lineRule="exact"/>
        <w:rPr>
          <w:sz w:val="20"/>
          <w:szCs w:val="20"/>
          <w:color w:val="auto"/>
        </w:rPr>
      </w:pPr>
    </w:p>
    <w:p>
      <w:pPr>
        <w:spacing w:after="0" w:line="209" w:lineRule="exact"/>
        <w:rPr>
          <w:sz w:val="20"/>
          <w:szCs w:val="20"/>
          <w:color w:val="auto"/>
        </w:rPr>
      </w:pPr>
    </w:p>
    <w:p>
      <w:pPr>
        <w:jc w:val="both"/>
        <w:spacing w:after="0" w:line="261" w:lineRule="auto"/>
        <w:rPr>
          <w:sz w:val="20"/>
          <w:szCs w:val="20"/>
          <w:color w:val="auto"/>
        </w:rPr>
      </w:pPr>
      <w:r>
        <w:rPr>
          <w:rFonts w:ascii="Arial" w:cs="Arial" w:eastAsia="Arial" w:hAnsi="Arial"/>
          <w:sz w:val="21"/>
          <w:szCs w:val="21"/>
          <w:color w:val="auto"/>
        </w:rPr>
        <w:t>An archived audio of the stockholder call combined with the slide presentation will be available on the AGNC website after the call on October 31, 2019. In addition, there will be a phone recording available one hour after the live call on October 31, 2019 through November 14, 2019. Those who are interested in hearing the recording of the presentation, can access it by dialing (877) 344-7529 (U.S. domestic) or (412) 317-0088 (international), passcode 10135532</w:t>
      </w:r>
      <w:r>
        <w:rPr>
          <w:rFonts w:ascii="Arial" w:cs="Arial" w:eastAsia="Arial" w:hAnsi="Arial"/>
          <w:sz w:val="21"/>
          <w:szCs w:val="21"/>
          <w:b w:val="1"/>
          <w:bCs w:val="1"/>
          <w:color w:val="auto"/>
        </w:rPr>
        <w:t>.</w:t>
      </w:r>
    </w:p>
    <w:p>
      <w:pPr>
        <w:spacing w:after="0" w:line="138" w:lineRule="exact"/>
        <w:rPr>
          <w:sz w:val="20"/>
          <w:szCs w:val="20"/>
          <w:color w:val="auto"/>
        </w:rPr>
      </w:pPr>
    </w:p>
    <w:p>
      <w:pPr>
        <w:spacing w:after="0"/>
        <w:rPr>
          <w:sz w:val="20"/>
          <w:szCs w:val="20"/>
          <w:color w:val="auto"/>
        </w:rPr>
      </w:pPr>
      <w:r>
        <w:rPr>
          <w:rFonts w:ascii="Arial" w:cs="Arial" w:eastAsia="Arial" w:hAnsi="Arial"/>
          <w:sz w:val="22"/>
          <w:szCs w:val="22"/>
          <w:color w:val="auto"/>
        </w:rPr>
        <w:t>For further information, please contact Investor Relations at (301) 968-9300 or IR@AGNC.com.</w:t>
      </w:r>
    </w:p>
    <w:p>
      <w:pPr>
        <w:spacing w:after="0" w:line="23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AGNC INVESTMENT CORP.</w:t>
      </w:r>
    </w:p>
    <w:p>
      <w:pPr>
        <w:spacing w:after="0" w:line="192"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 xml:space="preserve">AGNC Investment Corp. is an internally-managed real estate investment trust ("REIT") that invests primarily in residential mortgage-backed securities for which the principal and interest payments are guaranteed by a U.S. Government-sponsored enterprise or a U.S. Government agency. For further information, please refer to </w:t>
      </w:r>
      <w:r>
        <w:rPr>
          <w:rFonts w:ascii="Arial" w:cs="Arial" w:eastAsia="Arial" w:hAnsi="Arial"/>
          <w:sz w:val="22"/>
          <w:szCs w:val="22"/>
          <w:u w:val="single" w:color="auto"/>
          <w:color w:val="0563C1"/>
        </w:rPr>
        <w:t>www.AGNC.com</w:t>
      </w:r>
      <w:r>
        <w:rPr>
          <w:rFonts w:ascii="Arial" w:cs="Arial" w:eastAsia="Arial" w:hAnsi="Arial"/>
          <w:sz w:val="22"/>
          <w:szCs w:val="22"/>
          <w:color w:val="000000"/>
        </w:rPr>
        <w:t>.</w:t>
      </w:r>
    </w:p>
    <w:p>
      <w:pPr>
        <w:spacing w:after="0" w:line="22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FORWARD LOOKING STATEMENTS</w:t>
      </w:r>
    </w:p>
    <w:p>
      <w:pPr>
        <w:spacing w:after="0" w:line="192"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 xml:space="preserve">This press release contains forward-looking statements. Forward-looking statements are based on estimates, projections, beliefs and assumptions of management of the Company at the time of such statements and are not guarantees of future performance. Forward-looking statements involve risks and uncertainties in predicting future results and conditions. Actual results could differ materially from those projected in these forward-looking statements due to a variety of important factors, including, without limitation, changes in interest rates, changes in the yield curve, changes in prepayment rates, the availability and terms of financing, changes in the market value of the Company's assets, general economic conditions, market conditions, conditions in the market for Agency securities, and legislative and regulatory changes that could adversely affect the business of the Company. Certain factors that could cause actual results to differ materially from those contained in the forward-looking statements, are included in the Company's periodic reports filed with the Securities and Exchange Commission ("SEC"). Copies are available on the SEC's website, </w:t>
      </w:r>
      <w:r>
        <w:rPr>
          <w:rFonts w:ascii="Arial" w:cs="Arial" w:eastAsia="Arial" w:hAnsi="Arial"/>
          <w:sz w:val="22"/>
          <w:szCs w:val="22"/>
          <w:u w:val="single" w:color="auto"/>
          <w:color w:val="0563C1"/>
        </w:rPr>
        <w:t>www.sec.gov.</w:t>
      </w:r>
      <w:r>
        <w:rPr>
          <w:rFonts w:ascii="Arial" w:cs="Arial" w:eastAsia="Arial" w:hAnsi="Arial"/>
          <w:sz w:val="22"/>
          <w:szCs w:val="22"/>
          <w:color w:val="auto"/>
        </w:rPr>
        <w:t xml:space="preserve"> The Company disclaims any obligation to update or revise any forward-looking statements based on the occurrence of future events, the receipt of new information, or otherwise.</w:t>
      </w:r>
    </w:p>
    <w:p>
      <w:pPr>
        <w:spacing w:after="0" w:line="22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USE OF NON-GAAP FINANCIAL INFORMATION</w:t>
      </w:r>
    </w:p>
    <w:p>
      <w:pPr>
        <w:spacing w:after="0" w:line="192"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In addition to the results presented in accordance with GAAP, the Company's results of operations discussed in this release include certain non-GAAP financial information, including "net spread and dollar roll income," "net spread and dollar roll income, excluding 'catch-up' premium amortization," "economic interest income" and "economic interest expense" (both components of "net spread and dollar roll income"), "estimated taxable income" and the related per common share measures and certain financial metrics derived from such non-GAAP information, such as "cost of funds" and "net interest spread."</w:t>
      </w:r>
    </w:p>
    <w:p>
      <w:pPr>
        <w:spacing w:after="0" w:line="159"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"Net spread and dollar roll income" is measured as (i) net interest income (GAAP measure) adjusted to include TBA dollar roll income, interest rate swap periodic income/cost and other interest and dividend income (referred to as "adjusted net interest and dollar roll income"), plus (ii) management fee income (GAAP measure) and less (iii) total operating expense (GAAP measure), which are adjusted to exclude non-recurring termination fee income and one-time expenses associated with the termination of the Company's management agreement with MTGE Investment Corp. "Net spread and dollar roll income, excluding 'catch-up' premium amortization," further excludes retrospective</w:t>
      </w:r>
    </w:p>
    <w:p>
      <w:pPr>
        <w:sectPr>
          <w:pgSz w:w="11900" w:h="16838" w:orient="portrait"/>
          <w:cols w:equalWidth="0" w:num="1">
            <w:col w:w="11420"/>
          </w:cols>
          <w:pgMar w:left="240" w:top="147" w:right="239" w:bottom="1440" w:gutter="0" w:footer="0" w:header="0"/>
        </w:sectPr>
      </w:pPr>
    </w:p>
    <w:bookmarkStart w:id="18" w:name="page19"/>
    <w:bookmarkEnd w:id="18"/>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October 30,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16</w:t>
      </w: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color w:val="auto"/>
        </w:rPr>
        <w:t>"catch-up" adjustments to premium amortization cost or benefit due to changes in projected CPR estimates.</w:t>
      </w:r>
    </w:p>
    <w:p>
      <w:pPr>
        <w:spacing w:after="0" w:line="166"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By providing users of the Company's financial information with such measures in addition to the related GAAP measures, the Company believes users will have greater transparency into the information used by the Company's management in its financial and operational decision-making. The Company also believes that it is important for users of its financial information to consider information related to the Company's current financial performance without the effects of certain transactions that are not necessarily indicative of its current investment portfolio performance and operations.</w:t>
      </w:r>
    </w:p>
    <w:p>
      <w:pPr>
        <w:spacing w:after="0" w:line="159" w:lineRule="exact"/>
        <w:rPr>
          <w:sz w:val="20"/>
          <w:szCs w:val="20"/>
          <w:color w:val="auto"/>
        </w:rPr>
      </w:pPr>
    </w:p>
    <w:p>
      <w:pPr>
        <w:jc w:val="both"/>
        <w:spacing w:after="0" w:line="243" w:lineRule="auto"/>
        <w:rPr>
          <w:sz w:val="20"/>
          <w:szCs w:val="20"/>
          <w:color w:val="auto"/>
        </w:rPr>
      </w:pPr>
      <w:r>
        <w:rPr>
          <w:rFonts w:ascii="Arial" w:cs="Arial" w:eastAsia="Arial" w:hAnsi="Arial"/>
          <w:sz w:val="22"/>
          <w:szCs w:val="22"/>
          <w:color w:val="auto"/>
        </w:rPr>
        <w:t>Specifically, in the case of "adjusted net interest and dollar roll income," the Company believes the inclusion of TBA dollar roll income is meaningful as TBAs, which are accounted for under GAAP as derivative instruments with gains and losses recognized in other gain (loss) in the Company’s statement of operations, are economically equivalent to holding and financing generic Agency MBS using short-term repurchase agreements. Similarly, the Company believes that the inclusion of periodic interest rate swap settlements in such measure, which are recognized under GAAP in other gain (loss), is meaningful as interest rate swaps are the primary instrument the Company uses to economically hedge against fluctuations in the Company’s borrowing costs and inclusion of periodic interest rate swap settlements is more indicative of the Company’s total cost of funds than interest expense alone. In the case of "net spread and dollar roll income, excluding 'catch-up' premium amortization," the Company believes the exclusion of "catch-up" adjustments to premium amortization cost is meaningful as it excludes the cumulative effect from prior reporting periods due to current changes in future prepayment expectations and, therefore, exclusion of such "catch-up" cost or benefit is more indicative of the current earnings potential of the Company’s investment portfolio. In the case of estimated taxable income, the Company believes it is meaningful information as it is directly related to the amount of dividends the Company is required to distribute in order to maintain its REIT qualification status.</w:t>
      </w:r>
    </w:p>
    <w:p>
      <w:pPr>
        <w:spacing w:after="0" w:line="169"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However, because such measures are incomplete measures of the Company's financial performance and involve differences from results computed in accordance with GAAP, they should be considered as supplementary to, and not as a substitute for, results computed in accordance with GAAP. In addition, because not all companies use identical calculations, the Company's presentation of such non-GAAP measures may not be comparable to other similarly-titled measures of other companies. Furthermore, estimated taxable income can include certain information that is subject to potential adjustments up to the time of filing the Company's income tax returns, which occurs after the end of its fiscal year.</w:t>
      </w:r>
    </w:p>
    <w:p>
      <w:pPr>
        <w:spacing w:after="0" w:line="158" w:lineRule="exact"/>
        <w:rPr>
          <w:sz w:val="20"/>
          <w:szCs w:val="20"/>
          <w:color w:val="auto"/>
        </w:rPr>
      </w:pPr>
    </w:p>
    <w:p>
      <w:pPr>
        <w:jc w:val="both"/>
        <w:ind w:right="20"/>
        <w:spacing w:after="0" w:line="246" w:lineRule="auto"/>
        <w:rPr>
          <w:sz w:val="20"/>
          <w:szCs w:val="20"/>
          <w:color w:val="auto"/>
        </w:rPr>
      </w:pPr>
      <w:r>
        <w:rPr>
          <w:rFonts w:ascii="Arial" w:cs="Arial" w:eastAsia="Arial" w:hAnsi="Arial"/>
          <w:sz w:val="22"/>
          <w:szCs w:val="22"/>
          <w:color w:val="auto"/>
        </w:rPr>
        <w:t>A reconciliation of GAAP net interest income to non-GAAP "net spread and dollar roll income, excluding 'catch-up' premium amortization" and a reconciliation of GAAP net income to non-GAAP "estimated taxable income" is included in this release.</w:t>
      </w:r>
    </w:p>
    <w:sectPr>
      <w:pgSz w:w="11900" w:h="16838" w:orient="portrait"/>
      <w:cols w:equalWidth="0" w:num="1">
        <w:col w:w="11420"/>
      </w:cols>
      <w:pgMar w:left="240" w:top="14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lowerLetter"/>
      <w:start w:val="1"/>
    </w:lvl>
  </w:abstractNum>
  <w:abstractNum w:abstractNumId="1">
    <w:nsid w:val="3D1B58BA"/>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2">
    <w:nsid w:val="507ED7AB"/>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3">
    <w:nsid w:val="2EB141F2"/>
    <w:multiLevelType w:val="hybridMultilevel"/>
    <w:lvl w:ilvl="0">
      <w:lvlJc w:val="left"/>
      <w:lvlText w:val="%1."/>
      <w:numFmt w:val="decimal"/>
      <w:start w:val="1"/>
    </w:lvl>
  </w:abstractNum>
  <w:abstractNum w:abstractNumId="4">
    <w:nsid w:val="41B71EFB"/>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5">
    <w:nsid w:val="79E2A9E3"/>
    <w:multiLevelType w:val="hybridMultilevel"/>
    <w:lvl w:ilvl="0">
      <w:lvlJc w:val="left"/>
      <w:lvlText w:val="•"/>
      <w:numFmt w:val="bullet"/>
      <w:start w:val="1"/>
    </w:lvl>
  </w:abstractNum>
  <w:abstractNum w:abstractNumId="6">
    <w:nsid w:val="7545E146"/>
    <w:multiLevelType w:val="hybridMultilevel"/>
    <w:lvl w:ilvl="0">
      <w:lvlJc w:val="left"/>
      <w:lvlText w:val="•"/>
      <w:numFmt w:val="bullet"/>
      <w:start w:val="1"/>
    </w:lvl>
  </w:abstractNum>
  <w:abstractNum w:abstractNumId="7">
    <w:nsid w:val="515F007C"/>
    <w:multiLevelType w:val="hybridMultilevel"/>
    <w:lvl w:ilvl="0">
      <w:lvlJc w:val="left"/>
      <w:lvlText w:val="•"/>
      <w:numFmt w:val="bullet"/>
      <w:start w:val="1"/>
    </w:lvl>
  </w:abstractNum>
  <w:abstractNum w:abstractNumId="8">
    <w:nsid w:val="5BD062C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2019-12-28T03:49:10Z</dcterms:created>
  <dcterms:modified xsi:type="dcterms:W3CDTF">2019-12-28T03:49:10Z</dcterms:modified>
</cp:coreProperties>
</file>