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3"/>
                <w:szCs w:val="13"/>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0" w:type="dxa"/>
            <w:vAlign w:val="bottom"/>
          </w:tcPr>
          <w:p>
            <w:pPr>
              <w:spacing w:after="0"/>
              <w:rPr>
                <w:sz w:val="1"/>
                <w:szCs w:val="1"/>
                <w:color w:val="auto"/>
              </w:rPr>
            </w:pPr>
          </w:p>
        </w:tc>
      </w:tr>
      <w:tr>
        <w:trPr>
          <w:trHeight w:val="229"/>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305"/>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0" w:type="dxa"/>
            <w:vAlign w:val="bottom"/>
          </w:tcPr>
          <w:p>
            <w:pPr>
              <w:spacing w:after="0"/>
              <w:rPr>
                <w:sz w:val="1"/>
                <w:szCs w:val="1"/>
                <w:color w:val="auto"/>
              </w:rPr>
            </w:pPr>
          </w:p>
        </w:tc>
      </w:tr>
      <w:tr>
        <w:trPr>
          <w:trHeight w:val="221"/>
        </w:trPr>
        <w:tc>
          <w:tcPr>
            <w:tcW w:w="1120" w:type="dxa"/>
            <w:vAlign w:val="bottom"/>
            <w:vMerge w:val="continue"/>
          </w:tcPr>
          <w:p>
            <w:pPr>
              <w:spacing w:after="0"/>
              <w:rPr>
                <w:sz w:val="19"/>
                <w:szCs w:val="19"/>
                <w:color w:val="auto"/>
              </w:rPr>
            </w:pPr>
          </w:p>
        </w:tc>
        <w:tc>
          <w:tcPr>
            <w:tcW w:w="8120" w:type="dxa"/>
            <w:vAlign w:val="bottom"/>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w w:val="99"/>
              </w:rPr>
              <w:t>ANNUAL REPORT PURSUANT TO SECTION 13 OR 15(D) OF THE SECURITIES EXCHANGE ACT OF 1934</w:t>
            </w:r>
          </w:p>
        </w:tc>
        <w:tc>
          <w:tcPr>
            <w:tcW w:w="0" w:type="dxa"/>
            <w:vAlign w:val="bottom"/>
          </w:tcPr>
          <w:p>
            <w:pPr>
              <w:spacing w:after="0"/>
              <w:rPr>
                <w:sz w:val="1"/>
                <w:szCs w:val="1"/>
                <w:color w:val="auto"/>
              </w:rPr>
            </w:pPr>
          </w:p>
        </w:tc>
      </w:tr>
      <w:tr>
        <w:trPr>
          <w:trHeight w:val="251"/>
        </w:trPr>
        <w:tc>
          <w:tcPr>
            <w:tcW w:w="1120" w:type="dxa"/>
            <w:vAlign w:val="bottom"/>
          </w:tcPr>
          <w:p>
            <w:pPr>
              <w:spacing w:after="0"/>
              <w:rPr>
                <w:sz w:val="21"/>
                <w:szCs w:val="21"/>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0" w:type="dxa"/>
            <w:vAlign w:val="bottom"/>
          </w:tcPr>
          <w:p>
            <w:pPr>
              <w:spacing w:after="0"/>
              <w:rPr>
                <w:sz w:val="1"/>
                <w:szCs w:val="1"/>
                <w:color w:val="auto"/>
              </w:rPr>
            </w:pPr>
          </w:p>
        </w:tc>
      </w:tr>
      <w:tr>
        <w:trPr>
          <w:trHeight w:val="184"/>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5"/>
              </w:rPr>
              <w:t>OR</w:t>
            </w: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81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66"/>
        </w:trPr>
        <w:tc>
          <w:tcPr>
            <w:tcW w:w="1120" w:type="dxa"/>
            <w:vAlign w:val="bottom"/>
          </w:tcPr>
          <w:p>
            <w:pPr>
              <w:spacing w:after="0"/>
              <w:rPr>
                <w:sz w:val="23"/>
                <w:szCs w:val="23"/>
                <w:color w:val="auto"/>
              </w:rPr>
            </w:pPr>
          </w:p>
        </w:tc>
        <w:tc>
          <w:tcPr>
            <w:tcW w:w="812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280670</wp:posOffset>
            </wp:positionH>
            <wp:positionV relativeFrom="page">
              <wp:posOffset>503555</wp:posOffset>
            </wp:positionV>
            <wp:extent cx="6995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page">
              <wp:posOffset>280670</wp:posOffset>
            </wp:positionH>
            <wp:positionV relativeFrom="page">
              <wp:posOffset>470535</wp:posOffset>
            </wp:positionV>
            <wp:extent cx="6995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106045</wp:posOffset>
            </wp:positionV>
            <wp:extent cx="1842135" cy="556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135" cy="556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ectPr>
          <w:pgSz w:w="11900" w:h="16838" w:orient="portrait"/>
          <w:cols w:equalWidth="0" w:num="1">
            <w:col w:w="11240"/>
          </w:cols>
          <w:pgMar w:left="320" w:top="877" w:right="339" w:bottom="1440" w:gutter="0" w:footer="0" w:header="0"/>
        </w:sectPr>
      </w:pPr>
    </w:p>
    <w:p>
      <w:pPr>
        <w:spacing w:after="0" w:line="27"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3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5"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7373 Wisconsin Avenue, 22nd Floor</w:t>
      </w:r>
    </w:p>
    <w:p>
      <w:pPr>
        <w:spacing w:after="0" w:line="23"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Bethesda, Maryland 20814</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(301) 968-9315</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0" w:type="dxa"/>
            <w:vAlign w:val="bottom"/>
          </w:tcPr>
          <w:p>
            <w:pPr>
              <w:spacing w:after="0"/>
              <w:rPr>
                <w:sz w:val="1"/>
                <w:szCs w:val="1"/>
                <w:color w:val="auto"/>
              </w:rPr>
            </w:pPr>
          </w:p>
        </w:tc>
      </w:tr>
      <w:tr>
        <w:trPr>
          <w:trHeight w:val="148"/>
        </w:trPr>
        <w:tc>
          <w:tcPr>
            <w:tcW w:w="574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w w:val="99"/>
              </w:rPr>
              <w:t>Depositary shares of 7.000% Series C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AGNCN</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6.875% Series D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AGNCM</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6.50% Series E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AGNCO</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6.125% Series F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AGNCP</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7.75% Series G Fixed-Rate Reset Cumulative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AGNCL</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26-1701984</w:t>
      </w:r>
    </w:p>
    <w:p>
      <w:pPr>
        <w:spacing w:after="0" w:line="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-443230</wp:posOffset>
            </wp:positionH>
            <wp:positionV relativeFrom="paragraph">
              <wp:posOffset>36830</wp:posOffset>
            </wp:positionV>
            <wp:extent cx="2439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2"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0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76" w:lineRule="exact"/>
        <w:rPr>
          <w:sz w:val="24"/>
          <w:szCs w:val="24"/>
          <w:color w:val="auto"/>
        </w:rPr>
      </w:pPr>
    </w:p>
    <w:p>
      <w:pPr>
        <w:sectPr>
          <w:pgSz w:w="11900" w:h="16838" w:orient="portrait"/>
          <w:cols w:equalWidth="0" w:num="2">
            <w:col w:w="7380" w:space="720"/>
            <w:col w:w="3140"/>
          </w:cols>
          <w:pgMar w:left="320" w:top="877" w:right="339" w:bottom="1440" w:gutter="0" w:footer="0" w:header="0"/>
          <w:type w:val="continuous"/>
        </w:sectPr>
      </w:pPr>
    </w:p>
    <w:p>
      <w:pPr>
        <w:ind w:left="38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2" w:lineRule="exact"/>
        <w:rPr>
          <w:sz w:val="24"/>
          <w:szCs w:val="24"/>
          <w:color w:val="auto"/>
        </w:rPr>
      </w:pPr>
    </w:p>
    <w:p>
      <w:pPr>
        <w:ind w:left="320"/>
        <w:spacing w:after="0" w:line="161" w:lineRule="exact"/>
        <w:tabs>
          <w:tab w:leader="none" w:pos="6980" w:val="left"/>
          <w:tab w:leader="none" w:pos="74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ind w:left="320"/>
        <w:spacing w:after="0" w:line="161" w:lineRule="exact"/>
        <w:tabs>
          <w:tab w:leader="none" w:pos="664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 w:lineRule="exact"/>
        <w:rPr>
          <w:sz w:val="24"/>
          <w:szCs w:val="24"/>
          <w:color w:val="auto"/>
        </w:rPr>
      </w:pPr>
    </w:p>
    <w:p>
      <w:pPr>
        <w:ind w:right="40" w:firstLine="314"/>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jc w:val="both"/>
        <w:ind w:firstLine="314"/>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0" w:firstLine="314"/>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0"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p>
      <w:pPr>
        <w:ind w:left="2300"/>
        <w:spacing w:after="0" w:line="161" w:lineRule="exact"/>
        <w:tabs>
          <w:tab w:leader="none" w:pos="4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18" w:lineRule="exact"/>
        <w:rPr>
          <w:sz w:val="24"/>
          <w:szCs w:val="24"/>
          <w:color w:val="auto"/>
        </w:rPr>
      </w:pPr>
    </w:p>
    <w:p>
      <w:pPr>
        <w:ind w:right="240" w:firstLine="314"/>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100" w:firstLine="314"/>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60" w:firstLine="314"/>
        <w:spacing w:after="0" w:line="15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14"/>
        <w:spacing w:after="0" w:line="15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760" w:val="left"/>
          <w:tab w:leader="none" w:pos="7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4" w:lineRule="exact"/>
        <w:rPr>
          <w:sz w:val="24"/>
          <w:szCs w:val="24"/>
          <w:color w:val="auto"/>
        </w:rPr>
      </w:pPr>
    </w:p>
    <w:p>
      <w:pPr>
        <w:jc w:val="both"/>
        <w:ind w:firstLine="314"/>
        <w:spacing w:after="0" w:line="248" w:lineRule="auto"/>
        <w:rPr>
          <w:sz w:val="20"/>
          <w:szCs w:val="20"/>
          <w:color w:val="auto"/>
        </w:rPr>
      </w:pPr>
      <w:r>
        <w:rPr>
          <w:rFonts w:ascii="Times New Roman" w:cs="Times New Roman" w:eastAsia="Times New Roman" w:hAnsi="Times New Roman"/>
          <w:sz w:val="14"/>
          <w:szCs w:val="14"/>
          <w:color w:val="auto"/>
        </w:rPr>
        <w:t>As of June 30, 2023, the aggregate market value of the Registrant's common stock held by non-affiliates of the Registrant was approximately $5.2 billion based upon the closing price of the Registrant's common stock of $10.13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number of shares of the issuer's common stock, $0.01 par value, outstanding as of January 31, 2024 was 695,015,141.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361950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ind w:firstLine="314"/>
        <w:spacing w:after="0" w:line="262" w:lineRule="auto"/>
        <w:rPr>
          <w:sz w:val="20"/>
          <w:szCs w:val="20"/>
          <w:color w:val="auto"/>
        </w:rPr>
      </w:pPr>
      <w:r>
        <w:rPr>
          <w:rFonts w:ascii="Times New Roman" w:cs="Times New Roman" w:eastAsia="Times New Roman" w:hAnsi="Times New Roman"/>
          <w:sz w:val="14"/>
          <w:szCs w:val="14"/>
          <w:color w:val="auto"/>
        </w:rPr>
        <w:t>DOCUMENTS INCORPORATED BY REFERENCE. The information required by Part III will be incorporated by reference from the Registrant's definitive proxy statement for the 2024 Annual Meeting of Stockholders to be filed with the Securities and Exchange Commission pursuant to Regulation 14A.</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exhibits previously filed with the Securities and Exchange Commission are incorporated by reference into Part IV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53975</wp:posOffset>
            </wp:positionV>
            <wp:extent cx="699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20320</wp:posOffset>
            </wp:positionV>
            <wp:extent cx="6995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AGNC INVESTMENT CORP.</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60" w:type="dxa"/>
            <w:vAlign w:val="bottom"/>
            <w:tcBorders>
              <w:top w:val="single" w:sz="8" w:color="0000FF"/>
            </w:tcBorders>
          </w:tcPr>
          <w:p>
            <w:pPr>
              <w:spacing w:after="0"/>
              <w:rPr>
                <w:sz w:val="17"/>
                <w:szCs w:val="17"/>
                <w:color w:val="auto"/>
              </w:rPr>
            </w:pPr>
          </w:p>
        </w:tc>
        <w:tc>
          <w:tcPr>
            <w:tcW w:w="480" w:type="dxa"/>
            <w:vAlign w:val="bottom"/>
            <w:gridSpan w:val="5"/>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w w:val="89"/>
              </w:rPr>
              <w:t>Business</w:t>
            </w:r>
          </w:p>
        </w:tc>
        <w:tc>
          <w:tcPr>
            <w:tcW w:w="8840" w:type="dxa"/>
            <w:vAlign w:val="bottom"/>
            <w:gridSpan w:val="17"/>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3"/>
              </w:rPr>
              <w:t>2</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3"/>
              </w:rPr>
              <w:t>7</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1B.</w:t>
            </w:r>
          </w:p>
        </w:tc>
        <w:tc>
          <w:tcPr>
            <w:tcW w:w="460" w:type="dxa"/>
            <w:vAlign w:val="bottom"/>
            <w:gridSpan w:val="4"/>
          </w:tcPr>
          <w:p>
            <w:pPr>
              <w:spacing w:after="0"/>
              <w:rPr>
                <w:sz w:val="17"/>
                <w:szCs w:val="17"/>
                <w:color w:val="auto"/>
              </w:rPr>
            </w:pPr>
          </w:p>
        </w:tc>
        <w:tc>
          <w:tcPr>
            <w:tcW w:w="1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440" w:type="dxa"/>
            <w:vAlign w:val="bottom"/>
            <w:gridSpan w:val="9"/>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21</w:t>
            </w:r>
          </w:p>
        </w:tc>
      </w:tr>
      <w:tr>
        <w:trPr>
          <w:trHeight w:val="20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1C.</w:t>
            </w:r>
          </w:p>
        </w:tc>
        <w:tc>
          <w:tcPr>
            <w:tcW w:w="460" w:type="dxa"/>
            <w:vAlign w:val="bottom"/>
            <w:gridSpan w:val="4"/>
          </w:tcPr>
          <w:p>
            <w:pPr>
              <w:spacing w:after="0"/>
              <w:rPr>
                <w:sz w:val="17"/>
                <w:szCs w:val="17"/>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8440" w:type="dxa"/>
            <w:vAlign w:val="bottom"/>
            <w:gridSpan w:val="14"/>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21</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7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23</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Selected Financial Data</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7A.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2760" w:type="dxa"/>
            <w:vAlign w:val="bottom"/>
            <w:tcBorders>
              <w:top w:val="single" w:sz="8" w:color="0000FF"/>
            </w:tcBorders>
            <w:gridSpan w:val="6"/>
          </w:tcPr>
          <w:p>
            <w:pPr>
              <w:spacing w:after="0"/>
              <w:rPr>
                <w:sz w:val="17"/>
                <w:szCs w:val="17"/>
                <w:color w:val="auto"/>
              </w:rPr>
            </w:pPr>
          </w:p>
        </w:tc>
        <w:tc>
          <w:tcPr>
            <w:tcW w:w="5200" w:type="dxa"/>
            <w:vAlign w:val="bottom"/>
            <w:gridSpan w:val="6"/>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47</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9A.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9B.</w:t>
            </w:r>
          </w:p>
        </w:tc>
        <w:tc>
          <w:tcPr>
            <w:tcW w:w="460" w:type="dxa"/>
            <w:vAlign w:val="bottom"/>
            <w:gridSpan w:val="4"/>
          </w:tcPr>
          <w:p>
            <w:pPr>
              <w:spacing w:after="0"/>
              <w:rPr>
                <w:sz w:val="17"/>
                <w:szCs w:val="17"/>
                <w:color w:val="auto"/>
              </w:rPr>
            </w:pPr>
          </w:p>
        </w:tc>
        <w:tc>
          <w:tcPr>
            <w:tcW w:w="1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780" w:type="dxa"/>
            <w:vAlign w:val="bottom"/>
            <w:gridSpan w:val="11"/>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Item 10.</w:t>
            </w:r>
          </w:p>
        </w:tc>
        <w:tc>
          <w:tcPr>
            <w:tcW w:w="360" w:type="dxa"/>
            <w:vAlign w:val="bottom"/>
            <w:gridSpan w:val="2"/>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460" w:type="dxa"/>
            <w:vAlign w:val="bottom"/>
            <w:gridSpan w:val="4"/>
          </w:tcPr>
          <w:p>
            <w:pPr>
              <w:spacing w:after="0"/>
              <w:rPr>
                <w:sz w:val="17"/>
                <w:szCs w:val="17"/>
                <w:color w:val="auto"/>
              </w:rPr>
            </w:pPr>
          </w:p>
        </w:tc>
        <w:tc>
          <w:tcPr>
            <w:tcW w:w="39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460" w:type="dxa"/>
            <w:vAlign w:val="bottom"/>
            <w:gridSpan w:val="7"/>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12.</w:t>
            </w:r>
          </w:p>
        </w:tc>
        <w:tc>
          <w:tcPr>
            <w:tcW w:w="380" w:type="dxa"/>
            <w:vAlign w:val="bottom"/>
            <w:gridSpan w:val="3"/>
          </w:tcPr>
          <w:p>
            <w:pPr>
              <w:spacing w:after="0"/>
              <w:rPr>
                <w:sz w:val="17"/>
                <w:szCs w:val="17"/>
                <w:color w:val="auto"/>
              </w:rPr>
            </w:pPr>
          </w:p>
        </w:tc>
        <w:tc>
          <w:tcPr>
            <w:tcW w:w="7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36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2"/>
        </w:trPr>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13.</w:t>
            </w:r>
          </w:p>
        </w:tc>
        <w:tc>
          <w:tcPr>
            <w:tcW w:w="380" w:type="dxa"/>
            <w:vAlign w:val="bottom"/>
            <w:gridSpan w:val="3"/>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2"/>
        </w:trPr>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14.</w:t>
            </w:r>
          </w:p>
        </w:tc>
        <w:tc>
          <w:tcPr>
            <w:tcW w:w="380" w:type="dxa"/>
            <w:vAlign w:val="bottom"/>
            <w:gridSpan w:val="3"/>
          </w:tcPr>
          <w:p>
            <w:pPr>
              <w:spacing w:after="0"/>
              <w:rPr>
                <w:sz w:val="17"/>
                <w:szCs w:val="17"/>
                <w:color w:val="auto"/>
              </w:rPr>
            </w:pPr>
          </w:p>
        </w:tc>
        <w:tc>
          <w:tcPr>
            <w:tcW w:w="5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4160" w:type="dxa"/>
            <w:vAlign w:val="bottom"/>
            <w:gridSpan w:val="5"/>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3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IV.</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15.</w:t>
            </w:r>
          </w:p>
        </w:tc>
        <w:tc>
          <w:tcPr>
            <w:tcW w:w="380" w:type="dxa"/>
            <w:vAlign w:val="bottom"/>
            <w:gridSpan w:val="3"/>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80"/>
          </w:cols>
          <w:pgMar w:left="340" w:top="864" w:right="9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7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9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21"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7"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Management Strategy</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Our portfolio management philosophy is based upon the following core objectives:</w:t>
      </w:r>
    </w:p>
    <w:p>
      <w:pPr>
        <w:spacing w:after="0" w:line="57" w:lineRule="exact"/>
        <w:rPr>
          <w:sz w:val="20"/>
          <w:szCs w:val="20"/>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attractive risk-adjusted returns for our stockholders primarily through monthly dividend distributions;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 investment portfolio consisting predominantly of Agency RMBS;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 on discrepancies in the relative valuations in the Agency and non-Agency securities market;</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financing, interest rate, prepayment, extension and credit risks;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 as a REIT; and</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exempt from the requirements of the Investment Company Act of 1940 (the "Investment Company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Targeted Investments</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Asset selection is a central component of our overall investment approach. Our investments consist predominantly of Agency RMBS which, in addition to carrying a GSE or U.S. Government guarantee against loss of principal, are considered a cornerstone of the U.S. financial system. The $9 trillion Agency market plays a vital role in providing liquidity to homeowners and prospective homeowners to purchase or refinance homes.</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team of investment professionals has decades of experience investing in Agency RMBS. Our asset selection process involves assessing relative risk-return profiles against the backdrop of broader market conditions. Our team of investment professionals seeks to select assets with favorable underlying loan characteristics utilizing sophisticated modeling techniques to analyze each asset’s risk profile and optimize returns over the life of the investment.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Agency Securities</w:t>
      </w:r>
    </w:p>
    <w:p>
      <w:pPr>
        <w:spacing w:after="0" w:line="172" w:lineRule="exact"/>
        <w:rPr>
          <w:sz w:val="20"/>
          <w:szCs w:val="20"/>
          <w:color w:val="auto"/>
        </w:rPr>
      </w:pPr>
    </w:p>
    <w:p>
      <w:pPr>
        <w:jc w:val="both"/>
        <w:ind w:left="740" w:hanging="304"/>
        <w:spacing w:after="0" w:line="267" w:lineRule="auto"/>
        <w:tabs>
          <w:tab w:leader="none" w:pos="7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Agency Residential Mortgage-Backed Securities. </w:t>
      </w:r>
      <w:r>
        <w:rPr>
          <w:rFonts w:ascii="Times New Roman" w:cs="Times New Roman" w:eastAsia="Times New Roman" w:hAnsi="Times New Roman"/>
          <w:sz w:val="17"/>
          <w:szCs w:val="17"/>
          <w:color w:val="auto"/>
        </w:rPr>
        <w:t>Agency RMBS consist of pass-through certificates representing interests in "pools" of mortgage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may also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ind w:left="740"/>
        <w:spacing w:after="0" w:line="295" w:lineRule="auto"/>
        <w:rPr>
          <w:sz w:val="20"/>
          <w:szCs w:val="20"/>
          <w:color w:val="auto"/>
        </w:rPr>
      </w:pPr>
      <w:r>
        <w:rPr>
          <w:rFonts w:ascii="Times New Roman" w:cs="Times New Roman" w:eastAsia="Times New Roman" w:hAnsi="Times New Roman"/>
          <w:sz w:val="17"/>
          <w:szCs w:val="17"/>
          <w:color w:val="auto"/>
        </w:rPr>
        <w:t>invest in Agency collateralized mortgage obligations ("CMOs"), which are structured instruments backed by a pool of Agency mortgage-backed securities.</w:t>
      </w:r>
    </w:p>
    <w:p>
      <w:pPr>
        <w:spacing w:after="0" w:line="92" w:lineRule="exact"/>
        <w:rPr>
          <w:sz w:val="20"/>
          <w:szCs w:val="20"/>
          <w:color w:val="auto"/>
        </w:rPr>
      </w:pPr>
    </w:p>
    <w:p>
      <w:pPr>
        <w:jc w:val="both"/>
        <w:ind w:left="740" w:hanging="304"/>
        <w:spacing w:after="0" w:line="277" w:lineRule="auto"/>
        <w:tabs>
          <w:tab w:leader="none" w:pos="7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To-Be-Announced Forward Contracts ("TBAs"). </w:t>
      </w:r>
      <w:r>
        <w:rPr>
          <w:rFonts w:ascii="Times New Roman" w:cs="Times New Roman" w:eastAsia="Times New Roman" w:hAnsi="Times New Roman"/>
          <w:sz w:val="17"/>
          <w:szCs w:val="17"/>
          <w:color w:val="auto"/>
        </w:rPr>
        <w:t>TBAs are forward contracts to purchase or sell Agency RMBS in the TBA market. TBA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specify the coupon rate, issuer, term and face value of the bonds to be delivered, with the actual bonds to be delivered only identified shortly before the TBA settlement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Non-Agency Securities</w:t>
      </w:r>
    </w:p>
    <w:p>
      <w:pPr>
        <w:spacing w:after="0" w:line="172" w:lineRule="exact"/>
        <w:rPr>
          <w:sz w:val="20"/>
          <w:szCs w:val="20"/>
          <w:color w:val="auto"/>
        </w:rPr>
      </w:pPr>
    </w:p>
    <w:p>
      <w:pPr>
        <w:jc w:val="both"/>
        <w:ind w:left="740" w:hanging="265"/>
        <w:spacing w:after="0" w:line="270" w:lineRule="auto"/>
        <w:tabs>
          <w:tab w:leader="none" w:pos="7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Credit Risk Transfer ("CRT") Securities. </w:t>
      </w:r>
      <w:r>
        <w:rPr>
          <w:rFonts w:ascii="Times New Roman" w:cs="Times New Roman" w:eastAsia="Times New Roman" w:hAnsi="Times New Roman"/>
          <w:sz w:val="17"/>
          <w:szCs w:val="17"/>
          <w:color w:val="auto"/>
        </w:rPr>
        <w:t>CRT securities are risk sharing instruments that transfer a portion of the risk associated with credit losses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pools of conventional residential mortgage loans from the GSEs and/or third- 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13" w:lineRule="exact"/>
        <w:rPr>
          <w:rFonts w:ascii="Times New Roman" w:cs="Times New Roman" w:eastAsia="Times New Roman" w:hAnsi="Times New Roman"/>
          <w:sz w:val="17"/>
          <w:szCs w:val="17"/>
          <w:color w:val="auto"/>
        </w:rPr>
      </w:pPr>
    </w:p>
    <w:p>
      <w:pPr>
        <w:jc w:val="both"/>
        <w:ind w:left="740" w:hanging="265"/>
        <w:spacing w:after="0" w:line="255" w:lineRule="auto"/>
        <w:tabs>
          <w:tab w:leader="none" w:pos="733" w:val="left"/>
        </w:tabs>
        <w:numPr>
          <w:ilvl w:val="0"/>
          <w:numId w:val="4"/>
        </w:numPr>
        <w:rPr>
          <w:rFonts w:ascii="Calibri" w:cs="Calibri" w:eastAsia="Calibri" w:hAnsi="Calibri"/>
          <w:sz w:val="17"/>
          <w:szCs w:val="17"/>
          <w:color w:val="auto"/>
        </w:rPr>
      </w:pPr>
      <w:r>
        <w:rPr>
          <w:rFonts w:ascii="Times New Roman" w:cs="Times New Roman" w:eastAsia="Times New Roman" w:hAnsi="Times New Roman"/>
          <w:sz w:val="17"/>
          <w:szCs w:val="17"/>
          <w:b w:val="1"/>
          <w:bCs w:val="1"/>
          <w:color w:val="auto"/>
        </w:rPr>
        <w:t xml:space="preserve">Non-Agency Residential Mortgage-Backed Securities ("Non-Agency RMBS"). </w:t>
      </w:r>
      <w:r>
        <w:rPr>
          <w:rFonts w:ascii="Times New Roman" w:cs="Times New Roman" w:eastAsia="Times New Roman" w:hAnsi="Times New Roman"/>
          <w:sz w:val="17"/>
          <w:szCs w:val="17"/>
          <w:color w:val="auto"/>
        </w:rPr>
        <w:t>Non-Agency RMBS are structured securities backed by pools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13" w:lineRule="exact"/>
        <w:rPr>
          <w:rFonts w:ascii="Calibri" w:cs="Calibri" w:eastAsia="Calibri" w:hAnsi="Calibri"/>
          <w:sz w:val="17"/>
          <w:szCs w:val="17"/>
          <w:color w:val="auto"/>
        </w:rPr>
      </w:pPr>
    </w:p>
    <w:p>
      <w:pPr>
        <w:jc w:val="both"/>
        <w:ind w:left="740" w:hanging="265"/>
        <w:spacing w:after="0" w:line="267" w:lineRule="auto"/>
        <w:tabs>
          <w:tab w:leader="none" w:pos="7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Commercial Mortgage-Backed Securities ("CMBS"). </w:t>
      </w:r>
      <w:r>
        <w:rPr>
          <w:rFonts w:ascii="Times New Roman" w:cs="Times New Roman" w:eastAsia="Times New Roman" w:hAnsi="Times New Roman"/>
          <w:sz w:val="17"/>
          <w:szCs w:val="17"/>
          <w:color w:val="auto"/>
        </w:rPr>
        <w:t>CMBS are securities backed by a pool of loans secured by one or more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Strategy</w:t>
      </w:r>
    </w:p>
    <w:p>
      <w:pPr>
        <w:spacing w:after="0" w:line="17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Our investments in Agency RMBS benefit from asset-driven, as well as AGNC-specific, funding advantages, that enable us to enhance returns using leverage via low-cost and highly liquid collateralized borrowings structured as repurchase agreements.</w:t>
      </w:r>
    </w:p>
    <w:p>
      <w:pPr>
        <w:spacing w:after="0" w:line="9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Repurchase agreements ("repo") involve the sale and a simultaneous agreement to repurchase the transferred assets at a future date. Our borrowings through repurchase transactions are generally short-term, with maturities typically ranging from one day to one year, but may sometimes have maturities of up to five or more years. Our financing rates are primarily impacted by short-term benchmark rates and liquidity in the Agency repo and short-term funding markets.</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amount of leverage that we utilize depends on market conditions, our assessment of risk and returns and our ability to borrow sufficient funds on favorable terms to acquire mortgage securities. We generally expect our leverage to be within six to twelve times the amount of our tangible stockholders' equity, but under certain conditions we may operate at leverage levels outside of this range.</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2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 Prior to the forward settlement date, we may choose to roll the position to a later date by entering into an offsetting TBA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7"/>
          <w:szCs w:val="17"/>
          <w:color w:val="auto"/>
        </w:rPr>
        <w:t>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Strategy</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As a levered investor in fixed income securities, risk management is core to our business. We are exposed to a variety of market risks, including interest rate, prepayment, extension, spread and credit risks. Our investment strategies are based on our assessment of these risks, our ability to hedge a portion of these risks and our intention to qualify as a REIT. We employ a variety of investment and risk management strategies to reduce our exposure to market risks, and we continuously monitor and adjust our hedge portfolio, the net duration (or interest rate sensitivity) of our investment portfolio, and leverage in order to optimize returns over the longer term as market conditions warrant.</w:t>
      </w:r>
    </w:p>
    <w:p>
      <w:pPr>
        <w:spacing w:after="0" w:line="119"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 xml:space="preserve">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7A. </w:t>
      </w:r>
      <w:r>
        <w:rPr>
          <w:rFonts w:ascii="Times New Roman" w:cs="Times New Roman" w:eastAsia="Times New Roman" w:hAnsi="Times New Roman"/>
          <w:sz w:val="17"/>
          <w:szCs w:val="17"/>
          <w:i w:val="1"/>
          <w:iCs w:val="1"/>
          <w:color w:val="auto"/>
        </w:rPr>
        <w:t xml:space="preserve">Quantitative and Qualitative Disclosures about Market Risk </w:t>
      </w:r>
      <w:r>
        <w:rPr>
          <w:rFonts w:ascii="Times New Roman" w:cs="Times New Roman" w:eastAsia="Times New Roman" w:hAnsi="Times New Roman"/>
          <w:sz w:val="17"/>
          <w:szCs w:val="17"/>
          <w:color w:val="auto"/>
        </w:rPr>
        <w:t>and Item 1A.</w:t>
      </w:r>
      <w:r>
        <w:rPr>
          <w:rFonts w:ascii="Times New Roman" w:cs="Times New Roman" w:eastAsia="Times New Roman" w:hAnsi="Times New Roman"/>
          <w:sz w:val="17"/>
          <w:szCs w:val="17"/>
          <w:i w:val="1"/>
          <w:iCs w:val="1"/>
          <w:color w:val="auto"/>
        </w:rPr>
        <w:t xml:space="preserve"> Risk Factors </w:t>
      </w:r>
      <w:r>
        <w:rPr>
          <w:rFonts w:ascii="Times New Roman" w:cs="Times New Roman" w:eastAsia="Times New Roman" w:hAnsi="Times New Roman"/>
          <w:sz w:val="17"/>
          <w:szCs w:val="17"/>
          <w:color w:val="auto"/>
        </w:rPr>
        <w:t>within this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Exemption from Regulation under the Investment Company Act</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within this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Investment Trust Requirements</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Tests: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continue to qualify as a REIT, we must satisfy two gross income requirements on an annual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 w:name="page7"/>
    <w:bookmarkEnd w:id="6"/>
    <w:p>
      <w:pPr>
        <w:ind w:left="640" w:hanging="243"/>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our gross income for each taxable year generally must be derived from investments in real property or mortgages on real property.</w:t>
      </w:r>
    </w:p>
    <w:p>
      <w:pPr>
        <w:spacing w:after="0" w:line="170" w:lineRule="exact"/>
        <w:rPr>
          <w:rFonts w:ascii="Times New Roman" w:cs="Times New Roman" w:eastAsia="Times New Roman" w:hAnsi="Times New Roman"/>
          <w:sz w:val="17"/>
          <w:szCs w:val="17"/>
          <w:color w:val="auto"/>
        </w:rPr>
      </w:pPr>
    </w:p>
    <w:p>
      <w:pPr>
        <w:jc w:val="both"/>
        <w:ind w:left="640" w:hanging="243"/>
        <w:spacing w:after="0" w:line="276"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Tests: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the close of each calendar quarter, we must satisfy five tests relating to the nature of our assets.</w:t>
      </w:r>
    </w:p>
    <w:p>
      <w:pPr>
        <w:spacing w:after="0" w:line="170" w:lineRule="exact"/>
        <w:rPr>
          <w:sz w:val="20"/>
          <w:szCs w:val="20"/>
          <w:color w:val="auto"/>
        </w:rPr>
      </w:pPr>
    </w:p>
    <w:p>
      <w:pPr>
        <w:jc w:val="both"/>
        <w:ind w:left="640" w:hanging="322"/>
        <w:spacing w:after="0" w:line="269"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16"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any one issuer's securities that we own may not exceed 5% of the value of our total assets.</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09"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value of all securities of all TRSs that we hold may not exceed 20% of the value of our total assets.</w:t>
      </w:r>
    </w:p>
    <w:p>
      <w:pPr>
        <w:spacing w:after="0" w:line="170"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25% of the total value of our assets may be represented by certain non-mortgage debt instruments issued by publicly offered REITs (even though such debt instruments qualify under the 75% asset test).</w:t>
      </w:r>
    </w:p>
    <w:p>
      <w:pPr>
        <w:spacing w:after="0" w:line="9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Requirements of our Captive Broker-Dealer Subsidiary</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2023, our workforce consisted of 53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low voluntary employee turnover and favorable employee survey results are a testament to the success of our human capital management initiatives.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Turnover Metrics</w:t>
      </w:r>
    </w:p>
    <w:p>
      <w:pPr>
        <w:spacing w:after="0" w:line="26"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2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January 1</w:t>
            </w:r>
          </w:p>
        </w:tc>
        <w:tc>
          <w:tcPr>
            <w:tcW w:w="16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Terminations </w:t>
            </w:r>
            <w:r>
              <w:rPr>
                <w:rFonts w:ascii="Times New Roman" w:cs="Times New Roman" w:eastAsia="Times New Roman" w:hAnsi="Times New Roman"/>
                <w:sz w:val="18"/>
                <w:szCs w:val="18"/>
                <w:b w:val="1"/>
                <w:bCs w:val="1"/>
                <w:color w:val="auto"/>
                <w:vertAlign w:val="superscript"/>
              </w:rPr>
              <w:t>1</w:t>
            </w:r>
          </w:p>
        </w:tc>
        <w:tc>
          <w:tcPr>
            <w:tcW w:w="15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New Hires</w:t>
            </w: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r>
      <w:tr>
        <w:trPr>
          <w:trHeight w:val="189"/>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r>
      <w:tr>
        <w:trPr>
          <w:trHeight w:val="20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5" w:lineRule="exact"/>
        <w:rPr>
          <w:sz w:val="20"/>
          <w:szCs w:val="20"/>
          <w:color w:val="auto"/>
        </w:rPr>
      </w:pPr>
    </w:p>
    <w:p>
      <w:pPr>
        <w:ind w:left="620" w:hanging="302"/>
        <w:spacing w:after="0"/>
        <w:tabs>
          <w:tab w:leader="none" w:pos="620" w:val="left"/>
        </w:tabs>
        <w:numPr>
          <w:ilvl w:val="0"/>
          <w:numId w:val="7"/>
        </w:numPr>
        <w:rPr>
          <w:rFonts w:ascii="Calibri" w:cs="Calibri" w:eastAsia="Calibri" w:hAnsi="Calibri"/>
          <w:sz w:val="14"/>
          <w:szCs w:val="14"/>
          <w:color w:val="auto"/>
        </w:rPr>
      </w:pPr>
      <w:r>
        <w:rPr>
          <w:rFonts w:ascii="Times New Roman" w:cs="Times New Roman" w:eastAsia="Times New Roman" w:hAnsi="Times New Roman"/>
          <w:sz w:val="14"/>
          <w:szCs w:val="14"/>
          <w:color w:val="auto"/>
        </w:rPr>
        <w:t>Employee terminations include voluntary and involuntary terminations.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Communications and Engagement</w:t>
      </w:r>
    </w:p>
    <w:p>
      <w:pPr>
        <w:spacing w:after="0" w:line="17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We recognize the importance of ongoing open communication and engagement with our employees, and we greatly value their input. We regularly engage with our employees in a variety of ways through ongoing direct engagement with each member of our staff, anonymous annual employee surveys and regular town hall meetings. Our anonymous employee surveys are an important component of our employee engagement that provide a means of assessing job satisfaction, engagement, and specific concerns of our employees. To enhance the candor and comfort of our employees, we use outside vendors that provide verbatim comments and analysis of engagement levels on an anonymous basis. In 2023, AGNC was recertified as a Great Place to Work™ in recognition of employee engagement efforts. The prestigious certification was based entirely on feedback from employees through an extensive anonymous survey about their experiences working at AGNC, during which 96% of our employees said AGNC is a great place to work. Our Board and management use the results of our surveys and ongoing feedback to implement various ideas and recommendations received from employees.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Workplace Culture and Ethics</w:t>
      </w:r>
    </w:p>
    <w:p>
      <w:pPr>
        <w:spacing w:after="0" w:line="17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We also regularly conduct mandatory compliance training on the Code of Conduct, insider trading, whistleblower protections, anti-harassment and other legal and corporate policies. Our executive officers and human resources department maintain "open door" policies, and any form of retaliation for bona fide reporting of Code of Conduct violations is expressly prohibited.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Development</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have a number of policies and programs to further the professional development of our employees. These include our professional certification and continuing education policy, reimbursement for any supervisor-approved courses for our employees, and memberships to organizations, such as the Mortgage Bankers Association, which includes free access to educational webinars. We also conduct periodic "Lunch and Learn" seminars and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Diversity and Inclusion</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Central to our core values is that every individual deserves respect and equal treatment, regardless of gender, race, ethnicity, age, disability, sexual orientation, gender identity, cultural background or religious belief. We strive to have a diverse workforce and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including unconscious bias and anti-harassment training.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2023, 40% of our employees were women and 32% were ethnically diverse.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color w:val="auto"/>
        </w:rPr>
        <w:t>Compensation and Benefits</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 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5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executive offices are located at 7373 Wisconsin Avenue,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Floor, Bethesda, MD 20814 and our telephone number is (301) 968-9315.</w:t>
      </w:r>
    </w:p>
    <w:p>
      <w:pPr>
        <w:spacing w:after="0" w:line="113" w:lineRule="exact"/>
        <w:rPr>
          <w:sz w:val="20"/>
          <w:szCs w:val="20"/>
          <w:color w:val="auto"/>
        </w:rPr>
      </w:pPr>
    </w:p>
    <w:p>
      <w:pPr>
        <w:jc w:val="both"/>
        <w:ind w:firstLine="392"/>
        <w:spacing w:after="0" w:line="288" w:lineRule="auto"/>
        <w:rPr>
          <w:sz w:val="20"/>
          <w:szCs w:val="20"/>
          <w:color w:val="auto"/>
        </w:rPr>
      </w:pPr>
      <w:r>
        <w:rPr>
          <w:rFonts w:ascii="Times New Roman" w:cs="Times New Roman" w:eastAsia="Times New Roman" w:hAnsi="Times New Roman"/>
          <w:sz w:val="17"/>
          <w:szCs w:val="17"/>
          <w:color w:val="auto"/>
        </w:rPr>
        <w:t xml:space="preserve">We make available our Annual Reports on Form 10-K, quarterly reports on Form 10-Q, current reports on Form 8-K and amendments to such reports as well as our Code of Ethics and Conduct on our internet website at </w:t>
      </w:r>
      <w:r>
        <w:rPr>
          <w:rFonts w:ascii="Times New Roman" w:cs="Times New Roman" w:eastAsia="Times New Roman" w:hAnsi="Times New Roman"/>
          <w:sz w:val="17"/>
          <w:szCs w:val="17"/>
          <w:u w:val="single" w:color="auto"/>
          <w:color w:val="auto"/>
        </w:rPr>
        <w:t>www.AGNC.com.</w:t>
      </w:r>
      <w:r>
        <w:rPr>
          <w:rFonts w:ascii="Times New Roman" w:cs="Times New Roman" w:eastAsia="Times New Roman" w:hAnsi="Times New Roman"/>
          <w:sz w:val="17"/>
          <w:szCs w:val="17"/>
          <w:color w:val="auto"/>
        </w:rPr>
        <w:t xml:space="preserve"> These reports are also available on the SEC internet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spacing w:after="0" w:line="67" w:lineRule="exact"/>
        <w:rPr>
          <w:sz w:val="20"/>
          <w:szCs w:val="20"/>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investment and portfolio management activities;</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financing and hedging activities;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business operations;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risks; and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Investment and Portfolio Management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Spread risk is inherent to our business as a levered investor in Agency RMBS.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When the market spread between the yield on our assets and the yield on benchmark interest rates linked to our interest rate hedges widens, our tangible net book value will typically decline. We refer to this as "spread risk". As a levered investor primarily in fixed-rate Agency RMBS, spread risk is an inherent component of our business. Although we use hedging instruments to attempt to protect against moves in interest rates, our hedges will typically not protect us against spread risk.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 w:name="page10"/>
    <w:bookmarkEnd w:id="9"/>
    <w:p>
      <w:pPr>
        <w:jc w:val="both"/>
        <w:spacing w:after="0" w:line="295" w:lineRule="auto"/>
        <w:rPr>
          <w:sz w:val="20"/>
          <w:szCs w:val="20"/>
          <w:color w:val="auto"/>
        </w:rPr>
      </w:pPr>
      <w:r>
        <w:rPr>
          <w:rFonts w:ascii="Times New Roman" w:cs="Times New Roman" w:eastAsia="Times New Roman" w:hAnsi="Times New Roman"/>
          <w:sz w:val="17"/>
          <w:szCs w:val="17"/>
          <w:color w:val="auto"/>
        </w:rPr>
        <w:t>Spreads may widen due to numerous factors, including due to actual or expected monetary policy actions by U.S. and foreign central banks, increased market volatility, increased available supply of Agency RMBS, a decline in market liquidity and changes in investor return requirements and sentiment.</w:t>
      </w:r>
    </w:p>
    <w:p>
      <w:pPr>
        <w:spacing w:after="0" w:line="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Interest rate and spread volatility represent significant risks to our business, potentially affecting our liquidity, increasing our costs, and impacting our ability to manage risks effectively.</w:t>
      </w:r>
    </w:p>
    <w:p>
      <w:pPr>
        <w:spacing w:after="0" w:line="9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Interest rate and spread volatility can have profound impacts on our business, financial condition, and operating results in several ways. Such volatility amplifies market-based risks, affecting asset and liability values and potentially leading to less earnings stability. Volatility increases our exposure to margin calls, including higher risk-based margin requirements, typically requiring us to post additional collateral, which could reduce our unencumbered liquidity and limit resources available for operational needs and further margin requirements. The complexity and cost of hedging against interest rate fluctuations also rises with volatility, potentially impacting our profitability.</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Volatility can also reduce liquidity in the mortgage market as mortgage investors reduce their exposure to this risk, making it more challenging to buy or sell assets without affecting their market price. Volatility may also reduce the effectiveness and accuracy of the predictive models that we use to aid in our decision-making and risk management.</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 summary, interest rate and spread volatility represent significant risks to our business, potentially affecting our liquidity, increasing our costs, and impacting our ability to manage risks effectively. We continuously monitor these conditions and adjust our strategies accordingly, but there is no guarantee that these measures will be sufficient to mitigate the adverse effects of volatility on our operations and financial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Fed’s participation in the Agency mortgage market could have an adverse effect on our Agency RMBS investments.</w:t>
      </w:r>
    </w:p>
    <w:p>
      <w:pPr>
        <w:spacing w:after="0" w:line="174"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Federal Reserve's (the “Fed”) participation in the Agency RMBS market can have a material impact on the mortgage market, altering the available supply, price and returns on Agency RMBS. Its involvement in the mortgage market can result in increased market volatility and amplify the effects of market-related risks on our financial condition. Generally, when the Fed conducts large-scale asset purchases, Agency RMBS values increase and mortgage spreads tighten. This scenario results in an increase in our tangible net book value, although the return potential on new asset purchases typically declines. Conversely, actual or anticipated reductions of Fed asset purchases or its outright sale of assets, would generally be expected to result in a decline in asset values and wider mortgage spreads to benchmark interest rates, reducing our tangible net book value, while increasing the return potential on new asset purchases.</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Fed first used large-scale asset purchases of U.S. Treasury securities and Agency RMBS, known as quantitative easing, or QE, during the 2008-2009 global financial crisis in an attempt to stabilize financial markets and stimulate a sustained economic recovery. In its most recent QE round, resulting from the Covid-19 financial crisis, the Fed’s balance sheet more than doubled from $4.2 trillion in March 2020 to $8.9 trillion in May 2022. This included a significant increase in its Agency RMBS holdings, to nearly a third of all outstanding Agency RMBS by the time the Fed announced its intention to end QE and commence monetary tightening by, among other actions, gradually reducing its holdings of Agency RMBS over time by not reinvesting proceeds of principal repayments, subject to monthly caps.</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Since the beginning of the Fed's current monetary tightening cycle in 2022, through fiscal year-end 2023, the Fed has reduced its Agency RMBS holdings by approximately $300 billion through mortgage prepayment activity. Although the Fed currently favors a gradual reduction of its balance sheet through prepayment activity, subject to monthly caps, there is no guarantee that it will not conduct outright asset sales in the future or alter its monthly caps. If the Fed were to conduct assets sales or allow a more rapid unwinding of its balance sheet than anticipated, Agency RMBS markets could experience increased market volatility, reduced liquidity and an increase in Agency RMBS spreads to benchmark interest rates, causing a material decline in our tangible net book and negatively impacting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active portfolio management strategy may expose us to greater losses and lower returns than compared to passive strategies.</w:t>
      </w:r>
    </w:p>
    <w:p>
      <w:pPr>
        <w:spacing w:after="0" w:line="161"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We employ an active management strategy; therefore, the composition of our investment portfolio, leverage ratio and hedge composition will vary as we believe changes to market conditions warrant. We may realize significant investment gains or losses when we sell investments that we no longer believe provide attractive risk-adjusted returns or when we believe more attractive alternatives are available. We may also be incorrect in our assessment of market conditions and select an investment portfolio, leverage levels and terms, and hedge composition that generate lower returns than a more static management strategy. Furthermore, because of our active strategy, investors may be unable to assess changes in our financial position solely by observing changes in the mortgage market.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t>A decline in the fair value of our assets may adversely affect our financial condition and make it costlier to finance our assets.</w:t>
      </w:r>
    </w:p>
    <w:p>
      <w:pPr>
        <w:spacing w:after="0" w:line="161"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and could make it more difficult for us to maintain our compliance with the terms of our financing agreements, and it could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value of our assets is influenced by multiple factors. The value of our long-term fixed rate securities is particularly impacted by fluctuations in longer-term interest rates. Additionally, market liquidity can significantly impact asset values, where a decrease in liquidity can lead to a decline in asset values and increased price volatility. Factors that can reduce market liquidity include shifts in macro-economic conditions, market uncertainties, changes in investor sentiment, a decline in or negative global money flows to the U.S. fixed income markets, and regulatory capital requirements that constrain the market-making or funding capabilities of banks and financial institutions. Fed monetary policy and the pace of its balance sheet reduction could also negatively impact asset values and market liquidity, especially if this unwinding process occurs more rapidly than anticipated.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prepayment rates may adversely affect the return on our investments.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1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At the same time, the market value of our assets could decline, while most of our hedging instruments would not receive any incremental offsetting gains.</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To the extent that actual rates of prepayment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90"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 Other factors beyond interest rates also impact the rate of prepayments and may be difficult to predict, such as housing turnover, lending conditions and the availability of credit to homeowners, and GSE buyouts of delinquent loans from the underlying mortgage pool.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 w:name="page12"/>
    <w:bookmarkEnd w:id="11"/>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analytical models and third-party data that we rely on to manage our portfolio and conduct our business objectives may be incorrect, misleading or incomplete.</w:t>
      </w:r>
    </w:p>
    <w:p>
      <w:pPr>
        <w:spacing w:after="0" w:line="9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17"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including any actual or anticipated shifts in Fed policy resulting from these events. Consequently, actual results could differ materially from our projections. Moreover, use of different models could result in materially different projections.</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fair value of our investments may not be readily determinable or may be materially different from the value that we ultimately realize upon their disposal.</w:t>
      </w:r>
    </w:p>
    <w:p>
      <w:pPr>
        <w:spacing w:after="0" w:line="35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 xml:space="preserve">We measure the fair value of our investments in accordance with guidance set forth in Accounting Standards Codification Topic 820, </w:t>
      </w:r>
      <w:r>
        <w:rPr>
          <w:rFonts w:ascii="Times New Roman" w:cs="Times New Roman" w:eastAsia="Times New Roman" w:hAnsi="Times New Roman"/>
          <w:sz w:val="17"/>
          <w:szCs w:val="17"/>
          <w:i w:val="1"/>
          <w:iCs w:val="1"/>
          <w:color w:val="auto"/>
        </w:rPr>
        <w:t>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Measurements and Disclosures</w:t>
      </w:r>
      <w:r>
        <w:rPr>
          <w:rFonts w:ascii="Times New Roman" w:cs="Times New Roman" w:eastAsia="Times New Roman" w:hAnsi="Times New Roman"/>
          <w:sz w:val="17"/>
          <w:szCs w:val="17"/>
          <w:color w:val="auto"/>
        </w:rPr>
        <w:t>. Fair value is only an estimate based on good faith judgment of the price at which an investment can be sold since market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through a forced liquidation, the realized value may be less than the amount at which the asset is recorded, which would negatively affect our results of operations and financial condition.</w:t>
      </w:r>
    </w:p>
    <w:p>
      <w:pPr>
        <w:spacing w:after="0" w:line="1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1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Non-Agency RMBS are backed by residential mortgage loans, which carry the risk of delinquency, foreclosure and loss based on the borrower's ability to repay. The ability to repay is primarily influenced by the borrower's income and assets. Factors such as loss of employment, divorce, illness, acts of God, acts of war or terrorism, adverse changes in economic and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2" w:name="page13"/>
    <w:bookmarkEnd w:id="12"/>
    <w:p>
      <w:pPr>
        <w:jc w:val="both"/>
        <w:spacing w:after="0" w:line="295" w:lineRule="auto"/>
        <w:rPr>
          <w:sz w:val="20"/>
          <w:szCs w:val="20"/>
          <w:color w:val="auto"/>
        </w:rPr>
      </w:pPr>
      <w:r>
        <w:rPr>
          <w:rFonts w:ascii="Times New Roman" w:cs="Times New Roman" w:eastAsia="Times New Roman" w:hAnsi="Times New Roman"/>
          <w:sz w:val="17"/>
          <w:szCs w:val="17"/>
          <w:color w:val="auto"/>
        </w:rPr>
        <w:t>market conditions, declining home values, changes in laws and regulations, changes in fiscal policies and zoning ordinances, environmental hazards such as mold, and property losses (insured or not) can impede repayment.</w:t>
      </w:r>
    </w:p>
    <w:p>
      <w:pPr>
        <w:spacing w:after="0" w:line="9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CMBS are backed by commercial loans, secured by multifamily or other commercial properties. These loans typically face higher risks of delinquency and loss compared to residential loans. Repayment largely depends on the property's operational success. Factors affecting the property's net operating income, such as occupancy rates, tenant mix, the success of tenant businesses, property management, location, condition, and economic conditions, can influence the borrower's repayment capacity.</w:t>
      </w:r>
    </w:p>
    <w:p>
      <w:pPr>
        <w:spacing w:after="0" w:line="11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Geographic concentration of our assets can heighten the risk of default and loss. Both borrower repayment and the market value of the assets underlying our investments are affected by national, local and regional economic conditions. As a result, concentrations of investments tied to geographic regions increase the risk that adverse conditions affecting a region could increase the frequency and severity of losses on our investments. Additionally, assets in certain regional areas may be more susceptible to certain environmental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mortgage insurance may not cover losses on loans referenced by our CRT securities and underlying our non-Agency RMBS.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In certain instances, mortgage loans referenced by our CRT securities or underlying our non-Agency RMBS may have private mortgage insurance. However, this insurance may not cover some or all of our potential loss if a loan defaults. This may occur, for example, because it is frequently structured to absorb only a portion of the loss; the insurance provider rescinds or denies coverage; or the insurer's failure to satisfy its obligations under the insurance contract, whether due to breach of contract or to an insurer's insolvency.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credit spreads may adversely affect our profitability.</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A significant component of the fair value of CRT and non-Agency securities and other credit risk-oriented investments is attributable to the credit spread, or the difference between the value of the credit instrument and the value of a financial instrument with similar interest rate exposure, but with no credit risk, such as a U.S. Treasury note. Credit spreads can be highly volatile and may fluctuate due to changes in economic conditions, liquidity, investor demand and other factors. Credits spreads typically widen in times of increased market uncertainty or when economic conditions have or are expected to deteriorate. Credit spreads may also widen due to actual or anticipated rating downgrades on the securities or similar securities.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9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profitability depends on our ability to acquire our target assets at attractive prices. We may seek assets with specific attributes that affect their propensity for prepayment under certain market conditions or enable us to satisfy asset test requirements to maintain our REIT qualification status or exemption from regulation under the Investment Company Act (such as "whole pool" Agency RMBS). The supply of our target assets may be impacted by policies and procedures adopted by the GSEs, such as pooling practices, or their regulator, the FHFA, or actions by other governmental agencies. Housing finance reform measures may also impact the supply and availability of our target assets. Consequently, a sufficient supply of our target assets may not be available or available at attractive prices. We may also compete for these assets with a variety of other investors, including other REITs, specialty finance companies, public and private funds, government entities, banks, insurance companies and other financial institutions, who may have competitive advantages over us, such as a lower cost of funds and access to funding sources not available to us. If we are unable to acquire a sufficient supply of our target assets, we may be unable to achieve our investment objectives or to maintain our REIT qualification status or exemption from regulation under the Investment Company Act.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change our targeted investments, investment guidelines and other operational policies without stockholder consent.</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Financing and Hedging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strategy involves the use of significant leverage, which increases the risk that we may incur substantial losses.</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expect our leverage to vary with market conditions and our assessment of the tradeoffs between risk and return on investments. We generally expect to maintain our leverage between six to twelve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changes in mortgage spreads, and other market factors. Leverage also exposes us to the risk of margin calls and defaults under our funding agreements, which may result in forced sales of assets in adverse market conditions. The risks associated with leverage are more acute during volatile market environments and periods of reduced market liquidity. Because of our leverage, we may incur substantial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procure or renew funding on favorable terms, or at all.</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10" w:lineRule="exact"/>
        <w:rPr>
          <w:sz w:val="20"/>
          <w:szCs w:val="20"/>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the repo market generally or the infrastructure that supports it;</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short-term interest rates;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market value of our investments available to collateralize borrowings;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"haircut" lenders require on the value of our assets under repurchase agreements, resulting in higher collateral requirements;</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member specific margin requirements assessed by the FICC for tri-party repo accessed by our wholly-owned captive broker-dealer subsidiary, BES, through the FICC's GCF Repo service;</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capital requirements or other limitations imposed on our lenders that negatively impact their ability or willingness to lend to us;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exit by lenders from the market;</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circumstances that could result in our failure to satisfy covenants, leverage limits, or other requirements imposed by our lenders, in which case our lenders may terminate and cease entering into repurchase transactions with us; and</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BES to continually meet FINRA and FICC regulatory and membership requirements, which may change over time.</w:t>
      </w:r>
    </w:p>
    <w:p>
      <w:pPr>
        <w:spacing w:after="0" w:line="15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borrowing costs may increase at a faster pace than the yield on our investments.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utilize TBA dollar roll transactions as an alternate means of investing in and financing Agency RMBS, which represent a form of off-balance sheet financing and increase our "at risk" leverage. It may become uneconomical for us to roll forward our TBA positions prior to their settlement dates due to market conditions, which can be impacted by a variety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factors including the Fed’s purchases and sales of Agency RMBS in the TBA market. TBA dollar roll transactions include a deferred purchase price obligation on our part. An inability or unwillingness to continue to roll forward our position has effects similar to a termination of financing. In that circumstance, we would be required to settle the obligations for cash and would then take physical delivery of the underlying Agency RMBS. We may not have sufficient funds or alternative financing sources available to settle such obligations. Additionally, if we take delivery of the underlying securities, we can expect to receive the "cheapest to deliver" securities with the least favorable prepayment attributes that satisfy the terms of the TBA contract. Further, the specific securities that we receive may include few, if any, “whole pool” securities, which could inhibit our ability to remain exempt from and regulation as an investment company under the Investment Company Act (see </w:t>
      </w:r>
      <w:r>
        <w:rPr>
          <w:rFonts w:ascii="Times New Roman" w:cs="Times New Roman" w:eastAsia="Times New Roman" w:hAnsi="Times New Roman"/>
          <w:sz w:val="17"/>
          <w:szCs w:val="17"/>
          <w:i w:val="1"/>
          <w:iCs w:val="1"/>
          <w:color w:val="auto"/>
        </w:rPr>
        <w:t>“Loss of our exemption from regulation pursuant to the Investment Company Act would adversely affect us”</w:t>
      </w:r>
      <w:r>
        <w:rPr>
          <w:rFonts w:ascii="Times New Roman" w:cs="Times New Roman" w:eastAsia="Times New Roman" w:hAnsi="Times New Roman"/>
          <w:sz w:val="17"/>
          <w:szCs w:val="17"/>
          <w:color w:val="auto"/>
        </w:rPr>
        <w:t xml:space="preserve"> below). TBA contracts also subject us to margin requirements as described further below. Our inability to roll forward our TBA positions or failure to obtain adequate financing to settle our obligations or to meet margin calls under our TBA contracts could force us to sell assets under adverse market conditions causing us to incur significant losses.</w:t>
      </w:r>
    </w:p>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funding and derivative agreements subject us to margin calls that could result in defaults and force us to sell assets under adverse market conditions or through foreclosure.</w:t>
      </w:r>
    </w:p>
    <w:p>
      <w:pPr>
        <w:spacing w:after="0" w:line="103"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them from loss in the event we default on our obligations. The requirement to meet margin calls can create liquidity risks. In the event of a margin call, we must generally provide additional collateral on the same business day. If we fail to meet the margin call, we would be 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lead to defaults, accelerations, or other adverse events under other agreements, as well. The threat or occurrence of margin calls or the accelerated settlement of our obligations under our agreements could force us to sell our investments under adverse market conditions and result in substantial losses.</w:t>
      </w:r>
    </w:p>
    <w:p>
      <w:pPr>
        <w:spacing w:after="0" w:line="125"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Additionally, faster rates of prepayment increase the magnitude of potential margin calls as there is a time lag between the effective date of the prepayment and when we receive the principal payment.</w:t>
      </w:r>
    </w:p>
    <w:p>
      <w:pPr>
        <w:spacing w:after="0" w:line="117"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to FICC margin requirements could limit our ability to enter tri-party repo transactions with the FICC’s GCF Repo service and TBA transactions with the FICC’s MBSD</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finance a significant portion of our investments and execute TBA transactions through our wholly-owned captive broker-dealer subsidiary, BES. As an eligible institution, BES accesses repo funding through the FICC’s GCF Repo service and central clearing in the TBA market through the FICC's Mortgage-Backed Securities Division (MBSD).</w:t>
      </w:r>
    </w:p>
    <w:p>
      <w:pPr>
        <w:spacing w:after="0" w:line="11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FICC continually assesses potential changes to rules governing the calculation of margin and minimum margin requirements. The FICC may also levy member specific margin requirements, including requirements related to a member's specific portfolio risk factors as a ratio to that member’s net capital, requirements related to "back-testing" failures of collected FICC margin requirements to cover losses from a simulated liquidation of a member’s portfolio, and other charges that the FICC has the ability to implement, in some cases without a significant notice period.</w:t>
      </w:r>
    </w:p>
    <w:p>
      <w:pPr>
        <w:spacing w:after="0" w:line="117"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Increases in FICC margin requirements would have the effect of reducing our unencumbered assets and could potentially limit our ability to utilize tri-party repo funding through the FICC's GCF Repo service and engage in centrally-cleared TBA transactions through the FICC’s MBSD. Furthermore, BES' inability to meet FICC margin requirements may result in the FICC declaring an event of default and ceasing to act for BES as a member along with a liquidation of any margin collateral as well as the portfolio of outstanding transactions for which the FICC serves as BES’ central counterparty, potentially in adverse market conditions. If BES were to fail to continually meet FICC margin requirements and default on its obligations to the FICC it could have a material financial impact on our financial position.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5" w:name="page16"/>
    <w:bookmarkEnd w:id="15"/>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repurchase agreements and agreements governing certain derivative instruments may contain financial and nonfinancial covenants subjecting us to the risk of default.</w:t>
      </w:r>
    </w:p>
    <w:p>
      <w:pPr>
        <w:spacing w:after="0" w:line="90"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Our bilateral repurchase agreements and certain derivative agreements require that we comply with certain financial and non-financial covenants. Our more restrictive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our agreements typically require, among other things, that we maintain our status as a publicly listed REIT and to be exempted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 as well.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rights under repurchase and derivative agreements in the event bankruptcy or insolvency may be limited.</w:t>
      </w:r>
    </w:p>
    <w:p>
      <w:pPr>
        <w:spacing w:after="0" w:line="174"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In the event of our bankruptcy or insolvency, our repurchase agreements and hedging arrangements may qualify for special treatment under the U.S. Bankruptcy Code, the effect of which, among other things, would be to allow the counterparty under the applicable agreement to avoid the automatic stay provisions of the U.S. Bankruptcy Code and to foreclose on the collateral without delay. In the event of an insolvency or bankruptcy of one of our repurchase agreement or derivative counterparties, the counterparty may be permitted, under applicable insolvency laws, to repudiate the contract, and our claim against the counterparty for damages may be treated simply as an unsecured creditor. In addition, if the counterparty is a broker or dealer subject to the Securities Investor Protection Act of 1970, or an insured depository institution subject to the Federal Deposit Insurance Act, our ability to recover our assets under our agreements or to be compensated for any damages resulting from the counterparty's insolvency may be further limited by those statutes. Recoveries on these claims could be subject to significant delay and, if received, could be substantially less than the damages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funding and derivative agreement counterparties may not fulfill their obligations to us as and when due.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1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hedging strategies may be ineffective.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6" w:name="page17"/>
    <w:bookmarkEnd w:id="16"/>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Our hedging strategies may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332" w:lineRule="exact"/>
        <w:rPr>
          <w:sz w:val="20"/>
          <w:szCs w:val="20"/>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interest rate hedges;</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interest rate hedge benchmark rate correlates to the interest rate risk being hedged;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duration of the hedge matches that of the related asset or liability, particularly as interest rates change;</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income that a REIT may earn from hedging transactions that do not satisfy certain requirements of the Internal Revenue Code or that are not done through a TRS; and</w:t>
      </w:r>
    </w:p>
    <w:p>
      <w:pPr>
        <w:spacing w:after="0" w:line="1" w:lineRule="exact"/>
        <w:rPr>
          <w:rFonts w:ascii="Times New Roman" w:cs="Times New Roman" w:eastAsia="Times New Roman" w:hAnsi="Times New Roman"/>
          <w:sz w:val="17"/>
          <w:szCs w:val="17"/>
          <w:color w:val="auto"/>
        </w:rPr>
      </w:pPr>
    </w:p>
    <w:p>
      <w:pPr>
        <w:ind w:left="640" w:hanging="243"/>
        <w:spacing w:after="0" w:line="273"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value of our interest rate hedges changes relative to our assets as a result of fluctuations in interest rates, passage of time, or other factors.</w:t>
      </w:r>
    </w:p>
    <w:p>
      <w:pPr>
        <w:spacing w:after="0" w:line="11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1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and other key personnel are critical to our success and the loss of any executive officer or key employee may materially adversely affect our business.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90"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business heavily depends on information and communication systems, including services provided by third parties and cloud-based platforms. A failure in these systems, or a failure by a third-party provider, could significantly disrupt our operations. These systems may be subject to damage or interruption from, among other things, natural disasters, public health issues such as pandemics or epidemics, terrorist attack, rogue employees, power loss, telecommunications failures, internet disruptions, and other interruptions beyond our control. Additionally, our reliance on these systems exposes us to risks of disruption or damage from cybersecurity risks, such as malware, virus, hacking, denial of service, ransomware, physical or electronic break-ins, insider threats, and phishing attacks, all of which are increasingly sophisticated and prevalent. Our systems may be misconfigured or configured in a way that exacerbates our exposure to these risks. Despite having no significant breaches detected so far, we regularly are targeted by threat actors, and completely preventing or detecting such incidents promptly is increasingly challenging.</w:t>
      </w:r>
    </w:p>
    <w:p>
      <w:pPr>
        <w:spacing w:after="0" w:line="122"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7"/>
          <w:szCs w:val="17"/>
          <w:color w:val="auto"/>
        </w:rPr>
        <w:t>The complex nature of cybersecurity threats means a breach could go undetected for a long time, if ever, and responding to such incidents may not always be immediate or sufficient. Moreover, we depend on third-party vendors to implement security programs commensurate with their own risk. They may not be successful at defending against or detecting cybersecurity threats and they may not be obligated to inform us of such incidents. The consequences of a cyber-attack may include operational disruption, unauthorized access to sensitive data, regulatory fines, reputational damage, liability to third parties, and financial losses.</w:t>
      </w:r>
    </w:p>
    <w:p>
      <w:pPr>
        <w:spacing w:after="0" w:line="329"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impact of cybersecurity incidents is difficult to predict, and the evolving legal and regulatory environment around data privacy and security could lead to increased costs and stricter compliance requirements. During an investigation of a cybersecurity incident, or a series of events, it is possible we may not necessarily know the extent of the harm or how to remediate it, which could further adversely impact us, and new regulations may also compel us to disclose information about a material cybersecurity incident before it has been mitigated or resolved, or even fully investigated. Furthermore, whether a single or series of cyber events is material is often a matter of judgment rather than quantitative measures and might only be determinable well after the fact. Despite our efforts to enhance our cybersecurity defenses, we cannot assure complete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7"/>
          <w:szCs w:val="17"/>
          <w:color w:val="auto"/>
        </w:rPr>
        <w:t>protection against all cybersecurity threats. A cybersecurity incident, if one were to occur, could adversely affect our business, results of operations, or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Taxation as a REIT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qualify as a REIT would have adverse tax consequences.</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22"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may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33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If we fail to satisfy one or more requirements for REIT qualification, we may still qualify as a REIT if there is reasonable cause for the failure, it is not due to willful neglect, and we satisfy other requirements, including completion of applicable IRS filings. It is not possible to state whether we would be entitled to the benefit of these relief provisions. If these relief provisions were inapplicable, we would not qualify as a REIT. Furthermore, even if we satisfy the relief provisions and maintain our qualification as a REIT, we may be still subject to a penalty tax. The penalty tax for failure to satisfy an asset test would be the greater of $50,000 per failure or an amount equal to the net income generated by the assets that resulted in the failure multiplied by the highest U.S. federal corporate tax rate in effect at the time of the failure. The penalty tax for failure to satisfy one or both gross income tests would be an amount equal to 100% of the net profit on the gross income that resulted in the failure calculated in accordance with the Internal Revenue Code.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REIT distribution requirements could adversely affect our ability to execute our business plan.</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25"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w:t>
      </w:r>
    </w:p>
    <w:p>
      <w:pPr>
        <w:spacing w:after="0" w:line="1" w:lineRule="exact"/>
        <w:rPr>
          <w:sz w:val="20"/>
          <w:szCs w:val="20"/>
          <w:color w:val="auto"/>
        </w:rPr>
      </w:pPr>
    </w:p>
    <w:p>
      <w:pPr>
        <w:ind w:left="5540" w:right="1480" w:hanging="5535"/>
        <w:spacing w:after="0" w:line="585" w:lineRule="auto"/>
        <w:tabs>
          <w:tab w:leader="none" w:pos="2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of income we retained and on which we have paid corporate income tax and (z) any excess distributions from prior periods.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356870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8" w:name="page19"/>
    <w:bookmarkEnd w:id="18"/>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taxable income will typically differ from income prepared in accordance with GAAP due to temporary and permanent differences. For example, realized gains and losses on our hedging instruments, such as interest rate swaps, may be deferred for 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choose to pay dividends in our own stock, in which case stockholders may be required to pay income taxes in excess of cash dividends received.</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may in the future distribute taxable dividends that are payable at least in part in shares of our common stock.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we remain qualified as a REIT, we may face other tax liabilities that reduce our cash flow.</w:t>
      </w:r>
    </w:p>
    <w:p>
      <w:pPr>
        <w:spacing w:after="0" w:line="174"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94" w:lineRule="exact"/>
        <w:rPr>
          <w:sz w:val="20"/>
          <w:szCs w:val="20"/>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U.S. federal and state corporate income taxes on any undistributed taxable income, including undistributed net capital gains.</w:t>
      </w:r>
    </w:p>
    <w:p>
      <w:pPr>
        <w:spacing w:after="0" w:line="3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non-deductible 4% excise tax if the actual amount distributed to our stockholders in a calendar year is less than a minimum amount specified under Federal tax laws.</w:t>
      </w:r>
    </w:p>
    <w:p>
      <w:pPr>
        <w:spacing w:after="0" w:line="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income taxes on the earnings of subsidiaries, to the extent that such subsidiaries are subchapter C corporations and are not qualified REIT subsidiaries or other disregarded entities for federal income tax purposes.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tax on certain transactions between us and our TRSs that do not reflect arm's-length terms.</w:t>
      </w:r>
    </w:p>
    <w:p>
      <w:pPr>
        <w:spacing w:after="0" w:line="13" w:lineRule="exact"/>
        <w:rPr>
          <w:rFonts w:ascii="Times New Roman" w:cs="Times New Roman" w:eastAsia="Times New Roman" w:hAnsi="Times New Roman"/>
          <w:sz w:val="17"/>
          <w:szCs w:val="17"/>
          <w:color w:val="auto"/>
        </w:rPr>
      </w:pPr>
    </w:p>
    <w:p>
      <w:pPr>
        <w:jc w:val="both"/>
        <w:ind w:left="640" w:hanging="243"/>
        <w:spacing w:after="0" w:line="256"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tax on net income and gains from "prohibited transactions."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taxes and other fines for failure to satisfy one or more requirements for REIT qualification.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cause us to liquidate or forgo attractive investment opportunities.</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9" w:name="page20"/>
    <w:bookmarkEnd w:id="19"/>
    <w:p>
      <w:pPr>
        <w:jc w:val="both"/>
        <w:spacing w:after="0" w:line="295" w:lineRule="auto"/>
        <w:rPr>
          <w:sz w:val="20"/>
          <w:szCs w:val="20"/>
          <w:color w:val="auto"/>
        </w:rPr>
      </w:pPr>
      <w:r>
        <w:rPr>
          <w:rFonts w:ascii="Times New Roman" w:cs="Times New Roman" w:eastAsia="Times New Roman" w:hAnsi="Times New Roman"/>
          <w:sz w:val="17"/>
          <w:szCs w:val="17"/>
          <w:color w:val="auto"/>
        </w:rPr>
        <w:t>must liquidate our investments to repay our lenders or to satisfy other obligations, we may be unable to comply with these requirements, potentially jeopardizing our qualification as a REIT.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limit our ability to hedge effectively and may cause us to incur tax liabilities.</w:t>
      </w:r>
    </w:p>
    <w:p>
      <w:pPr>
        <w:spacing w:after="0" w:line="174"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Uncertainty exists with respect to the treatment of our TBAs for purposes of the REIT asset and income tests.</w:t>
      </w:r>
    </w:p>
    <w:p>
      <w:pPr>
        <w:spacing w:after="0" w:line="174"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Qualifying as a REIT involves highly technical and complex provisions of the Internal Revenue Code.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tax on prohibited transactions could limit our ability to engage in certain transactions.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tax-exempt investors may be classified as unrelated business taxable income.</w:t>
      </w:r>
    </w:p>
    <w:p>
      <w:pPr>
        <w:spacing w:after="0" w:line="174"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Although distributions with respect to our common stock generally do not constitute unrelated business taxable income, there are some circumstances where they may. If (i) we generate "excess inclusion income" as a result of all or a portion of our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0" w:name="page21"/>
    <w:bookmarkEnd w:id="20"/>
    <w:p>
      <w:pPr>
        <w:jc w:val="both"/>
        <w:spacing w:after="0" w:line="276" w:lineRule="auto"/>
        <w:rPr>
          <w:sz w:val="20"/>
          <w:szCs w:val="20"/>
          <w:color w:val="auto"/>
        </w:rPr>
      </w:pPr>
      <w:r>
        <w:rPr>
          <w:rFonts w:ascii="Times New Roman" w:cs="Times New Roman" w:eastAsia="Times New Roman" w:hAnsi="Times New Roman"/>
          <w:sz w:val="17"/>
          <w:szCs w:val="17"/>
          <w:color w:val="auto"/>
        </w:rPr>
        <w:t>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Legislative and Regulatory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our exemption from regulation pursuant to the Investment Company Act would adversely affect us.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17"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satisfy regulatory requirements of our captive broker-dealer subsidiary could result in our inability to access tri-party repo funding through the FICC’s GCF Repo service and could be harmful to our business operations.</w:t>
      </w:r>
    </w:p>
    <w:p>
      <w:pPr>
        <w:spacing w:after="0" w:line="90"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w:t>
      </w:r>
    </w:p>
    <w:p>
      <w:pPr>
        <w:spacing w:after="0" w:line="3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9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1" w:name="page22"/>
    <w:bookmarkEnd w:id="21"/>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9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U.S. Government legislative and administrative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For example, the actual or anticipated actions or inaction on U.S. fiscal policy matters, including the U.S. dept ceiling and the amount and tenor of U.S. Treasury debt required to fund the government, could result in a wide range of negative economic effects, including increased financial market and interest rate volatility and wider market spreads between mortgage assets and benchmark interest rates.</w:t>
      </w:r>
    </w:p>
    <w:p>
      <w:pPr>
        <w:spacing w:after="0" w:line="11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Additionally, new regulatory requirements, including the imposition of more stringent bank capital rules and changes to the manner and timing of clearing U.S. Treasury and Agency RMBS transactions, could adversely affect the availability or terms of financing from our lending counterparties, reduce market liquidity, restrict the origination of residential mortgage loans and the formation of new issuances of mortgage-backed securities and limit the trading activities of certain banking entities and other systemically significant organizations that are important to our business. For example, the Fed and Federal Deposit Insurance Commission have proposed amendments to the capital rules for banks subject to their supervision that would apply risk weights (and costs) to Agency RMBS that may, if adopted as proposed, impact the source, pricing, volume, financing, and nature of Agency RMBS, and the SEC Division of Trading and Markets has adopted regulations requiring the central clearing of U.S. Treasury and U.S. Treasury repo transactions that will require significant changes to trading operations and has the potential to adversely impact liquidity, funding and efficiency of these markets, which could adversely impact the cost and other terms or availability of financing and hedging arrangements for our business. Together or individually new regulatory requirements could materially affect our financial condition or results of operations in adverse ways.</w:t>
      </w:r>
    </w:p>
    <w:p>
      <w:pPr>
        <w:spacing w:after="0" w:line="18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103"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1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In September 2008, Fannie Mae and Freddie Mac were placed into the conservatorship of the FHFA, their federal regulator.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the U.S. Government. During the final year of the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Since taking office, the Biden Administration and the FHFA have delayed implementation or reversed some of these initiatives and have taken steps intended to advance other housing finance policy objectives. Although the FHFA has adopted amendments to GSE regulatory capital requirements, it has also taken steps to implement them, including by permitting the GSEs to charge fees that seek to offset related capital charges on certain Agency RMBS. These or future administrative actions may significantly impact the source, pricing, volume and nature of Agency RMBS and other mortgage securities that Fannie Mae and Freddie Mac issue.</w:t>
      </w:r>
    </w:p>
    <w:p>
      <w:pPr>
        <w:spacing w:after="0" w:line="12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Further administrative and/or legislative actions may be taken that affect structural GSE and federal housing finance reform, alter the amount or nature of the credit support provided by the U.S. Treasury to Fannie Mae and Freddie Mac, modify the future roles of Fannie Mae and Freddie Mac in housing finance or otherwise impact the value or relative fungibility of Agency RMBS issued by each GSE. Such actions may create market uncertainty, may have the effect of reducing the actual or perceived credit quality of securities issued or guaranteed by them or may otherwise impact the size and scope of the Agency RMBS markets. To the extent such actions would terminate the conservatorships without also providing for a sufficiently robust U.S. government guaranty, they could re-define what constitutes an Agency security and subject Agency RMBS to greater credit risk, make them more difficult to finance, and cause their values to decline, all of which could have broad adverse implications for the mortgage markets and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our common stock may be volatile.</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jc w:val="both"/>
        <w:spacing w:after="0" w:line="276" w:lineRule="auto"/>
        <w:rPr>
          <w:sz w:val="20"/>
          <w:szCs w:val="20"/>
          <w:color w:val="auto"/>
        </w:rPr>
      </w:pPr>
      <w:r>
        <w:rPr>
          <w:rFonts w:ascii="Times New Roman" w:cs="Times New Roman" w:eastAsia="Times New Roman" w:hAnsi="Times New Roman"/>
          <w:sz w:val="17"/>
          <w:szCs w:val="17"/>
          <w:color w:val="auto"/>
        </w:rPr>
        <w:t>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10" w:lineRule="exact"/>
        <w:rPr>
          <w:sz w:val="20"/>
          <w:szCs w:val="20"/>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and economic conditions, including actual and anticipated changes in interest rates and mortgage spreads;</w:t>
      </w:r>
    </w:p>
    <w:p>
      <w:pPr>
        <w:spacing w:after="0" w:line="3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policy, rules and regulations applicable to mortgage REITs, including tax laws, financial accounting and reporting standards, and exemptions from the Investment Company Act of 1940, as amended;</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quarterly operating results as well as relative to levels expected by securities analysts;</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shares of common stock or securities convertible into common stock, which may be issued at a price below tangible net book value per share of common stock;</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similar companies;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market reaction to any increased indebtedness we incur in the future or issuance of preferred stock senior in priority to our common stock;</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stockholders, individually or collectively;</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dividend policy; and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targeted investments or investment guidelines.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established a minimum dividend payment level and may be unable to pay dividends in the future.</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of Directors may change our dividend policy.</w:t>
      </w:r>
    </w:p>
    <w:p>
      <w:pPr>
        <w:spacing w:after="0" w:line="3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9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of Directors.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72"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maintain an active cybersecurity risk management and strategy program to address the risks of cybersecurity threats to our business. Our cybersecurity program aligns with the NIST Cybersecurity Framework, and we conduct reviews of its effectiveness on a regular basis through annual testing, periodic third-party evaluations of our processes and controls, and ongoing surveillance. This program involves the use of cybersecurity tools to identify, protect, detect, respond, and recover from cybersecurity threats. Additionally, we engage with third-party cybersecurity consultants and other professional advisors to gain insight and knowledge into emerging threats, industry trends and emerging practices. Annually, we review cybersecurity risk in the context of our overall enterprise risk management assessment. As a component of these processes, our management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3" w:name="page24"/>
    <w:bookmarkEnd w:id="23"/>
    <w:p>
      <w:pPr>
        <w:jc w:val="both"/>
        <w:spacing w:after="0" w:line="295" w:lineRule="auto"/>
        <w:rPr>
          <w:sz w:val="20"/>
          <w:szCs w:val="20"/>
          <w:color w:val="auto"/>
        </w:rPr>
      </w:pPr>
      <w:r>
        <w:rPr>
          <w:rFonts w:ascii="Times New Roman" w:cs="Times New Roman" w:eastAsia="Times New Roman" w:hAnsi="Times New Roman"/>
          <w:sz w:val="17"/>
          <w:szCs w:val="17"/>
          <w:color w:val="auto"/>
        </w:rPr>
        <w:t>team, including our Senior Vice President and Chief Technology Officer, identifies and assesses the likelihood and magnitude of risks, on both inherent and residual basis. These evaluations inform our overall cybersecurity strategy.</w:t>
      </w:r>
    </w:p>
    <w:p>
      <w:pPr>
        <w:spacing w:after="0" w:line="9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business operations depend significantly on third party service providers. We have processes in place to evaluate the operational and cybersecurity risks posed to us by third parties on whom we are reliant for these services at the inception of our engagement, and we annually review third-party firms that pose the greatest risks to our business and operations from cybersecurity threats. Nonetheless, we rely on the third parties we use to implement security programs commensurate with their own risk, and we cannot ensure that their efforts will be successful.</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 xml:space="preserve">Our primary business involves investments in mortgages and mortgage instruments, but we do not perform mortgage servicing, maintain customer accounts, or provide any direct mortgage lending. Nor do we receive personal information on individual mortgage borrowers as part of our regular operations. However, our business is highly dependent on the availability of information systems, and a cybersecurity incident, if one were to occur, could have the potential to disrupt our operations. Please refer to </w:t>
      </w:r>
      <w:r>
        <w:rPr>
          <w:rFonts w:ascii="Times New Roman" w:cs="Times New Roman" w:eastAsia="Times New Roman" w:hAnsi="Times New Roman"/>
          <w:sz w:val="17"/>
          <w:szCs w:val="17"/>
          <w:i w:val="1"/>
          <w:iCs w:val="1"/>
          <w:color w:val="auto"/>
        </w:rPr>
        <w:t>Risks Related to Our Business Operations</w:t>
      </w:r>
      <w:r>
        <w:rPr>
          <w:rFonts w:ascii="Times New Roman" w:cs="Times New Roman" w:eastAsia="Times New Roman" w:hAnsi="Times New Roman"/>
          <w:sz w:val="17"/>
          <w:szCs w:val="17"/>
          <w:color w:val="auto"/>
        </w:rPr>
        <w:t xml:space="preserve">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this Form 10-K for a further discussion of the risks posed by cybersecurity threats.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Oversight</w:t>
      </w:r>
    </w:p>
    <w:p>
      <w:pPr>
        <w:spacing w:after="0" w:line="17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The Audit Committee of the Board of Directors has responsibility to oversee management’s strategy to address risks from cybersecurity threats. The Audit Committee periodically reviews with management the Company’s policies, controls, and procedures used to identify, mitigate, and manage cybersecurity risks. To accomplish this objective, we have established processes for reporting cybersecurity risks to the Audit Committee of the Board of Directors on a quarterly basis. This report, which is prepared by our Senior Vice President and Chief Technology Officer, includes performance as against key performance indicators (KPIs) and service level objectives specifically defined to measure the effectiveness of our cybersecurity controls and risk management efforts, current threat landscape, and strategy. In addition, on an annual basis the Company’s Senior Vice President and Chief Technology Officer presents to the Audit Committee on cybersecurity matters, including material changes to the Company’s information systems, policies and controls, the results of penetration and other testing and findings from any third-party reviews. Our Audit Committee is committed to maintaining a well-informed and cybersecurity-aware posture, regularly engaging by receiving scheduled and requested updates on our strategy to address risks from cybersecurity threats and the evolving threat landscape. The Board of Directors also is appraised of cybersecurity risks as part of its review of management’s annual enterprise risk management assessment.</w:t>
      </w:r>
    </w:p>
    <w:p>
      <w:pPr>
        <w:spacing w:after="0" w:line="12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Management plays a pivotal role in identifying, assessing, and managing material risks from cybersecurity threats. This involves continuous monitoring, analyzing emerging threats, and the development and implementation of risk mitigation strategies. Led by our Senior Vice President and Chief Technology Officer with over 20 years of cyber and risk management experience, the Company actively implements and enforces cybersecurity policies, procedures, and strategies, including employee training programs, security assessments, and updates to ensure alignment with our evolving threat landscape.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12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4" w:name="page25"/>
    <w:bookmarkEnd w:id="24"/>
    <w:p>
      <w:pPr>
        <w:ind w:left="528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"AGNC." As of January 31, 2024, 695,015,141 shares of common stock were issued and outstanding, which were held by 1,464 stockholders of record. Most of the shares of our common stock are held by brokers and other institutions on behalf of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2023.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72" w:lineRule="exact"/>
        <w:rPr>
          <w:sz w:val="20"/>
          <w:szCs w:val="20"/>
          <w:color w:val="auto"/>
        </w:rPr>
      </w:pPr>
    </w:p>
    <w:p>
      <w:pPr>
        <w:jc w:val="both"/>
        <w:ind w:firstLine="438"/>
        <w:spacing w:after="0" w:line="276" w:lineRule="auto"/>
        <w:rPr>
          <w:sz w:val="20"/>
          <w:szCs w:val="20"/>
          <w:color w:val="auto"/>
        </w:rPr>
      </w:pPr>
      <w:r>
        <w:rPr>
          <w:rFonts w:ascii="Times New Roman" w:cs="Times New Roman" w:eastAsia="Times New Roman" w:hAnsi="Times New Roman"/>
          <w:sz w:val="17"/>
          <w:szCs w:val="17"/>
          <w:color w:val="auto"/>
        </w:rPr>
        <w:t>The following table summarizes information, as of December 31, 2023,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Number of securities to be</w:t>
            </w: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 remaining</w:t>
            </w: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available for future issuance under</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equity compensation plans</w:t>
            </w:r>
          </w:p>
        </w:tc>
        <w:tc>
          <w:tcPr>
            <w:tcW w:w="0" w:type="dxa"/>
            <w:vAlign w:val="bottom"/>
          </w:tcPr>
          <w:p>
            <w:pPr>
              <w:spacing w:after="0"/>
              <w:rPr>
                <w:sz w:val="1"/>
                <w:szCs w:val="1"/>
                <w:color w:val="auto"/>
              </w:rPr>
            </w:pPr>
          </w:p>
        </w:tc>
      </w:tr>
      <w:tr>
        <w:trPr>
          <w:trHeight w:val="144"/>
        </w:trPr>
        <w:tc>
          <w:tcPr>
            <w:tcW w:w="5620" w:type="dxa"/>
            <w:vAlign w:val="bottom"/>
            <w:gridSpan w:val="2"/>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(excluding securities reflected in</w:t>
            </w:r>
          </w:p>
        </w:tc>
        <w:tc>
          <w:tcPr>
            <w:tcW w:w="0" w:type="dxa"/>
            <w:vAlign w:val="bottom"/>
          </w:tcPr>
          <w:p>
            <w:pPr>
              <w:spacing w:after="0"/>
              <w:rPr>
                <w:sz w:val="1"/>
                <w:szCs w:val="1"/>
                <w:color w:val="auto"/>
              </w:rPr>
            </w:pPr>
          </w:p>
        </w:tc>
      </w:tr>
      <w:tr>
        <w:trPr>
          <w:trHeight w:val="190"/>
        </w:trPr>
        <w:tc>
          <w:tcPr>
            <w:tcW w:w="5620" w:type="dxa"/>
            <w:vAlign w:val="bottom"/>
            <w:gridSpan w:val="2"/>
            <w:vMerge w:val="continue"/>
          </w:tcPr>
          <w:p>
            <w:pPr>
              <w:spacing w:after="0"/>
              <w:rPr>
                <w:sz w:val="16"/>
                <w:szCs w:val="16"/>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 xml:space="preserve">and rights </w:t>
            </w:r>
            <w:r>
              <w:rPr>
                <w:rFonts w:ascii="Times New Roman" w:cs="Times New Roman" w:eastAsia="Times New Roman" w:hAnsi="Times New Roman"/>
                <w:sz w:val="9"/>
                <w:szCs w:val="9"/>
                <w:b w:val="1"/>
                <w:bCs w:val="1"/>
                <w:color w:val="auto"/>
                <w:w w:val="98"/>
              </w:rPr>
              <w:t>1</w:t>
            </w:r>
          </w:p>
        </w:tc>
        <w:tc>
          <w:tcPr>
            <w:tcW w:w="12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the first column of this table) </w:t>
            </w:r>
            <w:r>
              <w:rPr>
                <w:rFonts w:ascii="Times New Roman" w:cs="Times New Roman" w:eastAsia="Times New Roman" w:hAnsi="Times New Roman"/>
                <w:sz w:val="9"/>
                <w:szCs w:val="9"/>
                <w:b w:val="1"/>
                <w:bCs w:val="1"/>
                <w:color w:val="auto"/>
                <w:w w:val="99"/>
              </w:rPr>
              <w:t>2</w:t>
            </w:r>
          </w:p>
        </w:tc>
        <w:tc>
          <w:tcPr>
            <w:tcW w:w="0" w:type="dxa"/>
            <w:vAlign w:val="bottom"/>
          </w:tcPr>
          <w:p>
            <w:pPr>
              <w:spacing w:after="0"/>
              <w:rPr>
                <w:sz w:val="1"/>
                <w:szCs w:val="1"/>
                <w:color w:val="auto"/>
              </w:rPr>
            </w:pPr>
          </w:p>
        </w:tc>
      </w:tr>
      <w:tr>
        <w:trPr>
          <w:trHeight w:val="208"/>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8,649,016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6"/>
                <w:szCs w:val="16"/>
                <w:color w:val="auto"/>
              </w:rPr>
              <w:t>28,655,641</w:t>
            </w:r>
          </w:p>
        </w:tc>
        <w:tc>
          <w:tcPr>
            <w:tcW w:w="0" w:type="dxa"/>
            <w:vAlign w:val="bottom"/>
          </w:tcPr>
          <w:p>
            <w:pPr>
              <w:spacing w:after="0"/>
              <w:rPr>
                <w:sz w:val="1"/>
                <w:szCs w:val="1"/>
                <w:color w:val="auto"/>
              </w:rPr>
            </w:pPr>
          </w:p>
        </w:tc>
      </w:tr>
      <w:tr>
        <w:trPr>
          <w:trHeight w:val="20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8,649,016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Times New Roman" w:cs="Times New Roman" w:eastAsia="Times New Roman" w:hAnsi="Times New Roman"/>
                <w:sz w:val="16"/>
                <w:szCs w:val="16"/>
                <w:color w:val="auto"/>
              </w:rPr>
              <w:t>28,655,641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40" w:hanging="322"/>
        <w:spacing w:after="0" w:line="252"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2023.</w:t>
      </w:r>
    </w:p>
    <w:p>
      <w:pPr>
        <w:ind w:left="640" w:hanging="322"/>
        <w:spacing w:after="0" w:line="24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following graph and table compare a stockholder's cumulative total return, assuming $100 invested at December 31, 2018, with the reinvestment of all dividends, as if such amounts had been invested in: (i) our common stock; (ii) the stocks included in the Standard &amp; Poor's 500 Stock Index ("S&amp;P 500"); and (iii) the stocks included in the Bloomberg Mortgage REIT Index.</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661670</wp:posOffset>
            </wp:positionV>
            <wp:extent cx="4979035" cy="3900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9790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40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$100 invested on 12/31/18 in stock or index, including reinvestment of dividends.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Fiscal year ending 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32"/>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AGNC Investment Corp.</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w:t>
            </w:r>
          </w:p>
        </w:tc>
      </w:tr>
      <w:tr>
        <w:trPr>
          <w:trHeight w:val="189"/>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200.29</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155.65</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131.47</w:t>
            </w: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Bloomberg Mortgage REITs</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123.63</w:t>
            </w:r>
          </w:p>
        </w:tc>
      </w:tr>
    </w:tbl>
    <w:p>
      <w:pPr>
        <w:spacing w:after="0" w:line="308" w:lineRule="exact"/>
        <w:rPr>
          <w:sz w:val="20"/>
          <w:szCs w:val="20"/>
          <w:color w:val="auto"/>
        </w:rPr>
      </w:pPr>
    </w:p>
    <w:p>
      <w:pPr>
        <w:jc w:val="both"/>
        <w:ind w:firstLine="502"/>
        <w:spacing w:after="0" w:line="276" w:lineRule="auto"/>
        <w:rPr>
          <w:sz w:val="20"/>
          <w:szCs w:val="20"/>
          <w:color w:val="auto"/>
        </w:rPr>
      </w:pPr>
      <w:r>
        <w:rPr>
          <w:rFonts w:ascii="Times New Roman" w:cs="Times New Roman" w:eastAsia="Times New Roman" w:hAnsi="Times New Roman"/>
          <w:sz w:val="17"/>
          <w:szCs w:val="17"/>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spacing w:after="0" w:line="44" w:lineRule="exact"/>
        <w:rPr>
          <w:sz w:val="20"/>
          <w:szCs w:val="20"/>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Overview</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Condition</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of Critical Accounting Estimates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and Capital Resources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Off-Balance Sheet Arrangements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1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17"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Recent Market Impacts</w:t>
      </w:r>
    </w:p>
    <w:p>
      <w:pPr>
        <w:spacing w:after="0" w:line="172"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Federal Reserve continued its unprecedented dual-track approach to monetary policy tightening in 2023. Since the beginning of this cycle in 2022, the Federal Reserve has raised the Federal Funds rate by 525 basis points and reduced its balance sheet by $1.3 trillion. This aggressive Federal Reserve campaign and a number of other macroeconomic and geopolitical factors, including persistent inflation, regional bank failures and fears of broader financial contagion, political uncertainty regarding the U.S. debt ceiling and gross supply of U.S. Treasury securities, and significant global geopolitical events, led to sharply higher interest rate and Agency RMBS spread volatility throughout the year. While a number of the risks related to these factors remain and will continue to influence Agency RMBS performance going forward, market uncertainty about many of them has declined considerably from peak levels experienced during the year.</w:t>
      </w:r>
    </w:p>
    <w:p>
      <w:pPr>
        <w:spacing w:after="0" w:line="121"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10-year U.S. Treasury increased 170 basis points from the April 2023 low of 3.3% to nearly 5.0% in mid-October before declining 110 basis points to 3.9% at year end, ending the year unchanged. The current coupon Agency RMBS spread to a blend of 5- and 10-year Treasuries began the year at 145 basis points and reached 190 basis points in May and again in October, approximating levels that Agency RMBS spreads had previously reached since 2000 only during extreme financial market dislocations - the Great Financial Crisis and the peak of the Covid pandemic - before declining to 139 basis points at year end.</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Challenging fixed income environments underscore the importance of active portfolio management and prioritization of risk management. To that end, AGNC maintained a large interest rate hedge position, averaging over 115% of our repo funding and TBA position for 2023 and 2022, and a reduced leverage profile, averaging 7.4x and 7.8x of our tangible stockholders' equity for 2023 and 2022, respectively. In addition, our liquidity as a percentage of our stockholders' equity remained within normal operating levels despite the difficult environment, with unencumbered cash and Agency RMBS growing to $5.1 billion, or 66% of our tangible stockholders' equity, as of the end of 2023, up from $4.3 billion, or 59% of tangible stockholders’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7"/>
          <w:szCs w:val="17"/>
          <w:color w:val="auto"/>
        </w:rPr>
        <w:t>equity, the previous year-end. To capitalize on higher asset yields and wider spreads, in 2023, we continued to shift our asset portfolio away from TBA and lower coupon holdings toward a greater share of higher coupon, high-quality specified pools. As a result, the weighted average coupon on our fixed-rate Agency RMBS and TBA securities increased to 4.83% as of December 31, 2023 from 4.13% as of the previous year-end. Additionally, we opportunistically issued $1.1 billion and $0.5 billion in 2023 and 2022, respectively, of accretive common equity through our At-the-Market offering program to capitalize on our material price to book premium.</w:t>
      </w:r>
    </w:p>
    <w:p>
      <w:pPr>
        <w:spacing w:after="0" w:line="11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AGNC earned total comprehensive income of $0.30 per diluted common share for fiscal year 2023, versus a loss of $4.22 in fiscal year 2022. Our total economic return on tangible common equity was 3.0% for 2023, comprised of $1.44 dividends declared per common share and a $1.14 decline in tangible net book value per common share, compared to a loss of 28.4% for 2022. Net spread and dollar roll income (a non-GAAP measure) per diluted common share totaled $2.61 for fiscal year 2023, compared to $3.11 for 2022, as higher asset yields and our pay-fixed / receive-variable interest rate swap portfolio largely offset rising repo funding costs and declining TBA dollar roll income during the year.</w:t>
      </w:r>
    </w:p>
    <w:p>
      <w:pPr>
        <w:spacing w:after="0" w:line="11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As a levered investor in Agency RMBS, AGNC's performance is primarily driven by changes in Agency RMBS spreads to benchmark interest rates and interest rate volatility. Looking ahead, although risk measures for volatility remain elevated by historical standards, we believe a more favorable investment environment for Agency RMBS is emerging, supported by three key developments. First, the Fed adopted a more neutral monetary policy stance in the fourth quarter and indicated that multiple rate cuts are possible in 2024 if inflation continues to improve as expected. Second, many of the factors that drove the high levels of interest rate volatility in 2023 have now largely subsided, which should, in turn, enhance the attractiveness of Agency RMBS and reduce the cost of our interest rate risk management activities. Third, Agency RMBS spreads appear to have settled into a new trading range, providing us additional confidence in our view that the secular spread widening associated with the Federal Reserve’s reduced presence in the Agency RMBS market has reached its conclusion. Importantly, the higher end of this recent trading range has held on several repeated occasions, as the nearly 2.0% yield benefit for Agency RMBS relative to Treasury securities at these wide spread levels led to strong incremental demand for Agency RMBS. These developments collectively position Agency RMBS as an attractive investment option, both on an absolute and relative basis, in our view, and form the basis for our positive investment outlook.</w:t>
      </w:r>
    </w:p>
    <w:p>
      <w:pPr>
        <w:spacing w:after="0" w:line="12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this form 10-K.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benchmark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2023</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2022</w:t>
            </w:r>
          </w:p>
        </w:tc>
        <w:tc>
          <w:tcPr>
            <w:tcW w:w="0" w:type="dxa"/>
            <w:vAlign w:val="bottom"/>
          </w:tcPr>
          <w:p>
            <w:pPr>
              <w:spacing w:after="0"/>
              <w:rPr>
                <w:sz w:val="1"/>
                <w:szCs w:val="1"/>
                <w:color w:val="auto"/>
              </w:rPr>
            </w:pPr>
          </w:p>
        </w:tc>
      </w:tr>
      <w:tr>
        <w:trPr>
          <w:trHeight w:val="18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4.06%</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4.07%</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$84.96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$86.16</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$84.77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$79.39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$85.24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+$0.28</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$88.02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$89.63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$88.01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$82.75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$88.58</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+$0.56</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$92.82</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$91.11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$91.86</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+$0.76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$94.03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$95.59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$93.84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$89.09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$94.69</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+$0.66</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$97.92</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$96.14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$97.04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+$0.45</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$98.80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$99.69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$94.39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$99.04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+$0.24</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$100.47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$99.55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$100.56</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+$0.09</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$101.69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$100.88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$98.74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$101.63</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-$0.06</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$102.57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$100.52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-$0.06</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$87.95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$86.86</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+$0.02</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$90.36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$88.61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$85.81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$89.47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+$0.19</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$92.83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$90.98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$88.21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$92.14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+$0.34</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$93.85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$94.83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$93.32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$90.54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$94.30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+$0.45</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$95.93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$96.68</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$95.14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$96.39</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+$0.46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$97.75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$98.41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$96.59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$94.42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$98.10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+$0.35</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64"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7"/>
          <w:szCs w:val="17"/>
          <w:color w:val="auto"/>
        </w:rPr>
        <w:t>The following table summarizes mortgage and credit spreads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2023</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1"/>
        </w:trPr>
        <w:tc>
          <w:tcPr>
            <w:tcW w:w="546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2022</w:t>
            </w:r>
          </w:p>
        </w:tc>
        <w:tc>
          <w:tcPr>
            <w:tcW w:w="0" w:type="dxa"/>
            <w:vAlign w:val="bottom"/>
          </w:tcPr>
          <w:p>
            <w:pPr>
              <w:spacing w:after="0"/>
              <w:rPr>
                <w:sz w:val="1"/>
                <w:szCs w:val="1"/>
                <w:color w:val="auto"/>
              </w:rPr>
            </w:pPr>
          </w:p>
        </w:tc>
      </w:tr>
      <w:tr>
        <w:trPr>
          <w:trHeight w:val="194"/>
        </w:trPr>
        <w:tc>
          <w:tcPr>
            <w:tcW w:w="5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5-Year U.S. Treasury Spread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+2</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10-Year U.S. Treasury Spread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-14</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U.S. Treasury Spread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center"/>
              <w:ind w:right="43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360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182"/>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-26</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72" w:lineRule="exact"/>
        <w:rPr>
          <w:sz w:val="20"/>
          <w:szCs w:val="20"/>
          <w:color w:val="auto"/>
        </w:rPr>
      </w:pPr>
    </w:p>
    <w:p>
      <w:pPr>
        <w:ind w:left="640" w:hanging="322"/>
        <w:spacing w:after="0" w:line="252"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yield on new production Agency RMBS. 30-Year Current Coupon Yields are sourced from Bloomberg and 30-Year Mortgage Rates are sourced from Clear Blue.</w:t>
      </w:r>
    </w:p>
    <w:p>
      <w:pPr>
        <w:ind w:left="640" w:hanging="32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FINANCIAL CONDITION</w:t>
      </w:r>
    </w:p>
    <w:p>
      <w:pPr>
        <w:spacing w:after="0" w:line="17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2023 and 2022, our investment portfolio totaled $60.2 billion and $59.5 billion, respectively, consisting of: $54.8 billion and $40.9 billion investment securities, at fair value, respectively; $5.4 billion and $18.6 billion net TBA securities, at fair value, respectively; and other mortgage credit investments of $44 million and $25 million, respectively, which we account for under the equity method of accounting. The following table is a summary of our investment securities as of December 31, 2023 and 2022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CMO Agency RMBS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8.48 %</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$44 million and $25 million as of December 31, 2023 and 2022, respectively.</w:t>
      </w:r>
    </w:p>
    <w:p>
      <w:pPr>
        <w:ind w:left="640" w:hanging="32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10-K</w:t>
      </w:r>
    </w:p>
    <w:p>
      <w:pPr>
        <w:spacing w:after="0" w:line="15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TBA securities are recorded as derivative instruments in our accompanying consolidated financial statements, and our TBA dollar roll transactions represent a form of off-balance sheet financing. As of December 31, 2023 and 2022, our TBA securities had a net carrying value of $66 million and $167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17"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As of December 31, 2023 and 2022, the weighted average yield on our investment securities (excluding TBA and forward settling securities) was 4.41% and 3.37%,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1" w:name="page32"/>
    <w:bookmarkEnd w:id="31"/>
    <w:p>
      <w:pPr>
        <w:ind w:firstLine="431"/>
        <w:spacing w:after="0" w:line="295" w:lineRule="auto"/>
        <w:rPr>
          <w:sz w:val="20"/>
          <w:szCs w:val="20"/>
          <w:color w:val="auto"/>
        </w:rPr>
      </w:pPr>
      <w:r>
        <w:rPr>
          <w:rFonts w:ascii="Times New Roman" w:cs="Times New Roman" w:eastAsia="Times New Roman" w:hAnsi="Times New Roman"/>
          <w:sz w:val="17"/>
          <w:szCs w:val="17"/>
          <w:color w:val="auto"/>
        </w:rPr>
        <w:t>The following tables summarize certain characteristics of our fixed rate Agency RMBS portfolio, inclusive of TBA securities, as of December 31, 2023 and 2022 (dollars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Includes Net TBA Position</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40" w:type="dxa"/>
            <w:vAlign w:val="bottom"/>
            <w:gridSpan w:val="3"/>
          </w:tcPr>
          <w:p>
            <w:pPr>
              <w:jc w:val="center"/>
              <w:ind w:right="400"/>
              <w:spacing w:after="0" w:line="15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9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9"/>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101.5%</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102.8%</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100.9%</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101.9%</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104.7%</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101.7%</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4.0%</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104.3%</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103.6%</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59</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101.0%</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105.7%</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100.5%</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100.6%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101.0%</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102.3%</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102.2%</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58,515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102.2%</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48"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640" w:hanging="322"/>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8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80" w:type="dxa"/>
            <w:vAlign w:val="bottom"/>
            <w:gridSpan w:val="3"/>
            <w:vMerge w:val="restart"/>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98"/>
        </w:trPr>
        <w:tc>
          <w:tcPr>
            <w:tcW w:w="2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3"/>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8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9"/>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105.6%</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102.2%</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102.8%</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144</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102.7%</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105.0%</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101.9%</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4.0%</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4.27%</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104.5%</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2.51%</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103.6%</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3"/>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101.9%</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105.8%</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101.7%</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103.8%</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104.3%</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57,441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58,134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4.20%</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103.5%</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57,743</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103.5%</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2"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ind w:left="640" w:hanging="322"/>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2022.</w:t>
      </w:r>
    </w:p>
    <w:p>
      <w:pPr>
        <w:spacing w:after="0" w:line="158"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For additional details regarding our CRT and non-Agency securities, including credit ratings, as of December 31, 2023 and 2022, please refer to Note 3 of our Consolidated Financial Statements included under Item 8 of this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CRITICAL ACCOUNTING ESTIMATES</w:t>
      </w:r>
    </w:p>
    <w:p>
      <w:pPr>
        <w:spacing w:after="0" w:line="17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2023 was 102.2% of par value; therefore, changes in our actual or projected prepayments can significantly alter the effective yield on our assets.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cost/benefit.</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this Form 10-K includes the estimated weighted average projected CPR of our investments and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74" w:lineRule="exact"/>
        <w:rPr>
          <w:sz w:val="20"/>
          <w:szCs w:val="20"/>
          <w:color w:val="auto"/>
        </w:rPr>
      </w:pPr>
    </w:p>
    <w:p>
      <w:pPr>
        <w:jc w:val="both"/>
        <w:ind w:firstLine="470"/>
        <w:spacing w:after="0"/>
        <w:rPr>
          <w:sz w:val="20"/>
          <w:szCs w:val="20"/>
          <w:color w:val="auto"/>
        </w:rPr>
      </w:pPr>
      <w:r>
        <w:rPr>
          <w:rFonts w:ascii="Times New Roman" w:cs="Times New Roman" w:eastAsia="Times New Roman" w:hAnsi="Times New Roman"/>
          <w:sz w:val="17"/>
          <w:szCs w:val="17"/>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and the related per common share measures and certain financial metrics derived from such non-GAAP information.</w:t>
      </w:r>
    </w:p>
    <w:p>
      <w:pPr>
        <w:spacing w:after="0" w:line="14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33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4" w:name="page35"/>
    <w:bookmarkEnd w:id="34"/>
    <w:p>
      <w:pPr>
        <w:jc w:val="both"/>
        <w:spacing w:after="0" w:line="264" w:lineRule="auto"/>
        <w:rPr>
          <w:sz w:val="20"/>
          <w:szCs w:val="20"/>
          <w:color w:val="auto"/>
        </w:rPr>
      </w:pPr>
      <w:r>
        <w:rPr>
          <w:rFonts w:ascii="Times New Roman" w:cs="Times New Roman" w:eastAsia="Times New Roman" w:hAnsi="Times New Roman"/>
          <w:sz w:val="17"/>
          <w:szCs w:val="17"/>
          <w:color w:val="auto"/>
        </w:rPr>
        <w:t>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21"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59" w:lineRule="exact"/>
        <w:rPr>
          <w:sz w:val="20"/>
          <w:szCs w:val="20"/>
          <w:color w:val="auto"/>
        </w:rPr>
      </w:pPr>
    </w:p>
    <w:p>
      <w:pPr>
        <w:ind w:left="640" w:hanging="322"/>
        <w:spacing w:after="0" w:line="265"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spread and dollar roll income available to common stockholders" was previously referred to as "net spread and dollar roll income, excluding 'catch-up' premium amortization, available to common stockholders". "Net spread and dollar roll income available to common stockholders" continues to exclude "catch-up" premium amortization.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Financial Data</w:t>
      </w:r>
    </w:p>
    <w:p>
      <w:pPr>
        <w:spacing w:after="0" w:line="240" w:lineRule="exact"/>
        <w:rPr>
          <w:sz w:val="20"/>
          <w:szCs w:val="20"/>
          <w:color w:val="auto"/>
        </w:rPr>
      </w:pPr>
    </w:p>
    <w:p>
      <w:pPr>
        <w:jc w:val="both"/>
        <w:ind w:firstLine="431"/>
        <w:spacing w:after="0" w:line="259" w:lineRule="auto"/>
        <w:rPr>
          <w:sz w:val="20"/>
          <w:szCs w:val="20"/>
          <w:color w:val="auto"/>
        </w:rPr>
      </w:pPr>
      <w:r>
        <w:rPr>
          <w:rFonts w:ascii="Times New Roman" w:cs="Times New Roman" w:eastAsia="Times New Roman" w:hAnsi="Times New Roman"/>
          <w:sz w:val="17"/>
          <w:szCs w:val="17"/>
          <w:color w:val="auto"/>
        </w:rPr>
        <w:t xml:space="preserve">The following selected financial data is derived from our annual financial statements for the three years ended December 31, 2023. The selected financial data should be read in conjunction with the more detailed information contained in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and in this Item 7. </w:t>
      </w:r>
      <w:r>
        <w:rPr>
          <w:rFonts w:ascii="Times New Roman" w:cs="Times New Roman" w:eastAsia="Times New Roman" w:hAnsi="Times New Roman"/>
          <w:sz w:val="17"/>
          <w:szCs w:val="17"/>
          <w:i w:val="1"/>
          <w:iCs w:val="1"/>
          <w:color w:val="auto"/>
        </w:rPr>
        <w:t>Management's Discussion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Analysis of Financial Condition and Results of Operations </w:t>
      </w:r>
      <w:r>
        <w:rPr>
          <w:rFonts w:ascii="Times New Roman" w:cs="Times New Roman" w:eastAsia="Times New Roman" w:hAnsi="Times New Roman"/>
          <w:sz w:val="17"/>
          <w:szCs w:val="17"/>
          <w:color w:val="auto"/>
        </w:rPr>
        <w:t>(in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68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Investment securities, at fair value of $54,824, $40,904 and $54,421, respectively, and other mortgage credit</w:t>
            </w:r>
          </w:p>
        </w:tc>
        <w:tc>
          <w:tcPr>
            <w:tcW w:w="8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54,868</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40,929</w:t>
            </w:r>
          </w:p>
        </w:tc>
        <w:tc>
          <w:tcPr>
            <w:tcW w:w="8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54,421</w:t>
            </w:r>
          </w:p>
        </w:tc>
        <w:tc>
          <w:tcPr>
            <w:tcW w:w="0" w:type="dxa"/>
            <w:vAlign w:val="bottom"/>
          </w:tcPr>
          <w:p>
            <w:pPr>
              <w:spacing w:after="0"/>
              <w:rPr>
                <w:sz w:val="1"/>
                <w:szCs w:val="1"/>
                <w:color w:val="auto"/>
              </w:rPr>
            </w:pPr>
          </w:p>
        </w:tc>
      </w:tr>
      <w:tr>
        <w:trPr>
          <w:trHeight w:val="20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51,748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68,149</w:t>
            </w:r>
          </w:p>
        </w:tc>
        <w:tc>
          <w:tcPr>
            <w:tcW w:w="0" w:type="dxa"/>
            <w:vAlign w:val="bottom"/>
          </w:tcPr>
          <w:p>
            <w:pPr>
              <w:spacing w:after="0"/>
              <w:rPr>
                <w:sz w:val="1"/>
                <w:szCs w:val="1"/>
                <w:color w:val="auto"/>
              </w:rPr>
            </w:pPr>
          </w:p>
        </w:tc>
      </w:tr>
      <w:tr>
        <w:trPr>
          <w:trHeight w:val="20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50,506</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36,357</w:t>
            </w:r>
          </w:p>
        </w:tc>
        <w:tc>
          <w:tcPr>
            <w:tcW w:w="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47,507</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43,878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57,858</w:t>
            </w:r>
          </w:p>
        </w:tc>
        <w:tc>
          <w:tcPr>
            <w:tcW w:w="0" w:type="dxa"/>
            <w:vAlign w:val="bottom"/>
          </w:tcPr>
          <w:p>
            <w:pPr>
              <w:spacing w:after="0"/>
              <w:rPr>
                <w:sz w:val="1"/>
                <w:szCs w:val="1"/>
                <w:color w:val="auto"/>
              </w:rPr>
            </w:pPr>
          </w:p>
        </w:tc>
      </w:tr>
      <w:tr>
        <w:trPr>
          <w:trHeight w:val="20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7,870</w:t>
            </w:r>
          </w:p>
        </w:tc>
        <w:tc>
          <w:tcPr>
            <w:tcW w:w="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7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0"/>
                <w:szCs w:val="20"/>
                <w:color w:val="auto"/>
                <w:vertAlign w:val="superscript"/>
              </w:rPr>
              <w:t>2</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23"/>
                <w:szCs w:val="23"/>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w:t>
            </w: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0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2"/>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5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0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0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0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8"/>
        </w:trPr>
        <w:tc>
          <w:tcPr>
            <w:tcW w:w="6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7"/>
                <w:szCs w:val="17"/>
                <w:color w:val="auto"/>
              </w:rPr>
            </w:pP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0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0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0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8"/>
        </w:trPr>
        <w:tc>
          <w:tcPr>
            <w:tcW w:w="6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500" w:type="dxa"/>
            <w:vAlign w:val="bottom"/>
            <w:tcBorders>
              <w:bottom w:val="single" w:sz="8" w:color="auto"/>
            </w:tcBorders>
          </w:tcPr>
          <w:p>
            <w:pPr>
              <w:jc w:val="right"/>
              <w:ind w:right="32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500" w:type="dxa"/>
            <w:vAlign w:val="bottom"/>
            <w:tcBorders>
              <w:bottom w:val="single" w:sz="8" w:color="auto"/>
            </w:tcBorders>
          </w:tcPr>
          <w:p>
            <w:pPr>
              <w:jc w:val="right"/>
              <w:ind w:right="32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0.30</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0.44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500" w:type="dxa"/>
            <w:vAlign w:val="bottom"/>
            <w:tcBorders>
              <w:bottom w:val="single" w:sz="8" w:color="auto"/>
            </w:tcBorders>
          </w:tcPr>
          <w:p>
            <w:pPr>
              <w:jc w:val="right"/>
              <w:ind w:right="32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1.44</w:t>
            </w: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8"/>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50,878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47,761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53,057</w:t>
            </w:r>
          </w:p>
        </w:tc>
        <w:tc>
          <w:tcPr>
            <w:tcW w:w="0" w:type="dxa"/>
            <w:vAlign w:val="bottom"/>
          </w:tcPr>
          <w:p>
            <w:pPr>
              <w:spacing w:after="0"/>
              <w:rPr>
                <w:sz w:val="1"/>
                <w:szCs w:val="1"/>
                <w:color w:val="auto"/>
              </w:rPr>
            </w:pPr>
          </w:p>
        </w:tc>
      </w:tr>
      <w:tr>
        <w:trPr>
          <w:trHeight w:val="20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52,262</w:t>
            </w:r>
          </w:p>
        </w:tc>
        <w:tc>
          <w:tcPr>
            <w:tcW w:w="1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49,195</w:t>
            </w:r>
          </w:p>
        </w:tc>
        <w:tc>
          <w:tcPr>
            <w:tcW w:w="10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54,869</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par (as of period end) </w:t>
            </w:r>
            <w:r>
              <w:rPr>
                <w:rFonts w:ascii="Times New Roman" w:cs="Times New Roman" w:eastAsia="Times New Roman" w:hAnsi="Times New Roman"/>
                <w:sz w:val="18"/>
                <w:szCs w:val="18"/>
                <w:color w:val="auto"/>
                <w:vertAlign w:val="superscript"/>
              </w:rPr>
              <w:t>3</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27,123</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cost (as of period end) </w:t>
            </w:r>
            <w:r>
              <w:rPr>
                <w:rFonts w:ascii="Times New Roman" w:cs="Times New Roman" w:eastAsia="Times New Roman" w:hAnsi="Times New Roman"/>
                <w:sz w:val="18"/>
                <w:szCs w:val="18"/>
                <w:color w:val="auto"/>
                <w:vertAlign w:val="superscript"/>
              </w:rPr>
              <w:t>3</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18,407</w:t>
            </w:r>
          </w:p>
        </w:tc>
        <w:tc>
          <w:tcPr>
            <w:tcW w:w="10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27,622</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market value (as of period end) </w:t>
            </w:r>
            <w:r>
              <w:rPr>
                <w:rFonts w:ascii="Times New Roman" w:cs="Times New Roman" w:eastAsia="Times New Roman" w:hAnsi="Times New Roman"/>
                <w:sz w:val="18"/>
                <w:szCs w:val="18"/>
                <w:color w:val="auto"/>
                <w:vertAlign w:val="superscript"/>
              </w:rPr>
              <w:t>3</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18,574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carrying value (as of period end) </w:t>
            </w:r>
            <w:r>
              <w:rPr>
                <w:rFonts w:ascii="Times New Roman" w:cs="Times New Roman" w:eastAsia="Times New Roman" w:hAnsi="Times New Roman"/>
                <w:sz w:val="18"/>
                <w:szCs w:val="18"/>
                <w:color w:val="auto"/>
                <w:vertAlign w:val="superscript"/>
              </w:rPr>
              <w:t>3,4</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29,851</w:t>
            </w:r>
          </w:p>
        </w:tc>
        <w:tc>
          <w:tcPr>
            <w:tcW w:w="0" w:type="dxa"/>
            <w:vAlign w:val="bottom"/>
          </w:tcPr>
          <w:p>
            <w:pPr>
              <w:spacing w:after="0"/>
              <w:rPr>
                <w:sz w:val="1"/>
                <w:szCs w:val="1"/>
                <w:color w:val="auto"/>
              </w:rPr>
            </w:pPr>
          </w:p>
        </w:tc>
      </w:tr>
      <w:tr>
        <w:trPr>
          <w:trHeight w:val="20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63,409</w:t>
            </w:r>
          </w:p>
        </w:tc>
        <w:tc>
          <w:tcPr>
            <w:tcW w:w="1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61,028</w:t>
            </w:r>
          </w:p>
        </w:tc>
        <w:tc>
          <w:tcPr>
            <w:tcW w:w="10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72,908</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5</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41,363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49,923</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6</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8,475</w:t>
            </w:r>
          </w:p>
        </w:tc>
        <w:tc>
          <w:tcPr>
            <w:tcW w:w="10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10,885</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TBA dollar roll position and, if applicable, forward settling securities.</w:t>
      </w:r>
    </w:p>
    <w:p>
      <w:pPr>
        <w:spacing w:after="0" w:line="8" w:lineRule="exact"/>
        <w:rPr>
          <w:rFonts w:ascii="Times New Roman" w:cs="Times New Roman" w:eastAsia="Times New Roman" w:hAnsi="Times New Roman"/>
          <w:sz w:val="14"/>
          <w:szCs w:val="14"/>
          <w:color w:val="auto"/>
        </w:rPr>
      </w:pPr>
    </w:p>
    <w:p>
      <w:pPr>
        <w:ind w:left="640" w:hanging="322"/>
        <w:spacing w:after="0" w:line="24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40" w:hanging="322"/>
        <w:spacing w:after="0" w:line="260"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 w:name="page37"/>
    <w:bookmarkEnd w:id="36"/>
    <w:p>
      <w:pPr>
        <w:ind w:left="640" w:hanging="32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21" w:lineRule="exact"/>
        <w:rPr>
          <w:rFonts w:ascii="Times New Roman" w:cs="Times New Roman" w:eastAsia="Times New Roman" w:hAnsi="Times New Roman"/>
          <w:sz w:val="14"/>
          <w:szCs w:val="14"/>
          <w:color w:val="auto"/>
        </w:rPr>
      </w:pPr>
    </w:p>
    <w:p>
      <w:pPr>
        <w:jc w:val="both"/>
        <w:ind w:left="640" w:hanging="322"/>
        <w:spacing w:after="0" w:line="24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40" w:hanging="322"/>
        <w:spacing w:after="0" w:line="25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640" w:hanging="322"/>
        <w:spacing w:after="0" w:line="26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Interest Income and Asset Yields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following table summarizes our economic interest income (a non-GAAP measure) for fiscal years 2023, 2022 and 2021,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0"/>
        </w:trPr>
        <w:tc>
          <w:tcPr>
            <w:tcW w:w="49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0" w:type="dxa"/>
            <w:vAlign w:val="bottom"/>
          </w:tcPr>
          <w:p>
            <w:pPr>
              <w:spacing w:after="0"/>
              <w:rPr>
                <w:sz w:val="1"/>
                <w:szCs w:val="1"/>
                <w:color w:val="auto"/>
              </w:rPr>
            </w:pPr>
          </w:p>
        </w:tc>
      </w:tr>
      <w:tr>
        <w:trPr>
          <w:trHeight w:val="189"/>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4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0" w:type="dxa"/>
            <w:vAlign w:val="bottom"/>
          </w:tcPr>
          <w:p>
            <w:pPr>
              <w:spacing w:after="0"/>
              <w:rPr>
                <w:sz w:val="1"/>
                <w:szCs w:val="1"/>
                <w:color w:val="auto"/>
              </w:rPr>
            </w:pPr>
          </w:p>
        </w:tc>
      </w:tr>
      <w:tr>
        <w:trPr>
          <w:trHeight w:val="134"/>
        </w:trPr>
        <w:tc>
          <w:tcPr>
            <w:tcW w:w="496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 change in CPR</w:t>
            </w:r>
          </w:p>
        </w:tc>
        <w:tc>
          <w:tcPr>
            <w:tcW w:w="140" w:type="dxa"/>
            <w:vAlign w:val="bottom"/>
          </w:tcPr>
          <w:p>
            <w:pPr>
              <w:spacing w:after="0"/>
              <w:rPr>
                <w:sz w:val="11"/>
                <w:szCs w:val="11"/>
                <w:color w:val="auto"/>
              </w:rPr>
            </w:pPr>
          </w:p>
        </w:tc>
        <w:tc>
          <w:tcPr>
            <w:tcW w:w="7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87"/>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forecast</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196"/>
        </w:trPr>
        <w:tc>
          <w:tcPr>
            <w:tcW w:w="496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18"/>
                <w:szCs w:val="18"/>
                <w:color w:val="auto"/>
                <w:vertAlign w:val="superscript"/>
              </w:rPr>
              <w:t>1,2</w:t>
            </w: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214"/>
        </w:trPr>
        <w:tc>
          <w:tcPr>
            <w:tcW w:w="4960" w:type="dxa"/>
            <w:vAlign w:val="bottom"/>
            <w:tcBorders>
              <w:top w:val="single" w:sz="8" w:color="CCEEFF"/>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Economic interest income, excluding "catch-up" amortization (non-GAAP measure) </w:t>
            </w:r>
            <w:r>
              <w:rPr>
                <w:rFonts w:ascii="Times New Roman" w:cs="Times New Roman" w:eastAsia="Times New Roman" w:hAnsi="Times New Roman"/>
                <w:sz w:val="18"/>
                <w:szCs w:val="18"/>
                <w:color w:val="auto"/>
                <w:vertAlign w:val="superscript"/>
              </w:rPr>
              <w:t>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40"/>
          </w:cols>
          <w:pgMar w:left="320" w:top="862" w:right="339" w:bottom="1440" w:gutter="0" w:footer="0" w:header="0"/>
        </w:sectPr>
      </w:pPr>
    </w:p>
    <w:p>
      <w:pPr>
        <w:ind w:left="180" w:right="240"/>
        <w:spacing w:after="0" w:line="243"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1" w:lineRule="exact"/>
        <w:rPr>
          <w:sz w:val="20"/>
          <w:szCs w:val="20"/>
          <w:color w:val="auto"/>
        </w:rPr>
      </w:pPr>
    </w:p>
    <w:p>
      <w:pPr>
        <w:ind w:left="180"/>
        <w:spacing w:after="0" w:line="242"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18"/>
          <w:szCs w:val="18"/>
          <w:color w:val="auto"/>
          <w:vertAlign w:val="superscript"/>
        </w:rPr>
        <w:t>4</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18"/>
          <w:szCs w:val="18"/>
          <w:color w:val="auto"/>
          <w:vertAlign w:val="superscript"/>
        </w:rPr>
        <w:t>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6.3 %</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11.1 %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r>
      <w:tr>
        <w:trPr>
          <w:trHeight w:val="327"/>
        </w:trPr>
        <w:tc>
          <w:tcPr>
            <w:tcW w:w="12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95"/>
              </w:rPr>
              <w:t>11.4 %</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7.4 %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196"/>
        </w:trPr>
        <w:tc>
          <w:tcPr>
            <w:tcW w:w="12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95"/>
              </w:rPr>
              <w:t>6.56 %</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6.52 %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196"/>
        </w:trPr>
        <w:tc>
          <w:tcPr>
            <w:tcW w:w="12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95"/>
              </w:rPr>
              <w:t>3.88 %</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3.88 %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-648335</wp:posOffset>
            </wp:positionV>
            <wp:extent cx="6945630" cy="207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5630" cy="20764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-233680</wp:posOffset>
            </wp:positionV>
            <wp:extent cx="6945630" cy="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5630" cy="12446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880" w:space="720"/>
            <w:col w:w="5640"/>
          </w:cols>
          <w:pgMar w:left="320" w:top="862" w:right="339" w:bottom="1440" w:gutter="0" w:footer="0" w:header="0"/>
          <w:type w:val="continuous"/>
        </w:sectPr>
      </w:pPr>
    </w:p>
    <w:p>
      <w:pPr>
        <w:ind w:left="640" w:hanging="32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jc w:val="both"/>
        <w:ind w:left="640" w:hanging="322"/>
        <w:spacing w:after="0" w:line="25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 TBA price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2"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ind w:left="640" w:hanging="32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5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2023 and 2022 compared to the prior year period (in millions):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2023 vs 2022</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Portfolio</w:t>
            </w:r>
          </w:p>
        </w:tc>
        <w:tc>
          <w:tcPr>
            <w:tcW w:w="320" w:type="dxa"/>
            <w:vAlign w:val="bottom"/>
          </w:tcPr>
          <w:p>
            <w:pPr>
              <w:spacing w:after="0"/>
              <w:rPr>
                <w:sz w:val="11"/>
                <w:szCs w:val="11"/>
                <w:color w:val="auto"/>
              </w:rPr>
            </w:pPr>
          </w:p>
        </w:tc>
        <w:tc>
          <w:tcPr>
            <w:tcW w:w="1100" w:type="dxa"/>
            <w:vAlign w:val="bottom"/>
          </w:tcPr>
          <w:p>
            <w:pPr>
              <w:jc w:val="right"/>
              <w:ind w:right="470"/>
              <w:spacing w:after="0" w:line="133"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center"/>
              <w:ind w:left="850"/>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4"/>
                <w:szCs w:val="14"/>
                <w:color w:val="auto"/>
                <w:w w:val="98"/>
              </w:rPr>
              <w:t>(222)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2022 vs 2021</w:t>
            </w: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Portfolio</w:t>
            </w:r>
          </w:p>
        </w:tc>
        <w:tc>
          <w:tcPr>
            <w:tcW w:w="320" w:type="dxa"/>
            <w:vAlign w:val="bottom"/>
          </w:tcPr>
          <w:p>
            <w:pPr>
              <w:spacing w:after="0"/>
              <w:rPr>
                <w:sz w:val="10"/>
                <w:szCs w:val="10"/>
                <w:color w:val="auto"/>
              </w:rPr>
            </w:pPr>
          </w:p>
        </w:tc>
        <w:tc>
          <w:tcPr>
            <w:tcW w:w="1100" w:type="dxa"/>
            <w:vAlign w:val="bottom"/>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w w:val="95"/>
              </w:rPr>
              <w:t>370</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8"/>
              </w:rPr>
              <w:t>(142)</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w w:val="95"/>
              </w:rPr>
              <w:t>228</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4"/>
                <w:szCs w:val="14"/>
                <w:color w:val="auto"/>
                <w:w w:val="95"/>
              </w:rPr>
              <w:t>381</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w w:val="95"/>
              </w:rPr>
              <w:t>609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Our average investment portfolio, inclusive of TBAs (at cost), decreased 11% and 18% for fiscal years 2023 and 2022, respectively, primarily due to a decline in our average stockholders' equity and lower "at risk" leverage. The average yield on our investment portfolio, including TBA implied asset yields and excluding "catch-up" premium amortization, increased 111 and 88 basis points for fiscal years 2023 and 2022, respectively, largely as a result of shifting our asset portfolio away from TBA and lower coupon holdings toward a greater share of higher coupon, high-quality specified pools to capitalize on higher asset yields and wider spreads.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Leverage</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10"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10-K for further discussion of TBA securities and dollar roll transactions). Repurchase agreements used to fund short-term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 Securities Repurchase Agreements and</w:t>
            </w:r>
          </w:p>
        </w:tc>
        <w:tc>
          <w:tcPr>
            <w:tcW w:w="160" w:type="dxa"/>
            <w:vAlign w:val="bottom"/>
          </w:tcPr>
          <w:p>
            <w:pPr>
              <w:spacing w:after="0"/>
              <w:rPr>
                <w:sz w:val="12"/>
                <w:szCs w:val="12"/>
                <w:color w:val="auto"/>
              </w:rPr>
            </w:pPr>
          </w:p>
        </w:tc>
        <w:tc>
          <w:tcPr>
            <w:tcW w:w="1700" w:type="dxa"/>
            <w:vAlign w:val="bottom"/>
            <w:gridSpan w:val="4"/>
          </w:tcPr>
          <w:p>
            <w:pPr>
              <w:jc w:val="right"/>
              <w:ind w:right="412"/>
              <w:spacing w:after="0"/>
              <w:rPr>
                <w:sz w:val="20"/>
                <w:szCs w:val="20"/>
                <w:color w:val="auto"/>
              </w:rPr>
            </w:pPr>
            <w:r>
              <w:rPr>
                <w:rFonts w:ascii="Times New Roman" w:cs="Times New Roman" w:eastAsia="Times New Roman" w:hAnsi="Times New Roman"/>
                <w:sz w:val="12"/>
                <w:szCs w:val="12"/>
                <w:b w:val="1"/>
                <w:bCs w:val="1"/>
                <w:color w:val="auto"/>
              </w:rPr>
              <w:t>Net TBA Position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Tangible Net Book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Other Debt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jc w:val="right"/>
              <w:ind w:right="492"/>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9"/>
                <w:szCs w:val="9"/>
                <w:b w:val="1"/>
                <w:bCs w:val="1"/>
                <w:color w:val="auto"/>
              </w:rPr>
              <w:t>Average Tangible Net</w:t>
            </w:r>
          </w:p>
        </w:tc>
        <w:tc>
          <w:tcPr>
            <w:tcW w:w="130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Value "At Risk"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Book Value</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Leverage</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"At Risk" Leverage</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8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Quarter Ended</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Daily Amount</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 xml:space="preserve">during the Period </w:t>
            </w:r>
            <w:r>
              <w:rPr>
                <w:rFonts w:ascii="Times New Roman" w:cs="Times New Roman" w:eastAsia="Times New Roman" w:hAnsi="Times New Roman"/>
                <w:sz w:val="15"/>
                <w:szCs w:val="15"/>
                <w:b w:val="1"/>
                <w:bCs w:val="1"/>
                <w:color w:val="auto"/>
                <w:w w:val="99"/>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 xml:space="preserve">Period End </w:t>
            </w:r>
            <w:r>
              <w:rPr>
                <w:rFonts w:ascii="Times New Roman" w:cs="Times New Roman" w:eastAsia="Times New Roman" w:hAnsi="Times New Roman"/>
                <w:sz w:val="15"/>
                <w:szCs w:val="15"/>
                <w:b w:val="1"/>
                <w:bCs w:val="1"/>
                <w:color w:val="auto"/>
                <w:w w:val="99"/>
                <w:vertAlign w:val="superscript"/>
              </w:rPr>
              <w:t>4</w:t>
            </w:r>
          </w:p>
        </w:tc>
        <w:tc>
          <w:tcPr>
            <w:tcW w:w="0" w:type="dxa"/>
            <w:vAlign w:val="bottom"/>
          </w:tcPr>
          <w:p>
            <w:pPr>
              <w:spacing w:after="0"/>
              <w:rPr>
                <w:sz w:val="1"/>
                <w:szCs w:val="1"/>
                <w:color w:val="auto"/>
              </w:rPr>
            </w:pPr>
          </w:p>
        </w:tc>
      </w:tr>
      <w:tr>
        <w:trPr>
          <w:trHeight w:val="189"/>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47,548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52,643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7.0:1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47,073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52,888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7.9:1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41,546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42,408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10,320</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39,824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42,919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39,399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40,530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41,834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39,169</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19,116</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8.1:1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8.7:1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42,997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46,570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47,940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44,150</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23,605</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46,999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7.6:1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7.7:1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45,847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49,021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30,312</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28,912</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52,374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27,611</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7.6:1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7.9:1</w:t>
            </w: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54,602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57,153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32,022</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25,355</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8.0:1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7.7:1</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8" w:name="page39"/>
    <w:bookmarkEnd w:id="38"/>
    <w:p>
      <w:pPr>
        <w:ind w:left="640" w:hanging="32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21"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8" w:lineRule="exact"/>
        <w:rPr>
          <w:rFonts w:ascii="Times New Roman" w:cs="Times New Roman" w:eastAsia="Times New Roman" w:hAnsi="Times New Roman"/>
          <w:sz w:val="14"/>
          <w:szCs w:val="14"/>
          <w:color w:val="auto"/>
        </w:rPr>
      </w:pPr>
    </w:p>
    <w:p>
      <w:pPr>
        <w:ind w:left="640" w:hanging="322"/>
        <w:spacing w:after="0" w:line="24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40" w:hanging="322"/>
        <w:spacing w:after="0" w:line="259"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Interest Expense and Aggregate Cost of Funds</w:t>
      </w:r>
    </w:p>
    <w:p>
      <w:pPr>
        <w:spacing w:after="0" w:line="174" w:lineRule="exact"/>
        <w:rPr>
          <w:sz w:val="20"/>
          <w:szCs w:val="20"/>
          <w:color w:val="auto"/>
        </w:rPr>
      </w:pPr>
    </w:p>
    <w:p>
      <w:pPr>
        <w:jc w:val="both"/>
        <w:ind w:firstLine="392"/>
        <w:spacing w:after="0" w:line="270" w:lineRule="auto"/>
        <w:rPr>
          <w:sz w:val="20"/>
          <w:szCs w:val="20"/>
          <w:color w:val="auto"/>
        </w:rPr>
      </w:pPr>
      <w:r>
        <w:rPr>
          <w:rFonts w:ascii="Times New Roman" w:cs="Times New Roman" w:eastAsia="Times New Roman" w:hAnsi="Times New Roman"/>
          <w:sz w:val="17"/>
          <w:szCs w:val="17"/>
          <w:color w:val="auto"/>
        </w:rPr>
        <w:t>The following table summarizes our economic interest expense and aggregate cost of funds (non-GAAP measures) for fiscal years 2023, 2022 and 2021 (dollars in millions), which includes the combination of interest expense on repurchase agreements and other debt used to fund acquisitions of investment securities (GAAP measure), implied financing cost (benefit) of our TBA securities and interest rate swap periodic cost (benefit):</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0" w:type="dxa"/>
            <w:vAlign w:val="bottom"/>
          </w:tcPr>
          <w:p>
            <w:pPr>
              <w:spacing w:after="0"/>
              <w:rPr>
                <w:sz w:val="1"/>
                <w:szCs w:val="1"/>
                <w:color w:val="auto"/>
              </w:rPr>
            </w:pPr>
          </w:p>
        </w:tc>
      </w:tr>
      <w:tr>
        <w:trPr>
          <w:trHeight w:val="124"/>
        </w:trPr>
        <w:tc>
          <w:tcPr>
            <w:tcW w:w="530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measure)</w:t>
            </w: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expense (benefit) </w:t>
            </w:r>
            <w:r>
              <w:rPr>
                <w:rFonts w:ascii="Times New Roman" w:cs="Times New Roman" w:eastAsia="Times New Roman" w:hAnsi="Times New Roman"/>
                <w:sz w:val="18"/>
                <w:szCs w:val="18"/>
                <w:color w:val="auto"/>
                <w:vertAlign w:val="superscript"/>
              </w:rPr>
              <w:t>2,3</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60"/>
              <w:spacing w:after="0" w:line="189" w:lineRule="exact"/>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cost (income), net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periodic cost (benefit), net </w:t>
            </w:r>
            <w:r>
              <w:rPr>
                <w:rFonts w:ascii="Times New Roman" w:cs="Times New Roman" w:eastAsia="Times New Roman" w:hAnsi="Times New Roman"/>
                <w:sz w:val="18"/>
                <w:szCs w:val="18"/>
                <w:color w:val="auto"/>
                <w:vertAlign w:val="superscript"/>
              </w:rPr>
              <w:t>2,5,6</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color w:val="auto"/>
                <w:w w:val="98"/>
              </w:rPr>
              <w:t>(675)</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0" w:type="dxa"/>
            <w:vAlign w:val="bottom"/>
          </w:tcPr>
          <w:p>
            <w:pPr>
              <w:spacing w:after="0"/>
              <w:rPr>
                <w:sz w:val="1"/>
                <w:szCs w:val="1"/>
                <w:color w:val="auto"/>
              </w:rPr>
            </w:pPr>
          </w:p>
        </w:tc>
      </w:tr>
      <w:tr>
        <w:trPr>
          <w:trHeight w:val="214"/>
        </w:trPr>
        <w:tc>
          <w:tcPr>
            <w:tcW w:w="54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40" w:hanging="32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8" w:lineRule="exact"/>
        <w:rPr>
          <w:rFonts w:ascii="Times New Roman" w:cs="Times New Roman" w:eastAsia="Times New Roman" w:hAnsi="Times New Roman"/>
          <w:sz w:val="14"/>
          <w:szCs w:val="14"/>
          <w:color w:val="auto"/>
        </w:rPr>
      </w:pPr>
    </w:p>
    <w:p>
      <w:pPr>
        <w:jc w:val="both"/>
        <w:ind w:left="640" w:hanging="322"/>
        <w:spacing w:after="0" w:line="248"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40" w:hanging="322"/>
        <w:spacing w:after="0" w:line="24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costs, is calculated on a weighted average basis based on average investment securities repurchase agreements, other debt and TBA securities outstanding during the period and their respective cost of funds.</w:t>
      </w:r>
    </w:p>
    <w:p>
      <w:pPr>
        <w:ind w:left="640" w:hanging="32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cost (benefit) is measured as a percent of average mortgage borrowings outstanding for the period.</w:t>
      </w:r>
    </w:p>
    <w:p>
      <w:pPr>
        <w:spacing w:after="0" w:line="5" w:lineRule="exact"/>
        <w:rPr>
          <w:rFonts w:ascii="Times New Roman" w:cs="Times New Roman" w:eastAsia="Times New Roman" w:hAnsi="Times New Roman"/>
          <w:sz w:val="14"/>
          <w:szCs w:val="14"/>
          <w:color w:val="auto"/>
        </w:rPr>
      </w:pPr>
    </w:p>
    <w:p>
      <w:pPr>
        <w:jc w:val="both"/>
        <w:ind w:left="640" w:hanging="322"/>
        <w:spacing w:after="0" w:line="259"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we began reporting price alignment interest income (expense) ("PAI") on interest swap margin deposits posted by or (to) us in other interest income (expense), net. PAI was previously reported in interest rate swap periodic cost (benefit). Both current and former categorizations are components of net spread and dollar roll income. Prior year amounts have been reclassified and our economic interest expense and cost of funds have been restated to conform to the current period's presentation.</w:t>
      </w:r>
    </w:p>
    <w:p>
      <w:pPr>
        <w:spacing w:after="0" w:line="216"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2023 and 2022 compared to the prior year period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36830</wp:posOffset>
            </wp:positionV>
            <wp:extent cx="7037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070" cy="8255"/>
                    </a:xfrm>
                    <a:prstGeom prst="rect">
                      <a:avLst/>
                    </a:prstGeom>
                    <a:noFill/>
                  </pic:spPr>
                </pic:pic>
              </a:graphicData>
            </a:graphic>
          </wp:anchor>
        </w:drawing>
      </w:r>
    </w:p>
    <w:p>
      <w:pPr>
        <w:spacing w:after="0" w:line="40"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ectPr>
          <w:pgSz w:w="11900" w:h="16838" w:orient="portrait"/>
          <w:cols w:equalWidth="0" w:num="1">
            <w:col w:w="11240"/>
          </w:cols>
          <w:pgMar w:left="320" w:top="899" w:right="339" w:bottom="1440" w:gutter="0" w:footer="0" w:header="0"/>
        </w:sectPr>
      </w:pP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Fiscal Year 2023 vs 2022</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Investment securities repurchase agreement and other debt interest expense</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p>
      <w:pPr>
        <w:spacing w:after="0" w:line="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 periodic income/cost</w:t>
      </w:r>
    </w:p>
    <w:p>
      <w:pPr>
        <w:spacing w:after="0" w:line="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60" w:type="dxa"/>
            <w:vAlign w:val="bottom"/>
          </w:tcPr>
          <w:p>
            <w:pPr>
              <w:spacing w:after="0"/>
              <w:rPr>
                <w:sz w:val="12"/>
                <w:szCs w:val="12"/>
                <w:color w:val="auto"/>
              </w:rPr>
            </w:pPr>
          </w:p>
        </w:tc>
        <w:tc>
          <w:tcPr>
            <w:tcW w:w="13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Total Increase /</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r>
      <w:tr>
        <w:trPr>
          <w:trHeight w:val="189"/>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180"/>
        </w:trPr>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187"/>
        </w:trPr>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96"/>
        </w:trPr>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2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6"/>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-289560</wp:posOffset>
            </wp:positionV>
            <wp:extent cx="7037070" cy="124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070" cy="124460"/>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-15875</wp:posOffset>
            </wp:positionV>
            <wp:extent cx="7037070" cy="132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070" cy="13271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-547370</wp:posOffset>
            </wp:positionV>
            <wp:extent cx="7037070"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070" cy="13271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6080" w:space="720"/>
            <w:col w:w="4440"/>
          </w:cols>
          <w:pgMar w:left="320" w:top="899" w:right="339" w:bottom="1440" w:gutter="0" w:footer="0" w:header="0"/>
          <w:type w:val="continuous"/>
        </w:sectPr>
      </w:pPr>
    </w:p>
    <w:p>
      <w:pPr>
        <w:ind w:left="896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45"/>
        </w:trPr>
        <w:tc>
          <w:tcPr>
            <w:tcW w:w="67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2022 vs 2021</w:t>
            </w:r>
          </w:p>
        </w:tc>
        <w:tc>
          <w:tcPr>
            <w:tcW w:w="1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gridSpan w:val="2"/>
            <w:shd w:val="clear" w:color="auto" w:fill="CCEEFF"/>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Total Increase /</w:t>
            </w: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7"/>
              </w:rPr>
              <w:t>Borrowing / Swap</w:t>
            </w:r>
          </w:p>
        </w:tc>
        <w:tc>
          <w:tcPr>
            <w:tcW w:w="0" w:type="dxa"/>
            <w:vAlign w:val="bottom"/>
          </w:tcPr>
          <w:p>
            <w:pPr>
              <w:spacing w:after="0"/>
              <w:rPr>
                <w:sz w:val="1"/>
                <w:szCs w:val="1"/>
                <w:color w:val="auto"/>
              </w:rPr>
            </w:pPr>
          </w:p>
        </w:tc>
      </w:tr>
      <w:tr>
        <w:trPr>
          <w:trHeight w:val="194"/>
        </w:trPr>
        <w:tc>
          <w:tcPr>
            <w:tcW w:w="6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8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center"/>
              <w:ind w:left="830"/>
              <w:spacing w:after="0"/>
              <w:rPr>
                <w:sz w:val="20"/>
                <w:szCs w:val="20"/>
                <w:color w:val="auto"/>
              </w:rPr>
            </w:pPr>
            <w:r>
              <w:rPr>
                <w:rFonts w:ascii="Times New Roman" w:cs="Times New Roman" w:eastAsia="Times New Roman" w:hAnsi="Times New Roman"/>
                <w:sz w:val="14"/>
                <w:szCs w:val="14"/>
                <w:color w:val="auto"/>
                <w:w w:val="95"/>
              </w:rPr>
              <w:t>550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center"/>
              <w:ind w:left="870"/>
              <w:spacing w:after="0"/>
              <w:rPr>
                <w:sz w:val="20"/>
                <w:szCs w:val="20"/>
                <w:color w:val="auto"/>
              </w:rPr>
            </w:pPr>
            <w:r>
              <w:rPr>
                <w:rFonts w:ascii="Times New Roman" w:cs="Times New Roman" w:eastAsia="Times New Roman" w:hAnsi="Times New Roman"/>
                <w:sz w:val="14"/>
                <w:szCs w:val="14"/>
                <w:color w:val="auto"/>
                <w:w w:val="95"/>
              </w:rPr>
              <w:t>563</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w w:val="95"/>
              </w:rPr>
              <w:t>356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4"/>
                <w:szCs w:val="14"/>
                <w:color w:val="auto"/>
                <w:w w:val="95"/>
              </w:rPr>
              <w:t>316</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4"/>
                <w:szCs w:val="14"/>
                <w:color w:val="auto"/>
                <w:w w:val="98"/>
              </w:rPr>
              <w:t>(735)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4"/>
                <w:szCs w:val="14"/>
                <w:color w:val="auto"/>
                <w:w w:val="98"/>
              </w:rPr>
              <w:t>(736)</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w w:val="95"/>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4"/>
                <w:szCs w:val="14"/>
                <w:color w:val="auto"/>
                <w:w w:val="95"/>
              </w:rPr>
              <w:t>143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Our average mortgage borrowings, inclusive of TBAs, decreased 13% and 22% for fiscal years 2023 and 2022, respectively, due to a decline in our asset base. The average interest rate on our mortgage borrowings, excluding the impact interest rate swap period income/cost, increased 372 and 141 basis points for fiscal years 2023 and 2022, respectively, due to higher short-term interest rates.</w:t>
      </w:r>
    </w:p>
    <w:p>
      <w:pPr>
        <w:spacing w:after="0" w:line="123"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Interest rate swap periodic income increased for fiscal years 2023 and 2022 primarily due to higher receive rates on our pay-fixed swaps, as the average pay rate on our swaps increased marginally and the average notional balance remained largely unchanged despite the decline in our average mortgage borrowings. The following is a summary of our average interest rate swaps outstanding and the related average swap pay and receive rates for fiscal years 2023, 2022 and 2021 (dollars in millions). Amounts exclude forward starting swaps not yet in effect.</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 Outstanding</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44,027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41,363</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49,923</w:t>
            </w:r>
          </w:p>
        </w:tc>
        <w:tc>
          <w:tcPr>
            <w:tcW w:w="0" w:type="dxa"/>
            <w:vAlign w:val="bottom"/>
          </w:tcPr>
          <w:p>
            <w:pPr>
              <w:spacing w:after="0"/>
              <w:rPr>
                <w:sz w:val="1"/>
                <w:szCs w:val="1"/>
                <w:color w:val="auto"/>
              </w:rPr>
            </w:pPr>
          </w:p>
        </w:tc>
      </w:tr>
      <w:tr>
        <w:trPr>
          <w:trHeight w:val="189"/>
        </w:trPr>
        <w:tc>
          <w:tcPr>
            <w:tcW w:w="7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20,631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29,851</w:t>
            </w:r>
          </w:p>
        </w:tc>
        <w:tc>
          <w:tcPr>
            <w:tcW w:w="0" w:type="dxa"/>
            <w:vAlign w:val="bottom"/>
          </w:tcPr>
          <w:p>
            <w:pPr>
              <w:spacing w:after="0"/>
              <w:rPr>
                <w:sz w:val="1"/>
                <w:szCs w:val="1"/>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54,027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61,994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79,774</w:t>
            </w:r>
          </w:p>
        </w:tc>
        <w:tc>
          <w:tcPr>
            <w:tcW w:w="0" w:type="dxa"/>
            <w:vAlign w:val="bottom"/>
          </w:tcPr>
          <w:p>
            <w:pPr>
              <w:spacing w:after="0"/>
              <w:rPr>
                <w:sz w:val="1"/>
                <w:szCs w:val="1"/>
                <w:color w:val="auto"/>
              </w:rPr>
            </w:pPr>
          </w:p>
        </w:tc>
      </w:tr>
      <w:tr>
        <w:trPr>
          <w:trHeight w:val="189"/>
        </w:trPr>
        <w:tc>
          <w:tcPr>
            <w:tcW w:w="7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47,012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49,334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48,634</w:t>
            </w: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9" w:right="339" w:bottom="1440" w:gutter="0" w:footer="0" w:header="0"/>
          <w:type w:val="continuous"/>
        </w:sectPr>
      </w:pP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-88265</wp:posOffset>
            </wp:positionV>
            <wp:extent cx="7078345"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078345" cy="149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8345" cy="149225"/>
                    </a:xfrm>
                    <a:prstGeom prst="rect">
                      <a:avLst/>
                    </a:prstGeom>
                    <a:noFill/>
                  </pic:spPr>
                </pic:pic>
              </a:graphicData>
            </a:graphic>
          </wp:anchor>
        </w:drawing>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0.25 %</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0.17 %</w:t>
            </w:r>
          </w:p>
        </w:tc>
      </w:tr>
      <w:tr>
        <w:trPr>
          <w:trHeight w:val="19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3"/>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0.12 %</w:t>
            </w:r>
          </w:p>
        </w:tc>
      </w:tr>
      <w:tr>
        <w:trPr>
          <w:trHeight w:val="26"/>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760" w:space="720"/>
            <w:col w:w="3760"/>
          </w:cols>
          <w:pgMar w:left="320" w:top="899" w:right="339" w:bottom="1440" w:gutter="0" w:footer="0" w:header="0"/>
          <w:type w:val="continuous"/>
        </w:sectPr>
      </w:pPr>
    </w:p>
    <w:p>
      <w:pPr>
        <w:spacing w:after="0" w:line="43"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For fiscal years 2023, 2022 and 2021, we had an average forward starting net pay and (receive) fixed rate swap balance of $(0.5) billion, $48 million and $149 million, respectively. Forward starting interest rate swaps do not impact our economic interest expense and aggregate cost of funds until they commence accruing net interest settlements on their forward start 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Interest Spread</w:t>
      </w:r>
    </w:p>
    <w:p>
      <w:pPr>
        <w:spacing w:after="0" w:line="174" w:lineRule="exact"/>
        <w:rPr>
          <w:sz w:val="20"/>
          <w:szCs w:val="20"/>
          <w:color w:val="auto"/>
        </w:rPr>
      </w:pPr>
    </w:p>
    <w:p>
      <w:pPr>
        <w:jc w:val="both"/>
        <w:ind w:firstLine="392"/>
        <w:spacing w:after="0" w:line="277" w:lineRule="auto"/>
        <w:rPr>
          <w:sz w:val="20"/>
          <w:szCs w:val="20"/>
          <w:color w:val="auto"/>
        </w:rPr>
      </w:pPr>
      <w:r>
        <w:rPr>
          <w:rFonts w:ascii="Times New Roman" w:cs="Times New Roman" w:eastAsia="Times New Roman" w:hAnsi="Times New Roman"/>
          <w:sz w:val="17"/>
          <w:szCs w:val="17"/>
          <w:color w:val="auto"/>
        </w:rPr>
        <w:t>The following table presents a summary of our net interest spread (including the impact of TBA dollar roll income, interest rate swaps and excluding "catch-up" premium amortization) for fiscal years 2023, 2022 and 2021:</w:t>
      </w:r>
    </w:p>
    <w:tbl>
      <w:tblPr>
        <w:tblLayout w:type="fixed"/>
        <w:tblInd w:w="6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vMerge w:val="continue"/>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89"/>
        </w:trPr>
        <w:tc>
          <w:tcPr>
            <w:tcW w:w="7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Net Spread and Dollar Roll Income</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fiscal years 2023, 2022 and 2021 (dollars in millions):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7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 on sale of investment securities,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9"/>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203"/>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derivative instruments and other securities,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77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Estimated "catch-up" premium amortization benefit due to change in CPR forecast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770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96"/>
        </w:trPr>
        <w:tc>
          <w:tcPr>
            <w:tcW w:w="770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periodic income (cost), net </w:t>
            </w:r>
            <w:r>
              <w:rPr>
                <w:rFonts w:ascii="Times New Roman" w:cs="Times New Roman" w:eastAsia="Times New Roman" w:hAnsi="Times New Roman"/>
                <w:sz w:val="18"/>
                <w:szCs w:val="18"/>
                <w:color w:val="auto"/>
                <w:vertAlign w:val="superscript"/>
              </w:rPr>
              <w:t>2,4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7700" w:type="dxa"/>
            <w:vAlign w:val="bottom"/>
            <w:tcBorders>
              <w:bottom w:val="single" w:sz="8" w:color="CCEEFF"/>
            </w:tcBorders>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2,3,4</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7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Net spread and dollar roll income available to common stockholders (non-GAAP measure) </w:t>
            </w:r>
            <w:r>
              <w:rPr>
                <w:rFonts w:ascii="Times New Roman" w:cs="Times New Roman" w:eastAsia="Times New Roman" w:hAnsi="Times New Roman"/>
                <w:sz w:val="18"/>
                <w:szCs w:val="18"/>
                <w:b w:val="1"/>
                <w:bCs w:val="1"/>
                <w:color w:val="auto"/>
                <w:vertAlign w:val="superscript"/>
              </w:rPr>
              <w:t>5</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8" w:lineRule="exact"/>
        <w:rPr>
          <w:rFonts w:ascii="Times New Roman" w:cs="Times New Roman" w:eastAsia="Times New Roman" w:hAnsi="Times New Roman"/>
          <w:sz w:val="14"/>
          <w:szCs w:val="14"/>
          <w:color w:val="auto"/>
        </w:rPr>
      </w:pPr>
    </w:p>
    <w:p>
      <w:pPr>
        <w:ind w:left="640" w:hanging="322"/>
        <w:spacing w:after="0" w:line="24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640" w:hanging="322"/>
        <w:spacing w:after="0" w:line="250"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we began reporting PAI in other interest income (expense), net. PAI was previously reported in interest rate swap periodic income (cost). Prior year amounts have been reclassified to conform to the current period's presentation.</w:t>
      </w:r>
    </w:p>
    <w:p>
      <w:pPr>
        <w:ind w:left="640" w:hanging="322"/>
        <w:spacing w:after="0" w:line="26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measure was previously referred to as "net spread and dollar roll income, excluding 'catch-up' premium amortization cost/benefit, per common share." Though it continues to exclude "catch-up" premium amortization cost/benefit, its title has been condensed to its revised title in the table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Investment Securities, Net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is a summary of our net gain (loss) on investment securities for fiscal years 2023, 2022 and 2021 (in millions):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sale of investment securities, net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758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6"/>
        </w:trPr>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loss on investment securities, net</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40" w:hanging="322"/>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Derivative Instruments and Other Securities, Net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is a summary of our gain (loss) on derivative instruments and other securities, net for fiscal years 2023, 2022 and 2021 (in millions):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74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7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656</w:t>
            </w:r>
          </w:p>
        </w:tc>
      </w:tr>
      <w:tr>
        <w:trPr>
          <w:trHeight w:val="189"/>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loss</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settling non-Agency securities, mark-to-market gain/(loss)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7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swaps, periodic income (cost) </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1,177</w:t>
            </w:r>
          </w:p>
        </w:tc>
      </w:tr>
      <w:tr>
        <w:trPr>
          <w:trHeight w:val="189"/>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default swaps - buy protection</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r>
      <w:tr>
        <w:trPr>
          <w:trHeight w:val="189"/>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444</w:t>
            </w: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9"/>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7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r>
      <w:tr>
        <w:trPr>
          <w:trHeight w:val="196"/>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1,110</w:t>
            </w:r>
          </w:p>
        </w:tc>
      </w:tr>
      <w:tr>
        <w:trPr>
          <w:trHeight w:val="20"/>
        </w:trPr>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72" w:lineRule="exact"/>
        <w:rPr>
          <w:sz w:val="20"/>
          <w:szCs w:val="20"/>
          <w:color w:val="auto"/>
        </w:rPr>
      </w:pPr>
    </w:p>
    <w:p>
      <w:pPr>
        <w:ind w:left="640" w:hanging="322"/>
        <w:spacing w:after="0" w:line="265"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we began reporting PAI in other interest income (expense), net. PAI was previously reported in interest rate swap periodic income (cost). Prior year amounts have been reclassified to conform to the current period's presentation.</w:t>
      </w:r>
    </w:p>
    <w:p>
      <w:pPr>
        <w:spacing w:after="0" w:line="54" w:lineRule="exact"/>
        <w:rPr>
          <w:sz w:val="20"/>
          <w:szCs w:val="20"/>
          <w:color w:val="auto"/>
        </w:rPr>
      </w:pPr>
    </w:p>
    <w:p>
      <w:pPr>
        <w:ind w:firstLine="431"/>
        <w:spacing w:after="0" w:line="295" w:lineRule="auto"/>
        <w:rPr>
          <w:sz w:val="20"/>
          <w:szCs w:val="20"/>
          <w:color w:val="auto"/>
        </w:rPr>
      </w:pPr>
      <w:r>
        <w:rPr>
          <w:rFonts w:ascii="Times New Roman" w:cs="Times New Roman" w:eastAsia="Times New Roman" w:hAnsi="Times New Roman"/>
          <w:sz w:val="17"/>
          <w:szCs w:val="17"/>
          <w:color w:val="auto"/>
        </w:rPr>
        <w:t>For further details regarding our use of derivative instruments and related activity refer to Notes 2 and 5 of our Consolidated Financial Statements in this Form 10-K.</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and Item 7A. </w:t>
      </w:r>
      <w:r>
        <w:rPr>
          <w:rFonts w:ascii="Times New Roman" w:cs="Times New Roman" w:eastAsia="Times New Roman" w:hAnsi="Times New Roman"/>
          <w:sz w:val="17"/>
          <w:szCs w:val="17"/>
          <w:i w:val="1"/>
          <w:iCs w:val="1"/>
          <w:color w:val="auto"/>
        </w:rPr>
        <w:t>Quantitative and Qualitative Disclosures of Market Risks</w:t>
      </w:r>
      <w:r>
        <w:rPr>
          <w:rFonts w:ascii="Times New Roman" w:cs="Times New Roman" w:eastAsia="Times New Roman" w:hAnsi="Times New Roman"/>
          <w:sz w:val="17"/>
          <w:szCs w:val="17"/>
          <w:color w:val="auto"/>
        </w:rPr>
        <w:t xml:space="preserve"> in this Form 10-K.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Leverage and Financing Sources</w:t>
      </w:r>
    </w:p>
    <w:p>
      <w:pPr>
        <w:spacing w:after="0" w:line="174"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7.0x and 7.4x as of December 31, 2023 and 2022, respectively. The following table includes a summary of our mortgage borrowings outstanding as of December 31, 2023 and 2022 (dollars in millions). For additional details of our mortgage borrowings refer to Notes 2, 4 and 5 to our Consolidated Financial Statements in this Form 10-K.</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574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35,907</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8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36,002</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21"/>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51" w:lineRule="auto"/>
        <w:tabs>
          <w:tab w:leader="none" w:pos="638"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$1,547 million and $355 million as of December 31, 2023 and 2022, respectively.</w:t>
      </w:r>
    </w:p>
    <w:p>
      <w:pPr>
        <w:spacing w:after="0" w:line="1" w:lineRule="exact"/>
        <w:rPr>
          <w:rFonts w:ascii="Arial" w:cs="Arial" w:eastAsia="Arial" w:hAnsi="Arial"/>
          <w:sz w:val="14"/>
          <w:szCs w:val="14"/>
          <w:color w:val="auto"/>
        </w:rPr>
      </w:pPr>
    </w:p>
    <w:p>
      <w:pPr>
        <w:ind w:left="640" w:hanging="322"/>
        <w:spacing w:after="0" w:line="266"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2022, 43% and 48%, respectively, of our total repurchase agreements, including 45% and 48% or our investment securities repurchase agreements, respectively, were funded through the Fixed Income Clearing Corporation's GCF Repo service.</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19"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t>Collateral Requirements and Unencumbered Assets</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19"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2023, we had met all our margin requirements.</w:t>
      </w:r>
    </w:p>
    <w:p>
      <w:pPr>
        <w:spacing w:after="0" w:line="121"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2023, approximately 9% of our investment portfolio consisted of TBA securities, which are not subject to monthly principal pay-downs. The remainder of our portfolio primarily consisted of Agency RMBS, which had an average one-year CPR forecast of 9%.</w:t>
      </w:r>
    </w:p>
    <w:p>
      <w:pPr>
        <w:spacing w:after="0" w:line="12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Haircut levels and minimum margin requirements imposed by our counterparties reduce the amount of our unencumbered assets and limit the amount we can borrow against our investment securities. During the fiscal year 2023, haircuts on our repo funding arrangements remained stable. As of December 31, 2023, the weighted average haircut on our repurchase agreements was approximately 3.1% of the value of our collateral, compared to 3.7% as of December 31, 2022.</w:t>
      </w:r>
    </w:p>
    <w:p>
      <w:pPr>
        <w:spacing w:after="0" w:line="110"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To mitigate the risk of margins calls, we seek to maintain excess liquidity by holding unencumbered liquid assets that can be used to satisfy collateral requirements, collateralize additional borrowings or sold for cash. As of December 31, 2023, our unencumbered assets totaled approximately $5.2 billion, or 67% of tangible equity, consisting of $5.1 billion of unencumbered cash and Agency RMBS and $0.1 billion of unencumbered credit assets. This compares to $4.4 billion of unencumbered assets, or 60% of tangible equity, as of December 31, 2022, consisting of $4.3 billion of unencumbered cash and Agency RMBS and $0.1 billion of unencumbered credit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Counterparty Risk</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4" w:name="page45"/>
    <w:bookmarkEnd w:id="44"/>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As of December 31, 2023, our maximum amount at risk (or the excess/shortfall of the value of collateral pledged/received over our repurchase agreement liabilities/reverse repurchase agreement receivables) with any of our repurchase agreement counterparties, excluding the FICC, was less than 3% of our tangible stockholders' equity, with our top five repo counterparties, excluding the FICC, representing approximately 7% of our tangible stockholders' equity. As of December 31, 2023, less than 7% of our tangible stockholder's equity was at risk with the FICC. Excluding central clearing exchanges, as of December 31, 2023, our amount at risk with any counterparty to our derivative agreements was less than 1% of our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Sales</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7"/>
          <w:szCs w:val="17"/>
          <w:i w:val="1"/>
          <w:iCs w:val="1"/>
          <w:color w:val="auto"/>
        </w:rPr>
        <w:t>Trends and Recent Market Impacts</w:t>
      </w:r>
      <w:r>
        <w:rPr>
          <w:rFonts w:ascii="Times New Roman" w:cs="Times New Roman" w:eastAsia="Times New Roman" w:hAnsi="Times New Roman"/>
          <w:sz w:val="17"/>
          <w:szCs w:val="17"/>
          <w:color w:val="auto"/>
        </w:rPr>
        <w:t xml:space="preserve"> of this Management Discussion and Analysis for further information regarding Agency RMBS and TBA market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Markets</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10-K for further details regarding our recent equity capital transactions, if 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7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2023,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2023, we had not guaranteed obligations of unconsolidated entities or entered into a commitment or intent to provide funding to such entities.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Forward-looking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57" w:lineRule="exact"/>
        <w:rPr>
          <w:sz w:val="20"/>
          <w:szCs w:val="20"/>
          <w:color w:val="auto"/>
        </w:rPr>
      </w:pPr>
    </w:p>
    <w:p>
      <w:pPr>
        <w:ind w:left="640" w:hanging="243"/>
        <w:spacing w:after="0" w:line="288"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yield curve;</w:t>
      </w:r>
    </w:p>
    <w:p>
      <w:pPr>
        <w:spacing w:after="0" w:line="31" w:lineRule="exact"/>
        <w:rPr>
          <w:rFonts w:ascii="Times New Roman" w:cs="Times New Roman" w:eastAsia="Times New Roman" w:hAnsi="Times New Roman"/>
          <w:sz w:val="17"/>
          <w:szCs w:val="17"/>
          <w:color w:val="auto"/>
        </w:rPr>
      </w:pPr>
    </w:p>
    <w:p>
      <w:pPr>
        <w:ind w:left="620" w:hanging="223"/>
        <w:spacing w:after="0" w:line="233" w:lineRule="auto"/>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the level, degree and extent of volatility in interest rates or the yield on our assets relative to interest rate benchmarks;</w:t>
      </w:r>
    </w:p>
    <w:p>
      <w:pPr>
        <w:spacing w:after="0" w:line="34" w:lineRule="exact"/>
        <w:rPr>
          <w:rFonts w:ascii="Arial" w:cs="Arial" w:eastAsia="Arial" w:hAnsi="Arial"/>
          <w:sz w:val="21"/>
          <w:szCs w:val="21"/>
          <w:color w:val="auto"/>
        </w:rPr>
      </w:pPr>
    </w:p>
    <w:p>
      <w:pPr>
        <w:ind w:left="620" w:hanging="22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mortgage prepayment rates on the loans underlying our Agency RMBS;</w:t>
      </w:r>
    </w:p>
    <w:p>
      <w:pPr>
        <w:spacing w:after="0" w:line="65"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terms of financing and our hedge positions;</w:t>
      </w:r>
    </w:p>
    <w:p>
      <w:pPr>
        <w:spacing w:after="0" w:line="65" w:lineRule="exact"/>
        <w:rPr>
          <w:rFonts w:ascii="Times New Roman" w:cs="Times New Roman" w:eastAsia="Times New Roman" w:hAnsi="Times New Roman"/>
          <w:sz w:val="17"/>
          <w:szCs w:val="17"/>
          <w:color w:val="auto"/>
        </w:rPr>
      </w:pPr>
    </w:p>
    <w:p>
      <w:pPr>
        <w:ind w:left="640" w:hanging="243"/>
        <w:spacing w:after="0" w:line="288"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value of our assets, including from changes in net interest spreads, market liquidity or depth, and changes in our "at risk" leverage or hedge positions;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mitigation strategies;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5" w:name="page46"/>
    <w:bookmarkEnd w:id="45"/>
    <w:p>
      <w:pPr>
        <w:ind w:left="640" w:right="460" w:hanging="243"/>
        <w:spacing w:after="0" w:line="279"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the market for Agency RMBS and other mortgage securities, including changes in the available supply of such securities or investor appetite therefor;</w:t>
      </w:r>
    </w:p>
    <w:p>
      <w:pPr>
        <w:spacing w:after="0" w:line="2"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the federal, state, or local governments that affect the economy, the housing sector or financial markets;</w:t>
      </w:r>
    </w:p>
    <w:p>
      <w:pPr>
        <w:spacing w:after="0" w:line="65" w:lineRule="exact"/>
        <w:rPr>
          <w:rFonts w:ascii="Times New Roman" w:cs="Times New Roman" w:eastAsia="Times New Roman" w:hAnsi="Times New Roman"/>
          <w:sz w:val="17"/>
          <w:szCs w:val="17"/>
          <w:color w:val="auto"/>
        </w:rPr>
      </w:pPr>
    </w:p>
    <w:p>
      <w:pPr>
        <w:jc w:val="both"/>
        <w:ind w:left="640" w:hanging="243"/>
        <w:spacing w:after="0" w:line="259"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personnel, operational resources, information technology and other systems to conduct our operations;</w:t>
      </w:r>
    </w:p>
    <w:p>
      <w:pPr>
        <w:spacing w:after="0" w:line="45"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laws, regulations, rules or policies that affect U.S. housing finance activity, the GSE's or the markets for Agency RMBS; and</w:t>
      </w:r>
    </w:p>
    <w:p>
      <w:pPr>
        <w:spacing w:after="0" w:line="65" w:lineRule="exact"/>
        <w:rPr>
          <w:rFonts w:ascii="Times New Roman" w:cs="Times New Roman" w:eastAsia="Times New Roman" w:hAnsi="Times New Roman"/>
          <w:sz w:val="17"/>
          <w:szCs w:val="17"/>
          <w:color w:val="auto"/>
        </w:rPr>
      </w:pPr>
    </w:p>
    <w:p>
      <w:pPr>
        <w:ind w:left="640" w:hanging="243"/>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that affect our status as a REIT, our exemption from the Investment Company Act of 1940 or the mortgage markets in which we participate.</w:t>
      </w:r>
    </w:p>
    <w:p>
      <w:pPr>
        <w:spacing w:after="0" w:line="9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this document under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We caution readers not to place undue reliance on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4"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9"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1"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1"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-0.5 years as of December 31, 2023, compared to 0.4 years as of 2022.</w:t>
      </w:r>
    </w:p>
    <w:p>
      <w:pPr>
        <w:spacing w:after="0" w:line="32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table below quantifies the estimated changes in the fair value of our investment portfolio (including derivatives and other securities used for hedging purposes) and in our tangible net book value per common share as of December 31, 2023 and 2022 should interest rates go up or down by 25, 50 and 75 basis points, assuming instantaneous parallel shifts in the yield curve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and including the impact of both duration and convexity. All values in the table below are measured as percentage changes from the base interest rate scenario.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base interest rate scenario assumes interest rates and prepayment projections as of December 31, 2023 and 2022.</w:t>
      </w:r>
    </w:p>
    <w:p>
      <w:pPr>
        <w:spacing w:after="0" w:line="15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0" w:type="dxa"/>
            <w:vAlign w:val="bottom"/>
            <w:tcBorders>
              <w:top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3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1440" w:type="dxa"/>
            <w:vAlign w:val="bottom"/>
            <w:gridSpan w:val="2"/>
            <w:vMerge w:val="continue"/>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0" w:type="dxa"/>
            <w:vAlign w:val="bottom"/>
          </w:tcPr>
          <w:p>
            <w:pPr>
              <w:spacing w:after="0"/>
              <w:rPr>
                <w:sz w:val="1"/>
                <w:szCs w:val="1"/>
                <w:color w:val="auto"/>
              </w:rPr>
            </w:pPr>
          </w:p>
        </w:tc>
      </w:tr>
      <w:tr>
        <w:trPr>
          <w:trHeight w:val="132"/>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3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Portfolio Market</w:t>
            </w:r>
          </w:p>
        </w:tc>
        <w:tc>
          <w:tcPr>
            <w:tcW w:w="148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4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84"/>
        </w:trPr>
        <w:tc>
          <w:tcPr>
            <w:tcW w:w="3100" w:type="dxa"/>
            <w:vAlign w:val="bottom"/>
            <w:gridSpan w:val="2"/>
            <w:vMerge w:val="continue"/>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w:t>
            </w: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w:t>
            </w: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22"/>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Prepayment Risk and Extension Risk</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1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19"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17"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2023 and 2022, our investment securities (excluding TBAs) had a weighted average projected CPR of 11.4% and 7.4%, respectively, and a weighted average yield of 4.41% and 3.37%,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70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2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Asset Yield </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8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-75 Basis Points</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3.33%</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15.4%</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3.34%</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3.36%</w:t>
            </w:r>
          </w:p>
        </w:tc>
        <w:tc>
          <w:tcPr>
            <w:tcW w:w="0" w:type="dxa"/>
            <w:vAlign w:val="bottom"/>
          </w:tcPr>
          <w:p>
            <w:pPr>
              <w:spacing w:after="0"/>
              <w:rPr>
                <w:sz w:val="1"/>
                <w:szCs w:val="1"/>
                <w:color w:val="auto"/>
              </w:rPr>
            </w:pPr>
          </w:p>
        </w:tc>
      </w:tr>
      <w:tr>
        <w:trPr>
          <w:trHeight w:val="189"/>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11.4%</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3.37%</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3.38%</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4.46%</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3.39%</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Derived from models that are dependent on inputs and assumptions and assumes a static portfolio. Actual results could differ materially from these estimates. Table excludes TBA securities.</w:t>
      </w:r>
    </w:p>
    <w:p>
      <w:pPr>
        <w:spacing w:after="0" w:line="10" w:lineRule="exact"/>
        <w:rPr>
          <w:rFonts w:ascii="Times New Roman" w:cs="Times New Roman" w:eastAsia="Times New Roman" w:hAnsi="Times New Roman"/>
          <w:sz w:val="13"/>
          <w:szCs w:val="13"/>
          <w:color w:val="auto"/>
        </w:rPr>
      </w:pPr>
    </w:p>
    <w:p>
      <w:pPr>
        <w:ind w:left="640" w:hanging="322"/>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Spread Risk</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2023 and 2022 should spreads widen or tighten by 10, 25 and 50 basis points. The estimated impact of changes in spreads is in addition to our interest rate shock sensitivity included in the interest rate shock table above. The table below assumes a spread duration of 4.7 and 5.8 years as of December 31, 2023 and 2022,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72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3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1380" w:type="dxa"/>
            <w:vAlign w:val="bottom"/>
            <w:gridSpan w:val="2"/>
            <w:vMerge w:val="continue"/>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0" w:type="dxa"/>
            <w:vAlign w:val="bottom"/>
          </w:tcPr>
          <w:p>
            <w:pPr>
              <w:spacing w:after="0"/>
              <w:rPr>
                <w:sz w:val="1"/>
                <w:szCs w:val="1"/>
                <w:color w:val="auto"/>
              </w:rPr>
            </w:pPr>
          </w:p>
        </w:tc>
      </w:tr>
      <w:tr>
        <w:trPr>
          <w:trHeight w:val="144"/>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4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13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Portfolio Market</w:t>
            </w:r>
          </w:p>
        </w:tc>
        <w:tc>
          <w:tcPr>
            <w:tcW w:w="13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90"/>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9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+2.9%</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+30.6%</w:t>
            </w:r>
          </w:p>
        </w:tc>
        <w:tc>
          <w:tcPr>
            <w:tcW w:w="0" w:type="dxa"/>
            <w:vAlign w:val="bottom"/>
          </w:tcPr>
          <w:p>
            <w:pPr>
              <w:spacing w:after="0"/>
              <w:rPr>
                <w:sz w:val="1"/>
                <w:szCs w:val="1"/>
                <w:color w:val="auto"/>
              </w:rPr>
            </w:pPr>
          </w:p>
        </w:tc>
      </w:tr>
      <w:tr>
        <w:trPr>
          <w:trHeight w:val="18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+15.3%</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+6.1%</w:t>
            </w:r>
          </w:p>
        </w:tc>
        <w:tc>
          <w:tcPr>
            <w:tcW w:w="0" w:type="dxa"/>
            <w:vAlign w:val="bottom"/>
          </w:tcPr>
          <w:p>
            <w:pPr>
              <w:spacing w:after="0"/>
              <w:rPr>
                <w:sz w:val="1"/>
                <w:szCs w:val="1"/>
                <w:color w:val="auto"/>
              </w:rPr>
            </w:pPr>
          </w:p>
        </w:tc>
      </w:tr>
      <w:tr>
        <w:trPr>
          <w:trHeight w:val="18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-15.3%</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-30.6%</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22"/>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174" w:lineRule="exact"/>
        <w:rPr>
          <w:sz w:val="20"/>
          <w:szCs w:val="20"/>
          <w:color w:val="auto"/>
        </w:rPr>
      </w:pPr>
    </w:p>
    <w:p>
      <w:pPr>
        <w:ind w:firstLine="431"/>
        <w:spacing w:after="0" w:line="295" w:lineRule="auto"/>
        <w:rPr>
          <w:sz w:val="20"/>
          <w:szCs w:val="20"/>
          <w:color w:val="auto"/>
        </w:rPr>
      </w:pPr>
      <w:r>
        <w:rPr>
          <w:rFonts w:ascii="Times New Roman" w:cs="Times New Roman" w:eastAsia="Times New Roman" w:hAnsi="Times New Roman"/>
          <w:sz w:val="17"/>
          <w:szCs w:val="17"/>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8" w:name="page49"/>
    <w:bookmarkEnd w:id="48"/>
    <w:p>
      <w:pPr>
        <w:jc w:val="both"/>
        <w:spacing w:after="0" w:line="295" w:lineRule="auto"/>
        <w:rPr>
          <w:sz w:val="20"/>
          <w:szCs w:val="20"/>
          <w:color w:val="auto"/>
        </w:rPr>
      </w:pPr>
      <w:r>
        <w:rPr>
          <w:rFonts w:ascii="Times New Roman" w:cs="Times New Roman" w:eastAsia="Times New Roman" w:hAnsi="Times New Roman"/>
          <w:sz w:val="17"/>
          <w:szCs w:val="17"/>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92"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2023, we believe that we have sufficient liquidity and capital resources available to execute our business strategy (see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10-K for additional details). However, should the value of our collateral or the value of our derivative instruments suddenly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74" w:lineRule="exact"/>
        <w:rPr>
          <w:sz w:val="20"/>
          <w:szCs w:val="20"/>
          <w:color w:val="auto"/>
        </w:rPr>
      </w:pPr>
    </w:p>
    <w:p>
      <w:pPr>
        <w:jc w:val="both"/>
        <w:ind w:firstLine="431"/>
        <w:spacing w:after="0" w:line="273" w:lineRule="auto"/>
        <w:rPr>
          <w:sz w:val="20"/>
          <w:szCs w:val="20"/>
          <w:color w:val="auto"/>
        </w:rPr>
      </w:pPr>
      <w:r>
        <w:rPr>
          <w:rFonts w:ascii="Times New Roman" w:cs="Times New Roman" w:eastAsia="Times New Roman" w:hAnsi="Times New Roman"/>
          <w:sz w:val="17"/>
          <w:szCs w:val="17"/>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326"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December 31, 2023, our maximum amount at risk with any counterparty related to our repurchase agreements and derivative agreements was less than 3% and 1%, respectively,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65"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The consolidated financial statements as of December 31, 2023 and 2022 and for fiscal years 2023, 2022 and 2021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audits. For further information refer to the Ernst &amp; Young LLP (PCAOB ID: 42) audit opinion included in this Item 8 of our Annual Report.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20"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70"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Management assessed the effectiveness of our internal control over financial reporting as of December 31, 2023,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2023. The effectiveness of our internal control over financial reporting as of December 31, 2023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0" w:name="page51"/>
    <w:bookmarkEnd w:id="50"/>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Stockholders and the Board of Directors of AGNC Investment 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audited AGNC Investment Corp.’s internal control over financial reporting as of December 31, 2023,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2023, based on the COSO criteria</w:t>
      </w:r>
      <w:r>
        <w:rPr>
          <w:rFonts w:ascii="Times New Roman" w:cs="Times New Roman" w:eastAsia="Times New Roman" w:hAnsi="Times New Roman"/>
          <w:sz w:val="17"/>
          <w:szCs w:val="17"/>
          <w:b w:val="1"/>
          <w:bCs w:val="1"/>
          <w:color w:val="auto"/>
        </w:rPr>
        <w:t>.</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comprehensive income, stockholders’ equity, and cash flows for each of the three years in the period ended December 31, 2023, and the related notes, and our report dated February 22, 2024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1" w:name="page52"/>
    <w:bookmarkEnd w:id="51"/>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Stockholders and the Board of Directors of AGNC Investment 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AGNC Investment Corp. (the Company) as of December 31, 2023 and 2022, the related consolidated statements of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226"/>
        </w:trPr>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Description</w:t>
            </w: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Agency securities and non-agency securities of high credit quality net premium amortization</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As of December 31, 2023, the Company’s investment securities had a net unamortized premium balance of $1.2 billion,</w:t>
            </w:r>
          </w:p>
        </w:tc>
        <w:tc>
          <w:tcPr>
            <w:tcW w:w="0" w:type="dxa"/>
            <w:vAlign w:val="bottom"/>
          </w:tcPr>
          <w:p>
            <w:pPr>
              <w:spacing w:after="0"/>
              <w:rPr>
                <w:sz w:val="1"/>
                <w:szCs w:val="1"/>
                <w:color w:val="auto"/>
              </w:rPr>
            </w:pPr>
          </w:p>
        </w:tc>
      </w:tr>
      <w:tr>
        <w:trPr>
          <w:trHeight w:val="170"/>
        </w:trPr>
        <w:tc>
          <w:tcPr>
            <w:tcW w:w="2260" w:type="dxa"/>
            <w:vAlign w:val="bottom"/>
          </w:tcPr>
          <w:p>
            <w:pPr>
              <w:spacing w:after="0" w:line="170" w:lineRule="exact"/>
              <w:rPr>
                <w:sz w:val="20"/>
                <w:szCs w:val="20"/>
                <w:color w:val="auto"/>
              </w:rPr>
            </w:pPr>
            <w:r>
              <w:rPr>
                <w:rFonts w:ascii="Times New Roman" w:cs="Times New Roman" w:eastAsia="Times New Roman" w:hAnsi="Times New Roman"/>
                <w:sz w:val="17"/>
                <w:szCs w:val="17"/>
                <w:i w:val="1"/>
                <w:iCs w:val="1"/>
                <w:color w:val="auto"/>
              </w:rPr>
              <w:t>of the Matter</w:t>
            </w: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including interest and principal-only securities, and it recorded $201 million of net premium amortization for the year then</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ended. As explained in Note 2 to the financial statements, premiums or discounts associated with the purchase of Agency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residential mortgage-backed securities (“Agency RMBS") and non-Agency mortgage-backed securities of high credit quality</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are amortized or accreted into interest income, respectively, over the projected lives of the securities, including contractual</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payments and estimated prepayments using the effective interest method. The effective yield on the Company’s Agency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RMBS and non-Agency mortgage-backed securities of high credit quality is highly impacted by the Company’s estimate of</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future prepayments. The Company estimates long-term prepayment speeds of such securities using a third-party service</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provider and market data. The third-party service provider estimates long-term prepayment speeds using a prepayment model</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that incorporates the forward yield curve, current mortgage rates, mortgage rates of the outstanding loans, age and size of the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 loans, loan-to-value ratios, interest rate volatility and other factors.</w:t>
            </w:r>
          </w:p>
        </w:tc>
        <w:tc>
          <w:tcPr>
            <w:tcW w:w="0" w:type="dxa"/>
            <w:vAlign w:val="bottom"/>
          </w:tcPr>
          <w:p>
            <w:pPr>
              <w:spacing w:after="0"/>
              <w:rPr>
                <w:sz w:val="1"/>
                <w:szCs w:val="1"/>
                <w:color w:val="auto"/>
              </w:rPr>
            </w:pPr>
          </w:p>
        </w:tc>
      </w:tr>
      <w:tr>
        <w:trPr>
          <w:trHeight w:val="356"/>
        </w:trPr>
        <w:tc>
          <w:tcPr>
            <w:tcW w:w="226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Auditing the Company's estimation of long-term prepayment speeds used for the amortization of premiums and accretion of</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discounts is subjective due to the significant judgments and estimates required by management and the third-party service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provider, as inputs into prepayment models are prone to fluctuation based on changing macroeconomic conditions.</w:t>
            </w:r>
          </w:p>
        </w:tc>
        <w:tc>
          <w:tcPr>
            <w:tcW w:w="0" w:type="dxa"/>
            <w:vAlign w:val="bottom"/>
          </w:tcPr>
          <w:p>
            <w:pPr>
              <w:spacing w:after="0"/>
              <w:rPr>
                <w:sz w:val="1"/>
                <w:szCs w:val="1"/>
                <w:color w:val="auto"/>
              </w:rPr>
            </w:pPr>
          </w:p>
        </w:tc>
      </w:tr>
      <w:tr>
        <w:trPr>
          <w:trHeight w:val="178"/>
        </w:trPr>
        <w:tc>
          <w:tcPr>
            <w:tcW w:w="2260" w:type="dxa"/>
            <w:vAlign w:val="bottom"/>
          </w:tcPr>
          <w:p>
            <w:pPr>
              <w:spacing w:after="0" w:line="178" w:lineRule="exact"/>
              <w:rPr>
                <w:sz w:val="20"/>
                <w:szCs w:val="20"/>
                <w:color w:val="auto"/>
              </w:rPr>
            </w:pPr>
            <w:r>
              <w:rPr>
                <w:rFonts w:ascii="Times New Roman" w:cs="Times New Roman" w:eastAsia="Times New Roman" w:hAnsi="Times New Roman"/>
                <w:sz w:val="17"/>
                <w:szCs w:val="17"/>
                <w:i w:val="1"/>
                <w:iCs w:val="1"/>
                <w:color w:val="auto"/>
              </w:rPr>
              <w:t>How We Addressed the Matter</w:t>
            </w: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internal controls over the</w:t>
            </w:r>
          </w:p>
        </w:tc>
        <w:tc>
          <w:tcPr>
            <w:tcW w:w="0" w:type="dxa"/>
            <w:vAlign w:val="bottom"/>
          </w:tcPr>
          <w:p>
            <w:pPr>
              <w:spacing w:after="0"/>
              <w:rPr>
                <w:sz w:val="1"/>
                <w:szCs w:val="1"/>
                <w:color w:val="auto"/>
              </w:rPr>
            </w:pPr>
          </w:p>
        </w:tc>
      </w:tr>
      <w:tr>
        <w:trPr>
          <w:trHeight w:val="170"/>
        </w:trPr>
        <w:tc>
          <w:tcPr>
            <w:tcW w:w="2260" w:type="dxa"/>
            <w:vAlign w:val="bottom"/>
          </w:tcPr>
          <w:p>
            <w:pPr>
              <w:spacing w:after="0" w:line="170" w:lineRule="exact"/>
              <w:rPr>
                <w:sz w:val="20"/>
                <w:szCs w:val="20"/>
                <w:color w:val="auto"/>
              </w:rPr>
            </w:pPr>
            <w:r>
              <w:rPr>
                <w:rFonts w:ascii="Times New Roman" w:cs="Times New Roman" w:eastAsia="Times New Roman" w:hAnsi="Times New Roman"/>
                <w:sz w:val="17"/>
                <w:szCs w:val="17"/>
                <w:i w:val="1"/>
                <w:iCs w:val="1"/>
                <w:color w:val="auto"/>
              </w:rPr>
              <w:t>in Our Audit</w:t>
            </w: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estimation of long-term prepayment speeds, including management’s review of the estimated prepayment speeds provided by</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third-party service provider.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Our audit procedures included, among others, performing comparative analyses between the Company’s long-term</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prepayment speed estimates and long-term prepayment speed estimates data from independent third-party sources,</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reconciling the Company’s estimates of long-term prepayment speeds to source prepayment speeds data provided by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management’s third-party service provider, evaluating the competency and objectivity of management’s third-party service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provider, and identifying potential sources of contrary information, with the assistance of an internal valuation specialist.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$49,575 and $35,800, respectively)</w:t>
            </w: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39,346</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$678 and $703,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157"/>
        </w:trPr>
        <w:tc>
          <w:tcPr>
            <w:tcW w:w="7900" w:type="dxa"/>
            <w:vAlign w:val="bottom"/>
          </w:tcPr>
          <w:p>
            <w:pPr>
              <w:ind w:left="200"/>
              <w:spacing w:after="0" w:line="157" w:lineRule="exact"/>
              <w:rPr>
                <w:sz w:val="20"/>
                <w:szCs w:val="20"/>
                <w:color w:val="auto"/>
              </w:rPr>
            </w:pPr>
            <w:r>
              <w:rPr>
                <w:rFonts w:ascii="Times New Roman" w:cs="Times New Roman" w:eastAsia="Times New Roman" w:hAnsi="Times New Roman"/>
                <w:sz w:val="16"/>
                <w:szCs w:val="16"/>
                <w:color w:val="auto"/>
              </w:rPr>
              <w:t>Non-Agency securities, at fair value, and other mortgage credit investments (including pledged securities of $262 and</w:t>
            </w:r>
          </w:p>
        </w:tc>
        <w:tc>
          <w:tcPr>
            <w:tcW w:w="1000" w:type="dxa"/>
            <w:vAlign w:val="bottom"/>
          </w:tcPr>
          <w:p>
            <w:pPr>
              <w:spacing w:after="0"/>
              <w:rPr>
                <w:sz w:val="13"/>
                <w:szCs w:val="13"/>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$605, respectively)</w:t>
            </w:r>
          </w:p>
        </w:tc>
        <w:tc>
          <w:tcPr>
            <w:tcW w:w="10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$1,530 and $353,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$0 and $119, respectively)</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6,622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71,596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51,748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9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36,262</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10,894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6,534</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199"/>
        </w:trPr>
        <w:tc>
          <w:tcPr>
            <w:tcW w:w="79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63,339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43,878</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$1,688</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 $0.01 par value; 1,500 shares authorized; 694.3 and 574.6 shares issued and outstanding,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14,186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05"/>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71,596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51,748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4" w:right="33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04"/>
        </w:trPr>
        <w:tc>
          <w:tcPr>
            <w:tcW w:w="7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2"/>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w:t>
            </w:r>
          </w:p>
        </w:tc>
      </w:tr>
      <w:tr>
        <w:trPr>
          <w:trHeight w:val="222"/>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5"/>
        </w:trPr>
        <w:tc>
          <w:tcPr>
            <w:tcW w:w="7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interest income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202"/>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gain (loss),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2"/>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sale of investment securities,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2"/>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2"/>
        </w:trPr>
        <w:tc>
          <w:tcPr>
            <w:tcW w:w="7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Gain on derivative instruments and other investments,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r>
      <w:tr>
        <w:trPr>
          <w:trHeight w:val="215"/>
        </w:trPr>
        <w:tc>
          <w:tcPr>
            <w:tcW w:w="7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gain (loss),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02"/>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operating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5"/>
        </w:trPr>
        <w:tc>
          <w:tcPr>
            <w:tcW w:w="7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5"/>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222"/>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5"/>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available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7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178"/>
        </w:trPr>
        <w:tc>
          <w:tcPr>
            <w:tcW w:w="7280" w:type="dxa"/>
            <w:vAlign w:val="bottom"/>
            <w:shd w:val="clear" w:color="auto" w:fill="CCEEFF"/>
          </w:tcPr>
          <w:p>
            <w:pPr>
              <w:ind w:left="320"/>
              <w:spacing w:after="0" w:line="178" w:lineRule="exact"/>
              <w:rPr>
                <w:sz w:val="20"/>
                <w:szCs w:val="20"/>
                <w:color w:val="auto"/>
              </w:rPr>
            </w:pPr>
            <w:r>
              <w:rPr>
                <w:rFonts w:ascii="Times New Roman" w:cs="Times New Roman" w:eastAsia="Times New Roman" w:hAnsi="Times New Roman"/>
                <w:sz w:val="17"/>
                <w:szCs w:val="17"/>
                <w:color w:val="auto"/>
              </w:rPr>
              <w:t>Unrealized gain (loss) on investment securities measured at fair value through other comprehensive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7"/>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(loss),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15"/>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2"/>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5"/>
        </w:trPr>
        <w:tc>
          <w:tcPr>
            <w:tcW w:w="72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Comprehensive income (loss) available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7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basic</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9"/>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diluted</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2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 (loss) per common share - basic</w:t>
            </w: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1.23</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9"/>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per common share - diluted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80"/>
          </w:cols>
          <w:pgMar w:left="460" w:top="864" w:right="45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9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11,079</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21"/>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00"/>
          </w:cols>
          <w:pgMar w:left="600" w:top="864" w:right="59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7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6"/>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749</w:t>
            </w:r>
          </w:p>
        </w:tc>
      </w:tr>
      <w:tr>
        <w:trPr>
          <w:trHeight w:val="212"/>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369</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1,502</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derivative instruments and other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1,540</w:t>
            </w:r>
          </w:p>
        </w:tc>
      </w:tr>
      <w:tr>
        <w:trPr>
          <w:trHeight w:val="18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34,595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1,434</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15,042</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19,795</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proceeds from (payments on) reverse repurchase agreements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1,272</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Net proceeds from derivative instruments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2,907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1,045</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11,188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3,836</w:t>
            </w:r>
          </w:p>
        </w:tc>
      </w:tr>
      <w:tr>
        <w:trPr>
          <w:trHeight w:val="18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2,360,328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2,189,555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(3,268,054)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(2,371,447)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(2,194,540)</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proceeds from preferred stock issuances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for common stock repurchases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dividends paid</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199"/>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(6,175)</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20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2,324</w:t>
            </w:r>
          </w:p>
        </w:tc>
      </w:tr>
      <w:tr>
        <w:trPr>
          <w:trHeight w:val="230"/>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998</w:t>
            </w:r>
          </w:p>
        </w:tc>
      </w:tr>
      <w:tr>
        <w:trPr>
          <w:trHeight w:val="209"/>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r>
      <w:tr>
        <w:trPr>
          <w:trHeight w:val="205"/>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1,525</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5"/>
        </w:trPr>
        <w:tc>
          <w:tcPr>
            <w:tcW w:w="7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to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10"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335"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17"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Securities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21"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8" w:name="page59"/>
    <w:bookmarkEnd w:id="58"/>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7"/>
          <w:szCs w:val="17"/>
          <w:i w:val="1"/>
          <w:iCs w:val="1"/>
          <w:color w:val="auto"/>
        </w:rPr>
        <w:t>Investments—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Debt and Equity Securities</w:t>
      </w:r>
      <w:r>
        <w:rPr>
          <w:rFonts w:ascii="Times New Roman" w:cs="Times New Roman" w:eastAsia="Times New Roman" w:hAnsi="Times New Roman"/>
          <w:sz w:val="17"/>
          <w:szCs w:val="17"/>
          <w:color w:val="auto"/>
        </w:rPr>
        <w:t>, requires that at the time of purchase, we designate a security as held-to-maturity, available-for-sale or trading, depending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ability and intent to hold such security to maturity. Alternatively, we may elect the fair value option of accounting for securities pursuant to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Prior to fiscal year 2017, we primarily designated our investment securities as available-for-sale. On January 1, 2017, we began electing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333"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As of December 31, 2023, we did not intend to sell available-for-sale securities in an unrealized loss position and it was not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7"/>
          <w:szCs w:val="17"/>
          <w:i w:val="1"/>
          <w:iCs w:val="1"/>
          <w:color w:val="auto"/>
        </w:rPr>
        <w:t>Receivables—Nonrefundable Fees and Other Costs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25"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 Agreements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we account for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9" w:name="page60"/>
    <w:bookmarkEnd w:id="59"/>
    <w:p>
      <w:pPr>
        <w:jc w:val="both"/>
        <w:spacing w:after="0" w:line="295" w:lineRule="auto"/>
        <w:rPr>
          <w:sz w:val="20"/>
          <w:szCs w:val="20"/>
          <w:color w:val="auto"/>
        </w:rPr>
      </w:pPr>
      <w:r>
        <w:rPr>
          <w:rFonts w:ascii="Times New Roman" w:cs="Times New Roman" w:eastAsia="Times New Roman" w:hAnsi="Times New Roman"/>
          <w:sz w:val="17"/>
          <w:szCs w:val="17"/>
          <w:color w:val="auto"/>
        </w:rPr>
        <w:t>repurchase agreements as collateralized financing transactions, which are carried at their contractual amounts (cost), plus accrued interest. Our repurchase agreements typically have maturities of less than one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Repurchase Agreements and Obligation to Return Securities Borrowed under Reverse Repurchase Agreements</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7"/>
          <w:szCs w:val="17"/>
          <w:i w:val="1"/>
          <w:iCs w:val="1"/>
          <w:color w:val="auto"/>
        </w:rPr>
        <w:t xml:space="preserve">Derivative Instruments </w:t>
      </w:r>
      <w:r>
        <w:rPr>
          <w:rFonts w:ascii="Times New Roman" w:cs="Times New Roman" w:eastAsia="Times New Roman" w:hAnsi="Times New Roman"/>
          <w:sz w:val="17"/>
          <w:szCs w:val="17"/>
          <w:color w:val="auto"/>
        </w:rPr>
        <w:t>below). We account for these as securities borrowing transactions and recognize an obligation to return the borrowed securities at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74"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330"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 xml:space="preserve">We account for derivative instruments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33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7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rate swaptions</w:t>
      </w:r>
    </w:p>
    <w:p>
      <w:pPr>
        <w:spacing w:after="0" w:line="172"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7"/>
          <w:szCs w:val="17"/>
          <w:i w:val="1"/>
          <w:iCs w:val="1"/>
          <w:color w:val="auto"/>
        </w:rPr>
        <w:t>TBA securities</w:t>
      </w:r>
    </w:p>
    <w:p>
      <w:pPr>
        <w:spacing w:after="0" w:line="17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U.S. Treasury securities and US Treasury futures contracts</w:t>
      </w:r>
    </w:p>
    <w:p>
      <w:pPr>
        <w:spacing w:after="0" w:line="172"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three levels of valuation hierarchy are defined as follows:</w:t>
      </w:r>
    </w:p>
    <w:p>
      <w:pPr>
        <w:spacing w:after="0" w:line="170" w:lineRule="exact"/>
        <w:rPr>
          <w:sz w:val="20"/>
          <w:szCs w:val="20"/>
          <w:color w:val="auto"/>
        </w:rPr>
      </w:pPr>
    </w:p>
    <w:p>
      <w:pPr>
        <w:ind w:left="640" w:hanging="322"/>
        <w:spacing w:after="0" w:line="267" w:lineRule="auto"/>
        <w:tabs>
          <w:tab w:leader="none" w:pos="6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—Quoted prices (unadjusted) for identical unrestricted assets and liabilities in active markets that are accessible at the measurement date.</w:t>
      </w:r>
    </w:p>
    <w:p>
      <w:pPr>
        <w:spacing w:after="0" w:line="357"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—Instruments with primarily unobservable market data that cannot be corroborated.</w:t>
      </w:r>
    </w:p>
    <w:p>
      <w:pPr>
        <w:spacing w:after="0" w:line="170"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would indicate and we cannot obtain an understanding from the third-party source as to the significant inputs used to determine the price.</w:t>
      </w:r>
    </w:p>
    <w:p>
      <w:pPr>
        <w:spacing w:after="0" w:line="170"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15"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Investment securities </w:t>
      </w:r>
      <w:r>
        <w:rPr>
          <w:rFonts w:ascii="Times New Roman" w:cs="Times New Roman" w:eastAsia="Times New Roman" w:hAnsi="Times New Roman"/>
          <w:sz w:val="17"/>
          <w:szCs w:val="17"/>
          <w:color w:val="auto"/>
        </w:rPr>
        <w:t>- are valued based on prices obtained from multiple third-party pricing sources. The pricing sources utilize various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TBA market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TBA securities </w:t>
      </w:r>
      <w:r>
        <w:rPr>
          <w:rFonts w:ascii="Times New Roman" w:cs="Times New Roman" w:eastAsia="Times New Roman" w:hAnsi="Times New Roman"/>
          <w:sz w:val="17"/>
          <w:szCs w:val="17"/>
          <w:color w:val="auto"/>
        </w:rPr>
        <w:t>- are valued using prices obtained from third-party pricing sources based on pricing models that reference recent trading activity.</w:t>
      </w:r>
    </w:p>
    <w:p>
      <w:pPr>
        <w:spacing w:after="0" w:line="170" w:lineRule="exact"/>
        <w:rPr>
          <w:sz w:val="20"/>
          <w:szCs w:val="20"/>
          <w:color w:val="auto"/>
        </w:rPr>
      </w:pPr>
    </w:p>
    <w:p>
      <w:pPr>
        <w:jc w:val="both"/>
        <w:ind w:firstLine="431"/>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Interest rate swaps </w:t>
      </w:r>
      <w:r>
        <w:rPr>
          <w:rFonts w:ascii="Times New Roman" w:cs="Times New Roman" w:eastAsia="Times New Roman" w:hAnsi="Times New Roman"/>
          <w:sz w:val="17"/>
          <w:szCs w:val="17"/>
          <w:color w:val="auto"/>
        </w:rPr>
        <w:t>- are valued using the daily settlement price, or fair value, determined by the clearing exchange based on a pricing model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references observable market inputs, including current benchmark rates and the forward yield curve.</w:t>
      </w:r>
    </w:p>
    <w:p>
      <w:pPr>
        <w:spacing w:after="0" w:line="90" w:lineRule="exact"/>
        <w:rPr>
          <w:sz w:val="20"/>
          <w:szCs w:val="20"/>
          <w:color w:val="auto"/>
        </w:rPr>
      </w:pPr>
    </w:p>
    <w:p>
      <w:pPr>
        <w:jc w:val="both"/>
        <w:ind w:firstLine="43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Interest rate swaptions </w:t>
      </w:r>
      <w:r>
        <w:rPr>
          <w:rFonts w:ascii="Times New Roman" w:cs="Times New Roman" w:eastAsia="Times New Roman" w:hAnsi="Times New Roman"/>
          <w:sz w:val="17"/>
          <w:szCs w:val="17"/>
          <w:color w:val="auto"/>
        </w:rPr>
        <w:t>- are valued using prices obtained from the counterparty and other third-party pricing models. The pricing models are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future interest rate swap that we have the option to enter into as well as the remaining length of time that we have to exercise the option based on observable market inputs, adjusted for non-performance risk, if any.</w:t>
      </w:r>
    </w:p>
    <w:p>
      <w:pPr>
        <w:spacing w:after="0" w:line="109"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U.S. Treasury securities and futures are valued based on quoted prices for identical instruments in active markets and are classified as Level 1 assets. None of our financial instruments are classified as Level 3 inputs.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Variable Interest Entities</w:t>
      </w:r>
    </w:p>
    <w:p>
      <w:pPr>
        <w:spacing w:after="0" w:line="172"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 xml:space="preserve">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("ASC 810"), requires an enterprise to consolidate a variable interest entity ("VIE") if it is deemed the primary beneficiary of the VIE. As of December 31, 2023 and 2022,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Cash and cash equivalents include cash held in bank accounts and cash held in money market funds on an overnight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74"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Restricted cash includes cash pledged as collateral for clearing and executing trades, repurchase agreements, and interest rate swaps and other derivative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Goodwill is the cost of an acquisition in excess of the fair value of identified assets acquired and liabilities assumed and is recognized as an asset on our consolidated balance sheets. As of December 31, 2023 and 2022,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2" w:name="page63"/>
    <w:bookmarkEnd w:id="62"/>
    <w:p>
      <w:pPr>
        <w:jc w:val="both"/>
        <w:spacing w:after="0" w:line="269" w:lineRule="auto"/>
        <w:rPr>
          <w:sz w:val="20"/>
          <w:szCs w:val="20"/>
          <w:color w:val="auto"/>
        </w:rPr>
      </w:pPr>
      <w:r>
        <w:rPr>
          <w:rFonts w:ascii="Times New Roman" w:cs="Times New Roman" w:eastAsia="Times New Roman" w:hAnsi="Times New Roman"/>
          <w:sz w:val="17"/>
          <w:szCs w:val="17"/>
          <w:color w:val="auto"/>
        </w:rPr>
        <w:t>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the three fiscal years ended December 31, 2023, we did not recognize a goodwill impairment charge.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1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Investment Securities</w:t>
      </w:r>
    </w:p>
    <w:p>
      <w:pPr>
        <w:spacing w:after="0" w:line="172" w:lineRule="exact"/>
        <w:rPr>
          <w:sz w:val="20"/>
          <w:szCs w:val="20"/>
          <w:color w:val="auto"/>
        </w:rPr>
      </w:pPr>
    </w:p>
    <w:p>
      <w:pPr>
        <w:jc w:val="both"/>
        <w:ind w:firstLine="431"/>
        <w:spacing w:after="0" w:line="265" w:lineRule="auto"/>
        <w:rPr>
          <w:sz w:val="20"/>
          <w:szCs w:val="20"/>
          <w:color w:val="auto"/>
        </w:rPr>
      </w:pPr>
      <w:r>
        <w:rPr>
          <w:rFonts w:ascii="Times New Roman" w:cs="Times New Roman" w:eastAsia="Times New Roman" w:hAnsi="Times New Roman"/>
          <w:sz w:val="17"/>
          <w:szCs w:val="17"/>
          <w:color w:val="auto"/>
        </w:rPr>
        <w:t>As of December 31, 2023 and 2022, our investment portfolio consisted of $54.8 billion and $40.9 billion investment securities, at fair value, respectively, $5.4 billion and $18.6 billion net TBA securities, at fair value, respectively, and other mortgage credit investments of $44 million and $25 million, respectively, which we account for under the equity method of accounting. Our TBA position is reported at its net carrying value totaling $66 million and $167 million as of December 31, 2023 and 2022,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2023 and 2022, our investment securities had a net unamortized premium balance of $1.2 billion and $1.5 billion,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3" w:name="page64"/>
    <w:bookmarkEnd w:id="63"/>
    <w:p>
      <w:pPr>
        <w:ind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tables summarize our investment securities as of December 31, 2023 and 2022, excluding TBA securities and other mortgage credit investments (dollars in millions). Details of our TBA securities are included in Note 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tcPr>
          <w:p>
            <w:pPr>
              <w:jc w:val="right"/>
              <w:ind w:right="214"/>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55,289</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53,161</w:t>
            </w:r>
          </w:p>
        </w:tc>
        <w:tc>
          <w:tcPr>
            <w:tcW w:w="700" w:type="dxa"/>
            <w:vAlign w:val="bottom"/>
            <w:gridSpan w:val="3"/>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39,169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55,937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39,490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682</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56,965</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40,904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53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1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tcPr>
          <w:p>
            <w:pPr>
              <w:spacing w:after="0"/>
              <w:rPr>
                <w:sz w:val="10"/>
                <w:szCs w:val="10"/>
                <w:color w:val="auto"/>
              </w:rPr>
            </w:pPr>
          </w:p>
        </w:tc>
        <w:tc>
          <w:tcPr>
            <w:tcW w:w="880" w:type="dxa"/>
            <w:vAlign w:val="bottom"/>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Ginnie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260" w:type="dxa"/>
            <w:vAlign w:val="bottom"/>
          </w:tcPr>
          <w:p>
            <w:pPr>
              <w:spacing w:after="0"/>
              <w:rPr>
                <w:sz w:val="10"/>
                <w:szCs w:val="10"/>
                <w:color w:val="auto"/>
              </w:rPr>
            </w:pPr>
          </w:p>
        </w:tc>
        <w:tc>
          <w:tcPr>
            <w:tcW w:w="70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8"/>
              </w:rPr>
              <w:t>CMBS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60" w:type="dxa"/>
            <w:vAlign w:val="bottom"/>
          </w:tcPr>
          <w:p>
            <w:pPr>
              <w:spacing w:after="0"/>
              <w:rPr>
                <w:sz w:val="10"/>
                <w:szCs w:val="10"/>
                <w:color w:val="auto"/>
              </w:rPr>
            </w:pPr>
          </w:p>
        </w:tc>
        <w:tc>
          <w:tcPr>
            <w:tcW w:w="7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Par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3,881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center"/>
              <w:ind w:left="13"/>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474"/>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5,034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227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4,107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2"/>
                <w:szCs w:val="12"/>
                <w:color w:val="auto"/>
              </w:rPr>
              <w:t>5,333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70"/>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2"/>
                <w:szCs w:val="12"/>
                <w:color w:val="auto"/>
              </w:rPr>
              <w:t>(517)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3,715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4,816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29,910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283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307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w w:val="88"/>
              </w:rPr>
              <w:t>679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50,726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70"/>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jc w:val="right"/>
              <w:ind w:right="37"/>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1,095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30,504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19,820</w:t>
            </w: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2"/>
                <w:szCs w:val="12"/>
                <w:color w:val="auto"/>
              </w:rPr>
              <w:t>280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2"/>
                <w:szCs w:val="12"/>
                <w:color w:val="auto"/>
              </w:rPr>
              <w:t>303</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2"/>
                <w:szCs w:val="12"/>
                <w:color w:val="auto"/>
                <w:w w:val="88"/>
              </w:rPr>
              <w:t>682</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2"/>
                <w:szCs w:val="12"/>
                <w:color w:val="auto"/>
              </w:rPr>
              <w:t>51,632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rPr>
              <w:t>41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325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(1,270)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70"/>
              <w:spacing w:after="0"/>
              <w:rPr>
                <w:sz w:val="20"/>
                <w:szCs w:val="20"/>
                <w:color w:val="auto"/>
              </w:rPr>
            </w:pPr>
            <w:r>
              <w:rPr>
                <w:rFonts w:ascii="Times New Roman" w:cs="Times New Roman" w:eastAsia="Times New Roman" w:hAnsi="Times New Roman"/>
                <w:sz w:val="12"/>
                <w:szCs w:val="12"/>
                <w:color w:val="auto"/>
              </w:rPr>
              <w:t>(638)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jc w:val="right"/>
              <w:ind w:right="37"/>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2"/>
                <w:szCs w:val="12"/>
                <w:color w:val="auto"/>
              </w:rPr>
              <w:t>(1,949)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29,404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19,293</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281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2"/>
                <w:szCs w:val="12"/>
                <w:color w:val="auto"/>
              </w:rPr>
              <w:t>273</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w w:val="88"/>
              </w:rPr>
              <w:t>723</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50,008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33,119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20,393</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2"/>
                <w:szCs w:val="12"/>
                <w:color w:val="auto"/>
              </w:rPr>
              <w:t>282</w:t>
            </w: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2"/>
                <w:szCs w:val="12"/>
                <w:color w:val="auto"/>
              </w:rPr>
              <w:t>273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2"/>
                <w:szCs w:val="12"/>
                <w:color w:val="auto"/>
                <w:w w:val="88"/>
              </w:rPr>
              <w:t>723</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2"/>
                <w:szCs w:val="12"/>
                <w:color w:val="auto"/>
              </w:rPr>
              <w:t>54,824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coupon as of December 31, 2023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Weighted average yield as of December 31, 2023 </w:t>
            </w:r>
            <w:r>
              <w:rPr>
                <w:rFonts w:ascii="Times New Roman" w:cs="Times New Roman" w:eastAsia="Times New Roman" w:hAnsi="Times New Roman"/>
                <w:sz w:val="15"/>
                <w:szCs w:val="15"/>
                <w:color w:val="auto"/>
                <w:vertAlign w:val="superscript"/>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7.04 %</w:t>
            </w: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8.87 %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4" w:name="page65"/>
    <w:bookmarkEnd w:id="64"/>
    <w:tbl>
      <w:tblPr>
        <w:tblLayout w:type="fixed"/>
        <w:tblInd w:w="32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1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0"/>
                <w:szCs w:val="10"/>
                <w:color w:val="auto"/>
              </w:rPr>
            </w:pPr>
          </w:p>
        </w:tc>
        <w:tc>
          <w:tcPr>
            <w:tcW w:w="8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Fannie</w:t>
            </w:r>
          </w:p>
        </w:tc>
        <w:tc>
          <w:tcPr>
            <w:tcW w:w="8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60" w:type="dxa"/>
            <w:vAlign w:val="bottom"/>
          </w:tcPr>
          <w:p>
            <w:pPr>
              <w:spacing w:after="0"/>
              <w:rPr>
                <w:sz w:val="10"/>
                <w:szCs w:val="10"/>
                <w:color w:val="auto"/>
              </w:rPr>
            </w:pPr>
          </w:p>
        </w:tc>
        <w:tc>
          <w:tcPr>
            <w:tcW w:w="740" w:type="dxa"/>
            <w:vAlign w:val="bottom"/>
          </w:tcPr>
          <w:p>
            <w:pPr>
              <w:jc w:val="right"/>
              <w:ind w:right="198"/>
              <w:spacing w:after="0" w:line="125"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18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CRT</w:t>
            </w:r>
          </w:p>
        </w:tc>
        <w:tc>
          <w:tcPr>
            <w:tcW w:w="200" w:type="dxa"/>
            <w:vAlign w:val="bottom"/>
          </w:tcPr>
          <w:p>
            <w:pPr>
              <w:spacing w:after="0"/>
              <w:rPr>
                <w:sz w:val="10"/>
                <w:szCs w:val="10"/>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Mae</w:t>
            </w: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Par value</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4,696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1,535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6,232</w:t>
            </w:r>
          </w:p>
        </w:tc>
        <w:tc>
          <w:tcPr>
            <w:tcW w:w="0" w:type="dxa"/>
            <w:vAlign w:val="bottom"/>
          </w:tcPr>
          <w:p>
            <w:pPr>
              <w:spacing w:after="0"/>
              <w:rPr>
                <w:sz w:val="1"/>
                <w:szCs w:val="1"/>
                <w:color w:val="auto"/>
              </w:rPr>
            </w:pPr>
          </w:p>
        </w:tc>
      </w:tr>
      <w:tr>
        <w:trPr>
          <w:trHeight w:val="164"/>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368</w:t>
            </w:r>
          </w:p>
        </w:tc>
        <w:tc>
          <w:tcPr>
            <w:tcW w:w="0" w:type="dxa"/>
            <w:vAlign w:val="bottom"/>
          </w:tcPr>
          <w:p>
            <w:pPr>
              <w:spacing w:after="0"/>
              <w:rPr>
                <w:sz w:val="1"/>
                <w:szCs w:val="1"/>
                <w:color w:val="auto"/>
              </w:rPr>
            </w:pPr>
          </w:p>
        </w:tc>
      </w:tr>
      <w:tr>
        <w:trPr>
          <w:trHeight w:val="157"/>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Amortized cost</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4,970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1,628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6,599</w:t>
            </w: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(672)</w:t>
            </w:r>
          </w:p>
        </w:tc>
        <w:tc>
          <w:tcPr>
            <w:tcW w:w="0" w:type="dxa"/>
            <w:vAlign w:val="bottom"/>
          </w:tcPr>
          <w:p>
            <w:pPr>
              <w:spacing w:after="0"/>
              <w:rPr>
                <w:sz w:val="1"/>
                <w:szCs w:val="1"/>
                <w:color w:val="auto"/>
              </w:rPr>
            </w:pPr>
          </w:p>
        </w:tc>
      </w:tr>
      <w:tr>
        <w:trPr>
          <w:trHeight w:val="169"/>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4,470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1,456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5,927</w:t>
            </w:r>
          </w:p>
        </w:tc>
        <w:tc>
          <w:tcPr>
            <w:tcW w:w="0" w:type="dxa"/>
            <w:vAlign w:val="bottom"/>
          </w:tcPr>
          <w:p>
            <w:pPr>
              <w:spacing w:after="0"/>
              <w:rPr>
                <w:sz w:val="1"/>
                <w:szCs w:val="1"/>
                <w:color w:val="auto"/>
              </w:rPr>
            </w:pPr>
          </w:p>
        </w:tc>
      </w:tr>
      <w:tr>
        <w:trPr>
          <w:trHeight w:val="14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Securities remeasured at fair value through earnings: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24,231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11,444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609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773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37,171</w:t>
            </w:r>
          </w:p>
        </w:tc>
        <w:tc>
          <w:tcPr>
            <w:tcW w:w="0" w:type="dxa"/>
            <w:vAlign w:val="bottom"/>
          </w:tcPr>
          <w:p>
            <w:pPr>
              <w:spacing w:after="0"/>
              <w:rPr>
                <w:sz w:val="1"/>
                <w:szCs w:val="1"/>
                <w:color w:val="auto"/>
              </w:rPr>
            </w:pPr>
          </w:p>
        </w:tc>
      </w:tr>
      <w:tr>
        <w:trPr>
          <w:trHeight w:val="164"/>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855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352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1,226</w:t>
            </w:r>
          </w:p>
        </w:tc>
        <w:tc>
          <w:tcPr>
            <w:tcW w:w="0" w:type="dxa"/>
            <w:vAlign w:val="bottom"/>
          </w:tcPr>
          <w:p>
            <w:pPr>
              <w:spacing w:after="0"/>
              <w:rPr>
                <w:sz w:val="1"/>
                <w:szCs w:val="1"/>
                <w:color w:val="auto"/>
              </w:rPr>
            </w:pPr>
          </w:p>
        </w:tc>
      </w:tr>
      <w:tr>
        <w:trPr>
          <w:trHeight w:val="157"/>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Amortized cost</w:t>
            </w:r>
          </w:p>
        </w:tc>
        <w:tc>
          <w:tcPr>
            <w:tcW w:w="16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25,025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11,759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605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779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38,281</w:t>
            </w: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64"/>
        </w:trPr>
        <w:tc>
          <w:tcPr>
            <w:tcW w:w="3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2"/>
                <w:szCs w:val="12"/>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(2,307)</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(937)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(3,333)</w:t>
            </w: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22,731</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10,830</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567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757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34,977</w:t>
            </w:r>
          </w:p>
        </w:tc>
        <w:tc>
          <w:tcPr>
            <w:tcW w:w="0" w:type="dxa"/>
            <w:vAlign w:val="bottom"/>
          </w:tcPr>
          <w:p>
            <w:pPr>
              <w:spacing w:after="0"/>
              <w:rPr>
                <w:sz w:val="1"/>
                <w:szCs w:val="1"/>
                <w:color w:val="auto"/>
              </w:rPr>
            </w:pPr>
          </w:p>
        </w:tc>
      </w:tr>
      <w:tr>
        <w:trPr>
          <w:trHeight w:val="16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securities, at fair value</w:t>
            </w: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27,201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12,286</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567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757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rPr>
              <w:t>40,904</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coupon as of December 31, 2022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3.94 %</w:t>
            </w:r>
          </w:p>
        </w:tc>
        <w:tc>
          <w:tcPr>
            <w:tcW w:w="0" w:type="dxa"/>
            <w:vAlign w:val="bottom"/>
          </w:tcPr>
          <w:p>
            <w:pPr>
              <w:spacing w:after="0"/>
              <w:rPr>
                <w:sz w:val="1"/>
                <w:szCs w:val="1"/>
                <w:color w:val="auto"/>
              </w:rPr>
            </w:pPr>
          </w:p>
        </w:tc>
      </w:tr>
      <w:tr>
        <w:trPr>
          <w:trHeight w:val="20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Weighted average yield as of December 31, 2022 </w:t>
            </w:r>
            <w:r>
              <w:rPr>
                <w:rFonts w:ascii="Times New Roman" w:cs="Times New Roman" w:eastAsia="Times New Roman" w:hAnsi="Times New Roman"/>
                <w:sz w:val="15"/>
                <w:szCs w:val="15"/>
                <w:color w:val="auto"/>
                <w:vertAlign w:val="superscript"/>
              </w:rPr>
              <w:t>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3.37 %</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$44 million and $25 million as of December 31, 2023 and December 31, 2022, respectively.</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11.4% and 7.4% based on forward rates as of December 31, 2023 and December 31, 2022,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2023 and 2022, our investments in CRT and non-Agency securities had the following credit ratings (in millions):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gridSpan w:val="2"/>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40" w:hanging="322"/>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$44 million and $25 million as of December 31, 2023 and 2022, respectively.</w:t>
      </w:r>
    </w:p>
    <w:p>
      <w:pPr>
        <w:spacing w:after="0" w:line="158"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Our CRT securities reference the performance of loans underlying Agency RMBS issued by Fannie Mae or Freddie Mac, which were subject to their underwriting standards.</w:t>
      </w:r>
    </w:p>
    <w:p>
      <w:pPr>
        <w:spacing w:after="0" w:line="9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2023 and 2022, the weighted average expected constant prepayment rate ("CPR") over the remaining life of our Agency and high credit quality non-Agency RMBS investment portfolio was 11.4% and 7.4%, respectively. Our estimates can differ materially for different securities and thus our individual holdings have a wide range of projected CPRs. The following table summarizes our investments as of December 31, 2023 and 2022 according to their estimated weighted average life classification (dollars in millions):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4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2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2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Yield</w:t>
            </w:r>
          </w:p>
        </w:tc>
        <w:tc>
          <w:tcPr>
            <w:tcW w:w="0" w:type="dxa"/>
            <w:vAlign w:val="bottom"/>
          </w:tcPr>
          <w:p>
            <w:pPr>
              <w:spacing w:after="0"/>
              <w:rPr>
                <w:sz w:val="1"/>
                <w:szCs w:val="1"/>
                <w:color w:val="auto"/>
              </w:rPr>
            </w:pPr>
          </w:p>
        </w:tc>
      </w:tr>
      <w:tr>
        <w:trPr>
          <w:trHeight w:val="189"/>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6.61%</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5.93%</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5.19%</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4.66%</w:t>
            </w:r>
          </w:p>
        </w:tc>
        <w:tc>
          <w:tcPr>
            <w:tcW w:w="0" w:type="dxa"/>
            <w:vAlign w:val="bottom"/>
          </w:tcPr>
          <w:p>
            <w:pPr>
              <w:spacing w:after="0"/>
              <w:rPr>
                <w:sz w:val="1"/>
                <w:szCs w:val="1"/>
                <w:color w:val="auto"/>
              </w:rPr>
            </w:pPr>
          </w:p>
        </w:tc>
      </w:tr>
      <w:tr>
        <w:trPr>
          <w:trHeight w:val="18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3.79%</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3.30%</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4.63%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3.56%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3.43%</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54,824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46" w:lineRule="exact"/>
        <w:rPr>
          <w:sz w:val="20"/>
          <w:szCs w:val="20"/>
          <w:color w:val="auto"/>
        </w:rPr>
      </w:pPr>
    </w:p>
    <w:p>
      <w:pPr>
        <w:ind w:left="640" w:hanging="322"/>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$44 million and $25 million as of December 31, 2023 and 2022, respectively.</w:t>
      </w:r>
    </w:p>
    <w:p>
      <w:pPr>
        <w:spacing w:after="0" w:line="17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gross unrealized loss and fair values of securities classified as available-for-sale by length of time that such securities have been in a continuous unrealized loss position as of December 31, 2023 and 2022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Unrealized Loss Position For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5"/>
                <w:szCs w:val="15"/>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31"/>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3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Gains and Losses on Sale of Investment Securities</w:t>
      </w:r>
    </w:p>
    <w:p>
      <w:pPr>
        <w:spacing w:after="0" w:line="174"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is a summary of our net gain (loss) from the sale of investment securities for fiscal years 2023, 2022 and 2021 by investment classification of accounting (in millions):</w:t>
      </w:r>
    </w:p>
    <w:p>
      <w:pPr>
        <w:spacing w:after="0" w:line="258"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7"/>
              </w:rPr>
              <w:t>Available-for-</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Available-for-Sale</w:t>
            </w: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Option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Investment Securities</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 xml:space="preserve">Securities </w:t>
            </w:r>
            <w:r>
              <w:rPr>
                <w:rFonts w:ascii="Times New Roman" w:cs="Times New Roman" w:eastAsia="Times New Roman" w:hAnsi="Times New Roman"/>
                <w:sz w:val="15"/>
                <w:szCs w:val="15"/>
                <w:b w:val="1"/>
                <w:bCs w:val="1"/>
                <w:color w:val="auto"/>
                <w:w w:val="94"/>
                <w:vertAlign w:val="superscript"/>
              </w:rPr>
              <w:t>2,3</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6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 xml:space="preserve">Securities </w:t>
            </w:r>
            <w:r>
              <w:rPr>
                <w:rFonts w:ascii="Times New Roman" w:cs="Times New Roman" w:eastAsia="Times New Roman" w:hAnsi="Times New Roman"/>
                <w:sz w:val="15"/>
                <w:szCs w:val="15"/>
                <w:b w:val="1"/>
                <w:bCs w:val="1"/>
                <w:color w:val="auto"/>
                <w:w w:val="97"/>
                <w:vertAlign w:val="superscript"/>
              </w:rPr>
              <w:t>2,3</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Securities </w:t>
            </w:r>
            <w:r>
              <w:rPr>
                <w:rFonts w:ascii="Times New Roman" w:cs="Times New Roman" w:eastAsia="Times New Roman" w:hAnsi="Times New Roman"/>
                <w:sz w:val="15"/>
                <w:szCs w:val="15"/>
                <w:b w:val="1"/>
                <w:bCs w:val="1"/>
                <w:color w:val="auto"/>
                <w:vertAlign w:val="superscript"/>
              </w:rPr>
              <w:t>2,3</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8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82"/>
        </w:trPr>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(30,213)</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(35,875)</w:t>
            </w: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Proceeds from investment securities sold</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14,220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27,297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30,810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w:t>
            </w:r>
          </w:p>
        </w:tc>
        <w:tc>
          <w:tcPr>
            <w:tcW w:w="0" w:type="dxa"/>
            <w:vAlign w:val="bottom"/>
          </w:tcPr>
          <w:p>
            <w:pPr>
              <w:spacing w:after="0"/>
              <w:rPr>
                <w:sz w:val="1"/>
                <w:szCs w:val="1"/>
                <w:color w:val="auto"/>
              </w:rPr>
            </w:pPr>
          </w:p>
        </w:tc>
      </w:tr>
      <w:tr>
        <w:trPr>
          <w:trHeight w:val="157"/>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42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Net gain (loss) on sale of investment</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5"/>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4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Gross gain on sale of investment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1"/>
                <w:szCs w:val="1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1"/>
                <w:szCs w:val="11"/>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Gross loss on sale of investment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42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Net gain (loss) on sale of investment</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5"/>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59" w:lineRule="exact"/>
        <w:rPr>
          <w:sz w:val="20"/>
          <w:szCs w:val="20"/>
          <w:color w:val="auto"/>
        </w:rPr>
      </w:pPr>
    </w:p>
    <w:p>
      <w:pPr>
        <w:ind w:left="640" w:hanging="322"/>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1"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fiscal years 2023, 2022 and 2021, we received principal repayments on available-for-sale securities of $704 million, $1,501 million and $3,574 million,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Repurchase Agreements and Reverse Repurchase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 Agreements</w:t>
      </w:r>
    </w:p>
    <w:p>
      <w:pPr>
        <w:spacing w:after="0" w:line="174"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2023, we had met all margin call requirements. For additional information regarding our pledged assets, please refer to Note 6.</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6" w:name="page67"/>
    <w:bookmarkEnd w:id="66"/>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2023 and 2022, we had $50.4 billion and $36.3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December 31, 2023 and 2022 (dollars in millions):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0" w:type="dxa"/>
            <w:vAlign w:val="bottom"/>
          </w:tcPr>
          <w:p>
            <w:pPr>
              <w:spacing w:after="0"/>
              <w:rPr>
                <w:sz w:val="1"/>
                <w:szCs w:val="1"/>
                <w:color w:val="auto"/>
              </w:rPr>
            </w:pPr>
          </w:p>
        </w:tc>
      </w:tr>
      <w:tr>
        <w:trPr>
          <w:trHeight w:val="191"/>
        </w:trPr>
        <w:tc>
          <w:tcPr>
            <w:tcW w:w="2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07"/>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40,946</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26,712</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1 to ≤ 3 months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3 to ≤ 6 months</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35,907</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6"/>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Treasury repo:</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As of December 31, 2023 and 2022, $16.7 billion and $9.6 billion, respectively, of our investment securities repurchase agreements and all of our U.S. Treasury repurchase agreements had an overnight maturity of one business day and none of our repurchase agreements were due on demand. As of December 31, 2023, we had $8.8 billion of forward commitments to enter into repurchase agreements with a weighted average forward start date of 4 days and a weighted average interest rate of 5.54%. As of December 31, 2022, we had $6.4 billion of forward commitments to enter into repurchase agreements, with a weighted average forward start date of 4 days and a weighted average interest rate of 4.38%. As of December 31, 2023 and 2022, 48% and 49%,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48% of our repurchase agreement funding outstanding as of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Repurchase Agreements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As of December 31, 2023 and 2022, we had $11.6 billion and $6.6 billion, respectively, of reverse repurchase agreements outstanding used primarily to borrow securities to cover short sales of U.S. Treasury securities, for which we had associated obligations to return borrowed securities at fair value of $10.9 billion and $6.5 billion, respectively. As of December 31, 2023 and 2022, $3.1 billion and $1.5 billion, respectively, of our reverse repurchase agreements were with the FICC sourced through BES.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Derivative and Other Hedging Instruments</w:t>
      </w:r>
    </w:p>
    <w:p>
      <w:pPr>
        <w:spacing w:after="0" w:line="17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and Other Hedging Instrument Assets (Liabilities), at Fair Value</w:t>
      </w:r>
    </w:p>
    <w:p>
      <w:pPr>
        <w:spacing w:after="0" w:line="174"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table below summarizes fair value information about our derivative and other hedging instrument assets/(liabilities) as of December 31, 2023 and 2022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19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3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Pr>
          <w:p>
            <w:pPr>
              <w:spacing w:after="0"/>
              <w:rPr>
                <w:sz w:val="17"/>
                <w:szCs w:val="17"/>
                <w:color w:val="auto"/>
              </w:rPr>
            </w:pPr>
          </w:p>
        </w:tc>
        <w:tc>
          <w:tcPr>
            <w:tcW w:w="9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2"/>
        </w:trPr>
        <w:tc>
          <w:tcPr>
            <w:tcW w:w="4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30"/>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444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4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0"/>
                <w:szCs w:val="20"/>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4"/>
        </w:trPr>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19"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Total U.S. Treasury securities, net at fair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162"/>
        </w:trPr>
        <w:tc>
          <w:tcPr>
            <w:tcW w:w="42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Obligation to return securities borrowed under reverse repurchase</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0" w:type="dxa"/>
            <w:vAlign w:val="bottom"/>
          </w:tcPr>
          <w:p>
            <w:pPr>
              <w:spacing w:after="0"/>
              <w:rPr>
                <w:sz w:val="1"/>
                <w:szCs w:val="1"/>
                <w:color w:val="auto"/>
              </w:rPr>
            </w:pPr>
          </w:p>
        </w:tc>
      </w:tr>
      <w:tr>
        <w:trPr>
          <w:trHeight w:val="20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agreements, at fair value</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-405765</wp:posOffset>
            </wp:positionV>
            <wp:extent cx="7136765" cy="2324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23241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740" w:space="720"/>
            <w:col w:w="6780"/>
          </w:cols>
          <w:pgMar w:left="320" w:top="1019" w:right="339" w:bottom="1440" w:gutter="0" w:footer="0" w:header="0"/>
          <w:type w:val="continuous"/>
        </w:sectPr>
      </w:pPr>
    </w:p>
    <w:p>
      <w:pPr>
        <w:jc w:val="both"/>
        <w:ind w:left="640" w:hanging="322"/>
        <w:spacing w:after="0" w:line="268"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2022, the net fair value of our interest rate swaps excluding the recognition of variation margin settlements as a direct reduction of carrying value (see Note 2) was a net asset (liability) of $2.9 billion and $4.5 billion, respectively. As of December 31, 2023 and 2022, the net fair value of our credit default swaps excluding the recognition of variation margin settlements was $(6) million and $(2) million, respectively.</w:t>
      </w:r>
    </w:p>
    <w:p>
      <w:pPr>
        <w:spacing w:after="0" w:line="13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tables summarize certain characteristics of our derivative and other hedging instruments outstanding as of December 31, 2023 and 2022 (dollars in millions):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tcBorders>
              <w:top w:val="single" w:sz="8" w:color="auto"/>
            </w:tcBorders>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2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Fixed Pay</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0"/>
        </w:trPr>
        <w:tc>
          <w:tcPr>
            <w:tcW w:w="2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Rate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8"/>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13,750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0.14%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14,800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0.48%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5.32%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4.31%</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0.92%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5.37%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4.30%</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4.30%</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0"/>
        </w:trPr>
        <w:tc>
          <w:tcPr>
            <w:tcW w:w="2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December 31, 2023 amounts are net of $1 billion receive fixed interest rate swaps.</w:t>
      </w:r>
    </w:p>
    <w:p>
      <w:pPr>
        <w:spacing w:after="0" w:line="346" w:lineRule="exact"/>
        <w:rPr>
          <w:sz w:val="20"/>
          <w:szCs w:val="20"/>
          <w:color w:val="auto"/>
        </w:rPr>
      </w:pPr>
    </w:p>
    <w:tbl>
      <w:tblPr>
        <w:tblLayout w:type="fixed"/>
        <w:tblInd w:w="20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 Rate Swaps by</w:t>
            </w: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1600" w:type="dxa"/>
            <w:vAlign w:val="bottom"/>
            <w:vMerge w:val="restart"/>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vMerge w:val="restart"/>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Receive Index (% of Notional Amount)</w:t>
            </w:r>
          </w:p>
        </w:tc>
        <w:tc>
          <w:tcPr>
            <w:tcW w:w="1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SOFR</w:t>
            </w:r>
          </w:p>
        </w:tc>
        <w:tc>
          <w:tcPr>
            <w:tcW w:w="22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OIS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Underlying Payer Swap</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880" w:type="dxa"/>
            <w:vAlign w:val="bottom"/>
            <w:tcBorders>
              <w:top w:val="single" w:sz="8" w:color="auto"/>
            </w:tcBorders>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200" w:type="dxa"/>
            <w:vAlign w:val="bottom"/>
          </w:tcPr>
          <w:p>
            <w:pPr>
              <w:spacing w:after="0"/>
              <w:rPr>
                <w:sz w:val="12"/>
                <w:szCs w:val="12"/>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Current Option</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880" w:type="dxa"/>
            <w:vAlign w:val="bottom"/>
          </w:tcPr>
          <w:p>
            <w:pPr>
              <w:jc w:val="center"/>
              <w:ind w:right="126"/>
              <w:spacing w:after="0" w:line="142"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20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2"/>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60" w:type="dxa"/>
            <w:vAlign w:val="bottom"/>
            <w:gridSpan w:val="3"/>
          </w:tcPr>
          <w:p>
            <w:pPr>
              <w:jc w:val="center"/>
              <w:ind w:left="83"/>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0"/>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ind w:right="126"/>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60" w:type="dxa"/>
            <w:vAlign w:val="bottom"/>
            <w:gridSpan w:val="3"/>
          </w:tcPr>
          <w:p>
            <w:pPr>
              <w:jc w:val="center"/>
              <w:ind w:left="83"/>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9.4</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year ≤ 2 years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60" w:type="dxa"/>
            <w:vAlign w:val="bottom"/>
            <w:gridSpan w:val="3"/>
            <w:shd w:val="clear" w:color="auto" w:fill="CCEEFF"/>
          </w:tcPr>
          <w:p>
            <w:pPr>
              <w:jc w:val="center"/>
              <w:ind w:left="83"/>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0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   Receive index references SOFR.</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6"/>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w w:val="99"/>
              </w:rPr>
              <w:t>Underlying Receiver Swap</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880" w:type="dxa"/>
            <w:vAlign w:val="bottom"/>
            <w:tcBorders>
              <w:top w:val="single" w:sz="8" w:color="auto"/>
            </w:tcBorders>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200" w:type="dxa"/>
            <w:vAlign w:val="bottom"/>
          </w:tcPr>
          <w:p>
            <w:pPr>
              <w:spacing w:after="0"/>
              <w:rPr>
                <w:sz w:val="12"/>
                <w:szCs w:val="12"/>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Current Option</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Receive</w:t>
            </w:r>
          </w:p>
        </w:tc>
        <w:tc>
          <w:tcPr>
            <w:tcW w:w="880" w:type="dxa"/>
            <w:vAlign w:val="bottom"/>
          </w:tcPr>
          <w:p>
            <w:pPr>
              <w:jc w:val="center"/>
              <w:ind w:right="126"/>
              <w:spacing w:after="0" w:line="144"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1"/>
        </w:trPr>
        <w:tc>
          <w:tcPr>
            <w:tcW w:w="4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20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7"/>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60" w:type="dxa"/>
            <w:vAlign w:val="bottom"/>
            <w:gridSpan w:val="3"/>
          </w:tcPr>
          <w:p>
            <w:pPr>
              <w:jc w:val="center"/>
              <w:ind w:left="83"/>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2022, we had no receiver swaptions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40" w:type="dxa"/>
            <w:vAlign w:val="bottom"/>
          </w:tcPr>
          <w:p>
            <w:pPr>
              <w:spacing w:after="0"/>
              <w:rPr>
                <w:sz w:val="10"/>
                <w:szCs w:val="10"/>
                <w:color w:val="auto"/>
              </w:rPr>
            </w:pPr>
          </w:p>
        </w:tc>
        <w:tc>
          <w:tcPr>
            <w:tcW w:w="11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20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110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0"/>
                <w:szCs w:val="10"/>
                <w:color w:val="auto"/>
              </w:rPr>
            </w:pPr>
          </w:p>
        </w:tc>
        <w:tc>
          <w:tcPr>
            <w:tcW w:w="98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3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0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year ≤ 7 years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year ≤ 10 years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jc w:val="both"/>
        <w:ind w:left="640" w:hanging="322"/>
        <w:spacing w:after="0" w:line="257"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2022, short U.S. Treasury securities totaling $(10.9) billion and $(6.5) billion, at fair value, respectively, had a weighted average yield of 3.64% and 2.80%, respectively. As of December 31, 2023 and 2022, long U.S. Treasury securities totaling $1.5 billion and $0.4 billion, at fair value, respectively, had a weighted average yield of 4.39% and 3.86%, respectively.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80" w:type="dxa"/>
            <w:vAlign w:val="bottom"/>
          </w:tcPr>
          <w:p>
            <w:pPr>
              <w:spacing w:after="0"/>
              <w:rPr>
                <w:sz w:val="9"/>
                <w:szCs w:val="9"/>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 to Maturity</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 xml:space="preserve">Value </w:t>
            </w:r>
            <w:r>
              <w:rPr>
                <w:rFonts w:ascii="Times New Roman" w:cs="Times New Roman" w:eastAsia="Times New Roman" w:hAnsi="Times New Roman"/>
                <w:sz w:val="15"/>
                <w:szCs w:val="15"/>
                <w:b w:val="1"/>
                <w:bCs w:val="1"/>
                <w:color w:val="auto"/>
                <w:w w:val="94"/>
                <w:vertAlign w:val="superscript"/>
              </w:rPr>
              <w:t>1</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8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60"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TBA Securities by Coupon</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 xml:space="preserve">Value </w:t>
            </w:r>
            <w:r>
              <w:rPr>
                <w:rFonts w:ascii="Times New Roman" w:cs="Times New Roman" w:eastAsia="Times New Roman" w:hAnsi="Times New Roman"/>
                <w:sz w:val="15"/>
                <w:szCs w:val="15"/>
                <w:b w:val="1"/>
                <w:bCs w:val="1"/>
                <w:color w:val="auto"/>
                <w:w w:val="99"/>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59"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As of December 31, 2023, we had a two-year swap equivalent SOFR futures contract long notional position of $0.9 billion, with a net carrying value of $(10) million.</w:t>
      </w:r>
    </w:p>
    <w:p>
      <w:pPr>
        <w:spacing w:after="0" w:line="134" w:lineRule="exact"/>
        <w:rPr>
          <w:sz w:val="20"/>
          <w:szCs w:val="20"/>
          <w:color w:val="auto"/>
        </w:rPr>
      </w:pPr>
    </w:p>
    <w:p>
      <w:pPr>
        <w:jc w:val="both"/>
        <w:ind w:firstLine="392"/>
        <w:spacing w:after="0" w:line="245" w:lineRule="auto"/>
        <w:rPr>
          <w:sz w:val="20"/>
          <w:szCs w:val="20"/>
          <w:color w:val="auto"/>
        </w:rPr>
      </w:pPr>
      <w:r>
        <w:rPr>
          <w:rFonts w:ascii="Times New Roman" w:cs="Times New Roman" w:eastAsia="Times New Roman" w:hAnsi="Times New Roman"/>
          <w:sz w:val="17"/>
          <w:szCs w:val="17"/>
          <w:color w:val="auto"/>
        </w:rPr>
        <w:t>As of December 31, 2023 and 2022, we had $95 million and $215 million, respectively, notional value of centrally cleared credit default swaps ("CDS") outstanding that reference the Markit CDX Investment Grade or High Yield Grade Index, maturing in December 2028 and June 2027, respectively. Under the terms of our CDS, we pay fixed periodic payments equal to 1% per annum of the notional value and we are entitled to receive payments for qualified credit events. As of December 31, 2023 and 2022, the CDS had a market value of $(6) million and $(2) million, respectively, and a net carrying value of zero dollars, net of variation margin settlements. Pursuant to rules governing central clearing activities, we recognize variation margin settlements as a direct reduction of the carrying value of the CDS asset or 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From Derivative Instruments and Other Securities, Net</w:t>
      </w:r>
    </w:p>
    <w:p>
      <w:pPr>
        <w:spacing w:after="0" w:line="174" w:lineRule="exact"/>
        <w:rPr>
          <w:sz w:val="20"/>
          <w:szCs w:val="20"/>
          <w:color w:val="auto"/>
        </w:rPr>
      </w:pPr>
    </w:p>
    <w:p>
      <w:pPr>
        <w:jc w:val="both"/>
        <w:ind w:firstLine="392"/>
        <w:spacing w:after="0" w:line="277" w:lineRule="auto"/>
        <w:rPr>
          <w:sz w:val="20"/>
          <w:szCs w:val="20"/>
          <w:color w:val="auto"/>
        </w:rPr>
      </w:pPr>
      <w:r>
        <w:rPr>
          <w:rFonts w:ascii="Times New Roman" w:cs="Times New Roman" w:eastAsia="Times New Roman" w:hAnsi="Times New Roman"/>
          <w:sz w:val="17"/>
          <w:szCs w:val="17"/>
          <w:color w:val="auto"/>
        </w:rPr>
        <w:t>The following table summarizes changes in our derivative and other hedge portfolio and their effect on our consolidated statements of comprehensive income for fiscal years 2023, 2022 and 2021 (in millions):</w:t>
      </w:r>
    </w:p>
    <w:tbl>
      <w:tblPr>
        <w:tblLayout w:type="fixed"/>
        <w:tblInd w:w="0" w:type="dxa"/>
        <w:tblCellMar>
          <w:top w:w="0" w:type="dxa"/>
          <w:left w:w="0" w:type="dxa"/>
          <w:bottom w:w="0" w:type="dxa"/>
          <w:right w:w="0" w:type="dxa"/>
        </w:tblCellMar>
      </w:tblPr>
      <w:tr>
        <w:trPr>
          <w:trHeight w:val="144"/>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6"/>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Gain/(Loss)</w:t>
            </w:r>
          </w:p>
        </w:tc>
        <w:tc>
          <w:tcPr>
            <w:tcW w:w="0" w:type="dxa"/>
            <w:vAlign w:val="bottom"/>
          </w:tcPr>
          <w:p>
            <w:pPr>
              <w:spacing w:after="0"/>
              <w:rPr>
                <w:sz w:val="1"/>
                <w:szCs w:val="1"/>
                <w:color w:val="auto"/>
              </w:rPr>
            </w:pPr>
          </w:p>
        </w:tc>
      </w:tr>
      <w:tr>
        <w:trPr>
          <w:trHeight w:val="9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6"/>
              <w:spacing w:after="0" w:line="144"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0" w:type="dxa"/>
            <w:vAlign w:val="bottom"/>
          </w:tcPr>
          <w:p>
            <w:pPr>
              <w:spacing w:after="0"/>
              <w:rPr>
                <w:sz w:val="1"/>
                <w:szCs w:val="1"/>
                <w:color w:val="auto"/>
              </w:rPr>
            </w:pPr>
          </w:p>
        </w:tc>
      </w:tr>
      <w:tr>
        <w:trPr>
          <w:trHeight w:val="52"/>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Termination,</w:t>
            </w: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46"/>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Instruments and</w:t>
            </w:r>
          </w:p>
        </w:tc>
        <w:tc>
          <w:tcPr>
            <w:tcW w:w="0" w:type="dxa"/>
            <w:vAlign w:val="bottom"/>
          </w:tcPr>
          <w:p>
            <w:pPr>
              <w:spacing w:after="0"/>
              <w:rPr>
                <w:sz w:val="1"/>
                <w:szCs w:val="1"/>
                <w:color w:val="auto"/>
              </w:rPr>
            </w:pPr>
          </w:p>
        </w:tc>
      </w:tr>
      <w:tr>
        <w:trPr>
          <w:trHeight w:val="51"/>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Expiration or</w:t>
            </w:r>
          </w:p>
        </w:tc>
        <w:tc>
          <w:tcPr>
            <w:tcW w:w="240" w:type="dxa"/>
            <w:vAlign w:val="bottom"/>
          </w:tcPr>
          <w:p>
            <w:pPr>
              <w:spacing w:after="0"/>
              <w:rPr>
                <w:sz w:val="4"/>
                <w:szCs w:val="4"/>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Ending</w:t>
            </w:r>
          </w:p>
        </w:tc>
        <w:tc>
          <w:tcPr>
            <w:tcW w:w="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3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Other Securities, Net</w:t>
            </w:r>
          </w:p>
        </w:tc>
        <w:tc>
          <w:tcPr>
            <w:tcW w:w="0" w:type="dxa"/>
            <w:vAlign w:val="bottom"/>
          </w:tcPr>
          <w:p>
            <w:pPr>
              <w:spacing w:after="0"/>
              <w:rPr>
                <w:sz w:val="1"/>
                <w:szCs w:val="1"/>
                <w:color w:val="auto"/>
              </w:rPr>
            </w:pPr>
          </w:p>
        </w:tc>
      </w:tr>
      <w:tr>
        <w:trPr>
          <w:trHeight w:val="52"/>
        </w:trPr>
        <w:tc>
          <w:tcPr>
            <w:tcW w:w="4640" w:type="dxa"/>
            <w:vAlign w:val="bottom"/>
            <w:gridSpan w:val="2"/>
            <w:vMerge w:val="continue"/>
          </w:tcPr>
          <w:p>
            <w:pPr>
              <w:spacing w:after="0"/>
              <w:rPr>
                <w:sz w:val="4"/>
                <w:szCs w:val="4"/>
                <w:color w:val="auto"/>
              </w:rPr>
            </w:pPr>
          </w:p>
        </w:tc>
        <w:tc>
          <w:tcPr>
            <w:tcW w:w="1280" w:type="dxa"/>
            <w:vAlign w:val="bottom"/>
            <w:gridSpan w:val="3"/>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80" w:type="dxa"/>
            <w:vAlign w:val="bottom"/>
            <w:gridSpan w:val="2"/>
            <w:vMerge w:val="continue"/>
          </w:tcPr>
          <w:p>
            <w:pPr>
              <w:spacing w:after="0"/>
              <w:rPr>
                <w:sz w:val="4"/>
                <w:szCs w:val="4"/>
                <w:color w:val="auto"/>
              </w:rPr>
            </w:pPr>
          </w:p>
        </w:tc>
        <w:tc>
          <w:tcPr>
            <w:tcW w:w="1300" w:type="dxa"/>
            <w:vAlign w:val="bottom"/>
            <w:gridSpan w:val="2"/>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Exercise</w:t>
            </w:r>
          </w:p>
        </w:tc>
        <w:tc>
          <w:tcPr>
            <w:tcW w:w="1380" w:type="dxa"/>
            <w:vAlign w:val="bottom"/>
            <w:gridSpan w:val="4"/>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40" w:type="dxa"/>
            <w:vAlign w:val="bottom"/>
          </w:tcPr>
          <w:p>
            <w:pPr>
              <w:spacing w:after="0"/>
              <w:rPr>
                <w:sz w:val="4"/>
                <w:szCs w:val="4"/>
                <w:color w:val="auto"/>
              </w:rPr>
            </w:pPr>
          </w:p>
        </w:tc>
        <w:tc>
          <w:tcPr>
            <w:tcW w:w="1180" w:type="dxa"/>
            <w:vAlign w:val="bottom"/>
            <w:vMerge w:val="restart"/>
          </w:tcPr>
          <w:p>
            <w:pPr>
              <w:jc w:val="center"/>
              <w:ind w:right="66"/>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66"/>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4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164,465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(178,183)</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5,332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44,476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(20,143)</w:t>
            </w:r>
          </w:p>
        </w:tc>
        <w:tc>
          <w:tcPr>
            <w:tcW w:w="100" w:type="dxa"/>
            <w:vAlign w:val="bottom"/>
          </w:tcPr>
          <w:p>
            <w:pPr>
              <w:spacing w:after="0"/>
              <w:rPr>
                <w:sz w:val="17"/>
                <w:szCs w:val="17"/>
                <w:color w:val="auto"/>
              </w:rPr>
            </w:pP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16,169</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ind w:right="7"/>
              <w:spacing w:after="0"/>
              <w:rPr>
                <w:sz w:val="20"/>
                <w:szCs w:val="20"/>
                <w:color w:val="auto"/>
              </w:rPr>
            </w:pPr>
            <w:r>
              <w:rPr>
                <w:rFonts w:ascii="Times New Roman" w:cs="Times New Roman" w:eastAsia="Times New Roman" w:hAnsi="Times New Roman"/>
                <w:sz w:val="16"/>
                <w:szCs w:val="16"/>
                <w:color w:val="auto"/>
              </w:rPr>
              <w:t>34,249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jc w:val="right"/>
              <w:ind w:right="6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2022:</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26,673</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312,307</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(319,930)</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19,050</w:t>
            </w:r>
          </w:p>
        </w:tc>
        <w:tc>
          <w:tcPr>
            <w:tcW w:w="8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settling non-Agency securities</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450</w:t>
            </w:r>
          </w:p>
        </w:tc>
        <w:tc>
          <w:tcPr>
            <w:tcW w:w="12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51,225</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5,895</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(9,295)</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47,825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(5,835)</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5,620</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13,000</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1,750</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(11,700)</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3,050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(150)</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150</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(9,590)</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(15,548)</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17,765</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(7,373)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472</w:t>
            </w:r>
          </w:p>
        </w:tc>
        <w:tc>
          <w:tcPr>
            <w:tcW w:w="12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10,202</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(10,317)</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18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tcPr>
          <w:p>
            <w:pPr>
              <w:jc w:val="right"/>
              <w:ind w:right="282"/>
              <w:spacing w:after="0"/>
              <w:rPr>
                <w:sz w:val="20"/>
                <w:szCs w:val="20"/>
                <w:color w:val="auto"/>
              </w:rPr>
            </w:pPr>
            <w:r>
              <w:rPr>
                <w:rFonts w:ascii="Times New Roman" w:cs="Times New Roman" w:eastAsia="Times New Roman" w:hAnsi="Times New Roman"/>
                <w:sz w:val="16"/>
                <w:szCs w:val="16"/>
                <w:color w:val="auto"/>
              </w:rPr>
              <w:t>(1,500)</w:t>
            </w:r>
          </w:p>
        </w:tc>
        <w:tc>
          <w:tcPr>
            <w:tcW w:w="1260" w:type="dxa"/>
            <w:vAlign w:val="bottom"/>
            <w:tcBorders>
              <w:bottom w:val="single" w:sz="8" w:color="CCEEFF"/>
            </w:tcBorders>
          </w:tcPr>
          <w:p>
            <w:pPr>
              <w:jc w:val="right"/>
              <w:ind w:right="262"/>
              <w:spacing w:after="0"/>
              <w:rPr>
                <w:sz w:val="20"/>
                <w:szCs w:val="20"/>
                <w:color w:val="auto"/>
              </w:rPr>
            </w:pPr>
            <w:r>
              <w:rPr>
                <w:rFonts w:ascii="Times New Roman" w:cs="Times New Roman" w:eastAsia="Times New Roman" w:hAnsi="Times New Roman"/>
                <w:sz w:val="16"/>
                <w:szCs w:val="16"/>
                <w:color w:val="auto"/>
              </w:rPr>
              <w:t>(37,493)</w:t>
            </w:r>
          </w:p>
        </w:tc>
        <w:tc>
          <w:tcPr>
            <w:tcW w:w="102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29,780</w:t>
            </w:r>
          </w:p>
        </w:tc>
        <w:tc>
          <w:tcPr>
            <w:tcW w:w="4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(9,213)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27"/>
        </w:trPr>
        <w:tc>
          <w:tcPr>
            <w:tcW w:w="38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3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2021:</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30,364</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352,658</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(356,349)</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26,673</w:t>
            </w:r>
          </w:p>
        </w:tc>
        <w:tc>
          <w:tcPr>
            <w:tcW w:w="8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settling non-Agency securities</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1,800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(1,350)</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43,225</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9,000</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51,225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10,400</w:t>
            </w:r>
          </w:p>
        </w:tc>
        <w:tc>
          <w:tcPr>
            <w:tcW w:w="12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8,050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(5,450)</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(11,287)</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(12,691)</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14,388</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(9,590)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1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7,618</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(7,146)</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18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tcPr>
          <w:p>
            <w:pPr>
              <w:jc w:val="right"/>
              <w:ind w:right="282"/>
              <w:spacing w:after="0"/>
              <w:rPr>
                <w:sz w:val="20"/>
                <w:szCs w:val="20"/>
                <w:color w:val="auto"/>
              </w:rPr>
            </w:pPr>
            <w:r>
              <w:rPr>
                <w:rFonts w:ascii="Times New Roman" w:cs="Times New Roman" w:eastAsia="Times New Roman" w:hAnsi="Times New Roman"/>
                <w:sz w:val="16"/>
                <w:szCs w:val="16"/>
                <w:color w:val="auto"/>
              </w:rPr>
              <w:t>(1,000)</w:t>
            </w:r>
          </w:p>
        </w:tc>
        <w:tc>
          <w:tcPr>
            <w:tcW w:w="1260" w:type="dxa"/>
            <w:vAlign w:val="bottom"/>
            <w:tcBorders>
              <w:bottom w:val="single" w:sz="8" w:color="CCEEFF"/>
            </w:tcBorders>
          </w:tcPr>
          <w:p>
            <w:pPr>
              <w:jc w:val="right"/>
              <w:ind w:right="262"/>
              <w:spacing w:after="0"/>
              <w:rPr>
                <w:sz w:val="20"/>
                <w:szCs w:val="20"/>
                <w:color w:val="auto"/>
              </w:rPr>
            </w:pPr>
            <w:r>
              <w:rPr>
                <w:rFonts w:ascii="Times New Roman" w:cs="Times New Roman" w:eastAsia="Times New Roman" w:hAnsi="Times New Roman"/>
                <w:sz w:val="16"/>
                <w:szCs w:val="16"/>
                <w:color w:val="auto"/>
              </w:rPr>
              <w:t>(6,000)</w:t>
            </w:r>
          </w:p>
        </w:tc>
        <w:tc>
          <w:tcPr>
            <w:tcW w:w="102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5,500</w:t>
            </w:r>
          </w:p>
        </w:tc>
        <w:tc>
          <w:tcPr>
            <w:tcW w:w="4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7"/>
        </w:trPr>
        <w:tc>
          <w:tcPr>
            <w:tcW w:w="38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Additionally, as of December 31, 2023, we had SOFR futures contracts, measured on a two-year swap equivalent basis, of $0.9 billion. For fiscal year 2023, we recognized a loss of $(10) million on our SOFR futures position in gain (loss) on derivative instruments and other securities, net in our consolidated statements of comprehensive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Pledged Assets</w:t>
      </w:r>
    </w:p>
    <w:p>
      <w:pPr>
        <w:spacing w:after="0" w:line="17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33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1" w:name="page72"/>
    <w:bookmarkEnd w:id="71"/>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As of December 31, 2023, our maximum amount at risk with any counterparty related to our repurchase agreements, excluding the Fixed Income Clearing Corporation, was less than 3% of our tangible stockholders' equity (or the excess/shortfall of the value of collateral pledged/received over our repurchase agreement liabilities/reverse repurchase agreement receivables). As of December 31, 2023, less than 7% of our tangible stockholder's equity was at risk with the Fixed Income Clearing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Pledged to Counterparties</w:t>
      </w:r>
    </w:p>
    <w:p>
      <w:pPr>
        <w:spacing w:after="0" w:line="174" w:lineRule="exact"/>
        <w:rPr>
          <w:sz w:val="20"/>
          <w:szCs w:val="20"/>
          <w:color w:val="auto"/>
        </w:rPr>
      </w:pPr>
    </w:p>
    <w:p>
      <w:pPr>
        <w:jc w:val="both"/>
        <w:ind w:firstLine="431"/>
        <w:spacing w:after="0" w:line="277" w:lineRule="auto"/>
        <w:rPr>
          <w:sz w:val="20"/>
          <w:szCs w:val="20"/>
          <w:color w:val="auto"/>
        </w:rPr>
      </w:pPr>
      <w:r>
        <w:rPr>
          <w:rFonts w:ascii="Times New Roman" w:cs="Times New Roman" w:eastAsia="Times New Roman" w:hAnsi="Times New Roman"/>
          <w:sz w:val="17"/>
          <w:szCs w:val="17"/>
          <w:color w:val="auto"/>
        </w:rPr>
        <w:t>The following tables summarize our assets pledged as collateral under our funding, derivative and brokerage and clearing agreements by type, including securities pledged related to securities sold but not yet settled, as of December 31, 2023 and 2022 (in millions):</w:t>
      </w: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30"/>
              <w:spacing w:after="0" w:line="125"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260" w:type="dxa"/>
            <w:vAlign w:val="bottom"/>
          </w:tcPr>
          <w:p>
            <w:pPr>
              <w:jc w:val="center"/>
              <w:ind w:left="2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30"/>
              <w:spacing w:after="0" w:line="125"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260" w:type="dxa"/>
            <w:vAlign w:val="bottom"/>
          </w:tcPr>
          <w:p>
            <w:pPr>
              <w:jc w:val="center"/>
              <w:ind w:left="2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35,765</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36,112</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ind w:left="640" w:hanging="322"/>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 million and $49 million of retained interests in our consolidated VIEs pledged as collateral under repurchase agreements as of December 31, 2023 and 2022, respectively.</w:t>
      </w:r>
    </w:p>
    <w:p>
      <w:pPr>
        <w:spacing w:after="0" w:line="15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securities pledged as collateral under our repurchase agreements by the remaining maturity of our borrowings, including securities pledged related to sold but not yet settled securities, as of December 31, 2023 and 2022 (in millions). For the corresponding borrowings associated with the following amounts and the interest rates thereon, refer to Note 4</w:t>
      </w:r>
      <w:r>
        <w:rPr>
          <w:rFonts w:ascii="Times New Roman" w:cs="Times New Roman" w:eastAsia="Times New Roman" w:hAnsi="Times New Roman"/>
          <w:sz w:val="17"/>
          <w:szCs w:val="17"/>
          <w:i w:val="1"/>
          <w:i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4"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0" w:type="dxa"/>
            <w:vAlign w:val="bottom"/>
          </w:tcPr>
          <w:p>
            <w:pPr>
              <w:spacing w:after="0"/>
              <w:rPr>
                <w:sz w:val="1"/>
                <w:szCs w:val="1"/>
                <w:color w:val="auto"/>
              </w:rPr>
            </w:pPr>
          </w:p>
        </w:tc>
      </w:tr>
      <w:tr>
        <w:trPr>
          <w:trHeight w:val="144"/>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2"/>
                <w:szCs w:val="12"/>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 on</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2"/>
                <w:szCs w:val="12"/>
                <w:color w:val="auto"/>
              </w:rPr>
            </w:pPr>
          </w:p>
        </w:tc>
        <w:tc>
          <w:tcPr>
            <w:tcW w:w="900" w:type="dxa"/>
            <w:vAlign w:val="bottom"/>
          </w:tcPr>
          <w:p>
            <w:pPr>
              <w:jc w:val="center"/>
              <w:ind w:right="70"/>
              <w:spacing w:after="0" w:line="144"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19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9"/>
                <w:szCs w:val="9"/>
                <w:b w:val="1"/>
                <w:bCs w:val="1"/>
                <w:color w:val="auto"/>
              </w:rPr>
              <w:t>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40" w:type="dxa"/>
            <w:vAlign w:val="bottom"/>
          </w:tcPr>
          <w:p>
            <w:pPr>
              <w:spacing w:after="0"/>
              <w:rPr>
                <w:sz w:val="16"/>
                <w:szCs w:val="16"/>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95"/>
        </w:trPr>
        <w:tc>
          <w:tcPr>
            <w:tcW w:w="3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27,525</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9"/>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1"/>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2" w:name="page73"/>
    <w:bookmarkEnd w:id="72"/>
    <w:p>
      <w:pPr>
        <w:ind w:left="640" w:hanging="322"/>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 million and $49 million of retained interests in our consolidated VIEs pledged as collateral under repurchase agreements as of December 31, 2023 and 2022, respectively.</w:t>
      </w:r>
    </w:p>
    <w:p>
      <w:pPr>
        <w:spacing w:after="0" w:line="21"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$397 million of repledged U.S. Treasury securities received as collateral from counterparties as of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Pledged from Counterparties</w:t>
      </w:r>
    </w:p>
    <w:p>
      <w:pPr>
        <w:spacing w:after="0" w:line="174" w:lineRule="exact"/>
        <w:rPr>
          <w:sz w:val="20"/>
          <w:szCs w:val="20"/>
          <w:color w:val="auto"/>
        </w:rPr>
      </w:pPr>
    </w:p>
    <w:p>
      <w:pPr>
        <w:jc w:val="both"/>
        <w:ind w:firstLine="392"/>
        <w:spacing w:after="0" w:line="277" w:lineRule="auto"/>
        <w:rPr>
          <w:sz w:val="20"/>
          <w:szCs w:val="20"/>
          <w:color w:val="auto"/>
        </w:rPr>
      </w:pPr>
      <w:r>
        <w:rPr>
          <w:rFonts w:ascii="Times New Roman" w:cs="Times New Roman" w:eastAsia="Times New Roman" w:hAnsi="Times New Roman"/>
          <w:sz w:val="17"/>
          <w:szCs w:val="17"/>
          <w:color w:val="auto"/>
        </w:rPr>
        <w:t>As of December 31, 2023 and 2022,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0"/>
                <w:szCs w:val="10"/>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Derivative</w:t>
            </w:r>
          </w:p>
        </w:tc>
        <w:tc>
          <w:tcPr>
            <w:tcW w:w="120" w:type="dxa"/>
            <w:vAlign w:val="bottom"/>
          </w:tcPr>
          <w:p>
            <w:pPr>
              <w:spacing w:after="0"/>
              <w:rPr>
                <w:sz w:val="10"/>
                <w:szCs w:val="10"/>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12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21"/>
        </w:trPr>
        <w:tc>
          <w:tcPr>
            <w:tcW w:w="2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Offsetting Assets and Liabilities</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2023 and 2022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750"/>
              <w:spacing w:after="0" w:line="133"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4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3"/>
                <w:szCs w:val="3"/>
                <w:color w:val="auto"/>
              </w:rPr>
            </w:pP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of Recognized</w:t>
            </w:r>
          </w:p>
        </w:tc>
        <w:tc>
          <w:tcPr>
            <w:tcW w:w="8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Sheets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3" w:name="page74"/>
    <w:bookmarkEnd w:id="73"/>
    <w:tbl>
      <w:tblPr>
        <w:tblLayout w:type="fixed"/>
        <w:tblInd w:w="6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9"/>
          </w:tcPr>
          <w:p>
            <w:pPr>
              <w:ind w:left="90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574"/>
              <w:spacing w:after="0" w:line="142" w:lineRule="exact"/>
              <w:rPr>
                <w:sz w:val="20"/>
                <w:szCs w:val="20"/>
                <w:color w:val="auto"/>
              </w:rPr>
            </w:pPr>
            <w:r>
              <w:rPr>
                <w:rFonts w:ascii="Times New Roman" w:cs="Times New Roman" w:eastAsia="Times New Roman" w:hAnsi="Times New Roman"/>
                <w:sz w:val="14"/>
                <w:szCs w:val="14"/>
                <w:b w:val="1"/>
                <w:bCs w:val="1"/>
                <w:color w:val="auto"/>
              </w:rPr>
              <w:t>in the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20" w:type="dxa"/>
            <w:vAlign w:val="bottom"/>
          </w:tcPr>
          <w:p>
            <w:pPr>
              <w:spacing w:after="0"/>
              <w:rPr>
                <w:sz w:val="13"/>
                <w:szCs w:val="13"/>
                <w:color w:val="auto"/>
              </w:rPr>
            </w:pPr>
          </w:p>
        </w:tc>
        <w:tc>
          <w:tcPr>
            <w:tcW w:w="2300" w:type="dxa"/>
            <w:vAlign w:val="bottom"/>
            <w:gridSpan w:val="5"/>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of Recognized</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120" w:type="dxa"/>
            <w:vAlign w:val="bottom"/>
          </w:tcPr>
          <w:p>
            <w:pPr>
              <w:spacing w:after="0"/>
              <w:rPr>
                <w:sz w:val="15"/>
                <w:szCs w:val="15"/>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tcPr>
          <w:p>
            <w:pPr>
              <w:jc w:val="center"/>
              <w:ind w:right="180"/>
              <w:spacing w:after="0" w:line="53" w:lineRule="exact"/>
              <w:rPr>
                <w:sz w:val="20"/>
                <w:szCs w:val="20"/>
                <w:color w:val="auto"/>
              </w:rPr>
            </w:pPr>
            <w:r>
              <w:rPr>
                <w:rFonts w:ascii="Times New Roman" w:cs="Times New Roman" w:eastAsia="Times New Roman" w:hAnsi="Times New Roman"/>
                <w:sz w:val="6"/>
                <w:szCs w:val="6"/>
                <w:b w:val="1"/>
                <w:bCs w:val="1"/>
                <w:color w:val="auto"/>
              </w:rPr>
              <w:t>Liabilities</w:t>
            </w:r>
          </w:p>
        </w:tc>
        <w:tc>
          <w:tcPr>
            <w:tcW w:w="120" w:type="dxa"/>
            <w:vAlign w:val="bottom"/>
          </w:tcPr>
          <w:p>
            <w:pPr>
              <w:spacing w:after="0"/>
              <w:rPr>
                <w:sz w:val="4"/>
                <w:szCs w:val="4"/>
                <w:color w:val="auto"/>
              </w:rPr>
            </w:pPr>
          </w:p>
        </w:tc>
        <w:tc>
          <w:tcPr>
            <w:tcW w:w="1200" w:type="dxa"/>
            <w:vAlign w:val="bottom"/>
            <w:gridSpan w:val="2"/>
          </w:tcPr>
          <w:p>
            <w:pPr>
              <w:jc w:val="center"/>
              <w:ind w:right="24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120" w:type="dxa"/>
            <w:vAlign w:val="bottom"/>
          </w:tcPr>
          <w:p>
            <w:pPr>
              <w:spacing w:after="0"/>
              <w:rPr>
                <w:sz w:val="4"/>
                <w:szCs w:val="4"/>
                <w:color w:val="auto"/>
              </w:rPr>
            </w:pPr>
          </w:p>
        </w:tc>
        <w:tc>
          <w:tcPr>
            <w:tcW w:w="106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Instruments</w:t>
            </w:r>
          </w:p>
        </w:tc>
        <w:tc>
          <w:tcPr>
            <w:tcW w:w="360" w:type="dxa"/>
            <w:vAlign w:val="bottom"/>
          </w:tcPr>
          <w:p>
            <w:pPr>
              <w:spacing w:after="0"/>
              <w:rPr>
                <w:sz w:val="4"/>
                <w:szCs w:val="4"/>
                <w:color w:val="auto"/>
              </w:rPr>
            </w:pPr>
          </w:p>
        </w:tc>
        <w:tc>
          <w:tcPr>
            <w:tcW w:w="780" w:type="dxa"/>
            <w:vAlign w:val="bottom"/>
            <w:vMerge w:val="restart"/>
          </w:tcPr>
          <w:p>
            <w:pPr>
              <w:jc w:val="right"/>
              <w:ind w:right="494"/>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3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36,262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0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right="40" w:hanging="322"/>
        <w:spacing w:after="0" w:line="242"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40" w:right="140" w:hanging="322"/>
        <w:spacing w:after="0" w:line="266"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Fair Value Measurements</w:t>
      </w:r>
    </w:p>
    <w:p>
      <w:pPr>
        <w:spacing w:after="0" w:line="17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following table provides a summary of our assets and liabilities that are measured at fair value on a recurring basis, as of December 31, 2023 and 2022, based on their categorization within the valuation hierarchy (in millions). There were no transfers between valuation hierarchy levels during the periods presented in our accompanying consolidated statements of comprehensive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53,673</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466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9"/>
                <w:szCs w:val="9"/>
                <w:color w:val="auto"/>
              </w:rPr>
              <w:t>1</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68"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2022, the net fair value of our interest rate swaps excluding the recognition of variation margin settlements as a direct reduction of carrying value was a net asset (liability) of $2.9 billion and $4.5 billion, respectively, based on "Level 2" inputs. As of December 31, 2023 and 2022, the net fair value of our credit default swaps excluding the recognition of variation margin settlements was $(6) million and $(2) million, respectively, based on "Level 2" inputs. See Notes 2 and 5 for additional details.</w:t>
      </w:r>
    </w:p>
    <w:p>
      <w:pPr>
        <w:spacing w:after="0" w:line="275" w:lineRule="exact"/>
        <w:rPr>
          <w:sz w:val="20"/>
          <w:szCs w:val="20"/>
          <w:color w:val="auto"/>
        </w:rPr>
      </w:pPr>
    </w:p>
    <w:p>
      <w:pPr>
        <w:ind w:firstLine="431"/>
        <w:spacing w:after="0" w:line="295" w:lineRule="auto"/>
        <w:rPr>
          <w:sz w:val="20"/>
          <w:szCs w:val="20"/>
          <w:color w:val="auto"/>
        </w:rPr>
      </w:pPr>
      <w:r>
        <w:rPr>
          <w:rFonts w:ascii="Times New Roman" w:cs="Times New Roman" w:eastAsia="Times New Roman" w:hAnsi="Times New Roman"/>
          <w:sz w:val="17"/>
          <w:szCs w:val="17"/>
          <w:color w:val="auto"/>
        </w:rPr>
        <w:t>Excluded from the table above are financial instruments reported at cost and other mortgage credit investments reported under the equity method of accounting in our consolidated financial statements. As of December 31, 2023 and 2022, the fair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4" w:name="page75"/>
    <w:bookmarkEnd w:id="74"/>
    <w:p>
      <w:pPr>
        <w:jc w:val="both"/>
        <w:spacing w:after="0" w:line="269" w:lineRule="auto"/>
        <w:rPr>
          <w:sz w:val="20"/>
          <w:szCs w:val="20"/>
          <w:color w:val="auto"/>
        </w:rPr>
      </w:pPr>
      <w:r>
        <w:rPr>
          <w:rFonts w:ascii="Times New Roman" w:cs="Times New Roman" w:eastAsia="Times New Roman" w:hAnsi="Times New Roman"/>
          <w:sz w:val="17"/>
          <w:szCs w:val="17"/>
          <w:color w:val="auto"/>
        </w:rPr>
        <w:t>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2023 and 2022, the carrying value of other mortgage credit investments reported under the equity method of accounting was $44 million and $25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Net Income (Loss) Per Common Share</w:t>
      </w:r>
    </w:p>
    <w:p>
      <w:pPr>
        <w:spacing w:after="0" w:line="25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3"/>
        </w:trPr>
        <w:tc>
          <w:tcPr>
            <w:tcW w:w="7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w:t>
            </w: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1"/>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For fiscal year 2022 1.1 million of potentially dilutive unvested time and performance based RSUs outstanding were excluded from the computation of diluted net income (loss) per common share because to do so would have been anti-dilutive for the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authorized to designate and issue up to 10.0 million shares of preferred stock in one or more classes or series. As of December 31, 2023 and 2022,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December 31, 2023 and 2022,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1" w:lineRule="exact"/>
        <w:rPr>
          <w:sz w:val="20"/>
          <w:szCs w:val="20"/>
          <w:color w:val="auto"/>
        </w:rPr>
      </w:pPr>
    </w:p>
    <w:p>
      <w:pPr>
        <w:jc w:val="both"/>
        <w:ind w:firstLine="392"/>
        <w:spacing w:after="0" w:line="267" w:lineRule="auto"/>
        <w:rPr>
          <w:sz w:val="20"/>
          <w:szCs w:val="20"/>
          <w:color w:val="auto"/>
        </w:rPr>
      </w:pPr>
      <w:r>
        <w:rPr>
          <w:rFonts w:ascii="Times New Roman" w:cs="Times New Roman" w:eastAsia="Times New Roman" w:hAnsi="Times New Roman"/>
          <w:sz w:val="17"/>
          <w:szCs w:val="17"/>
          <w:color w:val="auto"/>
        </w:rPr>
        <w:t>The following table includes a summary of preferred stock depositary shares issued and outstanding as of December 31, 2023 (dollars and shares in millions):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5" w:name="page76"/>
    <w:bookmarkEnd w:id="75"/>
    <w:p>
      <w:pPr>
        <w:jc w:val="center"/>
        <w:ind w:right="1480"/>
        <w:spacing w:after="0"/>
        <w:rPr>
          <w:sz w:val="20"/>
          <w:szCs w:val="20"/>
          <w:color w:val="auto"/>
        </w:rPr>
      </w:pPr>
      <w:r>
        <w:rPr>
          <w:rFonts w:ascii="Times New Roman" w:cs="Times New Roman" w:eastAsia="Times New Roman" w:hAnsi="Times New Roman"/>
          <w:sz w:val="13"/>
          <w:szCs w:val="13"/>
          <w:b w:val="1"/>
          <w:bCs w:val="1"/>
          <w:color w:val="auto"/>
        </w:rPr>
        <w:t>Depositary</w:t>
      </w:r>
    </w:p>
    <w:p>
      <w:pPr>
        <w:jc w:val="center"/>
        <w:ind w:right="1480"/>
        <w:spacing w:after="0" w:line="230" w:lineRule="auto"/>
        <w:rPr>
          <w:sz w:val="20"/>
          <w:szCs w:val="20"/>
          <w:color w:val="auto"/>
        </w:rPr>
      </w:pPr>
      <w:r>
        <w:rPr>
          <w:rFonts w:ascii="Times New Roman" w:cs="Times New Roman" w:eastAsia="Times New Roman" w:hAnsi="Times New Roman"/>
          <w:sz w:val="13"/>
          <w:szCs w:val="13"/>
          <w:b w:val="1"/>
          <w:bCs w:val="1"/>
          <w:color w:val="auto"/>
        </w:rPr>
        <w:t>Shares</w:t>
      </w:r>
    </w:p>
    <w:tbl>
      <w:tblPr>
        <w:tblLayout w:type="fixed"/>
        <w:tblInd w:w="900" w:type="dxa"/>
        <w:tblCellMar>
          <w:top w:w="0" w:type="dxa"/>
          <w:left w:w="0" w:type="dxa"/>
          <w:bottom w:w="0" w:type="dxa"/>
          <w:right w:w="0" w:type="dxa"/>
        </w:tblCellMar>
      </w:tblPr>
      <w:tr>
        <w:trPr>
          <w:trHeight w:val="121"/>
        </w:trPr>
        <w:tc>
          <w:tcPr>
            <w:tcW w:w="1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Cumulative Redeemable</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Issued</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900" w:type="dxa"/>
            <w:vAlign w:val="bottom"/>
          </w:tcPr>
          <w:p>
            <w:pPr>
              <w:jc w:val="center"/>
              <w:ind w:right="53"/>
              <w:spacing w:after="0" w:line="121"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16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Per Annum</w:t>
            </w:r>
          </w:p>
        </w:tc>
        <w:tc>
          <w:tcPr>
            <w:tcW w:w="15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First Optional</w:t>
            </w:r>
          </w:p>
        </w:tc>
        <w:tc>
          <w:tcPr>
            <w:tcW w:w="0" w:type="dxa"/>
            <w:vAlign w:val="bottom"/>
          </w:tcPr>
          <w:p>
            <w:pPr>
              <w:spacing w:after="0"/>
              <w:rPr>
                <w:sz w:val="1"/>
                <w:szCs w:val="1"/>
                <w:color w:val="auto"/>
              </w:rPr>
            </w:pPr>
          </w:p>
        </w:tc>
      </w:tr>
      <w:tr>
        <w:trPr>
          <w:trHeight w:val="131"/>
        </w:trPr>
        <w:tc>
          <w:tcPr>
            <w:tcW w:w="188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Redemption Date /</w:t>
            </w:r>
          </w:p>
        </w:tc>
        <w:tc>
          <w:tcPr>
            <w:tcW w:w="0" w:type="dxa"/>
            <w:vAlign w:val="bottom"/>
          </w:tcPr>
          <w:p>
            <w:pPr>
              <w:spacing w:after="0"/>
              <w:rPr>
                <w:sz w:val="1"/>
                <w:szCs w:val="1"/>
                <w:color w:val="auto"/>
              </w:rPr>
            </w:pPr>
          </w:p>
        </w:tc>
      </w:tr>
      <w:tr>
        <w:trPr>
          <w:trHeight w:val="196"/>
        </w:trPr>
        <w:tc>
          <w:tcPr>
            <w:tcW w:w="188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 xml:space="preserve">Preferred Stock </w:t>
            </w:r>
            <w:r>
              <w:rPr>
                <w:rFonts w:ascii="Times New Roman" w:cs="Times New Roman" w:eastAsia="Times New Roman" w:hAnsi="Times New Roman"/>
                <w:sz w:val="17"/>
                <w:szCs w:val="17"/>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7"/>
                <w:szCs w:val="17"/>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Preference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 xml:space="preserve">Rate </w:t>
            </w:r>
            <w:r>
              <w:rPr>
                <w:rFonts w:ascii="Times New Roman" w:cs="Times New Roman" w:eastAsia="Times New Roman" w:hAnsi="Times New Roman"/>
                <w:sz w:val="17"/>
                <w:szCs w:val="17"/>
                <w:b w:val="1"/>
                <w:bCs w:val="1"/>
                <w:color w:val="auto"/>
                <w:w w:val="92"/>
                <w:vertAlign w:val="superscript"/>
              </w:rPr>
              <w:t>2,3</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Conversion Date </w:t>
            </w:r>
            <w:r>
              <w:rPr>
                <w:rFonts w:ascii="Times New Roman" w:cs="Times New Roman" w:eastAsia="Times New Roman" w:hAnsi="Times New Roman"/>
                <w:sz w:val="17"/>
                <w:szCs w:val="17"/>
                <w:b w:val="1"/>
                <w:bCs w:val="1"/>
                <w:color w:val="auto"/>
                <w:vertAlign w:val="superscript"/>
              </w:rPr>
              <w:t>3,4</w:t>
            </w:r>
          </w:p>
        </w:tc>
        <w:tc>
          <w:tcPr>
            <w:tcW w:w="0" w:type="dxa"/>
            <w:vAlign w:val="bottom"/>
          </w:tcPr>
          <w:p>
            <w:pPr>
              <w:spacing w:after="0"/>
              <w:rPr>
                <w:sz w:val="1"/>
                <w:szCs w:val="1"/>
                <w:color w:val="auto"/>
              </w:rPr>
            </w:pPr>
          </w:p>
        </w:tc>
      </w:tr>
      <w:tr>
        <w:trPr>
          <w:trHeight w:val="176"/>
        </w:trPr>
        <w:tc>
          <w:tcPr>
            <w:tcW w:w="1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C</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August 22, 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4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10.775%</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15, 2022</w:t>
            </w:r>
          </w:p>
        </w:tc>
        <w:tc>
          <w:tcPr>
            <w:tcW w:w="0" w:type="dxa"/>
            <w:vAlign w:val="bottom"/>
          </w:tcPr>
          <w:p>
            <w:pPr>
              <w:spacing w:after="0"/>
              <w:rPr>
                <w:sz w:val="1"/>
                <w:szCs w:val="1"/>
                <w:color w:val="auto"/>
              </w:rPr>
            </w:pPr>
          </w:p>
        </w:tc>
      </w:tr>
      <w:tr>
        <w:trPr>
          <w:trHeight w:val="187"/>
        </w:trPr>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D</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March 6,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6.875%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15, 2024</w:t>
            </w:r>
          </w:p>
        </w:tc>
        <w:tc>
          <w:tcPr>
            <w:tcW w:w="0" w:type="dxa"/>
            <w:vAlign w:val="bottom"/>
          </w:tcPr>
          <w:p>
            <w:pPr>
              <w:spacing w:after="0"/>
              <w:rPr>
                <w:sz w:val="1"/>
                <w:szCs w:val="1"/>
                <w:color w:val="auto"/>
              </w:rPr>
            </w:pPr>
          </w:p>
        </w:tc>
      </w:tr>
      <w:tr>
        <w:trPr>
          <w:trHeight w:val="179"/>
        </w:trPr>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October 3, 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4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w w:val="99"/>
              </w:rPr>
              <w:t>6.500%</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15, 2024</w:t>
            </w:r>
          </w:p>
        </w:tc>
        <w:tc>
          <w:tcPr>
            <w:tcW w:w="0" w:type="dxa"/>
            <w:vAlign w:val="bottom"/>
          </w:tcPr>
          <w:p>
            <w:pPr>
              <w:spacing w:after="0"/>
              <w:rPr>
                <w:sz w:val="1"/>
                <w:szCs w:val="1"/>
                <w:color w:val="auto"/>
              </w:rPr>
            </w:pPr>
          </w:p>
        </w:tc>
      </w:tr>
      <w:tr>
        <w:trPr>
          <w:trHeight w:val="187"/>
        </w:trPr>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F</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February 11, 2020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6.125%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15, 2025</w:t>
            </w:r>
          </w:p>
        </w:tc>
        <w:tc>
          <w:tcPr>
            <w:tcW w:w="0" w:type="dxa"/>
            <w:vAlign w:val="bottom"/>
          </w:tcPr>
          <w:p>
            <w:pPr>
              <w:spacing w:after="0"/>
              <w:rPr>
                <w:sz w:val="1"/>
                <w:szCs w:val="1"/>
                <w:color w:val="auto"/>
              </w:rPr>
            </w:pPr>
          </w:p>
        </w:tc>
      </w:tr>
      <w:tr>
        <w:trPr>
          <w:trHeight w:val="179"/>
        </w:trPr>
        <w:tc>
          <w:tcPr>
            <w:tcW w:w="1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Fixed-Rate Reset:</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G</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September 14,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7.750%</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 15, 2027</w:t>
            </w:r>
          </w:p>
        </w:tc>
        <w:tc>
          <w:tcPr>
            <w:tcW w:w="0" w:type="dxa"/>
            <w:vAlign w:val="bottom"/>
          </w:tcPr>
          <w:p>
            <w:pPr>
              <w:spacing w:after="0"/>
              <w:rPr>
                <w:sz w:val="1"/>
                <w:szCs w:val="1"/>
                <w:color w:val="auto"/>
              </w:rPr>
            </w:pPr>
          </w:p>
        </w:tc>
      </w:tr>
      <w:tr>
        <w:trPr>
          <w:trHeight w:val="172"/>
        </w:trPr>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jc w:val="both"/>
        <w:ind w:left="640" w:hanging="322"/>
        <w:spacing w:after="0" w:line="25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40" w:hanging="322"/>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per annum dividend rate represents the dividend rate in effect as of December 31, 2023.</w:t>
      </w:r>
    </w:p>
    <w:p>
      <w:pPr>
        <w:jc w:val="both"/>
        <w:ind w:left="640" w:hanging="322"/>
        <w:spacing w:after="0" w:line="249"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dividend accrues at a rate equal to the 3-Month CME Term SOFR plus 0.26161%, plus a spread of 5.111%, per annum, resetting quarterly in accordance with the certificate of designations for such series and the Adjustable Interest Rate (LIBOR) Act of 2021 (the “LIBOR Act”). At the conclusion of the fixed rate period (the conversion date) for each of the Series D, E, and F Preferred Stock, the dividend for such series will accrue at a rate equal to the 3-Month CME Term SOFR plus 0.26161%, plus a spread of 4.332%,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ind w:left="640" w:hanging="322"/>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 Program</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the sales agreements during fiscal years 2023 and 2022 (in millions, except for per share data). During fiscal year 2021 we did not issue shares under this program. As of December 31, 2023, shares of our common stock with an aggregate offering price of $0.9 billion remained authorized for issuance under this program through December 31, 2024.</w:t>
      </w:r>
    </w:p>
    <w:p>
      <w:pPr>
        <w:spacing w:after="0" w:line="22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ATM Offerings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Average Price Received</w:t>
            </w:r>
          </w:p>
        </w:tc>
        <w:tc>
          <w:tcPr>
            <w:tcW w:w="1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0"/>
        </w:trPr>
        <w:tc>
          <w:tcPr>
            <w:tcW w:w="2840" w:type="dxa"/>
            <w:vAlign w:val="bottom"/>
            <w:gridSpan w:val="2"/>
            <w:vMerge w:val="continue"/>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Per Share, Net</w:t>
            </w: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2023</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$9.14</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82"/>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Year 2022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$9.39</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Repurchase Program</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The following table includes a summary of shares of our common stock repurchased during fiscal years 2022 and 2021 (in millions, except for per share data). During fiscal year 2023 we did not repurchase shares under this program. As of December 31, 2023, shares of our common stock with an aggregate repurchase price of $1 billion remained authorized for repurchase through December 31, 2024.</w:t>
      </w:r>
    </w:p>
    <w:p>
      <w:pPr>
        <w:spacing w:after="0" w:line="13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Repurchases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Average Price Paid Per</w:t>
            </w: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120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Net Cost</w:t>
            </w: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16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Share </w:t>
            </w:r>
            <w:r>
              <w:rPr>
                <w:rFonts w:ascii="Times New Roman" w:cs="Times New Roman" w:eastAsia="Times New Roman" w:hAnsi="Times New Roman"/>
                <w:sz w:val="18"/>
                <w:szCs w:val="18"/>
                <w:b w:val="1"/>
                <w:bCs w:val="1"/>
                <w:color w:val="auto"/>
                <w:w w:val="98"/>
                <w:vertAlign w:val="superscript"/>
              </w:rPr>
              <w:t>1</w:t>
            </w:r>
          </w:p>
        </w:tc>
        <w:tc>
          <w:tcPr>
            <w:tcW w:w="16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2022</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Fiscal Year 2021 </w:t>
            </w:r>
            <w:r>
              <w:rPr>
                <w:rFonts w:ascii="Times New Roman" w:cs="Times New Roman" w:eastAsia="Times New Roman" w:hAnsi="Times New Roman"/>
                <w:sz w:val="9"/>
                <w:szCs w:val="9"/>
                <w:color w:val="auto"/>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$15.96</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transaction costs.</w:t>
      </w:r>
    </w:p>
    <w:p>
      <w:pPr>
        <w:ind w:left="640" w:hanging="322"/>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December 2020 share repurchases that settled in January 2021 totaling $24 million, or 1.6 million shares.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Stockholders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dividends declared during fiscal years 2023, 2022 and 2021 (in millions, except per share amounts):</w:t>
      </w:r>
    </w:p>
    <w:p>
      <w:pPr>
        <w:spacing w:after="0" w:line="8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Dividends Declared</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Dividends Declared Per</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2"/>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C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2.660390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1.886880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D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1.718750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1.718750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1.718750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E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F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G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1.937520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0.651220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775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r>
        <w:trPr>
          <w:trHeight w:val="204"/>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757</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per share amounts are per depositary share.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23" w:right="1440" w:bottom="1440" w:gutter="0" w:footer="0" w:header="0"/>
        </w:sectPr>
      </w:pPr>
    </w:p>
    <w:bookmarkStart w:id="77" w:name="page78"/>
    <w:bookmarkEnd w:id="77"/>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tax characterization of distributions to stockholders for fiscal years 2023, 2022 and 2021. Distributions included in the table below are based on the fiscal tax year for which the distribution is attributed to for stockholders in accordance with rules promulgated under the Internal Revenue Code:</w:t>
      </w:r>
    </w:p>
    <w:p>
      <w:pPr>
        <w:spacing w:after="0" w:line="75"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 xml:space="preserve">Tax Characterization </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6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Tax Year</w:t>
            </w:r>
          </w:p>
        </w:tc>
        <w:tc>
          <w:tcPr>
            <w:tcW w:w="2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xml:space="preserve">Distribution Rate </w:t>
            </w:r>
            <w:r>
              <w:rPr>
                <w:rFonts w:ascii="Times New Roman" w:cs="Times New Roman" w:eastAsia="Times New Roman" w:hAnsi="Times New Roman"/>
                <w:sz w:val="18"/>
                <w:szCs w:val="18"/>
                <w:b w:val="1"/>
                <w:bCs w:val="1"/>
                <w:color w:val="auto"/>
                <w:vertAlign w:val="superscript"/>
              </w:rPr>
              <w:t>1</w:t>
            </w:r>
          </w:p>
        </w:tc>
        <w:tc>
          <w:tcPr>
            <w:tcW w:w="126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Ordinary Dividend</w:t>
            </w:r>
          </w:p>
        </w:tc>
        <w:tc>
          <w:tcPr>
            <w:tcW w:w="260" w:type="dxa"/>
            <w:vAlign w:val="bottom"/>
          </w:tcPr>
          <w:p>
            <w:pPr>
              <w:spacing w:after="0"/>
              <w:rPr>
                <w:sz w:val="10"/>
                <w:szCs w:val="10"/>
                <w:color w:val="auto"/>
              </w:rPr>
            </w:pPr>
          </w:p>
        </w:tc>
        <w:tc>
          <w:tcPr>
            <w:tcW w:w="102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260" w:type="dxa"/>
            <w:vAlign w:val="bottom"/>
          </w:tcPr>
          <w:p>
            <w:pPr>
              <w:spacing w:after="0"/>
              <w:rPr>
                <w:sz w:val="10"/>
                <w:szCs w:val="10"/>
                <w:color w:val="auto"/>
              </w:rPr>
            </w:pPr>
          </w:p>
        </w:tc>
        <w:tc>
          <w:tcPr>
            <w:tcW w:w="1160" w:type="dxa"/>
            <w:vAlign w:val="bottom"/>
          </w:tcPr>
          <w:p>
            <w:pPr>
              <w:jc w:val="right"/>
              <w:ind w:right="242"/>
              <w:spacing w:after="0" w:line="124" w:lineRule="exact"/>
              <w:rPr>
                <w:sz w:val="20"/>
                <w:szCs w:val="20"/>
                <w:color w:val="auto"/>
              </w:rPr>
            </w:pPr>
            <w:r>
              <w:rPr>
                <w:rFonts w:ascii="Times New Roman" w:cs="Times New Roman" w:eastAsia="Times New Roman" w:hAnsi="Times New Roman"/>
                <w:sz w:val="14"/>
                <w:szCs w:val="14"/>
                <w:b w:val="1"/>
                <w:bCs w:val="1"/>
                <w:color w:val="auto"/>
              </w:rPr>
              <w:t>Capital Gain</w:t>
            </w:r>
          </w:p>
        </w:tc>
        <w:tc>
          <w:tcPr>
            <w:tcW w:w="160" w:type="dxa"/>
            <w:vAlign w:val="bottom"/>
          </w:tcPr>
          <w:p>
            <w:pPr>
              <w:spacing w:after="0"/>
              <w:rPr>
                <w:sz w:val="10"/>
                <w:szCs w:val="10"/>
                <w:color w:val="auto"/>
              </w:rPr>
            </w:pPr>
          </w:p>
        </w:tc>
        <w:tc>
          <w:tcPr>
            <w:tcW w:w="1100" w:type="dxa"/>
            <w:vAlign w:val="bottom"/>
          </w:tcPr>
          <w:p>
            <w:pPr>
              <w:jc w:val="right"/>
              <w:ind w:right="143"/>
              <w:spacing w:after="0" w:line="124" w:lineRule="exact"/>
              <w:rPr>
                <w:sz w:val="20"/>
                <w:szCs w:val="20"/>
                <w:color w:val="auto"/>
              </w:rPr>
            </w:pPr>
            <w:r>
              <w:rPr>
                <w:rFonts w:ascii="Times New Roman" w:cs="Times New Roman" w:eastAsia="Times New Roman" w:hAnsi="Times New Roman"/>
                <w:sz w:val="14"/>
                <w:szCs w:val="14"/>
                <w:b w:val="1"/>
                <w:bCs w:val="1"/>
                <w:color w:val="auto"/>
              </w:rPr>
              <w:t>Non-Dividend</w:t>
            </w:r>
          </w:p>
        </w:tc>
        <w:tc>
          <w:tcPr>
            <w:tcW w:w="22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Section 19</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C Preferred Stock</w:t>
            </w: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2.546340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2.546340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1.750000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1.750000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1.750000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0.341718</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0.095782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1.312500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D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1.718750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1.718750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1.718750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1.718750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1.718750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0.335616</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0.094072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1.289063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E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1.625000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1.625000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0.317310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0.088940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1.218750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F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1.531250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1.531250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0.299004</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0.083809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1.148438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G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2.104360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2.104360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1.560000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1.560000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1.440000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0.669420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0.770580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4"/>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2021</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1.320000</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0.095930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0.026889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1.197181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per share amounts are per depositary share.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 (Loss)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changes to accumulated OCI for fiscal years 2023, 2022 and 2021 (in millions):</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202"/>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34"/>
        </w:trPr>
        <w:tc>
          <w:tcPr>
            <w:tcW w:w="72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72" w:lineRule="exact"/>
        <w:rPr>
          <w:sz w:val="20"/>
          <w:szCs w:val="20"/>
          <w:color w:val="auto"/>
        </w:rPr>
      </w:pPr>
    </w:p>
    <w:p>
      <w:pPr>
        <w:jc w:val="both"/>
        <w:ind w:right="100" w:firstLine="392"/>
        <w:spacing w:after="0" w:line="269" w:lineRule="auto"/>
        <w:rPr>
          <w:sz w:val="20"/>
          <w:szCs w:val="20"/>
          <w:color w:val="auto"/>
        </w:rPr>
      </w:pPr>
      <w:r>
        <w:rPr>
          <w:rFonts w:ascii="Times New Roman" w:cs="Times New Roman" w:eastAsia="Times New Roman" w:hAnsi="Times New Roman"/>
          <w:sz w:val="17"/>
          <w:szCs w:val="17"/>
          <w:color w:val="auto"/>
        </w:rPr>
        <w:t>During fiscal years 2023, 2022 and 2021, we granted RSU awards to employees with a grant date fair value of $11 million, $8 million and $8 million, respectively, which generally vest annually over a three-year period, and we granted RSU awards to independent directors of $1.2 million, $1.0 million and $0.9 million, respectively, which vest at the end of a one-year period from grant date. We also granted PSU awards to employees which generally vest at the end of a three-year</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023" w:right="2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7"/>
          <w:szCs w:val="17"/>
          <w:color w:val="auto"/>
        </w:rPr>
        <w:t>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2023, 2022 and 2021 as of the grant date was $10 million, $11 million and $10 million, respectively, assuming the target levels of performance are achieved. The actual value of the awards will vary within a range of 0% to 200% of the target based on the actual performance achieved relative to the targets.</w:t>
      </w:r>
    </w:p>
    <w:p>
      <w:pPr>
        <w:spacing w:after="0" w:line="11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2016 Equity Plan, as amended, authorizes a total of 40 million shares of our common stock that may be used to satisfy awards granted under the Plan, subject to the share counting rules set forth within the Plan. As of December 31, 2023, 28.7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w:t>
      </w:r>
    </w:p>
    <w:p>
      <w:pPr>
        <w:spacing w:after="0" w:line="1" w:lineRule="exact"/>
        <w:rPr>
          <w:sz w:val="20"/>
          <w:szCs w:val="20"/>
          <w:color w:val="auto"/>
        </w:rPr>
      </w:pPr>
    </w:p>
    <w:p>
      <w:pPr>
        <w:ind w:firstLine="5"/>
        <w:spacing w:after="0" w:line="273"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dividend equivalent units on outstanding awards through December 31, 2023. Unvested PSU awards assume the maximum potential payout under the terms of the award. As of December 31, 2023, 1.7 million of deferred awards, including accrued dividend equivalents, were outstanding.</w:t>
      </w:r>
    </w:p>
    <w:p>
      <w:pPr>
        <w:spacing w:after="0" w:line="11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During fiscal years 2023, 2022 and 2021, we recognized total compensation expense of $15.0 million, $11.6 million and $21.4 million, respectively, for stock-based awards to employees, and we recognized other operating expense of $1.1 million, $1.0 million and $0.8 million, respectively, for stock-based awards to independent directors. Compensation expense for PSU awards is based on our estimate of the probability that the performance criteria for PSU awards will be achieved and, if applicable, includes a cumulative effect adjustment for changes in our estimate from the prior year period. As of December 31, 2023, we estimate that 66.4% of target for PSU awards granted in fiscal year 2021 will vest based on actual performance achieved through the end of the performance measurement period and that 50% and 100% of target will vest for PSU awards granted in fiscal years 2022 and 2023, respectively, based on our estimate of the probability that the performance criteria for these awards will be achieved. As of December 31, 2023, we had $17 million of unrecognized expense related to stock-based awards that we expect to recognize over a weighted average period of 1.8 years.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summarizes awards under our 2016 Equity Plan for fiscal years 2023,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7"/>
        </w:trPr>
        <w:tc>
          <w:tcPr>
            <w:tcW w:w="7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RSU Awards</w:t>
            </w: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RSU Awards</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140" w:type="dxa"/>
            <w:vAlign w:val="bottom"/>
          </w:tcPr>
          <w:p>
            <w:pPr>
              <w:spacing w:after="0"/>
              <w:rPr>
                <w:sz w:val="13"/>
                <w:szCs w:val="13"/>
                <w:color w:val="auto"/>
              </w:rPr>
            </w:pPr>
          </w:p>
        </w:tc>
        <w:tc>
          <w:tcPr>
            <w:tcW w:w="116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w w:val="98"/>
              </w:rPr>
              <w:t>Vest Date Fair</w:t>
            </w:r>
          </w:p>
        </w:tc>
        <w:tc>
          <w:tcPr>
            <w:tcW w:w="0" w:type="dxa"/>
            <w:vAlign w:val="bottom"/>
          </w:tcPr>
          <w:p>
            <w:pPr>
              <w:spacing w:after="0"/>
              <w:rPr>
                <w:sz w:val="1"/>
                <w:szCs w:val="1"/>
                <w:color w:val="auto"/>
              </w:rPr>
            </w:pPr>
          </w:p>
        </w:tc>
      </w:tr>
      <w:tr>
        <w:trPr>
          <w:trHeight w:val="209"/>
        </w:trPr>
        <w:tc>
          <w:tcPr>
            <w:tcW w:w="71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line="209" w:lineRule="exact"/>
              <w:rPr>
                <w:sz w:val="20"/>
                <w:szCs w:val="20"/>
                <w:color w:val="auto"/>
              </w:rPr>
            </w:pPr>
            <w:r>
              <w:rPr>
                <w:rFonts w:ascii="Times New Roman" w:cs="Times New Roman" w:eastAsia="Times New Roman" w:hAnsi="Times New Roman"/>
                <w:sz w:val="16"/>
                <w:szCs w:val="16"/>
                <w:b w:val="1"/>
                <w:bCs w:val="1"/>
                <w:color w:val="auto"/>
                <w:w w:val="90"/>
              </w:rPr>
              <w:t xml:space="preserve">Value </w:t>
            </w:r>
            <w:r>
              <w:rPr>
                <w:rFonts w:ascii="Times New Roman" w:cs="Times New Roman" w:eastAsia="Times New Roman" w:hAnsi="Times New Roman"/>
                <w:sz w:val="20"/>
                <w:szCs w:val="20"/>
                <w:b w:val="1"/>
                <w:bCs w:val="1"/>
                <w:color w:val="auto"/>
                <w:w w:val="90"/>
                <w:vertAlign w:val="superscript"/>
              </w:rPr>
              <w:t>1</w:t>
            </w:r>
          </w:p>
        </w:tc>
        <w:tc>
          <w:tcPr>
            <w:tcW w:w="140" w:type="dxa"/>
            <w:vAlign w:val="bottom"/>
          </w:tcPr>
          <w:p>
            <w:pPr>
              <w:spacing w:after="0"/>
              <w:rPr>
                <w:sz w:val="18"/>
                <w:szCs w:val="18"/>
                <w:color w:val="auto"/>
              </w:rPr>
            </w:pPr>
          </w:p>
        </w:tc>
        <w:tc>
          <w:tcPr>
            <w:tcW w:w="116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2"/>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567,426</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(483,601)</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1,050,027</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159,039</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06"/>
        </w:trPr>
        <w:tc>
          <w:tcPr>
            <w:tcW w:w="7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1,140,758</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(703,557)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2,044,081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RSU award dividend equivalents have a weighted average grant date fair value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9" w:name="page80"/>
    <w:bookmarkEnd w:id="79"/>
    <w:tbl>
      <w:tblPr>
        <w:tblLayout w:type="fixed"/>
        <w:tblInd w:w="18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PSUs</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7"/>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7"/>
              </w:rPr>
              <w:t>at Target</w:t>
            </w:r>
          </w:p>
        </w:tc>
        <w:tc>
          <w:tcPr>
            <w:tcW w:w="1400" w:type="dxa"/>
            <w:vAlign w:val="bottom"/>
            <w:gridSpan w:val="3"/>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PSU Awards</w:t>
            </w:r>
          </w:p>
        </w:tc>
        <w:tc>
          <w:tcPr>
            <w:tcW w:w="14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Performance</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b w:val="1"/>
                <w:bCs w:val="1"/>
                <w:color w:val="auto"/>
                <w:w w:val="97"/>
              </w:rPr>
              <w:t>Grant Date Fair</w:t>
            </w:r>
          </w:p>
        </w:tc>
        <w:tc>
          <w:tcPr>
            <w:tcW w:w="140" w:type="dxa"/>
            <w:vAlign w:val="bottom"/>
          </w:tcPr>
          <w:p>
            <w:pPr>
              <w:spacing w:after="0"/>
              <w:rPr>
                <w:sz w:val="13"/>
                <w:szCs w:val="13"/>
                <w:color w:val="auto"/>
              </w:rPr>
            </w:pPr>
          </w:p>
        </w:tc>
        <w:tc>
          <w:tcPr>
            <w:tcW w:w="118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6"/>
              </w:rPr>
              <w:t>Vest Date Fair</w:t>
            </w:r>
          </w:p>
        </w:tc>
        <w:tc>
          <w:tcPr>
            <w:tcW w:w="0" w:type="dxa"/>
            <w:vAlign w:val="bottom"/>
          </w:tcPr>
          <w:p>
            <w:pPr>
              <w:spacing w:after="0"/>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line="209" w:lineRule="exact"/>
              <w:rPr>
                <w:sz w:val="20"/>
                <w:szCs w:val="20"/>
                <w:color w:val="auto"/>
              </w:rPr>
            </w:pPr>
            <w:r>
              <w:rPr>
                <w:rFonts w:ascii="Times New Roman" w:cs="Times New Roman" w:eastAsia="Times New Roman" w:hAnsi="Times New Roman"/>
                <w:sz w:val="16"/>
                <w:szCs w:val="16"/>
                <w:b w:val="1"/>
                <w:bCs w:val="1"/>
                <w:color w:val="auto"/>
                <w:w w:val="94"/>
              </w:rPr>
              <w:t xml:space="preserve">Value </w:t>
            </w:r>
            <w:r>
              <w:rPr>
                <w:rFonts w:ascii="Times New Roman" w:cs="Times New Roman" w:eastAsia="Times New Roman" w:hAnsi="Times New Roman"/>
                <w:sz w:val="20"/>
                <w:szCs w:val="20"/>
                <w:b w:val="1"/>
                <w:bCs w:val="1"/>
                <w:color w:val="auto"/>
                <w:w w:val="94"/>
                <w:vertAlign w:val="superscript"/>
              </w:rPr>
              <w:t>1</w:t>
            </w:r>
          </w:p>
        </w:tc>
        <w:tc>
          <w:tcPr>
            <w:tcW w:w="140" w:type="dxa"/>
            <w:vAlign w:val="bottom"/>
          </w:tcPr>
          <w:p>
            <w:pPr>
              <w:spacing w:after="0"/>
              <w:rPr>
                <w:sz w:val="18"/>
                <w:szCs w:val="18"/>
                <w:color w:val="auto"/>
              </w:rPr>
            </w:pPr>
          </w:p>
        </w:tc>
        <w:tc>
          <w:tcPr>
            <w:tcW w:w="11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0" w:type="dxa"/>
            <w:vAlign w:val="bottom"/>
          </w:tcPr>
          <w:p>
            <w:pPr>
              <w:spacing w:after="0"/>
              <w:rPr>
                <w:sz w:val="1"/>
                <w:szCs w:val="1"/>
                <w:color w:val="auto"/>
              </w:rPr>
            </w:pPr>
          </w:p>
        </w:tc>
      </w:tr>
      <w:tr>
        <w:trPr>
          <w:trHeight w:val="202"/>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1,626,785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gridSpan w:val="2"/>
          </w:tcPr>
          <w:p>
            <w:pPr>
              <w:ind w:left="160"/>
              <w:spacing w:after="0" w:line="209" w:lineRule="exact"/>
              <w:rPr>
                <w:sz w:val="20"/>
                <w:szCs w:val="20"/>
                <w:color w:val="auto"/>
              </w:rPr>
            </w:pPr>
            <w:r>
              <w:rPr>
                <w:rFonts w:ascii="Times New Roman" w:cs="Times New Roman" w:eastAsia="Times New Roman" w:hAnsi="Times New Roman"/>
                <w:sz w:val="16"/>
                <w:szCs w:val="16"/>
                <w:color w:val="auto"/>
              </w:rPr>
              <w:t xml:space="preserve">Performance adjustment - base grant </w:t>
            </w:r>
            <w:r>
              <w:rPr>
                <w:rFonts w:ascii="Times New Roman" w:cs="Times New Roman" w:eastAsia="Times New Roman" w:hAnsi="Times New Roman"/>
                <w:sz w:val="20"/>
                <w:szCs w:val="20"/>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160"/>
              <w:spacing w:after="0" w:line="209" w:lineRule="exact"/>
              <w:rPr>
                <w:sz w:val="20"/>
                <w:szCs w:val="20"/>
                <w:color w:val="auto"/>
              </w:rPr>
            </w:pPr>
            <w:r>
              <w:rPr>
                <w:rFonts w:ascii="Times New Roman" w:cs="Times New Roman" w:eastAsia="Times New Roman" w:hAnsi="Times New Roman"/>
                <w:sz w:val="16"/>
                <w:szCs w:val="16"/>
                <w:color w:val="auto"/>
              </w:rPr>
              <w:t xml:space="preserve">Performance adjustment - accrued PSU dividend equivalents </w:t>
            </w:r>
            <w:r>
              <w:rPr>
                <w:rFonts w:ascii="Times New Roman" w:cs="Times New Roman" w:eastAsia="Times New Roman" w:hAnsi="Times New Roman"/>
                <w:sz w:val="20"/>
                <w:szCs w:val="20"/>
                <w:color w:val="auto"/>
                <w:vertAlign w:val="superscript"/>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(466,224)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2,212,660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19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2,380,575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402,368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160"/>
              <w:spacing w:after="0" w:line="212" w:lineRule="exact"/>
              <w:rPr>
                <w:sz w:val="20"/>
                <w:szCs w:val="20"/>
                <w:color w:val="auto"/>
              </w:rPr>
            </w:pPr>
            <w:r>
              <w:rPr>
                <w:rFonts w:ascii="Times New Roman" w:cs="Times New Roman" w:eastAsia="Times New Roman" w:hAnsi="Times New Roman"/>
                <w:sz w:val="16"/>
                <w:szCs w:val="16"/>
                <w:color w:val="auto"/>
              </w:rPr>
              <w:t xml:space="preserve">Performance adjustment - base grant </w:t>
            </w:r>
            <w:r>
              <w:rPr>
                <w:rFonts w:ascii="Times New Roman" w:cs="Times New Roman" w:eastAsia="Times New Roman" w:hAnsi="Times New Roman"/>
                <w:sz w:val="20"/>
                <w:szCs w:val="20"/>
                <w:color w:val="auto"/>
                <w:vertAlign w:val="superscript"/>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gridSpan w:val="2"/>
          </w:tcPr>
          <w:p>
            <w:pPr>
              <w:ind w:left="160"/>
              <w:spacing w:after="0" w:line="209" w:lineRule="exact"/>
              <w:rPr>
                <w:sz w:val="20"/>
                <w:szCs w:val="20"/>
                <w:color w:val="auto"/>
              </w:rPr>
            </w:pPr>
            <w:r>
              <w:rPr>
                <w:rFonts w:ascii="Times New Roman" w:cs="Times New Roman" w:eastAsia="Times New Roman" w:hAnsi="Times New Roman"/>
                <w:sz w:val="16"/>
                <w:szCs w:val="16"/>
                <w:color w:val="auto"/>
              </w:rPr>
              <w:t xml:space="preserve">Performance adjustment - accrued PSU dividend equivalents </w:t>
            </w:r>
            <w:r>
              <w:rPr>
                <w:rFonts w:ascii="Times New Roman" w:cs="Times New Roman" w:eastAsia="Times New Roman" w:hAnsi="Times New Roman"/>
                <w:sz w:val="20"/>
                <w:szCs w:val="20"/>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02"/>
        </w:trPr>
        <w:tc>
          <w:tcPr>
            <w:tcW w:w="6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Unvested balance as of December 31, 2023 </w:t>
            </w:r>
            <w:r>
              <w:rPr>
                <w:rFonts w:ascii="Times New Roman" w:cs="Times New Roman" w:eastAsia="Times New Roman" w:hAnsi="Times New Roman"/>
                <w:sz w:val="20"/>
                <w:szCs w:val="20"/>
                <w:b w:val="1"/>
                <w:bCs w:val="1"/>
                <w:color w:val="auto"/>
                <w:vertAlign w:val="superscript"/>
              </w:rPr>
              <w:t>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2,736,855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w:t>
      </w:r>
    </w:p>
    <w:p>
      <w:pPr>
        <w:spacing w:after="0" w:line="21" w:lineRule="exact"/>
        <w:rPr>
          <w:sz w:val="20"/>
          <w:szCs w:val="20"/>
          <w:color w:val="auto"/>
        </w:rPr>
      </w:pPr>
    </w:p>
    <w:p>
      <w:pPr>
        <w:ind w:left="640" w:hanging="322"/>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PSU award dividend equivalents have a weighted average grant date fair value of $0.</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adjustments reflect adjustments for actual performance achieved relative to target, measured at the end of the performance period.</w:t>
      </w:r>
    </w:p>
    <w:p>
      <w:pPr>
        <w:spacing w:after="0" w:line="5" w:lineRule="exact"/>
        <w:rPr>
          <w:rFonts w:ascii="Times New Roman" w:cs="Times New Roman" w:eastAsia="Times New Roman" w:hAnsi="Times New Roman"/>
          <w:sz w:val="14"/>
          <w:szCs w:val="14"/>
          <w:color w:val="auto"/>
        </w:rPr>
      </w:pPr>
    </w:p>
    <w:p>
      <w:pPr>
        <w:jc w:val="both"/>
        <w:ind w:left="640" w:hanging="322"/>
        <w:spacing w:after="0" w:line="251" w:lineRule="auto"/>
        <w:tabs>
          <w:tab w:leader="none" w:pos="640" w:val="left"/>
        </w:tabs>
        <w:numPr>
          <w:ilvl w:val="0"/>
          <w:numId w:val="5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unvested balance as of December 31, 2023 assumes actual performance achievement of 66.4% of target for PSU awards granted in fiscal year 2021 that are scheduled to vest in fiscal year 2024 and target levels of performance (100%) for PSU awards granted in fiscal years 2022 and 2023. The actual number of PSUs that will vest for the 2022 and 2023 PSU awards will vary within a range of 0% to 200% of the target based on the actual performance achieved relative to the targets. As of December 31, 2023, we estimate that 50% and 100% of the 2022 and 2023 PSU awards, respectively, will vest based on our estimate of the probability that the performance criteria for the awards will be achieved.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Income Taxes</w:t>
      </w:r>
    </w:p>
    <w:p>
      <w:pPr>
        <w:spacing w:after="0" w:line="159" w:lineRule="exact"/>
        <w:rPr>
          <w:sz w:val="20"/>
          <w:szCs w:val="20"/>
          <w:color w:val="auto"/>
        </w:rPr>
      </w:pPr>
    </w:p>
    <w:p>
      <w:pPr>
        <w:jc w:val="both"/>
        <w:ind w:firstLine="431"/>
        <w:spacing w:after="0" w:line="279" w:lineRule="auto"/>
        <w:rPr>
          <w:sz w:val="20"/>
          <w:szCs w:val="20"/>
          <w:color w:val="auto"/>
        </w:rPr>
      </w:pPr>
      <w:r>
        <w:rPr>
          <w:rFonts w:ascii="Times New Roman" w:cs="Times New Roman" w:eastAsia="Times New Roman" w:hAnsi="Times New Roman"/>
          <w:sz w:val="17"/>
          <w:szCs w:val="17"/>
          <w:color w:val="auto"/>
        </w:rPr>
        <w:t>We did not incur an income tax liability for the years ended December 31, 2022 and 2021 and we do not expect to incur an income tax liability for the year ended December 31, 2023.</w:t>
      </w:r>
    </w:p>
    <w:p>
      <w:pPr>
        <w:spacing w:after="0" w:line="81" w:lineRule="exact"/>
        <w:rPr>
          <w:sz w:val="20"/>
          <w:szCs w:val="20"/>
          <w:color w:val="auto"/>
        </w:rPr>
      </w:pPr>
    </w:p>
    <w:p>
      <w:pPr>
        <w:jc w:val="both"/>
        <w:ind w:firstLine="431"/>
        <w:spacing w:after="0" w:line="243" w:lineRule="auto"/>
        <w:rPr>
          <w:sz w:val="20"/>
          <w:szCs w:val="20"/>
          <w:color w:val="auto"/>
        </w:rPr>
      </w:pPr>
      <w:r>
        <w:rPr>
          <w:rFonts w:ascii="Times New Roman" w:cs="Times New Roman" w:eastAsia="Times New Roman" w:hAnsi="Times New Roman"/>
          <w:sz w:val="17"/>
          <w:szCs w:val="17"/>
          <w:color w:val="auto"/>
        </w:rPr>
        <w:t xml:space="preserve">Based on our analysis of any potential uncertain income tax positions, we concluded that we do not have any uncertain tax positions that meet the recognition or measurement criteria of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as of December 31, 2023 or prior periods. Our tax returns for tax years 2020 and forward are open to examination by the IRS. If we incur income tax related interest and penalties, our policy is to classify them as a component of provision for income taxes.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22"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including our Chief Executive Officer and Chief Financial Officer, evaluated the effectiveness of the design and operation of our disclosure controls and procedures as of December 31, 2023. Based on the foregoing, our Chief Executive Officer and Chief Financial Officer concluded that our disclosure controls and procedures were effective.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Management Report on Internal Control over Financial Reporting is included in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Attestation Report of Registered Public Accounting Firm</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attestation report of our registered public accounting firm is included in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22" w:lineRule="exact"/>
        <w:rPr>
          <w:sz w:val="20"/>
          <w:szCs w:val="20"/>
          <w:color w:val="auto"/>
        </w:rPr>
      </w:pPr>
    </w:p>
    <w:p>
      <w:pPr>
        <w:jc w:val="both"/>
        <w:ind w:firstLine="431"/>
        <w:spacing w:after="0" w:line="288" w:lineRule="auto"/>
        <w:rPr>
          <w:sz w:val="20"/>
          <w:szCs w:val="20"/>
          <w:color w:val="auto"/>
        </w:rPr>
      </w:pPr>
      <w:r>
        <w:rPr>
          <w:rFonts w:ascii="Times New Roman" w:cs="Times New Roman" w:eastAsia="Times New Roman" w:hAnsi="Times New Roman"/>
          <w:sz w:val="17"/>
          <w:szCs w:val="17"/>
          <w:color w:val="auto"/>
        </w:rPr>
        <w:t>During the three months ended December 31, 2023,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our Proxy Statement for our 2024 Annual Meeting of Stockholders (the "2024 Proxy Statement") under the headings "PROPOSAL 1: ELECTION OF DIRECTORS", "EXECUTIVE OFFICERS OF REGISTRANT", and "BOARD AND GOVERNANCE MATTERS."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2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2024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2024 Proxy Statement under the heading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OWNERSHIP OF MANAGEMENT AND CERTAIN BENEFICIAL OWNERS."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2024 Proxy Statement under the headings "CERTAIN TRANSACTIONS WITH RELATED PERSONS" and "PROPOSAL 1: ELECTION OF DIRECTORS."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2024 Proxy Statement under the heading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3: RATIFICATION OF APPOINTMENT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4" w:lineRule="exact"/>
        <w:rPr>
          <w:sz w:val="20"/>
          <w:szCs w:val="20"/>
          <w:color w:val="auto"/>
        </w:rPr>
      </w:pPr>
    </w:p>
    <w:p>
      <w:pPr>
        <w:ind w:left="240" w:hanging="235"/>
        <w:spacing w:after="0"/>
        <w:tabs>
          <w:tab w:leader="none" w:pos="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 of documents filed as part of this report:</w:t>
      </w:r>
    </w:p>
    <w:p>
      <w:pPr>
        <w:spacing w:after="0" w:line="157" w:lineRule="exact"/>
        <w:rPr>
          <w:rFonts w:ascii="Times New Roman" w:cs="Times New Roman" w:eastAsia="Times New Roman" w:hAnsi="Times New Roman"/>
          <w:sz w:val="17"/>
          <w:szCs w:val="17"/>
          <w:color w:val="auto"/>
        </w:rPr>
      </w:pPr>
    </w:p>
    <w:p>
      <w:pPr>
        <w:ind w:left="1360" w:hanging="375"/>
        <w:spacing w:after="0"/>
        <w:tabs>
          <w:tab w:leader="none" w:pos="13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are filed herewith:</w:t>
      </w:r>
    </w:p>
    <w:p>
      <w:pPr>
        <w:spacing w:after="0" w:line="1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Balance Sheets as of December 31, 2023 and 2022</w:t>
      </w:r>
    </w:p>
    <w:p>
      <w:pPr>
        <w:spacing w:after="0" w:line="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Comprehensive Income for fiscal years 2023, 2022 and 2021</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Stockholders' Equity for fiscal years 2023, 2022 and 2021</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Cash Flows for fiscal years 2023, 2022 and 2021</w:t>
      </w:r>
    </w:p>
    <w:p>
      <w:pPr>
        <w:spacing w:after="0" w:line="152"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7"/>
          <w:szCs w:val="17"/>
          <w:color w:val="auto"/>
        </w:rPr>
        <w:t>(2)</w:t>
        <w:tab/>
        <w:t>The following exhibits are filed herewith or incorporated herein by reference</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72" w:lineRule="exact"/>
        <w:rPr>
          <w:sz w:val="20"/>
          <w:szCs w:val="20"/>
          <w:color w:val="auto"/>
        </w:rPr>
      </w:pPr>
    </w:p>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*3.1</w:t>
        </w:r>
      </w:hyperlink>
      <w:r>
        <w:rPr>
          <w:rFonts w:ascii="Times New Roman" w:cs="Times New Roman" w:eastAsia="Times New Roman" w:hAnsi="Times New Roman"/>
          <w:sz w:val="17"/>
          <w:szCs w:val="17"/>
          <w:color w:val="auto"/>
        </w:rPr>
        <w:tab/>
      </w:r>
      <w:hyperlink r:id="rId105">
        <w:r>
          <w:rPr>
            <w:rFonts w:ascii="Times New Roman" w:cs="Times New Roman" w:eastAsia="Times New Roman" w:hAnsi="Times New Roman"/>
            <w:sz w:val="17"/>
            <w:szCs w:val="17"/>
            <w:color w:val="auto"/>
          </w:rPr>
          <w:t>AGNC Investment Corp. Amended and Restated Certificate of Incorporation, as amended, incorporated by reference from Exhibit 3.1 of Form 10-K for</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color w:val="auto"/>
          </w:rPr>
          <w:t>the year ended December 31, 2021 (File No. 001-34057), filed February 23, 2022.</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06">
        <w:r>
          <w:rPr>
            <w:rFonts w:ascii="Times New Roman" w:cs="Times New Roman" w:eastAsia="Times New Roman" w:hAnsi="Times New Roman"/>
            <w:sz w:val="17"/>
            <w:szCs w:val="17"/>
            <w:color w:val="auto"/>
          </w:rPr>
          <w:t>*3.2</w:t>
        </w:r>
      </w:hyperlink>
      <w:r>
        <w:rPr>
          <w:rFonts w:ascii="Times New Roman" w:cs="Times New Roman" w:eastAsia="Times New Roman" w:hAnsi="Times New Roman"/>
          <w:sz w:val="17"/>
          <w:szCs w:val="17"/>
          <w:color w:val="auto"/>
        </w:rPr>
        <w:tab/>
      </w:r>
      <w:hyperlink r:id="rId107">
        <w:r>
          <w:rPr>
            <w:rFonts w:ascii="Times New Roman" w:cs="Times New Roman" w:eastAsia="Times New Roman" w:hAnsi="Times New Roman"/>
            <w:sz w:val="17"/>
            <w:szCs w:val="17"/>
            <w:color w:val="auto"/>
          </w:rPr>
          <w:t>AGNC Investment Corp. Amended and Restated Bylaws, as amended, incorporated herein by reference to Exhibit 3.1 of Form 8-K (File No. 001-34057),</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filed July 21, 2023.</w:t>
        </w:r>
      </w:hyperlink>
    </w:p>
    <w:p>
      <w:pPr>
        <w:spacing w:after="0" w:line="94"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08">
        <w:r>
          <w:rPr>
            <w:rFonts w:ascii="Times New Roman" w:cs="Times New Roman" w:eastAsia="Times New Roman" w:hAnsi="Times New Roman"/>
            <w:sz w:val="17"/>
            <w:szCs w:val="17"/>
            <w:color w:val="auto"/>
          </w:rPr>
          <w:t>*3.3</w:t>
        </w:r>
      </w:hyperlink>
      <w:r>
        <w:rPr>
          <w:rFonts w:ascii="Times New Roman" w:cs="Times New Roman" w:eastAsia="Times New Roman" w:hAnsi="Times New Roman"/>
          <w:sz w:val="17"/>
          <w:szCs w:val="17"/>
          <w:color w:val="auto"/>
        </w:rPr>
        <w:tab/>
      </w:r>
      <w:hyperlink r:id="rId108">
        <w:r>
          <w:rPr>
            <w:rFonts w:ascii="Times New Roman" w:cs="Times New Roman" w:eastAsia="Times New Roman" w:hAnsi="Times New Roman"/>
            <w:sz w:val="17"/>
            <w:szCs w:val="17"/>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08">
        <w:r>
          <w:rPr>
            <w:rFonts w:ascii="Times New Roman" w:cs="Times New Roman" w:eastAsia="Times New Roman" w:hAnsi="Times New Roman"/>
            <w:sz w:val="17"/>
            <w:szCs w:val="17"/>
            <w:color w:val="auto"/>
          </w:rPr>
          <w:t>Exhibit 3.5 of Form 8-A (File No. 001-34057), filed August 18, 2017.</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09">
        <w:r>
          <w:rPr>
            <w:rFonts w:ascii="Times New Roman" w:cs="Times New Roman" w:eastAsia="Times New Roman" w:hAnsi="Times New Roman"/>
            <w:sz w:val="17"/>
            <w:szCs w:val="17"/>
            <w:color w:val="auto"/>
          </w:rPr>
          <w:t>*3.4</w:t>
        </w:r>
      </w:hyperlink>
      <w:r>
        <w:rPr>
          <w:rFonts w:ascii="Times New Roman" w:cs="Times New Roman" w:eastAsia="Times New Roman" w:hAnsi="Times New Roman"/>
          <w:sz w:val="17"/>
          <w:szCs w:val="17"/>
          <w:color w:val="auto"/>
        </w:rPr>
        <w:tab/>
      </w:r>
      <w:hyperlink r:id="rId109">
        <w:r>
          <w:rPr>
            <w:rFonts w:ascii="Times New Roman" w:cs="Times New Roman" w:eastAsia="Times New Roman" w:hAnsi="Times New Roman"/>
            <w:sz w:val="17"/>
            <w:szCs w:val="17"/>
            <w:color w:val="auto"/>
          </w:rPr>
          <w:t>Certificate of Elimination of 8.000% Series A Cumulative Redeemable Preferred Stock, incorporated herein by reference to Exhibit 3.1 of Form 8-K (File</w:t>
        </w:r>
      </w:hyperlink>
      <w:r>
        <w:rPr>
          <w:rFonts w:ascii="Times New Roman" w:cs="Times New Roman" w:eastAsia="Times New Roman" w:hAnsi="Times New Roman"/>
          <w:sz w:val="17"/>
          <w:szCs w:val="17"/>
          <w:color w:val="auto"/>
        </w:rPr>
        <w:t xml:space="preserve"> </w:t>
      </w:r>
      <w:hyperlink r:id="rId109">
        <w:r>
          <w:rPr>
            <w:rFonts w:ascii="Times New Roman" w:cs="Times New Roman" w:eastAsia="Times New Roman" w:hAnsi="Times New Roman"/>
            <w:sz w:val="17"/>
            <w:szCs w:val="17"/>
            <w:color w:val="auto"/>
          </w:rPr>
          <w:t>No 001-34057), filed October 26, 2017.</w:t>
        </w:r>
      </w:hyperlink>
    </w:p>
    <w:p>
      <w:pPr>
        <w:spacing w:after="0" w:line="94" w:lineRule="exact"/>
        <w:rPr>
          <w:rFonts w:ascii="Times New Roman" w:cs="Times New Roman" w:eastAsia="Times New Roman" w:hAnsi="Times New Roman"/>
          <w:sz w:val="17"/>
          <w:szCs w:val="17"/>
          <w:color w:val="auto"/>
        </w:rPr>
      </w:pPr>
    </w:p>
    <w:p>
      <w:pPr>
        <w:jc w:val="both"/>
        <w:ind w:left="560" w:hanging="1254"/>
        <w:spacing w:after="0" w:line="295" w:lineRule="auto"/>
        <w:tabs>
          <w:tab w:leader="none" w:pos="540" w:val="left"/>
        </w:tabs>
        <w:rPr>
          <w:rFonts w:ascii="Times New Roman" w:cs="Times New Roman" w:eastAsia="Times New Roman" w:hAnsi="Times New Roman"/>
          <w:sz w:val="17"/>
          <w:szCs w:val="17"/>
          <w:color w:val="auto"/>
        </w:rPr>
      </w:pPr>
      <w:hyperlink r:id="rId110">
        <w:r>
          <w:rPr>
            <w:rFonts w:ascii="Times New Roman" w:cs="Times New Roman" w:eastAsia="Times New Roman" w:hAnsi="Times New Roman"/>
            <w:sz w:val="17"/>
            <w:szCs w:val="17"/>
            <w:color w:val="auto"/>
          </w:rPr>
          <w:t>*3.5</w:t>
        </w:r>
      </w:hyperlink>
      <w:r>
        <w:rPr>
          <w:rFonts w:ascii="Times New Roman" w:cs="Times New Roman" w:eastAsia="Times New Roman" w:hAnsi="Times New Roman"/>
          <w:sz w:val="17"/>
          <w:szCs w:val="17"/>
          <w:color w:val="auto"/>
        </w:rPr>
        <w:tab/>
      </w:r>
      <w:hyperlink r:id="rId110">
        <w:r>
          <w:rPr>
            <w:rFonts w:ascii="Times New Roman" w:cs="Times New Roman" w:eastAsia="Times New Roman" w:hAnsi="Times New Roman"/>
            <w:sz w:val="17"/>
            <w:szCs w:val="17"/>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0">
        <w:r>
          <w:rPr>
            <w:rFonts w:ascii="Times New Roman" w:cs="Times New Roman" w:eastAsia="Times New Roman" w:hAnsi="Times New Roman"/>
            <w:sz w:val="17"/>
            <w:szCs w:val="17"/>
            <w:color w:val="auto"/>
          </w:rPr>
          <w:t>Exhibit 3.5 of Form 8-A (File No 001-34057), filed March 6, 2019.</w:t>
        </w:r>
      </w:hyperlink>
    </w:p>
    <w:p>
      <w:pPr>
        <w:spacing w:after="0" w:line="94"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11">
        <w:r>
          <w:rPr>
            <w:rFonts w:ascii="Times New Roman" w:cs="Times New Roman" w:eastAsia="Times New Roman" w:hAnsi="Times New Roman"/>
            <w:sz w:val="17"/>
            <w:szCs w:val="17"/>
            <w:color w:val="auto"/>
          </w:rPr>
          <w:t>*3.6</w:t>
        </w:r>
      </w:hyperlink>
      <w:r>
        <w:rPr>
          <w:rFonts w:ascii="Times New Roman" w:cs="Times New Roman" w:eastAsia="Times New Roman" w:hAnsi="Times New Roman"/>
          <w:sz w:val="17"/>
          <w:szCs w:val="17"/>
          <w:color w:val="auto"/>
        </w:rPr>
        <w:tab/>
      </w:r>
      <w:hyperlink r:id="rId111">
        <w:r>
          <w:rPr>
            <w:rFonts w:ascii="Times New Roman" w:cs="Times New Roman" w:eastAsia="Times New Roman" w:hAnsi="Times New Roman"/>
            <w:sz w:val="17"/>
            <w:szCs w:val="17"/>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1">
        <w:r>
          <w:rPr>
            <w:rFonts w:ascii="Times New Roman" w:cs="Times New Roman" w:eastAsia="Times New Roman" w:hAnsi="Times New Roman"/>
            <w:sz w:val="17"/>
            <w:szCs w:val="17"/>
            <w:color w:val="auto"/>
          </w:rPr>
          <w:t>Exhibit 3.6 of Form 8-A (File No 001-34057), filed October 3, 2019.</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2">
        <w:r>
          <w:rPr>
            <w:rFonts w:ascii="Times New Roman" w:cs="Times New Roman" w:eastAsia="Times New Roman" w:hAnsi="Times New Roman"/>
            <w:sz w:val="17"/>
            <w:szCs w:val="17"/>
            <w:color w:val="auto"/>
          </w:rPr>
          <w:t>*3.7</w:t>
        </w:r>
      </w:hyperlink>
      <w:r>
        <w:rPr>
          <w:rFonts w:ascii="Times New Roman" w:cs="Times New Roman" w:eastAsia="Times New Roman" w:hAnsi="Times New Roman"/>
          <w:sz w:val="17"/>
          <w:szCs w:val="17"/>
          <w:color w:val="auto"/>
        </w:rPr>
        <w:tab/>
      </w:r>
      <w:hyperlink r:id="rId112">
        <w:r>
          <w:rPr>
            <w:rFonts w:ascii="Times New Roman" w:cs="Times New Roman" w:eastAsia="Times New Roman" w:hAnsi="Times New Roman"/>
            <w:sz w:val="17"/>
            <w:szCs w:val="17"/>
            <w:color w:val="auto"/>
          </w:rPr>
          <w:t>Certificate of Elimination of 7.750% Series B Cumulative Redeemable Preferred Stock, incorporated herein by reference to Exhibit 3.1 of Form 8-K (File</w:t>
        </w:r>
      </w:hyperlink>
      <w:r>
        <w:rPr>
          <w:rFonts w:ascii="Times New Roman" w:cs="Times New Roman" w:eastAsia="Times New Roman" w:hAnsi="Times New Roman"/>
          <w:sz w:val="17"/>
          <w:szCs w:val="17"/>
          <w:color w:val="auto"/>
        </w:rPr>
        <w:t xml:space="preserve"> </w:t>
      </w:r>
      <w:hyperlink r:id="rId112">
        <w:r>
          <w:rPr>
            <w:rFonts w:ascii="Times New Roman" w:cs="Times New Roman" w:eastAsia="Times New Roman" w:hAnsi="Times New Roman"/>
            <w:sz w:val="17"/>
            <w:szCs w:val="17"/>
            <w:color w:val="auto"/>
          </w:rPr>
          <w:t>No 001-34057), filed December 13, 2019.</w:t>
        </w:r>
      </w:hyperlink>
    </w:p>
    <w:p>
      <w:pPr>
        <w:spacing w:after="0" w:line="94" w:lineRule="exact"/>
        <w:rPr>
          <w:rFonts w:ascii="Times New Roman" w:cs="Times New Roman" w:eastAsia="Times New Roman" w:hAnsi="Times New Roman"/>
          <w:sz w:val="17"/>
          <w:szCs w:val="17"/>
          <w:color w:val="auto"/>
        </w:rPr>
      </w:pPr>
    </w:p>
    <w:p>
      <w:pPr>
        <w:jc w:val="both"/>
        <w:ind w:left="560" w:hanging="1254"/>
        <w:spacing w:after="0" w:line="295" w:lineRule="auto"/>
        <w:tabs>
          <w:tab w:leader="none" w:pos="540" w:val="left"/>
        </w:tabs>
        <w:rPr>
          <w:rFonts w:ascii="Times New Roman" w:cs="Times New Roman" w:eastAsia="Times New Roman" w:hAnsi="Times New Roman"/>
          <w:sz w:val="17"/>
          <w:szCs w:val="17"/>
          <w:color w:val="auto"/>
        </w:rPr>
      </w:pPr>
      <w:hyperlink r:id="rId113">
        <w:r>
          <w:rPr>
            <w:rFonts w:ascii="Times New Roman" w:cs="Times New Roman" w:eastAsia="Times New Roman" w:hAnsi="Times New Roman"/>
            <w:sz w:val="17"/>
            <w:szCs w:val="17"/>
            <w:color w:val="auto"/>
          </w:rPr>
          <w:t>*3.8</w:t>
        </w:r>
      </w:hyperlink>
      <w:r>
        <w:rPr>
          <w:rFonts w:ascii="Times New Roman" w:cs="Times New Roman" w:eastAsia="Times New Roman" w:hAnsi="Times New Roman"/>
          <w:sz w:val="17"/>
          <w:szCs w:val="17"/>
          <w:color w:val="auto"/>
        </w:rPr>
        <w:tab/>
      </w:r>
      <w:hyperlink r:id="rId113">
        <w:r>
          <w:rPr>
            <w:rFonts w:ascii="Times New Roman" w:cs="Times New Roman" w:eastAsia="Times New Roman" w:hAnsi="Times New Roman"/>
            <w:sz w:val="17"/>
            <w:szCs w:val="17"/>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3">
        <w:r>
          <w:rPr>
            <w:rFonts w:ascii="Times New Roman" w:cs="Times New Roman" w:eastAsia="Times New Roman" w:hAnsi="Times New Roman"/>
            <w:sz w:val="17"/>
            <w:szCs w:val="17"/>
            <w:color w:val="auto"/>
          </w:rPr>
          <w:t>Exhibit 3.6 of Form 8-A (File No 001-34057), filed February 11, 2020.</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4">
        <w:r>
          <w:rPr>
            <w:rFonts w:ascii="Times New Roman" w:cs="Times New Roman" w:eastAsia="Times New Roman" w:hAnsi="Times New Roman"/>
            <w:sz w:val="17"/>
            <w:szCs w:val="17"/>
            <w:color w:val="auto"/>
          </w:rPr>
          <w:t>*3.9</w:t>
        </w:r>
      </w:hyperlink>
      <w:r>
        <w:rPr>
          <w:rFonts w:ascii="Times New Roman" w:cs="Times New Roman" w:eastAsia="Times New Roman" w:hAnsi="Times New Roman"/>
          <w:sz w:val="17"/>
          <w:szCs w:val="17"/>
          <w:color w:val="auto"/>
        </w:rPr>
        <w:tab/>
      </w:r>
      <w:hyperlink r:id="rId114">
        <w:r>
          <w:rPr>
            <w:rFonts w:ascii="Times New Roman" w:cs="Times New Roman" w:eastAsia="Times New Roman" w:hAnsi="Times New Roman"/>
            <w:sz w:val="17"/>
            <w:szCs w:val="17"/>
            <w:color w:val="auto"/>
          </w:rPr>
          <w:t>Certificate of Designations of 7.75% Series G Fixed-Rate Reset Cumulative Redeemable Preferred Stock, incorporated herein by reference to Exhibit 3.7</w:t>
        </w:r>
      </w:hyperlink>
      <w:r>
        <w:rPr>
          <w:rFonts w:ascii="Times New Roman" w:cs="Times New Roman" w:eastAsia="Times New Roman" w:hAnsi="Times New Roman"/>
          <w:sz w:val="17"/>
          <w:szCs w:val="17"/>
          <w:color w:val="auto"/>
        </w:rPr>
        <w:t xml:space="preserve"> </w:t>
      </w:r>
      <w:hyperlink r:id="rId114">
        <w:r>
          <w:rPr>
            <w:rFonts w:ascii="Times New Roman" w:cs="Times New Roman" w:eastAsia="Times New Roman" w:hAnsi="Times New Roman"/>
            <w:sz w:val="17"/>
            <w:szCs w:val="17"/>
            <w:color w:val="auto"/>
          </w:rPr>
          <w:t>of Form 8-A (File No 001-34057), filed September 14, 2022.</w:t>
        </w:r>
      </w:hyperlink>
    </w:p>
    <w:p>
      <w:pPr>
        <w:spacing w:after="0" w:line="94" w:lineRule="exact"/>
        <w:rPr>
          <w:rFonts w:ascii="Times New Roman" w:cs="Times New Roman" w:eastAsia="Times New Roman" w:hAnsi="Times New Roman"/>
          <w:sz w:val="17"/>
          <w:szCs w:val="17"/>
          <w:color w:val="auto"/>
        </w:rPr>
      </w:pPr>
    </w:p>
    <w:p>
      <w:pPr>
        <w:jc w:val="both"/>
        <w:ind w:left="620" w:hanging="1254"/>
        <w:spacing w:after="0" w:line="288" w:lineRule="auto"/>
        <w:tabs>
          <w:tab w:leader="none" w:pos="600" w:val="left"/>
        </w:tabs>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*4.1</w:t>
        </w:r>
      </w:hyperlink>
      <w:r>
        <w:rPr>
          <w:rFonts w:ascii="Times New Roman" w:cs="Times New Roman" w:eastAsia="Times New Roman" w:hAnsi="Times New Roman"/>
          <w:sz w:val="17"/>
          <w:szCs w:val="17"/>
          <w:color w:val="auto"/>
        </w:rPr>
        <w:tab/>
      </w:r>
      <w:hyperlink r:id="rId105">
        <w:r>
          <w:rPr>
            <w:rFonts w:ascii="Times New Roman" w:cs="Times New Roman" w:eastAsia="Times New Roman" w:hAnsi="Times New Roman"/>
            <w:sz w:val="17"/>
            <w:szCs w:val="17"/>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color w:val="auto"/>
          </w:rPr>
          <w:t>incorporated herein by reference to Exhibit 3.1 of Form 10-K for the year ended December 31, 2021 (File No. 001-34057), filed February 23,</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color w:val="auto"/>
          </w:rPr>
          <w:t>2022.</w:t>
        </w:r>
      </w:hyperlink>
    </w:p>
    <w:p>
      <w:pPr>
        <w:spacing w:after="0" w:line="315"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06">
        <w:r>
          <w:rPr>
            <w:rFonts w:ascii="Times New Roman" w:cs="Times New Roman" w:eastAsia="Times New Roman" w:hAnsi="Times New Roman"/>
            <w:sz w:val="17"/>
            <w:szCs w:val="17"/>
            <w:color w:val="auto"/>
          </w:rPr>
          <w:t>*4.2</w:t>
        </w:r>
      </w:hyperlink>
      <w:r>
        <w:rPr>
          <w:rFonts w:ascii="Times New Roman" w:cs="Times New Roman" w:eastAsia="Times New Roman" w:hAnsi="Times New Roman"/>
          <w:sz w:val="17"/>
          <w:szCs w:val="17"/>
          <w:color w:val="auto"/>
        </w:rPr>
        <w:tab/>
      </w:r>
      <w:hyperlink r:id="rId107">
        <w:r>
          <w:rPr>
            <w:rFonts w:ascii="Times New Roman" w:cs="Times New Roman" w:eastAsia="Times New Roman" w:hAnsi="Times New Roman"/>
            <w:sz w:val="17"/>
            <w:szCs w:val="17"/>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reference to Exhibit 3.1 of Form 8-K, filed July 21, 2023.</w:t>
        </w:r>
      </w:hyperlink>
    </w:p>
    <w:p>
      <w:pPr>
        <w:spacing w:after="0" w:line="94" w:lineRule="exact"/>
        <w:rPr>
          <w:rFonts w:ascii="Times New Roman" w:cs="Times New Roman" w:eastAsia="Times New Roman" w:hAnsi="Times New Roman"/>
          <w:sz w:val="17"/>
          <w:szCs w:val="17"/>
          <w:color w:val="auto"/>
        </w:rPr>
      </w:pPr>
    </w:p>
    <w:p>
      <w:pPr>
        <w:spacing w:after="0"/>
        <w:tabs>
          <w:tab w:leader="none" w:pos="460" w:val="left"/>
        </w:tabs>
        <w:rPr>
          <w:rFonts w:ascii="Times New Roman" w:cs="Times New Roman" w:eastAsia="Times New Roman" w:hAnsi="Times New Roman"/>
          <w:sz w:val="17"/>
          <w:szCs w:val="17"/>
          <w:color w:val="auto"/>
        </w:rPr>
      </w:pPr>
      <w:hyperlink r:id="rId115">
        <w:r>
          <w:rPr>
            <w:rFonts w:ascii="Times New Roman" w:cs="Times New Roman" w:eastAsia="Times New Roman" w:hAnsi="Times New Roman"/>
            <w:sz w:val="17"/>
            <w:szCs w:val="17"/>
            <w:color w:val="auto"/>
          </w:rPr>
          <w:t>*4.3</w:t>
        </w:r>
      </w:hyperlink>
      <w:r>
        <w:rPr>
          <w:rFonts w:ascii="Times New Roman" w:cs="Times New Roman" w:eastAsia="Times New Roman" w:hAnsi="Times New Roman"/>
          <w:sz w:val="17"/>
          <w:szCs w:val="17"/>
          <w:color w:val="auto"/>
        </w:rPr>
        <w:tab/>
      </w:r>
      <w:hyperlink r:id="rId115">
        <w:r>
          <w:rPr>
            <w:rFonts w:ascii="Times New Roman" w:cs="Times New Roman" w:eastAsia="Times New Roman" w:hAnsi="Times New Roman"/>
            <w:sz w:val="17"/>
            <w:szCs w:val="17"/>
            <w:color w:val="auto"/>
          </w:rPr>
          <w:t>Form of Certificate for Common Stock, incorporated herein by reference to Exhibit 4.3 of Form 10-Q for the quarter ended September 30, 2022 (File No.</w:t>
        </w:r>
      </w:hyperlink>
    </w:p>
    <w:p>
      <w:pPr>
        <w:spacing w:after="0" w:line="32" w:lineRule="exact"/>
        <w:rPr>
          <w:sz w:val="20"/>
          <w:szCs w:val="20"/>
          <w:color w:val="auto"/>
        </w:rPr>
      </w:pPr>
    </w:p>
    <w:p>
      <w:pPr>
        <w:ind w:left="1260"/>
        <w:spacing w:after="0"/>
        <w:rPr>
          <w:rFonts w:ascii="Times New Roman" w:cs="Times New Roman" w:eastAsia="Times New Roman" w:hAnsi="Times New Roman"/>
          <w:sz w:val="17"/>
          <w:szCs w:val="17"/>
          <w:color w:val="auto"/>
        </w:rPr>
      </w:pPr>
      <w:hyperlink r:id="rId115">
        <w:r>
          <w:rPr>
            <w:rFonts w:ascii="Times New Roman" w:cs="Times New Roman" w:eastAsia="Times New Roman" w:hAnsi="Times New Roman"/>
            <w:sz w:val="17"/>
            <w:szCs w:val="17"/>
            <w:color w:val="auto"/>
          </w:rPr>
          <w:t>001-34057), filed November 7, 2022.</w:t>
        </w:r>
      </w:hyperlink>
    </w:p>
    <w:p>
      <w:pPr>
        <w:spacing w:after="0" w:line="152" w:lineRule="exact"/>
        <w:rPr>
          <w:sz w:val="20"/>
          <w:szCs w:val="20"/>
          <w:color w:val="auto"/>
        </w:rPr>
      </w:pPr>
    </w:p>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*4.4</w:t>
        </w:r>
      </w:hyperlink>
      <w:r>
        <w:rPr>
          <w:rFonts w:ascii="Times New Roman" w:cs="Times New Roman" w:eastAsia="Times New Roman" w:hAnsi="Times New Roman"/>
          <w:sz w:val="17"/>
          <w:szCs w:val="17"/>
          <w:color w:val="auto"/>
        </w:rPr>
        <w:tab/>
      </w:r>
      <w:hyperlink r:id="rId116">
        <w:r>
          <w:rPr>
            <w:rFonts w:ascii="Times New Roman" w:cs="Times New Roman" w:eastAsia="Times New Roman" w:hAnsi="Times New Roman"/>
            <w:sz w:val="17"/>
            <w:szCs w:val="17"/>
            <w:color w:val="auto"/>
          </w:rPr>
          <w:t>Specimen 7.00% Series C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16">
        <w:r>
          <w:rPr>
            <w:rFonts w:ascii="Times New Roman" w:cs="Times New Roman" w:eastAsia="Times New Roman" w:hAnsi="Times New Roman"/>
            <w:sz w:val="17"/>
            <w:szCs w:val="17"/>
            <w:color w:val="auto"/>
          </w:rPr>
          <w:t>Form 8-A (File No. 001-34057), filed August 18, 2017.</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7">
        <w:r>
          <w:rPr>
            <w:rFonts w:ascii="Times New Roman" w:cs="Times New Roman" w:eastAsia="Times New Roman" w:hAnsi="Times New Roman"/>
            <w:sz w:val="17"/>
            <w:szCs w:val="17"/>
            <w:color w:val="auto"/>
          </w:rPr>
          <w:t>*4.5</w:t>
        </w:r>
      </w:hyperlink>
      <w:r>
        <w:rPr>
          <w:rFonts w:ascii="Times New Roman" w:cs="Times New Roman" w:eastAsia="Times New Roman" w:hAnsi="Times New Roman"/>
          <w:sz w:val="17"/>
          <w:szCs w:val="17"/>
          <w:color w:val="auto"/>
        </w:rPr>
        <w:tab/>
      </w:r>
      <w:hyperlink r:id="rId117">
        <w:r>
          <w:rPr>
            <w:rFonts w:ascii="Times New Roman" w:cs="Times New Roman" w:eastAsia="Times New Roman" w:hAnsi="Times New Roman"/>
            <w:sz w:val="17"/>
            <w:szCs w:val="17"/>
            <w:color w:val="auto"/>
          </w:rPr>
          <w:t>Specimen 6.875% Series D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17">
        <w:r>
          <w:rPr>
            <w:rFonts w:ascii="Times New Roman" w:cs="Times New Roman" w:eastAsia="Times New Roman" w:hAnsi="Times New Roman"/>
            <w:sz w:val="17"/>
            <w:szCs w:val="17"/>
            <w:color w:val="auto"/>
          </w:rPr>
          <w:t>Form 8-A (File No. 001-34057), filed March 6, 2019.</w:t>
        </w:r>
      </w:hyperlink>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19">
        <w:r>
          <w:rPr>
            <w:rFonts w:ascii="Times New Roman" w:cs="Times New Roman" w:eastAsia="Times New Roman" w:hAnsi="Times New Roman"/>
            <w:sz w:val="17"/>
            <w:szCs w:val="17"/>
            <w:color w:val="auto"/>
          </w:rPr>
          <w:t>*4.6</w:t>
        </w:r>
      </w:hyperlink>
      <w:r>
        <w:rPr>
          <w:rFonts w:ascii="Times New Roman" w:cs="Times New Roman" w:eastAsia="Times New Roman" w:hAnsi="Times New Roman"/>
          <w:sz w:val="17"/>
          <w:szCs w:val="17"/>
          <w:color w:val="auto"/>
        </w:rPr>
        <w:tab/>
      </w:r>
      <w:hyperlink r:id="rId119">
        <w:r>
          <w:rPr>
            <w:rFonts w:ascii="Times New Roman" w:cs="Times New Roman" w:eastAsia="Times New Roman" w:hAnsi="Times New Roman"/>
            <w:sz w:val="17"/>
            <w:szCs w:val="17"/>
            <w:color w:val="auto"/>
          </w:rPr>
          <w:t>Specimen 6.50% Series E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19">
        <w:r>
          <w:rPr>
            <w:rFonts w:ascii="Times New Roman" w:cs="Times New Roman" w:eastAsia="Times New Roman" w:hAnsi="Times New Roman"/>
            <w:sz w:val="17"/>
            <w:szCs w:val="17"/>
            <w:color w:val="auto"/>
          </w:rPr>
          <w:t>Form 8-A (File No. 001-34057), filed October 3, 2019.</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20">
        <w:r>
          <w:rPr>
            <w:rFonts w:ascii="Times New Roman" w:cs="Times New Roman" w:eastAsia="Times New Roman" w:hAnsi="Times New Roman"/>
            <w:sz w:val="17"/>
            <w:szCs w:val="17"/>
            <w:color w:val="auto"/>
          </w:rPr>
          <w:t>*4.7</w:t>
        </w:r>
      </w:hyperlink>
      <w:r>
        <w:rPr>
          <w:rFonts w:ascii="Times New Roman" w:cs="Times New Roman" w:eastAsia="Times New Roman" w:hAnsi="Times New Roman"/>
          <w:sz w:val="17"/>
          <w:szCs w:val="17"/>
          <w:color w:val="auto"/>
        </w:rPr>
        <w:tab/>
      </w:r>
      <w:hyperlink r:id="rId120">
        <w:r>
          <w:rPr>
            <w:rFonts w:ascii="Times New Roman" w:cs="Times New Roman" w:eastAsia="Times New Roman" w:hAnsi="Times New Roman"/>
            <w:sz w:val="17"/>
            <w:szCs w:val="17"/>
            <w:color w:val="auto"/>
          </w:rPr>
          <w:t>Specimen 6.125% Series F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20">
        <w:r>
          <w:rPr>
            <w:rFonts w:ascii="Times New Roman" w:cs="Times New Roman" w:eastAsia="Times New Roman" w:hAnsi="Times New Roman"/>
            <w:sz w:val="17"/>
            <w:szCs w:val="17"/>
            <w:color w:val="auto"/>
          </w:rPr>
          <w:t>Form 8-A (File No 001-34057), filed February 11, 2020.</w:t>
        </w:r>
      </w:hyperlink>
    </w:p>
    <w:p>
      <w:pPr>
        <w:spacing w:after="0" w:line="94" w:lineRule="exact"/>
        <w:rPr>
          <w:rFonts w:ascii="Times New Roman" w:cs="Times New Roman" w:eastAsia="Times New Roman" w:hAnsi="Times New Roman"/>
          <w:sz w:val="17"/>
          <w:szCs w:val="17"/>
          <w:color w:val="auto"/>
        </w:rPr>
      </w:pPr>
    </w:p>
    <w:p>
      <w:pPr>
        <w:spacing w:after="0"/>
        <w:tabs>
          <w:tab w:leader="none" w:pos="460" w:val="left"/>
        </w:tabs>
        <w:rPr>
          <w:rFonts w:ascii="Times New Roman" w:cs="Times New Roman" w:eastAsia="Times New Roman" w:hAnsi="Times New Roman"/>
          <w:sz w:val="17"/>
          <w:szCs w:val="17"/>
          <w:color w:val="auto"/>
        </w:rPr>
      </w:pPr>
      <w:hyperlink r:id="rId121">
        <w:r>
          <w:rPr>
            <w:rFonts w:ascii="Times New Roman" w:cs="Times New Roman" w:eastAsia="Times New Roman" w:hAnsi="Times New Roman"/>
            <w:sz w:val="17"/>
            <w:szCs w:val="17"/>
            <w:color w:val="auto"/>
          </w:rPr>
          <w:t>*4.8</w:t>
        </w:r>
      </w:hyperlink>
      <w:r>
        <w:rPr>
          <w:rFonts w:ascii="Times New Roman" w:cs="Times New Roman" w:eastAsia="Times New Roman" w:hAnsi="Times New Roman"/>
          <w:sz w:val="17"/>
          <w:szCs w:val="17"/>
          <w:color w:val="auto"/>
        </w:rPr>
        <w:tab/>
      </w:r>
      <w:hyperlink r:id="rId121">
        <w:r>
          <w:rPr>
            <w:rFonts w:ascii="Times New Roman" w:cs="Times New Roman" w:eastAsia="Times New Roman" w:hAnsi="Times New Roman"/>
            <w:sz w:val="17"/>
            <w:szCs w:val="17"/>
            <w:color w:val="auto"/>
          </w:rPr>
          <w:t>Specimen 7.75% Series G Fixed-Rate Reset Cumulative Redeemable Preferred Stock Certificate, incorporated herein by reference to Exhibit 4.1 of Form</w:t>
        </w:r>
      </w:hyperlink>
    </w:p>
    <w:p>
      <w:pPr>
        <w:spacing w:after="0" w:line="32" w:lineRule="exact"/>
        <w:rPr>
          <w:sz w:val="20"/>
          <w:szCs w:val="20"/>
          <w:color w:val="auto"/>
        </w:rPr>
      </w:pPr>
    </w:p>
    <w:p>
      <w:pPr>
        <w:ind w:left="1260"/>
        <w:spacing w:after="0"/>
        <w:rPr>
          <w:rFonts w:ascii="Times New Roman" w:cs="Times New Roman" w:eastAsia="Times New Roman" w:hAnsi="Times New Roman"/>
          <w:sz w:val="17"/>
          <w:szCs w:val="17"/>
          <w:color w:val="auto"/>
        </w:rPr>
      </w:pPr>
      <w:hyperlink r:id="rId121">
        <w:r>
          <w:rPr>
            <w:rFonts w:ascii="Times New Roman" w:cs="Times New Roman" w:eastAsia="Times New Roman" w:hAnsi="Times New Roman"/>
            <w:sz w:val="17"/>
            <w:szCs w:val="17"/>
            <w:color w:val="auto"/>
          </w:rPr>
          <w:t>8-A (File No 001-34057), filed September 14, 2022.</w:t>
        </w:r>
      </w:hyperlink>
    </w:p>
    <w:p>
      <w:pPr>
        <w:spacing w:after="0" w:line="152" w:lineRule="exact"/>
        <w:rPr>
          <w:sz w:val="20"/>
          <w:szCs w:val="20"/>
          <w:color w:val="auto"/>
        </w:rPr>
      </w:pPr>
    </w:p>
    <w:p>
      <w:pPr>
        <w:jc w:val="both"/>
        <w:ind w:left="520" w:hanging="1254"/>
        <w:spacing w:after="0" w:line="276" w:lineRule="auto"/>
        <w:tabs>
          <w:tab w:leader="none" w:pos="500" w:val="left"/>
        </w:tabs>
        <w:rPr>
          <w:rFonts w:ascii="Times New Roman" w:cs="Times New Roman" w:eastAsia="Times New Roman" w:hAnsi="Times New Roman"/>
          <w:sz w:val="17"/>
          <w:szCs w:val="17"/>
          <w:color w:val="auto"/>
        </w:rPr>
      </w:pPr>
      <w:hyperlink r:id="rId122">
        <w:r>
          <w:rPr>
            <w:rFonts w:ascii="Times New Roman" w:cs="Times New Roman" w:eastAsia="Times New Roman" w:hAnsi="Times New Roman"/>
            <w:sz w:val="17"/>
            <w:szCs w:val="17"/>
            <w:color w:val="auto"/>
          </w:rPr>
          <w:t>*4.9</w:t>
        </w:r>
      </w:hyperlink>
      <w:r>
        <w:rPr>
          <w:rFonts w:ascii="Times New Roman" w:cs="Times New Roman" w:eastAsia="Times New Roman" w:hAnsi="Times New Roman"/>
          <w:sz w:val="17"/>
          <w:szCs w:val="17"/>
          <w:color w:val="auto"/>
        </w:rPr>
        <w:tab/>
      </w:r>
      <w:hyperlink r:id="rId122">
        <w:r>
          <w:rPr>
            <w:rFonts w:ascii="Times New Roman" w:cs="Times New Roman" w:eastAsia="Times New Roman" w:hAnsi="Times New Roman"/>
            <w:sz w:val="17"/>
            <w:szCs w:val="17"/>
            <w:color w:val="auto"/>
          </w:rPr>
          <w:t>Deposit Agreement relating to 7.00% Series C Fixed-to-Floating Rate Cumulative Redeemable Preferred Stock, dated August 22, 2017, among AGNC</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Exhibit 4.2 of Form 8-K (File No. 001-34057) filed August 22, 2017.</w:t>
        </w:r>
      </w:hyperlink>
    </w:p>
    <w:p>
      <w:pPr>
        <w:spacing w:after="0" w:line="110" w:lineRule="exact"/>
        <w:rPr>
          <w:rFonts w:ascii="Times New Roman" w:cs="Times New Roman" w:eastAsia="Times New Roman" w:hAnsi="Times New Roman"/>
          <w:sz w:val="17"/>
          <w:szCs w:val="17"/>
          <w:color w:val="auto"/>
        </w:rPr>
      </w:pPr>
    </w:p>
    <w:p>
      <w:pPr>
        <w:jc w:val="both"/>
        <w:ind w:left="660" w:hanging="1254"/>
        <w:spacing w:after="0" w:line="288" w:lineRule="auto"/>
        <w:tabs>
          <w:tab w:leader="none" w:pos="640" w:val="left"/>
        </w:tabs>
        <w:rPr>
          <w:rFonts w:ascii="Times New Roman" w:cs="Times New Roman" w:eastAsia="Times New Roman" w:hAnsi="Times New Roman"/>
          <w:sz w:val="17"/>
          <w:szCs w:val="17"/>
          <w:color w:val="auto"/>
        </w:rPr>
      </w:pPr>
      <w:hyperlink r:id="rId122">
        <w:r>
          <w:rPr>
            <w:rFonts w:ascii="Times New Roman" w:cs="Times New Roman" w:eastAsia="Times New Roman" w:hAnsi="Times New Roman"/>
            <w:sz w:val="17"/>
            <w:szCs w:val="17"/>
            <w:color w:val="auto"/>
          </w:rPr>
          <w:t>*4.10</w:t>
        </w:r>
      </w:hyperlink>
      <w:r>
        <w:rPr>
          <w:rFonts w:ascii="Times New Roman" w:cs="Times New Roman" w:eastAsia="Times New Roman" w:hAnsi="Times New Roman"/>
          <w:sz w:val="17"/>
          <w:szCs w:val="17"/>
          <w:color w:val="auto"/>
        </w:rPr>
        <w:tab/>
      </w:r>
      <w:hyperlink r:id="rId122">
        <w:r>
          <w:rPr>
            <w:rFonts w:ascii="Times New Roman" w:cs="Times New Roman" w:eastAsia="Times New Roman" w:hAnsi="Times New Roman"/>
            <w:sz w:val="17"/>
            <w:szCs w:val="17"/>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(included as part of Exhibit 4.9), incorporated herein by reference to Exhibit A of Exhibit 4.2 of Form 8-K (File No. 001-34057) filed August</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22, 2017.</w:t>
        </w:r>
      </w:hyperlink>
    </w:p>
    <w:p>
      <w:pPr>
        <w:spacing w:after="0" w:line="315" w:lineRule="exact"/>
        <w:rPr>
          <w:rFonts w:ascii="Times New Roman" w:cs="Times New Roman" w:eastAsia="Times New Roman" w:hAnsi="Times New Roman"/>
          <w:sz w:val="17"/>
          <w:szCs w:val="17"/>
          <w:color w:val="auto"/>
        </w:rPr>
      </w:pPr>
    </w:p>
    <w:p>
      <w:pPr>
        <w:jc w:val="both"/>
        <w:ind w:left="600" w:hanging="1254"/>
        <w:spacing w:after="0" w:line="276" w:lineRule="auto"/>
        <w:tabs>
          <w:tab w:leader="none" w:pos="580" w:val="left"/>
        </w:tabs>
        <w:rPr>
          <w:rFonts w:ascii="Times New Roman" w:cs="Times New Roman" w:eastAsia="Times New Roman" w:hAnsi="Times New Roman"/>
          <w:sz w:val="17"/>
          <w:szCs w:val="17"/>
          <w:color w:val="auto"/>
        </w:rPr>
      </w:pPr>
      <w:hyperlink r:id="rId123">
        <w:r>
          <w:rPr>
            <w:rFonts w:ascii="Times New Roman" w:cs="Times New Roman" w:eastAsia="Times New Roman" w:hAnsi="Times New Roman"/>
            <w:sz w:val="17"/>
            <w:szCs w:val="17"/>
            <w:color w:val="auto"/>
          </w:rPr>
          <w:t>*4.11</w:t>
        </w:r>
      </w:hyperlink>
      <w:r>
        <w:rPr>
          <w:rFonts w:ascii="Times New Roman" w:cs="Times New Roman" w:eastAsia="Times New Roman" w:hAnsi="Times New Roman"/>
          <w:sz w:val="17"/>
          <w:szCs w:val="17"/>
          <w:color w:val="auto"/>
        </w:rPr>
        <w:tab/>
      </w:r>
      <w:hyperlink r:id="rId123">
        <w:r>
          <w:rPr>
            <w:rFonts w:ascii="Times New Roman" w:cs="Times New Roman" w:eastAsia="Times New Roman" w:hAnsi="Times New Roman"/>
            <w:sz w:val="17"/>
            <w:szCs w:val="17"/>
            <w:color w:val="auto"/>
          </w:rPr>
          <w:t>Deposit Agreement relating to 6.875% Series D Fixed-to-Floating Rate Cumulative Redeemable Preferred Stock, dated March 6, 2019, among AGNC</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Exhibit 4.2 of Form 8-K (File No. 001-34057) filed March 6, 2019.</w:t>
        </w:r>
      </w:hyperlink>
    </w:p>
    <w:p>
      <w:pPr>
        <w:spacing w:after="0" w:line="110" w:lineRule="exact"/>
        <w:rPr>
          <w:rFonts w:ascii="Times New Roman" w:cs="Times New Roman" w:eastAsia="Times New Roman" w:hAnsi="Times New Roman"/>
          <w:sz w:val="17"/>
          <w:szCs w:val="17"/>
          <w:color w:val="auto"/>
        </w:rPr>
      </w:pPr>
    </w:p>
    <w:p>
      <w:pPr>
        <w:jc w:val="both"/>
        <w:ind w:left="640" w:hanging="1254"/>
        <w:spacing w:after="0" w:line="288" w:lineRule="auto"/>
        <w:tabs>
          <w:tab w:leader="none" w:pos="620" w:val="left"/>
        </w:tabs>
        <w:rPr>
          <w:rFonts w:ascii="Times New Roman" w:cs="Times New Roman" w:eastAsia="Times New Roman" w:hAnsi="Times New Roman"/>
          <w:sz w:val="17"/>
          <w:szCs w:val="17"/>
          <w:color w:val="auto"/>
        </w:rPr>
      </w:pPr>
      <w:hyperlink r:id="rId123">
        <w:r>
          <w:rPr>
            <w:rFonts w:ascii="Times New Roman" w:cs="Times New Roman" w:eastAsia="Times New Roman" w:hAnsi="Times New Roman"/>
            <w:sz w:val="17"/>
            <w:szCs w:val="17"/>
            <w:color w:val="auto"/>
          </w:rPr>
          <w:t>*4.12</w:t>
        </w:r>
      </w:hyperlink>
      <w:r>
        <w:rPr>
          <w:rFonts w:ascii="Times New Roman" w:cs="Times New Roman" w:eastAsia="Times New Roman" w:hAnsi="Times New Roman"/>
          <w:sz w:val="17"/>
          <w:szCs w:val="17"/>
          <w:color w:val="auto"/>
        </w:rPr>
        <w:tab/>
      </w:r>
      <w:hyperlink r:id="rId123">
        <w:r>
          <w:rPr>
            <w:rFonts w:ascii="Times New Roman" w:cs="Times New Roman" w:eastAsia="Times New Roman" w:hAnsi="Times New Roman"/>
            <w:sz w:val="17"/>
            <w:szCs w:val="17"/>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(included as part of Exhibit 4.11), incorporated herein by reference to Exhibit A of Exhibit 4.2 of Form 8-K (File No. 001-34057) filed March</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6, 2019.</w:t>
        </w:r>
      </w:hyperlink>
    </w:p>
    <w:p>
      <w:pPr>
        <w:spacing w:after="0" w:line="315" w:lineRule="exact"/>
        <w:rPr>
          <w:rFonts w:ascii="Times New Roman" w:cs="Times New Roman" w:eastAsia="Times New Roman" w:hAnsi="Times New Roman"/>
          <w:sz w:val="17"/>
          <w:szCs w:val="17"/>
          <w:color w:val="auto"/>
        </w:rPr>
      </w:pPr>
    </w:p>
    <w:p>
      <w:pPr>
        <w:ind w:left="580" w:right="180" w:hanging="1254"/>
        <w:spacing w:after="0" w:line="276" w:lineRule="auto"/>
        <w:tabs>
          <w:tab w:leader="none" w:pos="560" w:val="left"/>
        </w:tabs>
        <w:rPr>
          <w:rFonts w:ascii="Times New Roman" w:cs="Times New Roman" w:eastAsia="Times New Roman" w:hAnsi="Times New Roman"/>
          <w:sz w:val="17"/>
          <w:szCs w:val="17"/>
          <w:color w:val="auto"/>
        </w:rPr>
      </w:pPr>
      <w:hyperlink r:id="rId124">
        <w:r>
          <w:rPr>
            <w:rFonts w:ascii="Times New Roman" w:cs="Times New Roman" w:eastAsia="Times New Roman" w:hAnsi="Times New Roman"/>
            <w:sz w:val="17"/>
            <w:szCs w:val="17"/>
            <w:color w:val="auto"/>
          </w:rPr>
          <w:t>*4.13</w:t>
        </w:r>
      </w:hyperlink>
      <w:r>
        <w:rPr>
          <w:rFonts w:ascii="Times New Roman" w:cs="Times New Roman" w:eastAsia="Times New Roman" w:hAnsi="Times New Roman"/>
          <w:sz w:val="17"/>
          <w:szCs w:val="17"/>
          <w:color w:val="auto"/>
        </w:rPr>
        <w:tab/>
      </w:r>
      <w:hyperlink r:id="rId124">
        <w:r>
          <w:rPr>
            <w:rFonts w:ascii="Times New Roman" w:cs="Times New Roman" w:eastAsia="Times New Roman" w:hAnsi="Times New Roman"/>
            <w:sz w:val="17"/>
            <w:szCs w:val="17"/>
            <w:color w:val="auto"/>
          </w:rPr>
          <w:t>Deposit Agreement relating to 6.50% Series E Fixed-to-Floating Rate Cumulative Redeemable Preferred Stock, dated October 3, 2019, among AGNC</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Exhibit 4.2 of Form 8-K (File No. 001-34057) filed October 3, 2019.</w:t>
        </w:r>
      </w:hyperlink>
    </w:p>
    <w:p>
      <w:pPr>
        <w:spacing w:after="0" w:line="110" w:lineRule="exact"/>
        <w:rPr>
          <w:rFonts w:ascii="Times New Roman" w:cs="Times New Roman" w:eastAsia="Times New Roman" w:hAnsi="Times New Roman"/>
          <w:sz w:val="17"/>
          <w:szCs w:val="17"/>
          <w:color w:val="auto"/>
        </w:rPr>
      </w:pPr>
    </w:p>
    <w:p>
      <w:pPr>
        <w:jc w:val="both"/>
        <w:ind w:left="580" w:right="560" w:hanging="1254"/>
        <w:spacing w:after="0" w:line="276" w:lineRule="auto"/>
        <w:tabs>
          <w:tab w:leader="none" w:pos="560" w:val="left"/>
        </w:tabs>
        <w:rPr>
          <w:rFonts w:ascii="Times New Roman" w:cs="Times New Roman" w:eastAsia="Times New Roman" w:hAnsi="Times New Roman"/>
          <w:sz w:val="17"/>
          <w:szCs w:val="17"/>
          <w:color w:val="auto"/>
        </w:rPr>
      </w:pPr>
      <w:hyperlink r:id="rId124">
        <w:r>
          <w:rPr>
            <w:rFonts w:ascii="Times New Roman" w:cs="Times New Roman" w:eastAsia="Times New Roman" w:hAnsi="Times New Roman"/>
            <w:sz w:val="17"/>
            <w:szCs w:val="17"/>
            <w:color w:val="auto"/>
          </w:rPr>
          <w:t>*4.14</w:t>
        </w:r>
      </w:hyperlink>
      <w:r>
        <w:rPr>
          <w:rFonts w:ascii="Times New Roman" w:cs="Times New Roman" w:eastAsia="Times New Roman" w:hAnsi="Times New Roman"/>
          <w:sz w:val="17"/>
          <w:szCs w:val="17"/>
          <w:color w:val="auto"/>
        </w:rPr>
        <w:tab/>
      </w:r>
      <w:hyperlink r:id="rId124">
        <w:r>
          <w:rPr>
            <w:rFonts w:ascii="Times New Roman" w:cs="Times New Roman" w:eastAsia="Times New Roman" w:hAnsi="Times New Roman"/>
            <w:sz w:val="17"/>
            <w:szCs w:val="17"/>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(included as part of Exhibit 4.13), incorporated herein by reference to Exhibit A of Exhibit 4.2 of Form 8-K (File No. 001-34057) filed</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October 3, 2019.</w:t>
        </w:r>
      </w:hyperlink>
    </w:p>
    <w:p>
      <w:pPr>
        <w:spacing w:after="0" w:line="110" w:lineRule="exact"/>
        <w:rPr>
          <w:rFonts w:ascii="Times New Roman" w:cs="Times New Roman" w:eastAsia="Times New Roman" w:hAnsi="Times New Roman"/>
          <w:sz w:val="17"/>
          <w:szCs w:val="17"/>
          <w:color w:val="auto"/>
        </w:rPr>
      </w:pPr>
    </w:p>
    <w:p>
      <w:pPr>
        <w:ind w:left="580" w:right="500" w:hanging="1254"/>
        <w:spacing w:after="0" w:line="276" w:lineRule="auto"/>
        <w:tabs>
          <w:tab w:leader="none" w:pos="560" w:val="left"/>
        </w:tabs>
        <w:rPr>
          <w:rFonts w:ascii="Times New Roman" w:cs="Times New Roman" w:eastAsia="Times New Roman" w:hAnsi="Times New Roman"/>
          <w:sz w:val="17"/>
          <w:szCs w:val="17"/>
          <w:color w:val="auto"/>
        </w:rPr>
      </w:pPr>
      <w:hyperlink r:id="rId125">
        <w:r>
          <w:rPr>
            <w:rFonts w:ascii="Times New Roman" w:cs="Times New Roman" w:eastAsia="Times New Roman" w:hAnsi="Times New Roman"/>
            <w:sz w:val="17"/>
            <w:szCs w:val="17"/>
            <w:color w:val="auto"/>
          </w:rPr>
          <w:t>*4.15</w:t>
        </w:r>
      </w:hyperlink>
      <w:r>
        <w:rPr>
          <w:rFonts w:ascii="Times New Roman" w:cs="Times New Roman" w:eastAsia="Times New Roman" w:hAnsi="Times New Roman"/>
          <w:sz w:val="17"/>
          <w:szCs w:val="17"/>
          <w:color w:val="auto"/>
        </w:rPr>
        <w:tab/>
      </w:r>
      <w:hyperlink r:id="rId125">
        <w:r>
          <w:rPr>
            <w:rFonts w:ascii="Times New Roman" w:cs="Times New Roman" w:eastAsia="Times New Roman" w:hAnsi="Times New Roman"/>
            <w:sz w:val="17"/>
            <w:szCs w:val="17"/>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AGNC Investment Corp., Computershare Inc. and Computershare Trust Company, N.A., jointly as depositary, incorporated herein by</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reference to Exhibit 4.1 of Form 8-K (File No. 001-34057) filed February 11, 2020.</w:t>
        </w:r>
      </w:hyperlink>
    </w:p>
    <w:p>
      <w:pPr>
        <w:spacing w:after="0" w:line="110" w:lineRule="exact"/>
        <w:rPr>
          <w:rFonts w:ascii="Times New Roman" w:cs="Times New Roman" w:eastAsia="Times New Roman" w:hAnsi="Times New Roman"/>
          <w:sz w:val="17"/>
          <w:szCs w:val="17"/>
          <w:color w:val="auto"/>
        </w:rPr>
      </w:pPr>
    </w:p>
    <w:p>
      <w:pPr>
        <w:ind w:left="580" w:right="480" w:hanging="1254"/>
        <w:spacing w:after="0" w:line="276" w:lineRule="auto"/>
        <w:tabs>
          <w:tab w:leader="none" w:pos="560" w:val="left"/>
        </w:tabs>
        <w:rPr>
          <w:rFonts w:ascii="Times New Roman" w:cs="Times New Roman" w:eastAsia="Times New Roman" w:hAnsi="Times New Roman"/>
          <w:sz w:val="17"/>
          <w:szCs w:val="17"/>
          <w:color w:val="auto"/>
        </w:rPr>
      </w:pPr>
      <w:hyperlink r:id="rId125">
        <w:r>
          <w:rPr>
            <w:rFonts w:ascii="Times New Roman" w:cs="Times New Roman" w:eastAsia="Times New Roman" w:hAnsi="Times New Roman"/>
            <w:sz w:val="17"/>
            <w:szCs w:val="17"/>
            <w:color w:val="auto"/>
          </w:rPr>
          <w:t>*4.16</w:t>
        </w:r>
      </w:hyperlink>
      <w:r>
        <w:rPr>
          <w:rFonts w:ascii="Times New Roman" w:cs="Times New Roman" w:eastAsia="Times New Roman" w:hAnsi="Times New Roman"/>
          <w:sz w:val="17"/>
          <w:szCs w:val="17"/>
          <w:color w:val="auto"/>
        </w:rPr>
        <w:tab/>
      </w:r>
      <w:hyperlink r:id="rId125">
        <w:r>
          <w:rPr>
            <w:rFonts w:ascii="Times New Roman" w:cs="Times New Roman" w:eastAsia="Times New Roman" w:hAnsi="Times New Roman"/>
            <w:sz w:val="17"/>
            <w:szCs w:val="17"/>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(included as part of Exhibit 4.15), incorporated herein by reference to Exhibit A of Exhibit 4.1 of Form 8-K (File No. 001-34057) filed</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February 11, 2020.</w:t>
        </w:r>
      </w:hyperlink>
    </w:p>
    <w:p>
      <w:pPr>
        <w:spacing w:after="0" w:line="110" w:lineRule="exact"/>
        <w:rPr>
          <w:rFonts w:ascii="Times New Roman" w:cs="Times New Roman" w:eastAsia="Times New Roman" w:hAnsi="Times New Roman"/>
          <w:sz w:val="17"/>
          <w:szCs w:val="17"/>
          <w:color w:val="auto"/>
        </w:rPr>
      </w:pPr>
    </w:p>
    <w:p>
      <w:pPr>
        <w:jc w:val="both"/>
        <w:ind w:left="580" w:right="280" w:hanging="1254"/>
        <w:spacing w:after="0" w:line="276" w:lineRule="auto"/>
        <w:tabs>
          <w:tab w:leader="none" w:pos="560" w:val="left"/>
        </w:tabs>
        <w:rPr>
          <w:rFonts w:ascii="Times New Roman" w:cs="Times New Roman" w:eastAsia="Times New Roman" w:hAnsi="Times New Roman"/>
          <w:sz w:val="17"/>
          <w:szCs w:val="17"/>
          <w:color w:val="auto"/>
        </w:rPr>
      </w:pPr>
      <w:hyperlink r:id="rId126">
        <w:r>
          <w:rPr>
            <w:rFonts w:ascii="Times New Roman" w:cs="Times New Roman" w:eastAsia="Times New Roman" w:hAnsi="Times New Roman"/>
            <w:sz w:val="17"/>
            <w:szCs w:val="17"/>
            <w:color w:val="auto"/>
          </w:rPr>
          <w:t>*4.17</w:t>
        </w:r>
      </w:hyperlink>
      <w:r>
        <w:rPr>
          <w:rFonts w:ascii="Times New Roman" w:cs="Times New Roman" w:eastAsia="Times New Roman" w:hAnsi="Times New Roman"/>
          <w:sz w:val="17"/>
          <w:szCs w:val="17"/>
          <w:color w:val="auto"/>
        </w:rPr>
        <w:tab/>
      </w:r>
      <w:hyperlink r:id="rId126">
        <w:r>
          <w:rPr>
            <w:rFonts w:ascii="Times New Roman" w:cs="Times New Roman" w:eastAsia="Times New Roman" w:hAnsi="Times New Roman"/>
            <w:sz w:val="17"/>
            <w:szCs w:val="17"/>
            <w:color w:val="auto"/>
          </w:rPr>
          <w:t>Deposit Agreement relating to 7.75% Series G Fixed-Rate Reset Cumulative Redeemable Preferred Stock, dated September 14, 2022, among AGNC</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Exhibit 4.2 of Form 8-K (File No. 001-34057) filed September 14, 2022.</w:t>
        </w:r>
      </w:hyperlink>
    </w:p>
    <w:p>
      <w:pPr>
        <w:spacing w:after="0" w:line="110" w:lineRule="exact"/>
        <w:rPr>
          <w:rFonts w:ascii="Times New Roman" w:cs="Times New Roman" w:eastAsia="Times New Roman" w:hAnsi="Times New Roman"/>
          <w:sz w:val="17"/>
          <w:szCs w:val="17"/>
          <w:color w:val="auto"/>
        </w:rPr>
      </w:pPr>
    </w:p>
    <w:p>
      <w:pPr>
        <w:ind w:left="580" w:right="40" w:hanging="1254"/>
        <w:spacing w:after="0" w:line="288" w:lineRule="auto"/>
        <w:tabs>
          <w:tab w:leader="none" w:pos="560" w:val="left"/>
        </w:tabs>
        <w:rPr>
          <w:rFonts w:ascii="Times New Roman" w:cs="Times New Roman" w:eastAsia="Times New Roman" w:hAnsi="Times New Roman"/>
          <w:sz w:val="17"/>
          <w:szCs w:val="17"/>
          <w:color w:val="auto"/>
        </w:rPr>
      </w:pPr>
      <w:hyperlink r:id="rId126">
        <w:r>
          <w:rPr>
            <w:rFonts w:ascii="Times New Roman" w:cs="Times New Roman" w:eastAsia="Times New Roman" w:hAnsi="Times New Roman"/>
            <w:sz w:val="17"/>
            <w:szCs w:val="17"/>
            <w:color w:val="auto"/>
          </w:rPr>
          <w:t>*4.18</w:t>
        </w:r>
      </w:hyperlink>
      <w:r>
        <w:rPr>
          <w:rFonts w:ascii="Times New Roman" w:cs="Times New Roman" w:eastAsia="Times New Roman" w:hAnsi="Times New Roman"/>
          <w:sz w:val="17"/>
          <w:szCs w:val="17"/>
          <w:color w:val="auto"/>
        </w:rPr>
        <w:tab/>
      </w:r>
      <w:hyperlink r:id="rId126">
        <w:r>
          <w:rPr>
            <w:rFonts w:ascii="Times New Roman" w:cs="Times New Roman" w:eastAsia="Times New Roman" w:hAnsi="Times New Roman"/>
            <w:sz w:val="17"/>
            <w:szCs w:val="17"/>
            <w:color w:val="auto"/>
          </w:rPr>
          <w:t>Form of Depositary Receipt representing 1/1,000th of a share of 7.75% Series G Fixed-Rate Reset Cumulative Redeemable Preferred Stock (included as</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part of Exhibit 4.17), incorporated herein by reference to Exhibit A of Exhibit 4.2 of Form 8-K (File No. 001-34057) filed September 14,</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2022.</w:t>
        </w:r>
      </w:hyperlink>
    </w:p>
    <w:p>
      <w:pPr>
        <w:spacing w:after="0" w:line="315" w:lineRule="exact"/>
        <w:rPr>
          <w:rFonts w:ascii="Times New Roman" w:cs="Times New Roman" w:eastAsia="Times New Roman" w:hAnsi="Times New Roman"/>
          <w:sz w:val="17"/>
          <w:szCs w:val="17"/>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4.19</w:t>
        <w:tab/>
        <w:t>Description of the Registrant’s Securities, filed herewith.</w:t>
      </w:r>
    </w:p>
    <w:p>
      <w:pPr>
        <w:spacing w:after="0" w:line="170" w:lineRule="exact"/>
        <w:rPr>
          <w:rFonts w:ascii="Times New Roman" w:cs="Times New Roman" w:eastAsia="Times New Roman" w:hAnsi="Times New Roman"/>
          <w:sz w:val="17"/>
          <w:szCs w:val="17"/>
          <w:color w:val="auto"/>
        </w:rPr>
      </w:pPr>
    </w:p>
    <w:p>
      <w:pPr>
        <w:spacing w:after="0"/>
        <w:tabs>
          <w:tab w:leader="none" w:pos="680" w:val="left"/>
        </w:tabs>
        <w:rPr>
          <w:rFonts w:ascii="Times New Roman" w:cs="Times New Roman" w:eastAsia="Times New Roman" w:hAnsi="Times New Roman"/>
          <w:sz w:val="17"/>
          <w:szCs w:val="17"/>
          <w:color w:val="auto"/>
        </w:rPr>
      </w:pPr>
      <w:hyperlink r:id="rId127">
        <w:r>
          <w:rPr>
            <w:rFonts w:ascii="Times New Roman" w:cs="Times New Roman" w:eastAsia="Times New Roman" w:hAnsi="Times New Roman"/>
            <w:sz w:val="17"/>
            <w:szCs w:val="17"/>
            <w:color w:val="auto"/>
          </w:rPr>
          <w:t>†* 10.1</w:t>
        </w:r>
      </w:hyperlink>
      <w:r>
        <w:rPr>
          <w:rFonts w:ascii="Times New Roman" w:cs="Times New Roman" w:eastAsia="Times New Roman" w:hAnsi="Times New Roman"/>
          <w:sz w:val="17"/>
          <w:szCs w:val="17"/>
          <w:color w:val="auto"/>
        </w:rPr>
        <w:tab/>
      </w:r>
      <w:hyperlink r:id="rId128">
        <w:r>
          <w:rPr>
            <w:rFonts w:ascii="Times New Roman" w:cs="Times New Roman" w:eastAsia="Times New Roman" w:hAnsi="Times New Roman"/>
            <w:sz w:val="17"/>
            <w:szCs w:val="17"/>
            <w:color w:val="auto"/>
          </w:rPr>
          <w:t>Form of Indemnification Agreement, incorporated herein by reference to Exhibit 10.1 of Form 8-K (File No. 001-34057) filed October 25, 2021.</w:t>
        </w:r>
      </w:hyperlink>
    </w:p>
    <w:p>
      <w:pPr>
        <w:spacing w:after="0" w:line="170" w:lineRule="exact"/>
        <w:rPr>
          <w:sz w:val="20"/>
          <w:szCs w:val="20"/>
          <w:color w:val="auto"/>
        </w:rPr>
      </w:pPr>
    </w:p>
    <w:p>
      <w:pPr>
        <w:ind w:left="700" w:right="420" w:hanging="1254"/>
        <w:spacing w:after="0" w:line="295" w:lineRule="auto"/>
        <w:tabs>
          <w:tab w:leader="none" w:pos="680" w:val="left"/>
        </w:tabs>
        <w:rPr>
          <w:rFonts w:ascii="Times New Roman" w:cs="Times New Roman" w:eastAsia="Times New Roman" w:hAnsi="Times New Roman"/>
          <w:sz w:val="17"/>
          <w:szCs w:val="17"/>
          <w:color w:val="auto"/>
        </w:rPr>
      </w:pPr>
      <w:hyperlink r:id="rId129">
        <w:r>
          <w:rPr>
            <w:rFonts w:ascii="Times New Roman" w:cs="Times New Roman" w:eastAsia="Times New Roman" w:hAnsi="Times New Roman"/>
            <w:sz w:val="17"/>
            <w:szCs w:val="17"/>
            <w:color w:val="auto"/>
          </w:rPr>
          <w:t>†* 10.2</w:t>
        </w:r>
      </w:hyperlink>
      <w:r>
        <w:rPr>
          <w:rFonts w:ascii="Times New Roman" w:cs="Times New Roman" w:eastAsia="Times New Roman" w:hAnsi="Times New Roman"/>
          <w:sz w:val="17"/>
          <w:szCs w:val="17"/>
          <w:color w:val="auto"/>
        </w:rPr>
        <w:tab/>
      </w:r>
      <w:hyperlink r:id="rId129">
        <w:r>
          <w:rPr>
            <w:rFonts w:ascii="Times New Roman" w:cs="Times New Roman" w:eastAsia="Times New Roman" w:hAnsi="Times New Roman"/>
            <w:sz w:val="17"/>
            <w:szCs w:val="17"/>
            <w:color w:val="auto"/>
          </w:rPr>
          <w:t>Fifth Amended and Restated Employment Agreement, dated December 10, 2020, by and between AGNC Mortgage Management, LLC and Gary</w:t>
        </w:r>
      </w:hyperlink>
      <w:r>
        <w:rPr>
          <w:rFonts w:ascii="Times New Roman" w:cs="Times New Roman" w:eastAsia="Times New Roman" w:hAnsi="Times New Roman"/>
          <w:sz w:val="17"/>
          <w:szCs w:val="17"/>
          <w:color w:val="auto"/>
        </w:rPr>
        <w:t xml:space="preserve"> </w:t>
      </w:r>
      <w:hyperlink r:id="rId129">
        <w:r>
          <w:rPr>
            <w:rFonts w:ascii="Times New Roman" w:cs="Times New Roman" w:eastAsia="Times New Roman" w:hAnsi="Times New Roman"/>
            <w:sz w:val="17"/>
            <w:szCs w:val="17"/>
            <w:color w:val="auto"/>
          </w:rPr>
          <w:t>Kain, incorporated herein by reference to Exhibit 10.1 of Form 8-K (File No. 001-34057), filed December 10, 2020.</w:t>
        </w:r>
      </w:hyperlink>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3" w:name="page84"/>
    <w:bookmarkEnd w:id="83"/>
    <w:p>
      <w:pPr>
        <w:jc w:val="center"/>
        <w:ind w:right="220"/>
        <w:spacing w:after="0" w:line="295" w:lineRule="auto"/>
        <w:rPr>
          <w:rFonts w:ascii="Times New Roman" w:cs="Times New Roman" w:eastAsia="Times New Roman" w:hAnsi="Times New Roman"/>
          <w:sz w:val="17"/>
          <w:szCs w:val="17"/>
          <w:color w:val="auto"/>
        </w:rPr>
      </w:pPr>
      <w:hyperlink r:id="rId131">
        <w:r>
          <w:rPr>
            <w:rFonts w:ascii="Times New Roman" w:cs="Times New Roman" w:eastAsia="Times New Roman" w:hAnsi="Times New Roman"/>
            <w:sz w:val="17"/>
            <w:szCs w:val="17"/>
            <w:color w:val="auto"/>
          </w:rPr>
          <w:t>†* 10.3  Second Amended and Restated Employment Agreement, dated December 10, 2020, by and between AGNC Mortgage Management, LLC and Peter</w:t>
        </w:r>
      </w:hyperlink>
      <w:r>
        <w:rPr>
          <w:rFonts w:ascii="Times New Roman" w:cs="Times New Roman" w:eastAsia="Times New Roman" w:hAnsi="Times New Roman"/>
          <w:sz w:val="17"/>
          <w:szCs w:val="17"/>
          <w:color w:val="auto"/>
        </w:rPr>
        <w:t xml:space="preserve"> </w:t>
      </w:r>
      <w:hyperlink r:id="rId131">
        <w:r>
          <w:rPr>
            <w:rFonts w:ascii="Times New Roman" w:cs="Times New Roman" w:eastAsia="Times New Roman" w:hAnsi="Times New Roman"/>
            <w:sz w:val="17"/>
            <w:szCs w:val="17"/>
            <w:color w:val="auto"/>
          </w:rPr>
          <w:t>Federico, incorporated herein by reference to Exhibit 10.2 of Form 8-K (File No. 001-34057), filed December 10, 2020.</w:t>
        </w:r>
      </w:hyperlink>
    </w:p>
    <w:p>
      <w:pPr>
        <w:spacing w:after="0" w:line="94" w:lineRule="exact"/>
        <w:rPr>
          <w:sz w:val="20"/>
          <w:szCs w:val="20"/>
          <w:color w:val="auto"/>
        </w:rPr>
      </w:pPr>
    </w:p>
    <w:p>
      <w:pPr>
        <w:ind w:left="700" w:right="260" w:hanging="1254"/>
        <w:spacing w:after="0" w:line="295" w:lineRule="auto"/>
        <w:tabs>
          <w:tab w:leader="none" w:pos="680" w:val="left"/>
        </w:tabs>
        <w:rPr>
          <w:rFonts w:ascii="Times New Roman" w:cs="Times New Roman" w:eastAsia="Times New Roman" w:hAnsi="Times New Roman"/>
          <w:sz w:val="17"/>
          <w:szCs w:val="17"/>
          <w:color w:val="auto"/>
        </w:rPr>
      </w:pPr>
      <w:hyperlink r:id="rId132">
        <w:r>
          <w:rPr>
            <w:rFonts w:ascii="Times New Roman" w:cs="Times New Roman" w:eastAsia="Times New Roman" w:hAnsi="Times New Roman"/>
            <w:sz w:val="17"/>
            <w:szCs w:val="17"/>
            <w:color w:val="auto"/>
          </w:rPr>
          <w:t>†* 10.4</w:t>
        </w:r>
      </w:hyperlink>
      <w:r>
        <w:rPr>
          <w:rFonts w:ascii="Times New Roman" w:cs="Times New Roman" w:eastAsia="Times New Roman" w:hAnsi="Times New Roman"/>
          <w:sz w:val="17"/>
          <w:szCs w:val="17"/>
          <w:color w:val="auto"/>
        </w:rPr>
        <w:tab/>
      </w:r>
      <w:hyperlink r:id="rId132">
        <w:r>
          <w:rPr>
            <w:rFonts w:ascii="Times New Roman" w:cs="Times New Roman" w:eastAsia="Times New Roman" w:hAnsi="Times New Roman"/>
            <w:sz w:val="17"/>
            <w:szCs w:val="17"/>
            <w:color w:val="auto"/>
          </w:rPr>
          <w:t>First Amendment to Second Amended and Restated Employment Agreement dated January 31, 2023 between AGNC Mortgage Management, LLC</w:t>
        </w:r>
      </w:hyperlink>
      <w:r>
        <w:rPr>
          <w:rFonts w:ascii="Times New Roman" w:cs="Times New Roman" w:eastAsia="Times New Roman" w:hAnsi="Times New Roman"/>
          <w:sz w:val="17"/>
          <w:szCs w:val="17"/>
          <w:color w:val="auto"/>
        </w:rPr>
        <w:t xml:space="preserve"> </w:t>
      </w:r>
      <w:hyperlink r:id="rId132">
        <w:r>
          <w:rPr>
            <w:rFonts w:ascii="Times New Roman" w:cs="Times New Roman" w:eastAsia="Times New Roman" w:hAnsi="Times New Roman"/>
            <w:sz w:val="17"/>
            <w:szCs w:val="17"/>
            <w:color w:val="auto"/>
          </w:rPr>
          <w:t>and Peter Federico, incorporated herein by reference to Exhibit 10.4 of Form 10-K (File No. 001-34057), filed February 27, 2023.</w:t>
        </w:r>
      </w:hyperlink>
    </w:p>
    <w:p>
      <w:pPr>
        <w:spacing w:after="0" w:line="94" w:lineRule="exact"/>
        <w:rPr>
          <w:rFonts w:ascii="Times New Roman" w:cs="Times New Roman" w:eastAsia="Times New Roman" w:hAnsi="Times New Roman"/>
          <w:sz w:val="17"/>
          <w:szCs w:val="17"/>
          <w:color w:val="auto"/>
        </w:rPr>
      </w:pPr>
    </w:p>
    <w:p>
      <w:pPr>
        <w:ind w:left="700" w:right="620" w:hanging="1254"/>
        <w:spacing w:after="0" w:line="295" w:lineRule="auto"/>
        <w:tabs>
          <w:tab w:leader="none" w:pos="680" w:val="left"/>
        </w:tabs>
        <w:rPr>
          <w:rFonts w:ascii="Times New Roman" w:cs="Times New Roman" w:eastAsia="Times New Roman" w:hAnsi="Times New Roman"/>
          <w:sz w:val="17"/>
          <w:szCs w:val="17"/>
          <w:color w:val="auto"/>
        </w:rPr>
      </w:pPr>
      <w:hyperlink r:id="rId133">
        <w:r>
          <w:rPr>
            <w:rFonts w:ascii="Times New Roman" w:cs="Times New Roman" w:eastAsia="Times New Roman" w:hAnsi="Times New Roman"/>
            <w:sz w:val="17"/>
            <w:szCs w:val="17"/>
            <w:color w:val="auto"/>
          </w:rPr>
          <w:t>†* 10.5</w:t>
        </w:r>
      </w:hyperlink>
      <w:r>
        <w:rPr>
          <w:rFonts w:ascii="Times New Roman" w:cs="Times New Roman" w:eastAsia="Times New Roman" w:hAnsi="Times New Roman"/>
          <w:sz w:val="17"/>
          <w:szCs w:val="17"/>
          <w:color w:val="auto"/>
        </w:rPr>
        <w:tab/>
      </w:r>
      <w:hyperlink r:id="rId133">
        <w:r>
          <w:rPr>
            <w:rFonts w:ascii="Times New Roman" w:cs="Times New Roman" w:eastAsia="Times New Roman" w:hAnsi="Times New Roman"/>
            <w:sz w:val="17"/>
            <w:szCs w:val="17"/>
            <w:color w:val="auto"/>
          </w:rPr>
          <w:t>Second Amended and Restated Employment Agreement, dated December 10, 2020, by and between AGNC Mortgage Management, LLC and</w:t>
        </w:r>
      </w:hyperlink>
      <w:r>
        <w:rPr>
          <w:rFonts w:ascii="Times New Roman" w:cs="Times New Roman" w:eastAsia="Times New Roman" w:hAnsi="Times New Roman"/>
          <w:sz w:val="17"/>
          <w:szCs w:val="17"/>
          <w:color w:val="auto"/>
        </w:rPr>
        <w:t xml:space="preserve"> </w:t>
      </w:r>
      <w:hyperlink r:id="rId133">
        <w:r>
          <w:rPr>
            <w:rFonts w:ascii="Times New Roman" w:cs="Times New Roman" w:eastAsia="Times New Roman" w:hAnsi="Times New Roman"/>
            <w:sz w:val="17"/>
            <w:szCs w:val="17"/>
            <w:color w:val="auto"/>
          </w:rPr>
          <w:t>Christopher Kuehl, incorporated herein by reference to Exhibit 10.3 of Form 8-K (File No. 001-34057), filed December 10, 2020.</w:t>
        </w:r>
      </w:hyperlink>
    </w:p>
    <w:p>
      <w:pPr>
        <w:spacing w:after="0" w:line="94" w:lineRule="exact"/>
        <w:rPr>
          <w:rFonts w:ascii="Times New Roman" w:cs="Times New Roman" w:eastAsia="Times New Roman" w:hAnsi="Times New Roman"/>
          <w:sz w:val="17"/>
          <w:szCs w:val="17"/>
          <w:color w:val="auto"/>
        </w:rPr>
      </w:pPr>
    </w:p>
    <w:p>
      <w:pPr>
        <w:ind w:left="700" w:right="260" w:hanging="1254"/>
        <w:spacing w:after="0" w:line="295" w:lineRule="auto"/>
        <w:tabs>
          <w:tab w:leader="none" w:pos="680" w:val="left"/>
        </w:tabs>
        <w:rPr>
          <w:rFonts w:ascii="Times New Roman" w:cs="Times New Roman" w:eastAsia="Times New Roman" w:hAnsi="Times New Roman"/>
          <w:sz w:val="17"/>
          <w:szCs w:val="17"/>
          <w:color w:val="auto"/>
        </w:rPr>
      </w:pPr>
      <w:hyperlink r:id="rId134">
        <w:r>
          <w:rPr>
            <w:rFonts w:ascii="Times New Roman" w:cs="Times New Roman" w:eastAsia="Times New Roman" w:hAnsi="Times New Roman"/>
            <w:sz w:val="17"/>
            <w:szCs w:val="17"/>
            <w:color w:val="auto"/>
          </w:rPr>
          <w:t>†* 10.6</w:t>
        </w:r>
      </w:hyperlink>
      <w:r>
        <w:rPr>
          <w:rFonts w:ascii="Times New Roman" w:cs="Times New Roman" w:eastAsia="Times New Roman" w:hAnsi="Times New Roman"/>
          <w:sz w:val="17"/>
          <w:szCs w:val="17"/>
          <w:color w:val="auto"/>
        </w:rPr>
        <w:tab/>
      </w:r>
      <w:hyperlink r:id="rId134">
        <w:r>
          <w:rPr>
            <w:rFonts w:ascii="Times New Roman" w:cs="Times New Roman" w:eastAsia="Times New Roman" w:hAnsi="Times New Roman"/>
            <w:sz w:val="17"/>
            <w:szCs w:val="17"/>
            <w:color w:val="auto"/>
          </w:rPr>
          <w:t>First Amendment to Second Amended and Restated Employment Agreement dated January 31, 2023 between AGNC Mortgage Management, LLC</w:t>
        </w:r>
      </w:hyperlink>
      <w:r>
        <w:rPr>
          <w:rFonts w:ascii="Times New Roman" w:cs="Times New Roman" w:eastAsia="Times New Roman" w:hAnsi="Times New Roman"/>
          <w:sz w:val="17"/>
          <w:szCs w:val="17"/>
          <w:color w:val="auto"/>
        </w:rPr>
        <w:t xml:space="preserve"> </w:t>
      </w:r>
      <w:hyperlink r:id="rId134">
        <w:r>
          <w:rPr>
            <w:rFonts w:ascii="Times New Roman" w:cs="Times New Roman" w:eastAsia="Times New Roman" w:hAnsi="Times New Roman"/>
            <w:sz w:val="17"/>
            <w:szCs w:val="17"/>
            <w:color w:val="auto"/>
          </w:rPr>
          <w:t>and Christopher Kuehl, incorporated herein by reference to Exhibit 10.6 of Form 10-K (File No. 001-34057), filed February 27, 2023.</w:t>
        </w:r>
      </w:hyperlink>
    </w:p>
    <w:p>
      <w:pPr>
        <w:spacing w:after="0" w:line="94" w:lineRule="exact"/>
        <w:rPr>
          <w:rFonts w:ascii="Times New Roman" w:cs="Times New Roman" w:eastAsia="Times New Roman" w:hAnsi="Times New Roman"/>
          <w:sz w:val="17"/>
          <w:szCs w:val="17"/>
          <w:color w:val="auto"/>
        </w:rPr>
      </w:pPr>
    </w:p>
    <w:p>
      <w:pPr>
        <w:ind w:left="700" w:right="400" w:hanging="1254"/>
        <w:spacing w:after="0" w:line="295" w:lineRule="auto"/>
        <w:tabs>
          <w:tab w:leader="none" w:pos="680" w:val="left"/>
        </w:tabs>
        <w:rPr>
          <w:rFonts w:ascii="Times New Roman" w:cs="Times New Roman" w:eastAsia="Times New Roman" w:hAnsi="Times New Roman"/>
          <w:sz w:val="17"/>
          <w:szCs w:val="17"/>
          <w:color w:val="auto"/>
        </w:rPr>
      </w:pPr>
      <w:hyperlink r:id="rId135">
        <w:r>
          <w:rPr>
            <w:rFonts w:ascii="Times New Roman" w:cs="Times New Roman" w:eastAsia="Times New Roman" w:hAnsi="Times New Roman"/>
            <w:sz w:val="17"/>
            <w:szCs w:val="17"/>
            <w:color w:val="auto"/>
          </w:rPr>
          <w:t>†* 10.7</w:t>
        </w:r>
      </w:hyperlink>
      <w:r>
        <w:rPr>
          <w:rFonts w:ascii="Times New Roman" w:cs="Times New Roman" w:eastAsia="Times New Roman" w:hAnsi="Times New Roman"/>
          <w:sz w:val="17"/>
          <w:szCs w:val="17"/>
          <w:color w:val="auto"/>
        </w:rPr>
        <w:tab/>
      </w:r>
      <w:hyperlink r:id="rId135">
        <w:r>
          <w:rPr>
            <w:rFonts w:ascii="Times New Roman" w:cs="Times New Roman" w:eastAsia="Times New Roman" w:hAnsi="Times New Roman"/>
            <w:sz w:val="17"/>
            <w:szCs w:val="17"/>
            <w:color w:val="auto"/>
          </w:rPr>
          <w:t>Amended and Restated Employment Agreement, dated January 22, 2021, by and between AGNC Mortgage Management, LLC and Bernice Bell,</w:t>
        </w:r>
      </w:hyperlink>
      <w:r>
        <w:rPr>
          <w:rFonts w:ascii="Times New Roman" w:cs="Times New Roman" w:eastAsia="Times New Roman" w:hAnsi="Times New Roman"/>
          <w:sz w:val="17"/>
          <w:szCs w:val="17"/>
          <w:color w:val="auto"/>
        </w:rPr>
        <w:t xml:space="preserve"> </w:t>
      </w:r>
      <w:hyperlink r:id="rId135">
        <w:r>
          <w:rPr>
            <w:rFonts w:ascii="Times New Roman" w:cs="Times New Roman" w:eastAsia="Times New Roman" w:hAnsi="Times New Roman"/>
            <w:sz w:val="17"/>
            <w:szCs w:val="17"/>
            <w:color w:val="auto"/>
          </w:rPr>
          <w:t>incorporated herein by reference to Exhibit 10.1 of Form 8-K (File No. 001-34057), filed January 22, 2021.</w:t>
        </w:r>
      </w:hyperlink>
    </w:p>
    <w:p>
      <w:pPr>
        <w:spacing w:after="0" w:line="94" w:lineRule="exact"/>
        <w:rPr>
          <w:rFonts w:ascii="Times New Roman" w:cs="Times New Roman" w:eastAsia="Times New Roman" w:hAnsi="Times New Roman"/>
          <w:sz w:val="17"/>
          <w:szCs w:val="17"/>
          <w:color w:val="auto"/>
        </w:rPr>
      </w:pPr>
    </w:p>
    <w:p>
      <w:pPr>
        <w:ind w:left="700" w:right="520" w:hanging="1254"/>
        <w:spacing w:after="0" w:line="295" w:lineRule="auto"/>
        <w:tabs>
          <w:tab w:leader="none" w:pos="680" w:val="left"/>
        </w:tabs>
        <w:rPr>
          <w:rFonts w:ascii="Times New Roman" w:cs="Times New Roman" w:eastAsia="Times New Roman" w:hAnsi="Times New Roman"/>
          <w:sz w:val="17"/>
          <w:szCs w:val="17"/>
          <w:color w:val="auto"/>
        </w:rPr>
      </w:pPr>
      <w:hyperlink r:id="rId136">
        <w:r>
          <w:rPr>
            <w:rFonts w:ascii="Times New Roman" w:cs="Times New Roman" w:eastAsia="Times New Roman" w:hAnsi="Times New Roman"/>
            <w:sz w:val="17"/>
            <w:szCs w:val="17"/>
            <w:color w:val="auto"/>
          </w:rPr>
          <w:t>†* 10.8</w:t>
        </w:r>
      </w:hyperlink>
      <w:r>
        <w:rPr>
          <w:rFonts w:ascii="Times New Roman" w:cs="Times New Roman" w:eastAsia="Times New Roman" w:hAnsi="Times New Roman"/>
          <w:sz w:val="17"/>
          <w:szCs w:val="17"/>
          <w:color w:val="auto"/>
        </w:rPr>
        <w:tab/>
      </w:r>
      <w:hyperlink r:id="rId136">
        <w:r>
          <w:rPr>
            <w:rFonts w:ascii="Times New Roman" w:cs="Times New Roman" w:eastAsia="Times New Roman" w:hAnsi="Times New Roman"/>
            <w:sz w:val="17"/>
            <w:szCs w:val="17"/>
            <w:color w:val="auto"/>
          </w:rPr>
          <w:t>First Amendment to Amended and Restated Employment Agreement dated January 21, 2022 between AGNC Mortgage Management, LLC and</w:t>
        </w:r>
      </w:hyperlink>
      <w:r>
        <w:rPr>
          <w:rFonts w:ascii="Times New Roman" w:cs="Times New Roman" w:eastAsia="Times New Roman" w:hAnsi="Times New Roman"/>
          <w:sz w:val="17"/>
          <w:szCs w:val="17"/>
          <w:color w:val="auto"/>
        </w:rPr>
        <w:t xml:space="preserve"> </w:t>
      </w:r>
      <w:hyperlink r:id="rId136">
        <w:r>
          <w:rPr>
            <w:rFonts w:ascii="Times New Roman" w:cs="Times New Roman" w:eastAsia="Times New Roman" w:hAnsi="Times New Roman"/>
            <w:sz w:val="17"/>
            <w:szCs w:val="17"/>
            <w:color w:val="auto"/>
          </w:rPr>
          <w:t>Bernice Bell, incorporated herein by reference to Exhibit 10.1 of Form 8-K (File No. 001-34057), filed January 21, 2022.</w:t>
        </w:r>
      </w:hyperlink>
    </w:p>
    <w:p>
      <w:pPr>
        <w:spacing w:after="0" w:line="94" w:lineRule="exact"/>
        <w:rPr>
          <w:rFonts w:ascii="Times New Roman" w:cs="Times New Roman" w:eastAsia="Times New Roman" w:hAnsi="Times New Roman"/>
          <w:sz w:val="17"/>
          <w:szCs w:val="17"/>
          <w:color w:val="auto"/>
        </w:rPr>
      </w:pPr>
    </w:p>
    <w:p>
      <w:pPr>
        <w:ind w:left="700" w:right="320" w:hanging="1254"/>
        <w:spacing w:after="0" w:line="295" w:lineRule="auto"/>
        <w:tabs>
          <w:tab w:leader="none" w:pos="680" w:val="left"/>
        </w:tabs>
        <w:rPr>
          <w:rFonts w:ascii="Times New Roman" w:cs="Times New Roman" w:eastAsia="Times New Roman" w:hAnsi="Times New Roman"/>
          <w:sz w:val="17"/>
          <w:szCs w:val="17"/>
          <w:color w:val="auto"/>
        </w:rPr>
      </w:pPr>
      <w:hyperlink r:id="rId137">
        <w:r>
          <w:rPr>
            <w:rFonts w:ascii="Times New Roman" w:cs="Times New Roman" w:eastAsia="Times New Roman" w:hAnsi="Times New Roman"/>
            <w:sz w:val="17"/>
            <w:szCs w:val="17"/>
            <w:color w:val="auto"/>
          </w:rPr>
          <w:t>†* 10.9</w:t>
        </w:r>
      </w:hyperlink>
      <w:r>
        <w:rPr>
          <w:rFonts w:ascii="Times New Roman" w:cs="Times New Roman" w:eastAsia="Times New Roman" w:hAnsi="Times New Roman"/>
          <w:sz w:val="17"/>
          <w:szCs w:val="17"/>
          <w:color w:val="auto"/>
        </w:rPr>
        <w:tab/>
      </w:r>
      <w:hyperlink r:id="rId137">
        <w:r>
          <w:rPr>
            <w:rFonts w:ascii="Times New Roman" w:cs="Times New Roman" w:eastAsia="Times New Roman" w:hAnsi="Times New Roman"/>
            <w:sz w:val="17"/>
            <w:szCs w:val="17"/>
            <w:color w:val="auto"/>
          </w:rPr>
          <w:t>Second Amendment to Amended and Restated Employment Agreement dated January 31, 2023 between AGNC Mortgage Management, LLC and</w:t>
        </w:r>
      </w:hyperlink>
      <w:r>
        <w:rPr>
          <w:rFonts w:ascii="Times New Roman" w:cs="Times New Roman" w:eastAsia="Times New Roman" w:hAnsi="Times New Roman"/>
          <w:sz w:val="17"/>
          <w:szCs w:val="17"/>
          <w:color w:val="auto"/>
        </w:rPr>
        <w:t xml:space="preserve"> </w:t>
      </w:r>
      <w:hyperlink r:id="rId137">
        <w:r>
          <w:rPr>
            <w:rFonts w:ascii="Times New Roman" w:cs="Times New Roman" w:eastAsia="Times New Roman" w:hAnsi="Times New Roman"/>
            <w:sz w:val="17"/>
            <w:szCs w:val="17"/>
            <w:color w:val="auto"/>
          </w:rPr>
          <w:t>Bernice Bell, incorporated by reference to Exhibit 10.3 of Form 8-K (File No. 001-34057), filed February 3, 2023.</w:t>
        </w:r>
      </w:hyperlink>
    </w:p>
    <w:p>
      <w:pPr>
        <w:spacing w:after="0" w:line="94" w:lineRule="exact"/>
        <w:rPr>
          <w:rFonts w:ascii="Times New Roman" w:cs="Times New Roman" w:eastAsia="Times New Roman" w:hAnsi="Times New Roman"/>
          <w:sz w:val="17"/>
          <w:szCs w:val="17"/>
          <w:color w:val="auto"/>
        </w:rPr>
      </w:pPr>
    </w:p>
    <w:p>
      <w:pPr>
        <w:ind w:left="780" w:right="20" w:hanging="1254"/>
        <w:spacing w:after="0" w:line="295" w:lineRule="auto"/>
        <w:tabs>
          <w:tab w:leader="none" w:pos="760" w:val="left"/>
        </w:tabs>
        <w:rPr>
          <w:rFonts w:ascii="Times New Roman" w:cs="Times New Roman" w:eastAsia="Times New Roman" w:hAnsi="Times New Roman"/>
          <w:sz w:val="17"/>
          <w:szCs w:val="17"/>
          <w:color w:val="auto"/>
        </w:rPr>
      </w:pPr>
      <w:hyperlink r:id="rId138">
        <w:r>
          <w:rPr>
            <w:rFonts w:ascii="Times New Roman" w:cs="Times New Roman" w:eastAsia="Times New Roman" w:hAnsi="Times New Roman"/>
            <w:sz w:val="17"/>
            <w:szCs w:val="17"/>
            <w:color w:val="auto"/>
          </w:rPr>
          <w:t>†* 10.10</w:t>
        </w:r>
      </w:hyperlink>
      <w:r>
        <w:rPr>
          <w:rFonts w:ascii="Times New Roman" w:cs="Times New Roman" w:eastAsia="Times New Roman" w:hAnsi="Times New Roman"/>
          <w:sz w:val="17"/>
          <w:szCs w:val="17"/>
          <w:color w:val="auto"/>
        </w:rPr>
        <w:tab/>
      </w:r>
      <w:hyperlink r:id="rId138">
        <w:r>
          <w:rPr>
            <w:rFonts w:ascii="Times New Roman" w:cs="Times New Roman" w:eastAsia="Times New Roman" w:hAnsi="Times New Roman"/>
            <w:sz w:val="17"/>
            <w:szCs w:val="17"/>
            <w:color w:val="auto"/>
          </w:rPr>
          <w:t>Amended and Restated Employment Agreement, dated January 22, 2021, by and between AGNC Mortgage Management, LLC and Kenneth Pollack,</w:t>
        </w:r>
      </w:hyperlink>
      <w:r>
        <w:rPr>
          <w:rFonts w:ascii="Times New Roman" w:cs="Times New Roman" w:eastAsia="Times New Roman" w:hAnsi="Times New Roman"/>
          <w:sz w:val="17"/>
          <w:szCs w:val="17"/>
          <w:color w:val="auto"/>
        </w:rPr>
        <w:t xml:space="preserve"> </w:t>
      </w:r>
      <w:hyperlink r:id="rId138">
        <w:r>
          <w:rPr>
            <w:rFonts w:ascii="Times New Roman" w:cs="Times New Roman" w:eastAsia="Times New Roman" w:hAnsi="Times New Roman"/>
            <w:sz w:val="17"/>
            <w:szCs w:val="17"/>
            <w:color w:val="auto"/>
          </w:rPr>
          <w:t>incorporated herein by reference to Exhibit 10.15 of Form 10-K (File No. 001-34057), filed February 26, 2021.</w:t>
        </w:r>
      </w:hyperlink>
    </w:p>
    <w:p>
      <w:pPr>
        <w:spacing w:after="0" w:line="94" w:lineRule="exact"/>
        <w:rPr>
          <w:rFonts w:ascii="Times New Roman" w:cs="Times New Roman" w:eastAsia="Times New Roman" w:hAnsi="Times New Roman"/>
          <w:sz w:val="17"/>
          <w:szCs w:val="17"/>
          <w:color w:val="auto"/>
        </w:rPr>
      </w:pPr>
    </w:p>
    <w:p>
      <w:pPr>
        <w:ind w:left="780" w:right="440" w:hanging="1254"/>
        <w:spacing w:after="0" w:line="295" w:lineRule="auto"/>
        <w:tabs>
          <w:tab w:leader="none" w:pos="760" w:val="left"/>
        </w:tabs>
        <w:rPr>
          <w:rFonts w:ascii="Times New Roman" w:cs="Times New Roman" w:eastAsia="Times New Roman" w:hAnsi="Times New Roman"/>
          <w:sz w:val="17"/>
          <w:szCs w:val="17"/>
          <w:color w:val="auto"/>
        </w:rPr>
      </w:pPr>
      <w:hyperlink r:id="rId139">
        <w:r>
          <w:rPr>
            <w:rFonts w:ascii="Times New Roman" w:cs="Times New Roman" w:eastAsia="Times New Roman" w:hAnsi="Times New Roman"/>
            <w:sz w:val="17"/>
            <w:szCs w:val="17"/>
            <w:color w:val="auto"/>
          </w:rPr>
          <w:t>†* 10.11</w:t>
        </w:r>
      </w:hyperlink>
      <w:r>
        <w:rPr>
          <w:rFonts w:ascii="Times New Roman" w:cs="Times New Roman" w:eastAsia="Times New Roman" w:hAnsi="Times New Roman"/>
          <w:sz w:val="17"/>
          <w:szCs w:val="17"/>
          <w:color w:val="auto"/>
        </w:rPr>
        <w:tab/>
      </w:r>
      <w:hyperlink r:id="rId139">
        <w:r>
          <w:rPr>
            <w:rFonts w:ascii="Times New Roman" w:cs="Times New Roman" w:eastAsia="Times New Roman" w:hAnsi="Times New Roman"/>
            <w:sz w:val="17"/>
            <w:szCs w:val="17"/>
            <w:color w:val="auto"/>
          </w:rPr>
          <w:t>First Amendment to Amended and Restated Employment Agreement dated January 21, 2022 between AGNC Mortgage Management, LLC and</w:t>
        </w:r>
      </w:hyperlink>
      <w:r>
        <w:rPr>
          <w:rFonts w:ascii="Times New Roman" w:cs="Times New Roman" w:eastAsia="Times New Roman" w:hAnsi="Times New Roman"/>
          <w:sz w:val="17"/>
          <w:szCs w:val="17"/>
          <w:color w:val="auto"/>
        </w:rPr>
        <w:t xml:space="preserve"> </w:t>
      </w:r>
      <w:hyperlink r:id="rId139">
        <w:r>
          <w:rPr>
            <w:rFonts w:ascii="Times New Roman" w:cs="Times New Roman" w:eastAsia="Times New Roman" w:hAnsi="Times New Roman"/>
            <w:sz w:val="17"/>
            <w:szCs w:val="17"/>
            <w:color w:val="auto"/>
          </w:rPr>
          <w:t>Kenneth Pollack, incorporated herein by reference to Exhibit 10.2 of Form 8-K (File No. 001-34057), filed January 21, 2022.</w:t>
        </w:r>
      </w:hyperlink>
    </w:p>
    <w:p>
      <w:pPr>
        <w:spacing w:after="0" w:line="94" w:lineRule="exact"/>
        <w:rPr>
          <w:rFonts w:ascii="Times New Roman" w:cs="Times New Roman" w:eastAsia="Times New Roman" w:hAnsi="Times New Roman"/>
          <w:sz w:val="17"/>
          <w:szCs w:val="17"/>
          <w:color w:val="auto"/>
        </w:rPr>
      </w:pPr>
    </w:p>
    <w:p>
      <w:pPr>
        <w:ind w:left="740" w:right="280" w:hanging="1254"/>
        <w:spacing w:after="0" w:line="295" w:lineRule="auto"/>
        <w:tabs>
          <w:tab w:leader="none" w:pos="7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w:t>
        <w:tab/>
      </w:r>
      <w:hyperlink r:id="rId140">
        <w:r>
          <w:rPr>
            <w:rFonts w:ascii="Times New Roman" w:cs="Times New Roman" w:eastAsia="Times New Roman" w:hAnsi="Times New Roman"/>
            <w:sz w:val="17"/>
            <w:szCs w:val="17"/>
            <w:color w:val="auto"/>
          </w:rPr>
          <w:t>Second Amendment to Amended and Restated Employment Agreement dated January 31, 2023 between AGNC Mortgage Management, LLC and</w:t>
        </w:r>
      </w:hyperlink>
      <w:r>
        <w:rPr>
          <w:rFonts w:ascii="Times New Roman" w:cs="Times New Roman" w:eastAsia="Times New Roman" w:hAnsi="Times New Roman"/>
          <w:sz w:val="17"/>
          <w:szCs w:val="17"/>
          <w:color w:val="auto"/>
        </w:rPr>
        <w:t xml:space="preserve"> </w:t>
      </w:r>
      <w:hyperlink r:id="rId140">
        <w:r>
          <w:rPr>
            <w:rFonts w:ascii="Times New Roman" w:cs="Times New Roman" w:eastAsia="Times New Roman" w:hAnsi="Times New Roman"/>
            <w:sz w:val="17"/>
            <w:szCs w:val="17"/>
            <w:color w:val="auto"/>
          </w:rPr>
          <w:t>Kenneth Pollack, incorporated by reference to Exhibit 10.4 of Form 8-K (File No. 001-34057), filed February 3, 2023.</w:t>
        </w:r>
      </w:hyperlink>
    </w:p>
    <w:p>
      <w:pPr>
        <w:spacing w:after="0" w:line="94" w:lineRule="exact"/>
        <w:rPr>
          <w:sz w:val="20"/>
          <w:szCs w:val="20"/>
          <w:color w:val="auto"/>
        </w:rPr>
      </w:pPr>
    </w:p>
    <w:p>
      <w:pPr>
        <w:ind w:left="780" w:right="40" w:hanging="1254"/>
        <w:spacing w:after="0" w:line="295" w:lineRule="auto"/>
        <w:tabs>
          <w:tab w:leader="none" w:pos="760" w:val="left"/>
        </w:tabs>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 10.13</w:t>
        </w:r>
      </w:hyperlink>
      <w:r>
        <w:rPr>
          <w:rFonts w:ascii="Times New Roman" w:cs="Times New Roman" w:eastAsia="Times New Roman" w:hAnsi="Times New Roman"/>
          <w:sz w:val="17"/>
          <w:szCs w:val="17"/>
          <w:color w:val="auto"/>
        </w:rPr>
        <w:tab/>
      </w:r>
      <w:hyperlink r:id="rId141">
        <w:r>
          <w:rPr>
            <w:rFonts w:ascii="Times New Roman" w:cs="Times New Roman" w:eastAsia="Times New Roman" w:hAnsi="Times New Roman"/>
            <w:sz w:val="17"/>
            <w:szCs w:val="17"/>
            <w:color w:val="auto"/>
          </w:rPr>
          <w:t>Amended and Restated AGNC Investment Corp. 2016 Equity and Incentive Compensation Plan, incorporated herein by reference to Exhibit 10.11 of</w:t>
        </w:r>
      </w:hyperlink>
      <w:r>
        <w:rPr>
          <w:rFonts w:ascii="Times New Roman" w:cs="Times New Roman" w:eastAsia="Times New Roman" w:hAnsi="Times New Roman"/>
          <w:sz w:val="17"/>
          <w:szCs w:val="17"/>
          <w:color w:val="auto"/>
        </w:rPr>
        <w:t xml:space="preserve"> </w:t>
      </w:r>
      <w:hyperlink r:id="rId141">
        <w:r>
          <w:rPr>
            <w:rFonts w:ascii="Times New Roman" w:cs="Times New Roman" w:eastAsia="Times New Roman" w:hAnsi="Times New Roman"/>
            <w:sz w:val="17"/>
            <w:szCs w:val="17"/>
            <w:color w:val="auto"/>
          </w:rPr>
          <w:t>Form 10-K (File No, 001-34057), filed February 23, 2022.</w:t>
        </w:r>
      </w:hyperlink>
    </w:p>
    <w:p>
      <w:pPr>
        <w:spacing w:after="0" w:line="94" w:lineRule="exact"/>
        <w:rPr>
          <w:rFonts w:ascii="Times New Roman" w:cs="Times New Roman" w:eastAsia="Times New Roman" w:hAnsi="Times New Roman"/>
          <w:sz w:val="17"/>
          <w:szCs w:val="17"/>
          <w:color w:val="auto"/>
        </w:rPr>
      </w:pPr>
    </w:p>
    <w:p>
      <w:pPr>
        <w:ind w:left="780" w:right="360" w:hanging="1254"/>
        <w:spacing w:after="0" w:line="295" w:lineRule="auto"/>
        <w:tabs>
          <w:tab w:leader="none" w:pos="760" w:val="left"/>
        </w:tabs>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 10.14</w:t>
        </w:r>
      </w:hyperlink>
      <w:r>
        <w:rPr>
          <w:rFonts w:ascii="Times New Roman" w:cs="Times New Roman" w:eastAsia="Times New Roman" w:hAnsi="Times New Roman"/>
          <w:sz w:val="17"/>
          <w:szCs w:val="17"/>
          <w:color w:val="auto"/>
        </w:rPr>
        <w:tab/>
      </w:r>
      <w:hyperlink r:id="rId142">
        <w:r>
          <w:rPr>
            <w:rFonts w:ascii="Times New Roman" w:cs="Times New Roman" w:eastAsia="Times New Roman" w:hAnsi="Times New Roman"/>
            <w:sz w:val="17"/>
            <w:szCs w:val="17"/>
            <w:color w:val="auto"/>
          </w:rPr>
          <w:t>Form of AGNC Investment Corp. 2016 Equity and Incentive Compensation Plan Restricted Stock Unit Agreement for Non-Employee Directors,</w:t>
        </w:r>
      </w:hyperlink>
      <w:r>
        <w:rPr>
          <w:rFonts w:ascii="Times New Roman" w:cs="Times New Roman" w:eastAsia="Times New Roman" w:hAnsi="Times New Roman"/>
          <w:sz w:val="17"/>
          <w:szCs w:val="17"/>
          <w:color w:val="auto"/>
        </w:rPr>
        <w:t xml:space="preserve"> </w:t>
      </w:r>
      <w:hyperlink r:id="rId142">
        <w:r>
          <w:rPr>
            <w:rFonts w:ascii="Times New Roman" w:cs="Times New Roman" w:eastAsia="Times New Roman" w:hAnsi="Times New Roman"/>
            <w:sz w:val="17"/>
            <w:szCs w:val="17"/>
            <w:color w:val="auto"/>
          </w:rPr>
          <w:t>incorporated herein by reference to Exhibit 10.14 of Form 10-K (File No. 001-34057), filed February 26, 2018.</w:t>
        </w:r>
      </w:hyperlink>
    </w:p>
    <w:p>
      <w:pPr>
        <w:spacing w:after="0" w:line="94" w:lineRule="exact"/>
        <w:rPr>
          <w:rFonts w:ascii="Times New Roman" w:cs="Times New Roman" w:eastAsia="Times New Roman" w:hAnsi="Times New Roman"/>
          <w:sz w:val="17"/>
          <w:szCs w:val="17"/>
          <w:color w:val="auto"/>
        </w:rPr>
      </w:pPr>
    </w:p>
    <w:p>
      <w:pPr>
        <w:ind w:left="780" w:right="40" w:hanging="1254"/>
        <w:spacing w:after="0" w:line="295" w:lineRule="auto"/>
        <w:tabs>
          <w:tab w:leader="none" w:pos="760" w:val="left"/>
        </w:tabs>
        <w:rPr>
          <w:rFonts w:ascii="Times New Roman" w:cs="Times New Roman" w:eastAsia="Times New Roman" w:hAnsi="Times New Roman"/>
          <w:sz w:val="17"/>
          <w:szCs w:val="17"/>
          <w:color w:val="auto"/>
        </w:rPr>
      </w:pPr>
      <w:hyperlink r:id="rId143">
        <w:r>
          <w:rPr>
            <w:rFonts w:ascii="Times New Roman" w:cs="Times New Roman" w:eastAsia="Times New Roman" w:hAnsi="Times New Roman"/>
            <w:sz w:val="17"/>
            <w:szCs w:val="17"/>
            <w:color w:val="auto"/>
          </w:rPr>
          <w:t>†* 10.15</w:t>
        </w:r>
      </w:hyperlink>
      <w:r>
        <w:rPr>
          <w:rFonts w:ascii="Times New Roman" w:cs="Times New Roman" w:eastAsia="Times New Roman" w:hAnsi="Times New Roman"/>
          <w:sz w:val="17"/>
          <w:szCs w:val="17"/>
          <w:color w:val="auto"/>
        </w:rPr>
        <w:tab/>
      </w:r>
      <w:hyperlink r:id="rId143">
        <w:r>
          <w:rPr>
            <w:rFonts w:ascii="Times New Roman" w:cs="Times New Roman" w:eastAsia="Times New Roman" w:hAnsi="Times New Roman"/>
            <w:sz w:val="17"/>
            <w:szCs w:val="17"/>
            <w:color w:val="auto"/>
          </w:rPr>
          <w:t>Form of AGNC Investment Corp. 2016 Equity and Incentive Compensation Plan Deferred Stock Unit Agreement incorporated herein by reference to</w:t>
        </w:r>
      </w:hyperlink>
      <w:r>
        <w:rPr>
          <w:rFonts w:ascii="Times New Roman" w:cs="Times New Roman" w:eastAsia="Times New Roman" w:hAnsi="Times New Roman"/>
          <w:sz w:val="17"/>
          <w:szCs w:val="17"/>
          <w:color w:val="auto"/>
        </w:rPr>
        <w:t xml:space="preserve"> </w:t>
      </w:r>
      <w:hyperlink r:id="rId143">
        <w:r>
          <w:rPr>
            <w:rFonts w:ascii="Times New Roman" w:cs="Times New Roman" w:eastAsia="Times New Roman" w:hAnsi="Times New Roman"/>
            <w:sz w:val="17"/>
            <w:szCs w:val="17"/>
            <w:color w:val="auto"/>
          </w:rPr>
          <w:t>Exhibit 10 of Form 10-Q for the quarter ended September 30, 2018 (File No. 001-34057), filed November 5, 2018.</w:t>
        </w:r>
      </w:hyperlink>
    </w:p>
    <w:p>
      <w:pPr>
        <w:spacing w:after="0" w:line="94" w:lineRule="exact"/>
        <w:rPr>
          <w:rFonts w:ascii="Times New Roman" w:cs="Times New Roman" w:eastAsia="Times New Roman" w:hAnsi="Times New Roman"/>
          <w:sz w:val="17"/>
          <w:szCs w:val="17"/>
          <w:color w:val="auto"/>
        </w:rPr>
      </w:pPr>
    </w:p>
    <w:p>
      <w:pPr>
        <w:ind w:left="780" w:right="460" w:hanging="1254"/>
        <w:spacing w:after="0" w:line="295" w:lineRule="auto"/>
        <w:tabs>
          <w:tab w:leader="none" w:pos="760" w:val="left"/>
        </w:tabs>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color w:val="auto"/>
          </w:rPr>
          <w:t>†* 10.16</w:t>
        </w:r>
      </w:hyperlink>
      <w:r>
        <w:rPr>
          <w:rFonts w:ascii="Times New Roman" w:cs="Times New Roman" w:eastAsia="Times New Roman" w:hAnsi="Times New Roman"/>
          <w:sz w:val="17"/>
          <w:szCs w:val="17"/>
          <w:color w:val="auto"/>
        </w:rPr>
        <w:tab/>
      </w:r>
      <w:hyperlink r:id="rId144">
        <w:r>
          <w:rPr>
            <w:rFonts w:ascii="Times New Roman" w:cs="Times New Roman" w:eastAsia="Times New Roman" w:hAnsi="Times New Roman"/>
            <w:sz w:val="17"/>
            <w:szCs w:val="17"/>
            <w:color w:val="auto"/>
          </w:rPr>
          <w:t>Form of AGNC Investment Corp. 2016 Equity and Incentive Compensation Plan Restricted Stock Unit Agreement for Section 16 Officers with</w:t>
        </w:r>
      </w:hyperlink>
      <w:r>
        <w:rPr>
          <w:rFonts w:ascii="Times New Roman" w:cs="Times New Roman" w:eastAsia="Times New Roman" w:hAnsi="Times New Roman"/>
          <w:sz w:val="17"/>
          <w:szCs w:val="17"/>
          <w:color w:val="auto"/>
        </w:rPr>
        <w:t xml:space="preserve"> </w:t>
      </w:r>
      <w:hyperlink r:id="rId144">
        <w:r>
          <w:rPr>
            <w:rFonts w:ascii="Times New Roman" w:cs="Times New Roman" w:eastAsia="Times New Roman" w:hAnsi="Times New Roman"/>
            <w:sz w:val="17"/>
            <w:szCs w:val="17"/>
            <w:color w:val="auto"/>
          </w:rPr>
          <w:t>Retirement Provisions, incorporated herein by reference to Exhibit 10.26 of Form 10-K (File No. 001-34057), filed February 26, 2021.</w:t>
        </w:r>
      </w:hyperlink>
    </w:p>
    <w:p>
      <w:pPr>
        <w:spacing w:after="0" w:line="94" w:lineRule="exact"/>
        <w:rPr>
          <w:rFonts w:ascii="Times New Roman" w:cs="Times New Roman" w:eastAsia="Times New Roman" w:hAnsi="Times New Roman"/>
          <w:sz w:val="17"/>
          <w:szCs w:val="17"/>
          <w:color w:val="auto"/>
        </w:rPr>
      </w:pPr>
    </w:p>
    <w:p>
      <w:pPr>
        <w:jc w:val="both"/>
        <w:ind w:left="780" w:hanging="1254"/>
        <w:spacing w:after="0" w:line="288" w:lineRule="auto"/>
        <w:tabs>
          <w:tab w:leader="none" w:pos="760" w:val="left"/>
        </w:tabs>
        <w:rPr>
          <w:rFonts w:ascii="Times New Roman" w:cs="Times New Roman" w:eastAsia="Times New Roman" w:hAnsi="Times New Roman"/>
          <w:sz w:val="17"/>
          <w:szCs w:val="17"/>
          <w:color w:val="auto"/>
        </w:rPr>
      </w:pPr>
      <w:hyperlink r:id="rId145">
        <w:r>
          <w:rPr>
            <w:rFonts w:ascii="Times New Roman" w:cs="Times New Roman" w:eastAsia="Times New Roman" w:hAnsi="Times New Roman"/>
            <w:sz w:val="17"/>
            <w:szCs w:val="17"/>
            <w:color w:val="auto"/>
          </w:rPr>
          <w:t>†* 10.17</w:t>
        </w:r>
      </w:hyperlink>
      <w:r>
        <w:rPr>
          <w:rFonts w:ascii="Times New Roman" w:cs="Times New Roman" w:eastAsia="Times New Roman" w:hAnsi="Times New Roman"/>
          <w:sz w:val="17"/>
          <w:szCs w:val="17"/>
          <w:color w:val="auto"/>
        </w:rPr>
        <w:tab/>
      </w:r>
      <w:hyperlink r:id="rId145">
        <w:r>
          <w:rPr>
            <w:rFonts w:ascii="Times New Roman" w:cs="Times New Roman" w:eastAsia="Times New Roman" w:hAnsi="Times New Roman"/>
            <w:sz w:val="17"/>
            <w:szCs w:val="17"/>
            <w:color w:val="auto"/>
          </w:rPr>
          <w:t>Form of AGNC Investment Corp. 2016 Equity and Incentive Compensation Plan Performance-Based Restricted Stock Unit Agreement for Section 16</w:t>
        </w:r>
      </w:hyperlink>
      <w:r>
        <w:rPr>
          <w:rFonts w:ascii="Times New Roman" w:cs="Times New Roman" w:eastAsia="Times New Roman" w:hAnsi="Times New Roman"/>
          <w:sz w:val="17"/>
          <w:szCs w:val="17"/>
          <w:color w:val="auto"/>
        </w:rPr>
        <w:t xml:space="preserve"> </w:t>
      </w:r>
      <w:hyperlink r:id="rId145">
        <w:r>
          <w:rPr>
            <w:rFonts w:ascii="Times New Roman" w:cs="Times New Roman" w:eastAsia="Times New Roman" w:hAnsi="Times New Roman"/>
            <w:sz w:val="17"/>
            <w:szCs w:val="17"/>
            <w:color w:val="auto"/>
          </w:rPr>
          <w:t>Officers with Retirement Provisions, incorporated herein by reference to Exhibit 10.27 of Form 10-K (File No. 001-34057), filed February 26,</w:t>
        </w:r>
      </w:hyperlink>
      <w:r>
        <w:rPr>
          <w:rFonts w:ascii="Times New Roman" w:cs="Times New Roman" w:eastAsia="Times New Roman" w:hAnsi="Times New Roman"/>
          <w:sz w:val="17"/>
          <w:szCs w:val="17"/>
          <w:color w:val="auto"/>
        </w:rPr>
        <w:t xml:space="preserve"> </w:t>
      </w:r>
      <w:hyperlink r:id="rId145">
        <w:r>
          <w:rPr>
            <w:rFonts w:ascii="Times New Roman" w:cs="Times New Roman" w:eastAsia="Times New Roman" w:hAnsi="Times New Roman"/>
            <w:sz w:val="17"/>
            <w:szCs w:val="17"/>
            <w:color w:val="auto"/>
          </w:rPr>
          <w:t>2021.</w:t>
        </w:r>
      </w:hyperlink>
    </w:p>
    <w:p>
      <w:pPr>
        <w:spacing w:after="0" w:line="315" w:lineRule="exact"/>
        <w:rPr>
          <w:rFonts w:ascii="Times New Roman" w:cs="Times New Roman" w:eastAsia="Times New Roman" w:hAnsi="Times New Roman"/>
          <w:sz w:val="17"/>
          <w:szCs w:val="17"/>
          <w:color w:val="auto"/>
        </w:rPr>
      </w:pPr>
    </w:p>
    <w:p>
      <w:pPr>
        <w:ind w:left="780" w:right="460" w:hanging="1254"/>
        <w:spacing w:after="0" w:line="295" w:lineRule="auto"/>
        <w:tabs>
          <w:tab w:leader="none" w:pos="760" w:val="left"/>
        </w:tabs>
        <w:rPr>
          <w:rFonts w:ascii="Times New Roman" w:cs="Times New Roman" w:eastAsia="Times New Roman" w:hAnsi="Times New Roman"/>
          <w:sz w:val="17"/>
          <w:szCs w:val="17"/>
          <w:color w:val="auto"/>
        </w:rPr>
      </w:pPr>
      <w:hyperlink r:id="rId146">
        <w:r>
          <w:rPr>
            <w:rFonts w:ascii="Times New Roman" w:cs="Times New Roman" w:eastAsia="Times New Roman" w:hAnsi="Times New Roman"/>
            <w:sz w:val="17"/>
            <w:szCs w:val="17"/>
            <w:color w:val="auto"/>
          </w:rPr>
          <w:t>†* 10.18</w:t>
        </w:r>
      </w:hyperlink>
      <w:r>
        <w:rPr>
          <w:rFonts w:ascii="Times New Roman" w:cs="Times New Roman" w:eastAsia="Times New Roman" w:hAnsi="Times New Roman"/>
          <w:sz w:val="17"/>
          <w:szCs w:val="17"/>
          <w:color w:val="auto"/>
        </w:rPr>
        <w:tab/>
      </w:r>
      <w:hyperlink r:id="rId146">
        <w:r>
          <w:rPr>
            <w:rFonts w:ascii="Times New Roman" w:cs="Times New Roman" w:eastAsia="Times New Roman" w:hAnsi="Times New Roman"/>
            <w:sz w:val="17"/>
            <w:szCs w:val="17"/>
            <w:color w:val="auto"/>
          </w:rPr>
          <w:t>Form of AGNC Investment Corp. 2016 Equity and Incentive Compensation Plan Restricted Stock Unit Agreement for Section 16 Officers with</w:t>
        </w:r>
      </w:hyperlink>
      <w:r>
        <w:rPr>
          <w:rFonts w:ascii="Times New Roman" w:cs="Times New Roman" w:eastAsia="Times New Roman" w:hAnsi="Times New Roman"/>
          <w:sz w:val="17"/>
          <w:szCs w:val="17"/>
          <w:color w:val="auto"/>
        </w:rPr>
        <w:t xml:space="preserve"> </w:t>
      </w:r>
      <w:hyperlink r:id="rId146">
        <w:r>
          <w:rPr>
            <w:rFonts w:ascii="Times New Roman" w:cs="Times New Roman" w:eastAsia="Times New Roman" w:hAnsi="Times New Roman"/>
            <w:sz w:val="17"/>
            <w:szCs w:val="17"/>
            <w:color w:val="auto"/>
          </w:rPr>
          <w:t>Employment Contracts, incorporated herein by reference to Exhibit 10.28 of Form 10-K (File No. 001-34057), filed February 26, 2021.</w:t>
        </w:r>
      </w:hyperlink>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4" w:name="page85"/>
    <w:bookmarkEnd w:id="84"/>
    <w:p>
      <w:pPr>
        <w:jc w:val="both"/>
        <w:ind w:left="780" w:hanging="1254"/>
        <w:spacing w:after="0" w:line="288" w:lineRule="auto"/>
        <w:tabs>
          <w:tab w:leader="none" w:pos="760" w:val="left"/>
        </w:tabs>
        <w:rPr>
          <w:rFonts w:ascii="Times New Roman" w:cs="Times New Roman" w:eastAsia="Times New Roman" w:hAnsi="Times New Roman"/>
          <w:sz w:val="17"/>
          <w:szCs w:val="17"/>
          <w:color w:val="auto"/>
        </w:rPr>
      </w:pPr>
      <w:hyperlink r:id="rId148">
        <w:r>
          <w:rPr>
            <w:rFonts w:ascii="Times New Roman" w:cs="Times New Roman" w:eastAsia="Times New Roman" w:hAnsi="Times New Roman"/>
            <w:sz w:val="17"/>
            <w:szCs w:val="17"/>
            <w:color w:val="auto"/>
          </w:rPr>
          <w:t>†* 10.19</w:t>
        </w:r>
      </w:hyperlink>
      <w:r>
        <w:rPr>
          <w:rFonts w:ascii="Times New Roman" w:cs="Times New Roman" w:eastAsia="Times New Roman" w:hAnsi="Times New Roman"/>
          <w:sz w:val="17"/>
          <w:szCs w:val="17"/>
          <w:color w:val="auto"/>
        </w:rPr>
        <w:tab/>
      </w:r>
      <w:hyperlink r:id="rId148">
        <w:r>
          <w:rPr>
            <w:rFonts w:ascii="Times New Roman" w:cs="Times New Roman" w:eastAsia="Times New Roman" w:hAnsi="Times New Roman"/>
            <w:sz w:val="17"/>
            <w:szCs w:val="17"/>
            <w:color w:val="auto"/>
          </w:rPr>
          <w:t>Form of AGNC Investment Corp. 2016 Equity and Incentive Compensation Plan Performance-Based Restricted Stock Unit Agreement for Section 16</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color w:val="auto"/>
          </w:rPr>
          <w:t>Officers with Employment Contracts, incorporated herein by reference to Exhibit 10.29 of Form 10-K (File No. 001-34057), filed February 26,</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color w:val="auto"/>
          </w:rPr>
          <w:t>2021.</w:t>
        </w:r>
      </w:hyperlink>
    </w:p>
    <w:p>
      <w:pPr>
        <w:spacing w:after="0" w:line="315" w:lineRule="exact"/>
        <w:rPr>
          <w:rFonts w:ascii="Times New Roman" w:cs="Times New Roman" w:eastAsia="Times New Roman" w:hAnsi="Times New Roman"/>
          <w:sz w:val="17"/>
          <w:szCs w:val="17"/>
          <w:color w:val="auto"/>
        </w:rPr>
      </w:pPr>
    </w:p>
    <w:p>
      <w:pPr>
        <w:ind w:left="1260" w:right="540" w:hanging="1255"/>
        <w:spacing w:after="0" w:line="295" w:lineRule="auto"/>
        <w:tabs>
          <w:tab w:leader="none" w:pos="1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10.20 Form of AGNC Investment Corp. 2016 Equity and Incentive Compensation Plan Restricted Stock Unit Agreement for Section 16 Officers with Retirement Plan Language, filed herewith.</w:t>
      </w:r>
    </w:p>
    <w:p>
      <w:pPr>
        <w:spacing w:after="0" w:line="94" w:lineRule="exact"/>
        <w:rPr>
          <w:rFonts w:ascii="Times New Roman" w:cs="Times New Roman" w:eastAsia="Times New Roman" w:hAnsi="Times New Roman"/>
          <w:sz w:val="17"/>
          <w:szCs w:val="17"/>
          <w:color w:val="auto"/>
        </w:rPr>
      </w:pPr>
    </w:p>
    <w:p>
      <w:pPr>
        <w:ind w:left="1260" w:right="80" w:hanging="1255"/>
        <w:spacing w:after="0" w:line="295" w:lineRule="auto"/>
        <w:tabs>
          <w:tab w:leader="none" w:pos="1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10.21 Form of AGNC Investment Corp. 2016 Equity and Incentive Compensation Plan Performance-Based Restricted Stock Unit Agreement for Section 16 Officers with Retirement Plan Language, filed herewith.</w:t>
      </w:r>
    </w:p>
    <w:p>
      <w:pPr>
        <w:spacing w:after="0" w:line="94" w:lineRule="exact"/>
        <w:rPr>
          <w:rFonts w:ascii="Times New Roman" w:cs="Times New Roman" w:eastAsia="Times New Roman" w:hAnsi="Times New Roman"/>
          <w:sz w:val="17"/>
          <w:szCs w:val="17"/>
          <w:color w:val="auto"/>
        </w:rPr>
      </w:pPr>
    </w:p>
    <w:p>
      <w:pPr>
        <w:spacing w:after="0"/>
        <w:tabs>
          <w:tab w:leader="none" w:pos="4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w:t>
        <w:tab/>
      </w:r>
      <w:hyperlink r:id="rId149">
        <w:r>
          <w:rPr>
            <w:rFonts w:ascii="Times New Roman" w:cs="Times New Roman" w:eastAsia="Times New Roman" w:hAnsi="Times New Roman"/>
            <w:sz w:val="17"/>
            <w:szCs w:val="17"/>
            <w:color w:val="auto"/>
          </w:rPr>
          <w:t>AGNC Investment Corp. Code of Ethics and Conduct, adopted July 20, 2023, incorporated herein by reference to Exhibit 14 of Form 10-Q (File No. 001-</w:t>
        </w:r>
      </w:hyperlink>
    </w:p>
    <w:p>
      <w:pPr>
        <w:spacing w:after="0" w:line="3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hyperlink r:id="rId149">
        <w:r>
          <w:rPr>
            <w:rFonts w:ascii="Times New Roman" w:cs="Times New Roman" w:eastAsia="Times New Roman" w:hAnsi="Times New Roman"/>
            <w:sz w:val="17"/>
            <w:szCs w:val="17"/>
            <w:color w:val="auto"/>
          </w:rPr>
          <w:t>34057), filed August 3, 2023.</w:t>
        </w:r>
      </w:hyperlink>
    </w:p>
    <w:p>
      <w:pPr>
        <w:spacing w:after="0" w:line="152"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 of the Company and jurisdiction of incorporation:</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AGNC TRS, LLC, a Delaware limited liability company</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Bethesda Securities, LLC, a Delaware limited liability company</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AGNC Mortgage Management, LLC, a Delaware limited liability company</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of Ernst &amp; Young LLP, filed herewith.</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Powers of Attorney of directors, filed herewith.</w:t>
      </w:r>
    </w:p>
    <w:p>
      <w:pPr>
        <w:spacing w:after="0" w:line="17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  Certification of CEO Pursuant to Section 302(a) of the Sarbanes-Oxley Act of 2002.</w:t>
      </w:r>
    </w:p>
    <w:p>
      <w:pPr>
        <w:spacing w:after="0" w:line="17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  Certification of CFO Pursuant to Section 302(a) of the Sarbanes-Oxley Act of 2002.</w:t>
      </w:r>
    </w:p>
    <w:p>
      <w:pPr>
        <w:spacing w:after="0" w:line="170" w:lineRule="exact"/>
        <w:rPr>
          <w:rFonts w:ascii="Times New Roman" w:cs="Times New Roman" w:eastAsia="Times New Roman" w:hAnsi="Times New Roman"/>
          <w:sz w:val="17"/>
          <w:szCs w:val="17"/>
          <w:color w:val="auto"/>
        </w:rPr>
      </w:pPr>
    </w:p>
    <w:p>
      <w:pPr>
        <w:ind w:right="4520" w:firstLine="5"/>
        <w:spacing w:after="0" w:line="449" w:lineRule="auto"/>
        <w:tabs>
          <w:tab w:leader="none" w:pos="34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CEO and CFO Pursuant to Section 906 of the Sarbanes-Oxley Act of 2002. 97.1 AGNC Investment Corp. Compensation Clawback Policy, filed herewith.</w:t>
      </w:r>
    </w:p>
    <w:p>
      <w:pPr>
        <w:sectPr>
          <w:pgSz w:w="11900" w:h="16838" w:orient="portrait"/>
          <w:cols w:equalWidth="0" w:num="1">
            <w:col w:w="11240"/>
          </w:cols>
          <w:pgMar w:left="320" w:top="1023"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The instance document does not appear in the interactive data file because its XBRL tags are embedded within the inline XBRL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760" w:space="180"/>
            <w:col w:w="1030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20" w:space="18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40" w:space="16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40" w:space="16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00" w:space="180"/>
            <w:col w:w="1026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32" w:lineRule="exact"/>
        <w:rPr>
          <w:rFonts w:ascii="Times New Roman" w:cs="Times New Roman" w:eastAsia="Times New Roman" w:hAnsi="Times New Roman"/>
          <w:sz w:val="17"/>
          <w:szCs w:val="17"/>
          <w:color w:val="auto"/>
        </w:rPr>
      </w:pPr>
    </w:p>
    <w:p>
      <w:pPr>
        <w:sectPr>
          <w:pgSz w:w="11900" w:h="16838" w:orient="portrait"/>
          <w:cols w:equalWidth="0" w:num="2">
            <w:col w:w="820" w:space="160"/>
            <w:col w:w="1026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7"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Previously filed</w:t>
      </w:r>
    </w:p>
    <w:p>
      <w:pPr>
        <w:spacing w:after="0" w:line="23" w:lineRule="exact"/>
        <w:rPr>
          <w:rFonts w:ascii="Times New Roman" w:cs="Times New Roman" w:eastAsia="Times New Roman" w:hAnsi="Times New Roman"/>
          <w:sz w:val="17"/>
          <w:szCs w:val="17"/>
          <w:color w:val="auto"/>
        </w:rPr>
      </w:pPr>
    </w:p>
    <w:p>
      <w:pPr>
        <w:ind w:left="640" w:right="720" w:hanging="635"/>
        <w:spacing w:after="0" w:line="256" w:lineRule="auto"/>
        <w:tabs>
          <w:tab w:leader="none" w:pos="35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is being furnished rather than filed, and shall not be deemed incorporated by reference into any filing, in accordance with Item 601 of Regulation S-K</w:t>
      </w:r>
    </w:p>
    <w:p>
      <w:pPr>
        <w:spacing w:after="0" w:line="1"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w:t>
      </w:r>
    </w:p>
    <w:p>
      <w:pPr>
        <w:spacing w:after="0" w:line="231" w:lineRule="exact"/>
        <w:rPr>
          <w:rFonts w:ascii="Times New Roman" w:cs="Times New Roman" w:eastAsia="Times New Roman" w:hAnsi="Times New Roman"/>
          <w:sz w:val="17"/>
          <w:szCs w:val="17"/>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17"/>
          <w:szCs w:val="17"/>
          <w:color w:val="auto"/>
        </w:rPr>
        <w:t>(b)</w:t>
        <w:tab/>
        <w:t>Exhibits</w:t>
      </w:r>
    </w:p>
    <w:p>
      <w:pPr>
        <w:spacing w:after="0" w:line="32" w:lineRule="exact"/>
        <w:rPr>
          <w:rFonts w:ascii="Times New Roman" w:cs="Times New Roman" w:eastAsia="Times New Roman" w:hAnsi="Times New Roman"/>
          <w:sz w:val="17"/>
          <w:szCs w:val="17"/>
          <w:color w:val="auto"/>
        </w:rPr>
      </w:pPr>
    </w:p>
    <w:p>
      <w:pPr>
        <w:ind w:left="780"/>
        <w:spacing w:after="0"/>
        <w:rPr>
          <w:sz w:val="20"/>
          <w:szCs w:val="20"/>
          <w:color w:val="auto"/>
        </w:rPr>
      </w:pPr>
      <w:r>
        <w:rPr>
          <w:rFonts w:ascii="Times New Roman" w:cs="Times New Roman" w:eastAsia="Times New Roman" w:hAnsi="Times New Roman"/>
          <w:sz w:val="17"/>
          <w:szCs w:val="17"/>
          <w:color w:val="auto"/>
        </w:rPr>
        <w:t>See the exhibits filed herewith.</w:t>
      </w:r>
    </w:p>
    <w:p>
      <w:pPr>
        <w:spacing w:after="0" w:line="205" w:lineRule="exact"/>
        <w:rPr>
          <w:rFonts w:ascii="Times New Roman" w:cs="Times New Roman" w:eastAsia="Times New Roman" w:hAnsi="Times New Roman"/>
          <w:sz w:val="17"/>
          <w:szCs w:val="17"/>
          <w:color w:val="auto"/>
        </w:rPr>
      </w:pPr>
    </w:p>
    <w:p>
      <w:pPr>
        <w:ind w:left="660" w:right="7620" w:hanging="224"/>
        <w:spacing w:after="0" w:line="295" w:lineRule="auto"/>
        <w:tabs>
          <w:tab w:leader="none" w:pos="8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financial statement schedules None.</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2" w:lineRule="exact"/>
        <w:rPr>
          <w:sz w:val="20"/>
          <w:szCs w:val="20"/>
          <w:color w:val="auto"/>
        </w:rPr>
      </w:pPr>
    </w:p>
    <w:p>
      <w:pPr>
        <w:ind w:right="220" w:firstLine="431"/>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AGNC I</w:t>
      </w:r>
      <w:r>
        <w:rPr>
          <w:rFonts w:ascii="Times New Roman" w:cs="Times New Roman" w:eastAsia="Times New Roman" w:hAnsi="Times New Roman"/>
          <w:sz w:val="13"/>
          <w:szCs w:val="13"/>
          <w:color w:val="auto"/>
        </w:rPr>
        <w:t>NVESTMENT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ORP</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ind w:left="5540"/>
        <w:spacing w:after="0"/>
        <w:tabs>
          <w:tab w:leader="none" w:pos="7780" w:val="left"/>
          <w:tab w:leader="none" w:pos="81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28575</wp:posOffset>
            </wp:positionV>
            <wp:extent cx="3269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3269615" cy="8255"/>
                    </a:xfrm>
                    <a:prstGeom prst="rect">
                      <a:avLst/>
                    </a:prstGeom>
                    <a:noFill/>
                  </pic:spPr>
                </pic:pic>
              </a:graphicData>
            </a:graphic>
          </wp:anchor>
        </w:drawing>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40"/>
        <w:spacing w:after="0" w:line="215"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7"/>
          <w:szCs w:val="17"/>
          <w:color w:val="auto"/>
        </w:rPr>
        <w:t>Date:</w:t>
        <w:tab/>
        <w:t>February 22, 2024</w:t>
      </w:r>
    </w:p>
    <w:p>
      <w:pPr>
        <w:spacing w:after="0" w:line="210" w:lineRule="exact"/>
        <w:rPr>
          <w:sz w:val="20"/>
          <w:szCs w:val="20"/>
          <w:color w:val="auto"/>
        </w:rPr>
      </w:pPr>
    </w:p>
    <w:p>
      <w:pPr>
        <w:ind w:firstLine="42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48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8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Director, President and Chief Executive</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w:t>
            </w:r>
          </w:p>
        </w:tc>
        <w:tc>
          <w:tcPr>
            <w:tcW w:w="2280" w:type="dxa"/>
            <w:vAlign w:val="bottom"/>
            <w:tcBorders>
              <w:bottom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Officer (Principal Executive Officer)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Peter J. Federico</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3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E. B</w:t>
            </w:r>
            <w:r>
              <w:rPr>
                <w:rFonts w:ascii="Times New Roman" w:cs="Times New Roman" w:eastAsia="Times New Roman" w:hAnsi="Times New Roman"/>
                <w:sz w:val="13"/>
                <w:szCs w:val="13"/>
                <w:color w:val="auto"/>
              </w:rPr>
              <w:t>ELL</w:t>
            </w:r>
          </w:p>
        </w:tc>
        <w:tc>
          <w:tcPr>
            <w:tcW w:w="308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auto"/>
              </w:rPr>
              <w:t>Financial Officer (Principal Financial</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vMerge w:val="continue"/>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Officer and Principal Accounting Officer)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Bernice E. Bell</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ARY</w:t>
            </w:r>
            <w:r>
              <w:rPr>
                <w:rFonts w:ascii="Times New Roman" w:cs="Times New Roman" w:eastAsia="Times New Roman" w:hAnsi="Times New Roman"/>
                <w:sz w:val="17"/>
                <w:szCs w:val="17"/>
                <w:color w:val="auto"/>
              </w:rPr>
              <w:t xml:space="preserve"> D. K</w:t>
            </w:r>
            <w:r>
              <w:rPr>
                <w:rFonts w:ascii="Times New Roman" w:cs="Times New Roman" w:eastAsia="Times New Roman" w:hAnsi="Times New Roman"/>
                <w:sz w:val="13"/>
                <w:szCs w:val="13"/>
                <w:color w:val="auto"/>
              </w:rPr>
              <w:t>AIN</w:t>
            </w: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 Executive Chair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Gary D. Kain</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Donna J. Blank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Morris A. Davis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0"/>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John D. Fisk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Andrew A. Johnson, Jr.</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Prue B. Larocca</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Paul E. Mullings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22,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Frances R. Spark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3"/>
        </w:trPr>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/s/</w:t>
            </w:r>
          </w:p>
        </w:tc>
        <w:tc>
          <w:tcPr>
            <w:tcW w:w="228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K</w:t>
            </w:r>
            <w:r>
              <w:rPr>
                <w:rFonts w:ascii="Times New Roman" w:cs="Times New Roman" w:eastAsia="Times New Roman" w:hAnsi="Times New Roman"/>
                <w:sz w:val="13"/>
                <w:szCs w:val="13"/>
                <w:color w:val="auto"/>
              </w:rPr>
              <w:t>ENNETH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OLLACK</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Kenneth L. Pollack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3"/>
          </w:tcPr>
          <w:p>
            <w:pPr>
              <w:jc w:val="center"/>
              <w:ind w:right="960"/>
              <w:spacing w:after="0"/>
              <w:rPr>
                <w:sz w:val="20"/>
                <w:szCs w:val="20"/>
                <w:color w:val="auto"/>
              </w:rPr>
            </w:pPr>
            <w:r>
              <w:rPr>
                <w:rFonts w:ascii="Times New Roman" w:cs="Times New Roman" w:eastAsia="Times New Roman" w:hAnsi="Times New Roman"/>
                <w:sz w:val="12"/>
                <w:szCs w:val="12"/>
                <w:b w:val="1"/>
                <w:bCs w:val="1"/>
                <w:i w:val="1"/>
                <w:iCs w:val="1"/>
                <w:color w:val="auto"/>
              </w:rPr>
              <w:t>Attorney-in-fact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2"/>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color w:val="auto"/>
        </w:rPr>
        <w:t>Exhibit 4.19</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THE REGISTRANT’S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REGISTERED PURSUANT TO SECTION 12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00" w:lineRule="exact"/>
        <w:rPr>
          <w:sz w:val="20"/>
          <w:szCs w:val="20"/>
          <w:color w:val="auto"/>
        </w:rPr>
      </w:pPr>
    </w:p>
    <w:p>
      <w:pPr>
        <w:spacing w:after="0" w:line="26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auto"/>
        </w:rPr>
        <w:t>The following description sets forth certain material terms and provisions of AGNC Investment Corp.’s securities that are registered under Section 12 of the Securities Exchange Act of 1934, as amended.</w:t>
      </w:r>
    </w:p>
    <w:p>
      <w:pPr>
        <w:spacing w:after="0" w:line="2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color w:val="auto"/>
        </w:rPr>
        <w:t>The description below does not purport to be complete and is qualified in its entirety by reference to our Amended and Restated Certificate of Incorporation, as filed with the Secretary of State of Delaware on April 23, 2020 (the “Charter”), our Amended and Restated Bylaws (the “Bylaws”), as in effect since July 20, 2023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spacing w:after="0" w:line="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As of December 31, 2023, we had six classes of registered securities listed on The Nasdaq Global Select Market, our common stock and 7.000%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23,000 shares have been designated as our 6.125% Series F Fixed-to-Floating Rate Cumulative Redeemable Preferred Stock (“Series F Preferred Stock”), and 6,900 shares have been designated as our</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7.75% Series G Fixed-Rate Reset Cumulative Redeemable Preferred Stock (“Series G Preferred Stock”). As of December 31, 2023, 694,265,141 shares of our common stock, 13,000 shares of our Series C Preferred Stock, 9,400 shares of our Series D Preferred Stock, 16,100 shares of our Series E Preferred Stock, 23,000 shares of our Series F Preferred Stock, and 6,000 shares of our Series G Preferred Stock were issued and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Voting Rights</w:t>
      </w:r>
    </w:p>
    <w:p>
      <w:pPr>
        <w:spacing w:after="0" w:line="112"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9"/>
          <w:szCs w:val="19"/>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870" w:right="339" w:bottom="1440" w:gutter="0" w:footer="0" w:header="0"/>
        </w:sectPr>
      </w:pPr>
    </w:p>
    <w:bookmarkStart w:id="87" w:name="page88"/>
    <w:bookmarkEnd w:id="87"/>
    <w:p>
      <w:pPr>
        <w:ind w:right="80"/>
        <w:spacing w:after="0" w:line="265" w:lineRule="auto"/>
        <w:rPr>
          <w:sz w:val="20"/>
          <w:szCs w:val="20"/>
          <w:color w:val="auto"/>
        </w:rPr>
      </w:pPr>
      <w:r>
        <w:rPr>
          <w:rFonts w:ascii="Times New Roman" w:cs="Times New Roman" w:eastAsia="Times New Roman" w:hAnsi="Times New Roman"/>
          <w:sz w:val="19"/>
          <w:szCs w:val="19"/>
          <w:color w:val="auto"/>
        </w:rPr>
        <w:t>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 Rights</w:t>
      </w:r>
    </w:p>
    <w:p>
      <w:pPr>
        <w:spacing w:after="0" w:line="125"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9"/>
          <w:szCs w:val="19"/>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Liquidation Rights</w:t>
      </w:r>
    </w:p>
    <w:p>
      <w:pPr>
        <w:spacing w:after="0" w:line="1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On our liquidation, dissolution or winding up, each of our common stockholders will be entitled to a pro rata dividend of any assets available for distribution to common stockholders.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Matters</w:t>
      </w:r>
    </w:p>
    <w:p>
      <w:pPr>
        <w:spacing w:after="0" w:line="11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9"/>
          <w:szCs w:val="19"/>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C Preferred Stock Underlying Our Depositary Shares</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2023. Each depositary share represents 1/1,000th of a share of Series C Preferred Stock. The depositary shares underlying the Series C Preferred Stock are listed on the Nasdaq Global Select Market under the symbol “AGNCN.”</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C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C Preferred Stock are entitled to receive, when, as and if declared by our Board of Directors, out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funds legally available for the payment of dividends, cumulative cash dividends. The initial dividend rate for the Series C Preferred Stock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including the date of original issuance to, but not including, October 15, 2022 (the “Fixed Rate Period”) was at the rate of 7.00%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$25,000 liquidation preference per share of Series C Preferred Stock per annum (equivalent to $1,750 per annum per share of Series C Preferred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$1.75 per annum per depositary share). On and after October 15, 2022 (the “Floating Rate Period”) to, but not including, July 15,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dividends on the Series C Preferred Stock accumulated at a percentage of the $25,000 liquidation preference per share of Series C Preferred Stock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equal to an annual floating rate of the Three-Month LIBOR Rate plus a spread of 5.111%. As a result of the termination of publication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Three-Month LIBOR Rate, on and after July 15, 2023, dividends on the Series C Preferred Stock began accumulating at a percentage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$25,000 liquidation preference per share of Series C Preferred Stock equal to Three-Month CME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861" w:right="339" w:bottom="1440" w:gutter="0" w:footer="0" w:header="0"/>
        </w:sectPr>
      </w:pPr>
    </w:p>
    <w:bookmarkStart w:id="88" w:name="page89"/>
    <w:bookmarkEnd w:id="88"/>
    <w:p>
      <w:pPr>
        <w:ind w:right="20"/>
        <w:spacing w:after="0" w:line="252" w:lineRule="auto"/>
        <w:rPr>
          <w:sz w:val="20"/>
          <w:szCs w:val="20"/>
          <w:color w:val="auto"/>
        </w:rPr>
      </w:pPr>
      <w:r>
        <w:rPr>
          <w:rFonts w:ascii="Times New Roman" w:cs="Times New Roman" w:eastAsia="Times New Roman" w:hAnsi="Times New Roman"/>
          <w:sz w:val="19"/>
          <w:szCs w:val="19"/>
          <w:color w:val="auto"/>
        </w:rPr>
        <w:t>Term SOFR plus 0.26161% plus a spread of 5.111%. Dividends on the Series C Preferred Stock accumulate daily and are cumulative from, and including, the date of original issue (August 22, 2017) and are payable quarterly in arrears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C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C Preferred Stock became redeemable on October 15, 2022. We may, at our option, redeem any or all of the shares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Series C Preferred Stock at $25,000 per share ($25.00 per depositary share) plus any accumulated and unpaid dividends to, but not including, the redemption date. In addition, upon the occurrence of a Change of Control (as defined in the Series C Certificate of Designations),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5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C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C Preferred Stock.</w:t>
      </w:r>
    </w:p>
    <w:p>
      <w:pPr>
        <w:spacing w:after="0" w:line="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C Preferred Stock will generally have no voting rights. However, if we do not pay dividends on the Series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C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86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D Preferred Stock Underlying Our Depositary Shares</w:t>
      </w:r>
    </w:p>
    <w:p>
      <w:pPr>
        <w:spacing w:after="0" w:line="1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 Certificate of Designations became effective upon filing on March 5, 2019. On March 6, 2019, we issued 9,000 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2023. Each depositary share represents 1/1,000th of a share of Series D Preferred Stock. The depositary shares underlying the Series D Preferred Stock are listed on the Nasdaq Global Select Market under the symbol “AGNCM.”</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D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D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D Preferred Stock from and including the date of original issuance to, but not including, April 15, 2024 (the “Fixed Rate Period”) is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will accumulate at a percentage of the $25,000 liquidation preference per share of Series D Preferred Stock equal to an annual floating rate of Three-Month CME Term SOFR plus 0.26161% plus a spread of 4.332%. Dividends on the Series D Preferred Stock accumulate daily and are cumulative from, and including, the date of original issue (March 6, 2019) and are payable quarterly in arrears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D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858" w:right="339" w:bottom="1440" w:gutter="0" w:footer="0" w:header="0"/>
        </w:sectPr>
      </w:pPr>
    </w:p>
    <w:bookmarkStart w:id="90" w:name="page91"/>
    <w:bookmarkEnd w:id="90"/>
    <w:p>
      <w:pPr>
        <w:ind w:right="12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D Preferred Stock will not be redeemable by us prior to April 15, 2024, except under circumstances intended to preserve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qualification as a REIT for federal income tax purposes and except upon the occurrence of a Change of Control (as defined in the Series D Certificate of Designations). On or after April 15, 2024, we may, at our option, redeem any or all of the shares of the Series D Preferred Stock at $25,000 per share ($25.00 per depositary share) plus any accumulated and unpaid dividends to, but not including, the redemption date. 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D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D Preferred Stock.</w:t>
      </w:r>
    </w:p>
    <w:p>
      <w:pPr>
        <w:spacing w:after="0" w:line="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D Preferred Stock will generally have no voting rights. However, if we do not pay dividends on the Series 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D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E Preferred Stock Underlying Our Depositary Shares</w:t>
      </w:r>
    </w:p>
    <w:p>
      <w:pPr>
        <w:spacing w:after="0" w:line="1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2023. Each depositary share represents 1/1,000th of a share of Series E Preferred Stock. The depositary shares underlying the Series E Preferred Stock are listed on the Nasdaq Global Select Market under the symbol “AGNCO.”</w:t>
      </w:r>
    </w:p>
    <w:p>
      <w:pPr>
        <w:spacing w:after="0" w:line="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E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860" w:right="339" w:bottom="1440" w:gutter="0" w:footer="0" w:header="0"/>
        </w:sectPr>
      </w:pPr>
    </w:p>
    <w:bookmarkStart w:id="91" w:name="page92"/>
    <w:bookmarkEnd w:id="91"/>
    <w:p>
      <w:pPr>
        <w:ind w:right="360"/>
        <w:spacing w:after="0" w:line="293" w:lineRule="auto"/>
        <w:rPr>
          <w:sz w:val="20"/>
          <w:szCs w:val="20"/>
          <w:color w:val="auto"/>
        </w:rPr>
      </w:pPr>
      <w:r>
        <w:rPr>
          <w:rFonts w:ascii="Times New Roman" w:cs="Times New Roman" w:eastAsia="Times New Roman" w:hAnsi="Times New Roman"/>
          <w:sz w:val="19"/>
          <w:szCs w:val="19"/>
          <w:color w:val="auto"/>
        </w:rPr>
        <w:t>(including indebtedness convertible to our common stock or preferred stock) and to the indebtedness of our existing subsidiary and any future subsidiaries.</w:t>
      </w:r>
    </w:p>
    <w:p>
      <w:pPr>
        <w:spacing w:after="0" w:line="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E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E Preferred Stock from and including the date of original issuance to, but not including, October 15, 2024 (the “Fixed Rate Period”) is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will accumulate at a percentage of the $25,000 liquidation preference per share of Series E Preferred Stock equal to an annual floating rate of Three-Month CME Term SOFR plus 0.26161% plus a spread of 4.993%. Dividends on the Series E Preferred Stock accumulate daily and are cumulative from, and including, the date of original issue (October 3, 2019) and are payable quarterly in arrears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spacing w:after="0" w:line="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E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6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E Preferred Stock will not be redeemable by us prior to October 15, 2024, except under circumstances intended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preserve our qualification as a REIT for federal income tax purposes and except upon the occurrence of a Change of Control (as defined in the Series E Certificate of Designations). On or after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E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E Preferred Stock.</w:t>
      </w:r>
    </w:p>
    <w:p>
      <w:pPr>
        <w:spacing w:after="0" w:line="4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E Preferred Stock will generally have no voting rights. However, if we do not pay dividends on the Series 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861" w:right="339" w:bottom="1440" w:gutter="0" w:footer="0" w:header="0"/>
        </w:sectPr>
      </w:pPr>
    </w:p>
    <w:bookmarkStart w:id="92" w:name="page93"/>
    <w:bookmarkEnd w:id="92"/>
    <w:p>
      <w:pPr>
        <w:ind w:right="460"/>
        <w:spacing w:after="0" w:line="293" w:lineRule="auto"/>
        <w:rPr>
          <w:sz w:val="20"/>
          <w:szCs w:val="20"/>
          <w:color w:val="auto"/>
        </w:rPr>
      </w:pPr>
      <w:r>
        <w:rPr>
          <w:rFonts w:ascii="Times New Roman" w:cs="Times New Roman" w:eastAsia="Times New Roman" w:hAnsi="Times New Roman"/>
          <w:sz w:val="19"/>
          <w:szCs w:val="19"/>
          <w:color w:val="auto"/>
        </w:rPr>
        <w:t>dissolution or winding up, to amend any provision of our Charter so as to materially and adversely affect any rights of the Series E Preferred Stock or to take certain other actions.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E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E Preferred Stock in whole or in part, as described above, prior to the Change of Control Conversion Date (as defined in the Series E Certificate of Designations)) to convert some or 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F Preferred Stock Underlying Our Depositary Shares</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2023. Each depositary share represents 1/1,000th of a share of Series F Preferred Stock. The depositary shares underlying the Series F Preferred Stock are listed on the Nasdaq Global Select Market under the symbol “AGNCP.”</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F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F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will accumulate at a percentage of the $25,000 liquidation preference per share of Series F Preferred Stock equal to an annual floating rate of Three-Month CME Term SOFR plus 0.26161% plus a spread of 4.697%. Dividends on the Series F Preferred Stock accumulate daily and are cumulative from, and including, the date of original issue (February 11, 2020) and are payable quarterly in arrears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7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F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862" w:right="339" w:bottom="1440" w:gutter="0" w:footer="0" w:header="0"/>
        </w:sectPr>
      </w:pPr>
    </w:p>
    <w:bookmarkStart w:id="93" w:name="page94"/>
    <w:bookmarkEnd w:id="93"/>
    <w:p>
      <w:pPr>
        <w:ind w:right="40"/>
        <w:spacing w:after="0" w:line="260" w:lineRule="auto"/>
        <w:rPr>
          <w:sz w:val="20"/>
          <w:szCs w:val="20"/>
          <w:color w:val="auto"/>
        </w:rPr>
      </w:pPr>
      <w:r>
        <w:rPr>
          <w:rFonts w:ascii="Times New Roman" w:cs="Times New Roman" w:eastAsia="Times New Roman" w:hAnsi="Times New Roman"/>
          <w:sz w:val="19"/>
          <w:szCs w:val="19"/>
          <w:color w:val="auto"/>
        </w:rPr>
        <w:t>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F Preferred Stock as to liquidation rights.</w:t>
      </w:r>
    </w:p>
    <w:p>
      <w:pPr>
        <w:spacing w:after="0" w:line="6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F Preferred Stock will not be redeemable by us prior to April 15, 2025, except under circumstances intended to preserve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qualification as a REIT for federal income tax purposes and except upon the occurrence of a Change of Control (as defined in the Series F Certificate of Designations). On or after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F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F Preferred Stock.</w:t>
      </w:r>
    </w:p>
    <w:p>
      <w:pPr>
        <w:spacing w:after="0" w:line="6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F Preferred Stock will generally have no voting rights. However, if we do not pay dividends on the Series 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F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G Preferred Stock Underlying Our Depositary Shares</w:t>
      </w:r>
    </w:p>
    <w:p>
      <w:pPr>
        <w:spacing w:after="0" w:line="1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On September 13, 2022, we filed a certificate of designations (the “Series G Certificate of Designations”) with the Secretary of State of the State of Delaware to designate 6,900 shares of our Series G Preferred Stock with the powers, designations, preferences and other rights set forth in the Series G Certificate of Designations. The Series G Certificate of Designations became effective upon filing on September 13, 2022. On September 14, 2022, we issued 6,000 shares of the Series G Preferred Stock, which shares were deposited with Computershare Inc. and Computershare Trust Company, N.A., jointly as depositary, against which depositary receipts evidencing 6,000,000 depositary shares were issued, all of which remain outstanding as of December 31, 2023. Each depositary share represents 1/1,000th of a share of Series G Preferred Stock. The depositary shares underlying the Series G Preferred Stock are listed on the Nasdaq Global Select Market under the symbol “AGNCL.”</w:t>
      </w:r>
    </w:p>
    <w:p>
      <w:pPr>
        <w:spacing w:after="0" w:line="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G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861" w:right="339" w:bottom="1440" w:gutter="0" w:footer="0" w:header="0"/>
        </w:sectPr>
      </w:pPr>
    </w:p>
    <w:bookmarkStart w:id="94" w:name="page95"/>
    <w:bookmarkEnd w:id="94"/>
    <w:p>
      <w:pPr>
        <w:ind w:right="220"/>
        <w:spacing w:after="0" w:line="259" w:lineRule="auto"/>
        <w:rPr>
          <w:sz w:val="20"/>
          <w:szCs w:val="20"/>
          <w:color w:val="auto"/>
        </w:rPr>
      </w:pPr>
      <w:r>
        <w:rPr>
          <w:rFonts w:ascii="Times New Roman" w:cs="Times New Roman" w:eastAsia="Times New Roman" w:hAnsi="Times New Roman"/>
          <w:sz w:val="19"/>
          <w:szCs w:val="19"/>
          <w:color w:val="auto"/>
        </w:rPr>
        <w:t>with all equity securities issued by us with terms specifically providing that those equity securities rank on a parity with the Series G Preferred Stock with respect to rights to the payment of dividends and the distribution of assets upon our liquidation, dissolution or winding up, including the Series G Preferred Stock; (3) junior to all equity securities issued by us with terms specifically providing that those equity securities rank senior to the Series G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G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G Preferred Stock from and including the date of original issuance to, but not including, October 15, 2027 is at the rate of 7.75% of the $25,000 liquidation preference per share of Series G Preferred Stock per annum (equivalent to $1,937.50 per annum per share of Series G Preferred Stock or $1.93750 per annum per depositary share). On and after October 15, 2027, dividends on the Series G Preferred Stock will accumulate at a percentage of the $25,000 liquidation preference per share of Series G Preferred Stock during each reset period at a rate per annum equal to the five-year U.S. Treasury Rate as of the most recent dividend determination date plus a spread of 4.39% per annum. The “reset period” means the period from, and including, the first reset date and each date falling on the fifth anniversary of the preceding reset date but excluding the next following reset date. Dividends on the Series G Preferred Stock are payable quarterly in arrears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G Preferred Stock at the close of business on the applicable record date, which shall be the first day of the calendar month, in which the applicable dividend payment date falls.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G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G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G Preferred Stock as to liquidation rights.</w:t>
      </w:r>
    </w:p>
    <w:p>
      <w:pPr>
        <w:spacing w:after="0" w:line="7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G Preferred Stock will not be redeemable by us prior to October 15, 2027, except under circumstances intended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preserve our qualification as a REIT for federal income tax purposes and except upon the occurrence of a Change of Control (as defined in the Series G Certificate of Designations). On or after October 15, 2027, we may, at our option, redeem any or all of the shares of the Series G Preferred Stock at $25,000 per share ($25.00 per depositary share) plus any accumulated and unpaid dividends to, but not including, the redemption date. In addition, upon the occurrence of a Change of Control, we may, at our option, redeem any or all of the shares of Series G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G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G Preferred Stock.</w:t>
      </w:r>
    </w:p>
    <w:p>
      <w:pPr>
        <w:spacing w:after="0" w:line="6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G Preferred Stock will generally have no voting rights. However, if we do not pay dividends on the Series 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G Preferred Stock (voting separately as a class with the holders of all other classes or series of our preferred stock we may issue upon which like voting rights have been conferred and are exercisable and which are entitled to vote as a class with the Series G Preferred Stock in the election referred to below) will be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861" w:right="339" w:bottom="1440" w:gutter="0" w:footer="0" w:header="0"/>
        </w:sectPr>
      </w:pPr>
    </w:p>
    <w:bookmarkStart w:id="95" w:name="page96"/>
    <w:bookmarkEnd w:id="95"/>
    <w:p>
      <w:pPr>
        <w:ind w:right="200"/>
        <w:spacing w:after="0" w:line="259" w:lineRule="auto"/>
        <w:rPr>
          <w:sz w:val="20"/>
          <w:szCs w:val="20"/>
          <w:color w:val="auto"/>
        </w:rPr>
      </w:pPr>
      <w:r>
        <w:rPr>
          <w:rFonts w:ascii="Times New Roman" w:cs="Times New Roman" w:eastAsia="Times New Roman" w:hAnsi="Times New Roman"/>
          <w:sz w:val="19"/>
          <w:szCs w:val="19"/>
          <w:color w:val="auto"/>
        </w:rPr>
        <w:t>entitled to vote for the election of two additional directors to serve on our Board of Directors until we pay, or declare and set aside funds for the payment of, all dividends that we owe on the Series G Preferred Stock, subject to certain limitations. In addition, the affirmative vote of the holders of at least two-thirds of the outstanding shares of Series G Preferred Stock is required for us to authorize or issue any class or series of stock ranking senior to the Series G Preferred Stock with respect to the payment of dividends or the distribution of assets on liquidation, dissolution or winding up, to amend any provision of our Charter so as to materially and adversely affect any rights of the Series G Preferred Stock or to take certain other actions.</w:t>
      </w:r>
    </w:p>
    <w:p>
      <w:pPr>
        <w:spacing w:after="0" w:line="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G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G Preferred Stock in whole or in part, as described above, prior to the Change of Control Conversion Date (as defined in the Series G Certificate of Designations)) to convert some or all of the Series G Preferred Stock held by such holder on the Change of Control Conversion Date into a number of shares of our common stock per share of Series G Preferred Stock determined by a formula, in each case, on the terms and subject to the conditions described in the Series G Certificate of Designations, including provisions for the receipt, under specified circumstances, of alternative consideration.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Restrictions on Ownership and Transfer of Our Capital Stock</w:t>
      </w:r>
    </w:p>
    <w:p>
      <w:pPr>
        <w:spacing w:after="0" w:line="12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6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29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00"/>
          </w:cols>
          <w:pgMar w:left="320" w:top="862" w:right="379" w:bottom="1440" w:gutter="0" w:footer="0" w:header="0"/>
        </w:sectPr>
      </w:pPr>
    </w:p>
    <w:bookmarkStart w:id="96" w:name="page97"/>
    <w:bookmarkEnd w:id="96"/>
    <w:p>
      <w:pPr>
        <w:ind w:right="900"/>
        <w:spacing w:after="0" w:line="293" w:lineRule="auto"/>
        <w:rPr>
          <w:sz w:val="20"/>
          <w:szCs w:val="20"/>
          <w:color w:val="auto"/>
        </w:rPr>
      </w:pPr>
      <w:r>
        <w:rPr>
          <w:rFonts w:ascii="Times New Roman" w:cs="Times New Roman" w:eastAsia="Times New Roman" w:hAnsi="Times New Roman"/>
          <w:sz w:val="19"/>
          <w:szCs w:val="19"/>
          <w:color w:val="auto"/>
        </w:rPr>
        <w:t>Service (the “IRS”) or an opinion of counsel in order to determine or ensure our qualification as a REIT in the context of granting such exemptions.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7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9"/>
          <w:szCs w:val="19"/>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86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color w:val="auto"/>
        </w:rPr>
        <w:t>governmental authority or to determine such compliance and to ensure compliance with the 9.8% ownership limitations in our Charter.</w:t>
      </w:r>
    </w:p>
    <w:p>
      <w:pPr>
        <w:spacing w:after="0" w:line="12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9"/>
          <w:szCs w:val="19"/>
          <w:color w:val="auto"/>
        </w:rPr>
        <w:t>These ownership limitations could delay, defer or prevent a transaction or a change in control that might involve a premium price for our common stock or might otherwise be in the best interests of our stockholders.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Effects of Delaware Law and Our Charter and Bylaws</w:t>
      </w:r>
    </w:p>
    <w:p>
      <w:pPr>
        <w:spacing w:after="0" w:line="11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Action by Written Consent</w:t>
      </w:r>
    </w:p>
    <w:p>
      <w:pPr>
        <w:spacing w:after="0" w:line="112"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9"/>
          <w:szCs w:val="19"/>
          <w:color w:val="auto"/>
        </w:rPr>
        <w:t>Our Charter provides that stockholder action may not be taken by written consent in lieu of a meeting and that stockholder action may be taken only at an annual or special meeting of stockholders.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Elimination of the Ability to Call Special Meetings</w:t>
      </w:r>
    </w:p>
    <w:p>
      <w:pPr>
        <w:spacing w:after="0" w:line="11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9"/>
          <w:szCs w:val="19"/>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Removal of Directors; Board of Directors Vacancies</w:t>
      </w:r>
    </w:p>
    <w:p>
      <w:pPr>
        <w:spacing w:after="0" w:line="11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Our Charter provides that members of our Board of Directors may be removed at any time with or without cause,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Amendment of Certificate of Incorporation and By-laws</w:t>
      </w:r>
    </w:p>
    <w:p>
      <w:pPr>
        <w:spacing w:after="0" w:line="1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8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861" w:right="359" w:bottom="1440" w:gutter="0" w:footer="0" w:header="0"/>
        </w:sectPr>
      </w:pPr>
    </w:p>
    <w:bookmarkStart w:id="98" w:name="page99"/>
    <w:bookmarkEnd w:id="98"/>
    <w:p>
      <w:pPr>
        <w:spacing w:after="0" w:line="265" w:lineRule="auto"/>
        <w:rPr>
          <w:sz w:val="20"/>
          <w:szCs w:val="20"/>
          <w:color w:val="auto"/>
        </w:rPr>
      </w:pPr>
      <w:r>
        <w:rPr>
          <w:rFonts w:ascii="Times New Roman" w:cs="Times New Roman" w:eastAsia="Times New Roman" w:hAnsi="Times New Roman"/>
          <w:sz w:val="19"/>
          <w:szCs w:val="19"/>
          <w:color w:val="auto"/>
        </w:rPr>
        <w:t>Such provisions also may have the effect of preventing changes in our management or delaying or preventing a transaction that might benefit you or other minority stockholders.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203 of the DGCL</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60"/>
          </w:cols>
          <w:pgMar w:left="320" w:top="862" w:right="4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AGNC INVESTMENT CORP.</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2016 EQUITY AND INCENTIVE COMPENSATION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100" w:lineRule="exact"/>
        <w:rPr>
          <w:sz w:val="20"/>
          <w:szCs w:val="20"/>
          <w:color w:val="auto"/>
        </w:rPr>
      </w:pPr>
    </w:p>
    <w:p>
      <w:pPr>
        <w:ind w:right="200" w:firstLine="627"/>
        <w:spacing w:after="0" w:line="277" w:lineRule="auto"/>
        <w:rPr>
          <w:sz w:val="20"/>
          <w:szCs w:val="20"/>
          <w:color w:val="auto"/>
        </w:rPr>
      </w:pPr>
      <w:r>
        <w:rPr>
          <w:rFonts w:ascii="Times New Roman" w:cs="Times New Roman" w:eastAsia="Times New Roman" w:hAnsi="Times New Roman"/>
          <w:sz w:val="21"/>
          <w:szCs w:val="21"/>
          <w:color w:val="auto"/>
        </w:rPr>
        <w:t>This RESTRICTED STOCK UNIT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 between AGNC Investment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spacing w:after="0" w:line="380" w:lineRule="exact"/>
        <w:rPr>
          <w:sz w:val="20"/>
          <w:szCs w:val="20"/>
          <w:color w:val="auto"/>
        </w:rPr>
      </w:pPr>
    </w:p>
    <w:p>
      <w:pPr>
        <w:ind w:left="640" w:right="200" w:hanging="322"/>
        <w:spacing w:after="0" w:line="263" w:lineRule="auto"/>
        <w:tabs>
          <w:tab w:leader="none" w:pos="631" w:val="left"/>
        </w:tabs>
        <w:numPr>
          <w:ilvl w:val="0"/>
          <w:numId w:val="65"/>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Certain Definitions</w:t>
      </w:r>
      <w:r>
        <w:rPr>
          <w:rFonts w:ascii="Times New Roman" w:cs="Times New Roman" w:eastAsia="Times New Roman" w:hAnsi="Times New Roman"/>
          <w:sz w:val="21"/>
          <w:szCs w:val="21"/>
          <w:color w:val="auto"/>
        </w:rPr>
        <w:t>. Capitalized terms used, but not otherwise defined, in this Agreement will have the meanings given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terms in the Company’s Amended and Restated 2016 Equity and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used in this Agreement:</w:t>
      </w:r>
    </w:p>
    <w:p>
      <w:pPr>
        <w:spacing w:after="0" w:line="71" w:lineRule="exact"/>
        <w:rPr>
          <w:rFonts w:ascii="Arial" w:cs="Arial" w:eastAsia="Arial" w:hAnsi="Arial"/>
          <w:sz w:val="21"/>
          <w:szCs w:val="21"/>
          <w:color w:val="auto"/>
        </w:rPr>
      </w:pPr>
    </w:p>
    <w:p>
      <w:pPr>
        <w:ind w:left="1260" w:hanging="315"/>
        <w:spacing w:after="0" w:line="253" w:lineRule="auto"/>
        <w:tabs>
          <w:tab w:leader="none" w:pos="1251"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Continuous Retirement Service</w:t>
      </w:r>
      <w:r>
        <w:rPr>
          <w:rFonts w:ascii="Times New Roman" w:cs="Times New Roman" w:eastAsia="Times New Roman" w:hAnsi="Times New Roman"/>
          <w:sz w:val="21"/>
          <w:szCs w:val="21"/>
          <w:color w:val="auto"/>
        </w:rPr>
        <w:t>” means full-time service or part-time service (equal to at least twenty-four (24) hours per week) as an employee of the Company or its Subsidiaries, which shall be measured from the later of (i) the date of hire with the Company (or the applicable Subsidiary) and (ii) AGNC Investment Corp.’s initial public offering (“</w:t>
      </w:r>
      <w:r>
        <w:rPr>
          <w:rFonts w:ascii="Times New Roman" w:cs="Times New Roman" w:eastAsia="Times New Roman" w:hAnsi="Times New Roman"/>
          <w:sz w:val="21"/>
          <w:szCs w:val="21"/>
          <w:u w:val="single" w:color="auto"/>
          <w:color w:val="auto"/>
        </w:rPr>
        <w:t>IPO</w:t>
      </w:r>
      <w:r>
        <w:rPr>
          <w:rFonts w:ascii="Times New Roman" w:cs="Times New Roman" w:eastAsia="Times New Roman" w:hAnsi="Times New Roman"/>
          <w:sz w:val="21"/>
          <w:szCs w:val="21"/>
          <w:color w:val="auto"/>
        </w:rPr>
        <w:t>”) in May 2008; provided, however, that “Continuous Retirement Service” shall also include service by employees of American Capital, Ltd. whose job duties were significantly devoted to AGNC Mortgage Management, LLC (“</w:t>
      </w:r>
      <w:r>
        <w:rPr>
          <w:rFonts w:ascii="Times New Roman" w:cs="Times New Roman" w:eastAsia="Times New Roman" w:hAnsi="Times New Roman"/>
          <w:sz w:val="21"/>
          <w:szCs w:val="21"/>
          <w:u w:val="single" w:color="auto"/>
          <w:color w:val="auto"/>
        </w:rPr>
        <w:t>AMM</w:t>
      </w:r>
      <w:r>
        <w:rPr>
          <w:rFonts w:ascii="Times New Roman" w:cs="Times New Roman" w:eastAsia="Times New Roman" w:hAnsi="Times New Roman"/>
          <w:sz w:val="21"/>
          <w:szCs w:val="21"/>
          <w:color w:val="auto"/>
        </w:rPr>
        <w:t xml:space="preserve">”), AGNC Investment Corp., AGNC Management, LLC, or MTGE Management, LLC prior to AGNC Investment Corp.’s acquisition of AMM in 2016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72" w:lineRule="exact"/>
        <w:rPr>
          <w:rFonts w:ascii="Arial" w:cs="Arial" w:eastAsia="Arial" w:hAnsi="Arial"/>
          <w:sz w:val="21"/>
          <w:szCs w:val="21"/>
          <w:color w:val="auto"/>
        </w:rPr>
      </w:pPr>
    </w:p>
    <w:p>
      <w:pPr>
        <w:ind w:left="1260" w:hanging="315"/>
        <w:spacing w:after="0"/>
        <w:tabs>
          <w:tab w:leader="none" w:pos="1260"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has the meaning set forth in the Employment Agreement.</w:t>
      </w:r>
    </w:p>
    <w:p>
      <w:pPr>
        <w:spacing w:after="0" w:line="110" w:lineRule="exact"/>
        <w:rPr>
          <w:rFonts w:ascii="Arial" w:cs="Arial" w:eastAsia="Arial" w:hAnsi="Arial"/>
          <w:sz w:val="21"/>
          <w:szCs w:val="21"/>
          <w:color w:val="auto"/>
        </w:rPr>
      </w:pPr>
    </w:p>
    <w:p>
      <w:pPr>
        <w:ind w:left="1260" w:hanging="315"/>
        <w:spacing w:after="0"/>
        <w:tabs>
          <w:tab w:leader="none" w:pos="1260"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means [ ].</w:t>
      </w:r>
    </w:p>
    <w:p>
      <w:pPr>
        <w:spacing w:after="0" w:line="110" w:lineRule="exact"/>
        <w:rPr>
          <w:rFonts w:ascii="Arial" w:cs="Arial" w:eastAsia="Arial" w:hAnsi="Arial"/>
          <w:sz w:val="21"/>
          <w:szCs w:val="21"/>
          <w:color w:val="auto"/>
        </w:rPr>
      </w:pPr>
    </w:p>
    <w:p>
      <w:pPr>
        <w:ind w:left="1260" w:right="120" w:hanging="315"/>
        <w:spacing w:after="0" w:line="268" w:lineRule="auto"/>
        <w:tabs>
          <w:tab w:leader="none" w:pos="1251"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Re-Externalization</w:t>
      </w:r>
      <w:r>
        <w:rPr>
          <w:rFonts w:ascii="Times New Roman" w:cs="Times New Roman" w:eastAsia="Times New Roman" w:hAnsi="Times New Roman"/>
          <w:sz w:val="21"/>
          <w:szCs w:val="21"/>
          <w:color w:val="auto"/>
        </w:rPr>
        <w:t>” means a sale, merger or other transaction that results in the transfer or issuance of a majority of the outstanding equity interests of AMM or AGNC Management, LLC to a person or entity other than a Subsidiary of the Company.</w:t>
      </w:r>
    </w:p>
    <w:p>
      <w:pPr>
        <w:spacing w:after="0" w:line="52" w:lineRule="exact"/>
        <w:rPr>
          <w:rFonts w:ascii="Arial" w:cs="Arial" w:eastAsia="Arial" w:hAnsi="Arial"/>
          <w:sz w:val="21"/>
          <w:szCs w:val="21"/>
          <w:color w:val="auto"/>
        </w:rPr>
      </w:pPr>
    </w:p>
    <w:p>
      <w:pPr>
        <w:ind w:left="1260" w:hanging="315"/>
        <w:spacing w:after="0"/>
        <w:tabs>
          <w:tab w:leader="none" w:pos="1260"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means the release described in subparagraph 6(f) of the Employment Agreement.</w:t>
      </w:r>
    </w:p>
    <w:p>
      <w:pPr>
        <w:spacing w:after="0" w:line="110" w:lineRule="exact"/>
        <w:rPr>
          <w:rFonts w:ascii="Arial" w:cs="Arial" w:eastAsia="Arial" w:hAnsi="Arial"/>
          <w:sz w:val="21"/>
          <w:szCs w:val="21"/>
          <w:color w:val="auto"/>
        </w:rPr>
      </w:pPr>
    </w:p>
    <w:p>
      <w:pPr>
        <w:ind w:left="1260" w:right="140" w:hanging="315"/>
        <w:spacing w:after="0" w:line="252" w:lineRule="auto"/>
        <w:tabs>
          <w:tab w:leader="none" w:pos="1258" w:val="left"/>
        </w:tabs>
        <w:numPr>
          <w:ilvl w:val="1"/>
          <w:numId w:val="6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Award</w:t>
      </w:r>
      <w:r>
        <w:rPr>
          <w:rFonts w:ascii="Times New Roman" w:cs="Times New Roman" w:eastAsia="Times New Roman" w:hAnsi="Times New Roman"/>
          <w:sz w:val="21"/>
          <w:szCs w:val="21"/>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w:t>
      </w:r>
    </w:p>
    <w:p>
      <w:pPr>
        <w:sectPr>
          <w:pgSz w:w="11900" w:h="16838" w:orient="portrait"/>
          <w:cols w:equalWidth="0" w:num="1">
            <w:col w:w="11240"/>
          </w:cols>
          <w:pgMar w:left="320" w:top="12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40"/>
        <w:spacing w:after="0" w:line="255" w:lineRule="auto"/>
        <w:rPr>
          <w:sz w:val="20"/>
          <w:szCs w:val="20"/>
          <w:color w:val="auto"/>
        </w:rPr>
      </w:pPr>
      <w:r>
        <w:rPr>
          <w:rFonts w:ascii="Times New Roman" w:cs="Times New Roman" w:eastAsia="Times New Roman" w:hAnsi="Times New Roman"/>
          <w:sz w:val="21"/>
          <w:szCs w:val="21"/>
          <w:color w:val="auto"/>
        </w:rPr>
        <w:t>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spacing w:after="0" w:line="68" w:lineRule="exact"/>
        <w:rPr>
          <w:sz w:val="20"/>
          <w:szCs w:val="20"/>
          <w:color w:val="auto"/>
        </w:rPr>
      </w:pPr>
    </w:p>
    <w:p>
      <w:pPr>
        <w:ind w:left="320" w:hanging="315"/>
        <w:spacing w:after="0" w:line="251" w:lineRule="auto"/>
        <w:tabs>
          <w:tab w:leader="none" w:pos="311" w:val="left"/>
        </w:tabs>
        <w:numPr>
          <w:ilvl w:val="0"/>
          <w:numId w:val="6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Restrictive Covenant Obligations</w:t>
      </w:r>
      <w:r>
        <w:rPr>
          <w:rFonts w:ascii="Times New Roman" w:cs="Times New Roman" w:eastAsia="Times New Roman" w:hAnsi="Times New Roman"/>
          <w:sz w:val="21"/>
          <w:szCs w:val="21"/>
          <w:color w:val="auto"/>
        </w:rPr>
        <w:t>” means, collectively, the Employment Agreement Covenants (as defined in Section 13) and the requirement that, upon Retirement, Grantee must not: (i) either directly or indirectly, whether as a director, officer, consultant, employee or advisor or in any other capacity, render any services to any company, business, agency, partnership or entity engaged in a business competitive with the Company or its Subsidiaries (“</w:t>
      </w:r>
      <w:r>
        <w:rPr>
          <w:rFonts w:ascii="Times New Roman" w:cs="Times New Roman" w:eastAsia="Times New Roman" w:hAnsi="Times New Roman"/>
          <w:sz w:val="21"/>
          <w:szCs w:val="21"/>
          <w:u w:val="single" w:color="auto"/>
          <w:color w:val="auto"/>
        </w:rPr>
        <w:t>Restricted Busines</w:t>
      </w:r>
      <w:r>
        <w:rPr>
          <w:rFonts w:ascii="Times New Roman" w:cs="Times New Roman" w:eastAsia="Times New Roman" w:hAnsi="Times New Roman"/>
          <w:sz w:val="21"/>
          <w:szCs w:val="21"/>
          <w:color w:val="auto"/>
        </w:rPr>
        <w:t>s”) other than the Company or its Subsidiaries; (ii) directly or indirectly induce or attempt to influence any employee of the Company or its Subsidiaries to leave its employ; (iii) directly or indirectly induce or attempt to influence any customer, vendor, supplier, counterparty or consultant of the Company or its Subsidiaries to alter its relationship with the Company or its Subsidiaries; (iv) make or hold any investment in any Restricted Business other than the Company or its Subsidiaries, whether such investment be by way of loan, purchase of stock or other securities or otherwise, provided that there shall be excluded from the foregoing the ownership of not more than 2% of the listed or traded stock of any publicly held corporation; or (v) agree, commit, or otherwise reach an understanding in writing to do any of the foregoing.</w:t>
      </w:r>
    </w:p>
    <w:p>
      <w:pPr>
        <w:spacing w:after="0" w:line="78" w:lineRule="exact"/>
        <w:rPr>
          <w:rFonts w:ascii="Arial" w:cs="Arial" w:eastAsia="Arial" w:hAnsi="Arial"/>
          <w:sz w:val="21"/>
          <w:szCs w:val="21"/>
          <w:color w:val="auto"/>
        </w:rPr>
      </w:pPr>
    </w:p>
    <w:p>
      <w:pPr>
        <w:ind w:left="320" w:hanging="315"/>
        <w:spacing w:after="0" w:line="289" w:lineRule="auto"/>
        <w:tabs>
          <w:tab w:leader="none" w:pos="311" w:val="left"/>
        </w:tabs>
        <w:numPr>
          <w:ilvl w:val="0"/>
          <w:numId w:val="6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termination of Grantee’s employment with the applicable employer after becoming Retirement Eligible.</w:t>
      </w:r>
    </w:p>
    <w:p>
      <w:pPr>
        <w:spacing w:after="0" w:line="31" w:lineRule="exact"/>
        <w:rPr>
          <w:rFonts w:ascii="Arial" w:cs="Arial" w:eastAsia="Arial" w:hAnsi="Arial"/>
          <w:sz w:val="21"/>
          <w:szCs w:val="21"/>
          <w:color w:val="auto"/>
        </w:rPr>
      </w:pPr>
    </w:p>
    <w:p>
      <w:pPr>
        <w:ind w:left="320" w:right="40" w:hanging="315"/>
        <w:spacing w:after="0" w:line="265" w:lineRule="auto"/>
        <w:tabs>
          <w:tab w:leader="none" w:pos="3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Conditions</w:t>
      </w:r>
      <w:r>
        <w:rPr>
          <w:rFonts w:ascii="Times New Roman" w:cs="Times New Roman" w:eastAsia="Times New Roman" w:hAnsi="Times New Roman"/>
          <w:sz w:val="20"/>
          <w:szCs w:val="20"/>
          <w:color w:val="auto"/>
        </w:rPr>
        <w:t>” means, upon Grantee’s Retirement: (i) Grantee must have fully complied with the Restrictive Covenant Obligations, as well as the terms and conditions of Grantee’s employment, including compliance with all of the Company’s policies and procedures; (ii) there must not be any circumstances that exist at the time of such Grantee’s Retirement that would give the Company grounds to terminate Grantee’s employment for “Cause” (as such term or similar term is defined in the Employment Agreement) as determined by the Committee in its sole discretion; (iii) within sixty (60) days following Grantee’s Retirement, Grantee must execute and not revoke a Release; and (iv) in the case of a voluntary termination of employment by Grantee, Grantee must have delivered written notice to the Committee or the Chief Executive Officer of the Company (other than for himself or herself) of his or her intent to retire from the Company at least ninety (90) days prior to the effective date of such Grantee’s Retirement (unless such notice period is waived by the Committee or the Chief Executive Officer (other than for himself or herself)).</w:t>
      </w:r>
    </w:p>
    <w:p>
      <w:pPr>
        <w:sectPr>
          <w:pgSz w:w="11900" w:h="16838" w:orient="portrait"/>
          <w:cols w:equalWidth="0" w:num="1">
            <w:col w:w="10300"/>
          </w:cols>
          <w:pgMar w:left="1260" w:top="12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 w:hanging="315"/>
        <w:spacing w:after="0"/>
        <w:tabs>
          <w:tab w:leader="none" w:pos="942" w:val="left"/>
        </w:tabs>
        <w:numPr>
          <w:ilvl w:val="0"/>
          <w:numId w:val="67"/>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 Eligible</w:t>
      </w:r>
      <w:r>
        <w:rPr>
          <w:rFonts w:ascii="Times New Roman" w:cs="Times New Roman" w:eastAsia="Times New Roman" w:hAnsi="Times New Roman"/>
          <w:sz w:val="21"/>
          <w:szCs w:val="21"/>
          <w:color w:val="auto"/>
        </w:rPr>
        <w:t>” has the meaning set forth in Section 5(c) below.</w:t>
      </w:r>
    </w:p>
    <w:p>
      <w:pPr>
        <w:spacing w:after="0" w:line="200" w:lineRule="exact"/>
        <w:rPr>
          <w:sz w:val="20"/>
          <w:szCs w:val="20"/>
          <w:color w:val="auto"/>
        </w:rPr>
      </w:pPr>
    </w:p>
    <w:p>
      <w:pPr>
        <w:spacing w:after="0" w:line="250" w:lineRule="exact"/>
        <w:rPr>
          <w:sz w:val="20"/>
          <w:szCs w:val="20"/>
          <w:color w:val="auto"/>
        </w:rPr>
      </w:pPr>
    </w:p>
    <w:p>
      <w:pPr>
        <w:ind w:left="942" w:hanging="315"/>
        <w:spacing w:after="0"/>
        <w:tabs>
          <w:tab w:leader="none" w:pos="942" w:val="left"/>
        </w:tabs>
        <w:numPr>
          <w:ilvl w:val="1"/>
          <w:numId w:val="68"/>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For Good Reason</w:t>
      </w:r>
      <w:r>
        <w:rPr>
          <w:rFonts w:ascii="Times New Roman" w:cs="Times New Roman" w:eastAsia="Times New Roman" w:hAnsi="Times New Roman"/>
          <w:sz w:val="21"/>
          <w:szCs w:val="21"/>
          <w:color w:val="auto"/>
        </w:rPr>
        <w:t>” has the meaning set forth in the Employment Agreement.</w:t>
      </w:r>
    </w:p>
    <w:p>
      <w:pPr>
        <w:spacing w:after="0" w:line="110" w:lineRule="exact"/>
        <w:rPr>
          <w:rFonts w:ascii="Arial" w:cs="Arial" w:eastAsia="Arial" w:hAnsi="Arial"/>
          <w:sz w:val="21"/>
          <w:szCs w:val="21"/>
          <w:color w:val="auto"/>
        </w:rPr>
      </w:pPr>
    </w:p>
    <w:p>
      <w:pPr>
        <w:ind w:left="942" w:hanging="315"/>
        <w:spacing w:after="0"/>
        <w:tabs>
          <w:tab w:leader="none" w:pos="942" w:val="left"/>
        </w:tabs>
        <w:numPr>
          <w:ilvl w:val="1"/>
          <w:numId w:val="68"/>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has the meaning set forth in the Employment Agreement.</w:t>
      </w:r>
    </w:p>
    <w:p>
      <w:pPr>
        <w:spacing w:after="0" w:line="119" w:lineRule="exact"/>
        <w:rPr>
          <w:rFonts w:ascii="Arial" w:cs="Arial" w:eastAsia="Arial" w:hAnsi="Arial"/>
          <w:sz w:val="21"/>
          <w:szCs w:val="21"/>
          <w:color w:val="auto"/>
        </w:rPr>
      </w:pPr>
    </w:p>
    <w:p>
      <w:pPr>
        <w:ind w:left="322" w:right="180" w:hanging="322"/>
        <w:spacing w:after="0" w:line="257" w:lineRule="auto"/>
        <w:tabs>
          <w:tab w:leader="none" w:pos="313" w:val="left"/>
        </w:tabs>
        <w:numPr>
          <w:ilvl w:val="0"/>
          <w:numId w:val="69"/>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Grant of RSUs</w:t>
      </w:r>
      <w:r>
        <w:rPr>
          <w:rFonts w:ascii="Times New Roman" w:cs="Times New Roman" w:eastAsia="Times New Roman" w:hAnsi="Times New Roman"/>
          <w:sz w:val="21"/>
          <w:szCs w:val="21"/>
          <w:color w:val="auto"/>
        </w:rPr>
        <w:t>. Subject to and upon the terms, conditions and restrictions set forth in this Agreement and in the Plan,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Grantee [ ] Restricted Stock Units (the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Each RSU shall represent the right of Grantee to receive one share of Common stock of the Company as defined in Section 2(i) of the Plan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subject to and upon the terms and conditions of this Agreement.</w:t>
      </w:r>
    </w:p>
    <w:p>
      <w:pPr>
        <w:spacing w:after="0" w:line="62" w:lineRule="exact"/>
        <w:rPr>
          <w:rFonts w:ascii="Arial" w:cs="Arial" w:eastAsia="Arial" w:hAnsi="Arial"/>
          <w:sz w:val="21"/>
          <w:szCs w:val="21"/>
          <w:color w:val="auto"/>
        </w:rPr>
      </w:pPr>
    </w:p>
    <w:p>
      <w:pPr>
        <w:ind w:left="322" w:right="200" w:hanging="322"/>
        <w:spacing w:after="0" w:line="270" w:lineRule="auto"/>
        <w:tabs>
          <w:tab w:leader="none" w:pos="313" w:val="left"/>
        </w:tabs>
        <w:numPr>
          <w:ilvl w:val="0"/>
          <w:numId w:val="69"/>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Restrictions on Transfer of RSUs</w:t>
      </w:r>
      <w:r>
        <w:rPr>
          <w:rFonts w:ascii="Times New Roman" w:cs="Times New Roman" w:eastAsia="Times New Roman" w:hAnsi="Times New Roman"/>
          <w:sz w:val="21"/>
          <w:szCs w:val="21"/>
          <w:color w:val="auto"/>
        </w:rPr>
        <w:t>. Neither the RSUs evidenced hereby nor any interest therein or in the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underlying such RSUs shall be transferable prior to payment to Grantee pursuant to Section 7 hereof, other than as described in Section 15 of the Plan.</w:t>
      </w:r>
    </w:p>
    <w:p>
      <w:pPr>
        <w:spacing w:after="0" w:line="46" w:lineRule="exact"/>
        <w:rPr>
          <w:rFonts w:ascii="Arial" w:cs="Arial" w:eastAsia="Arial" w:hAnsi="Arial"/>
          <w:sz w:val="21"/>
          <w:szCs w:val="21"/>
          <w:color w:val="auto"/>
        </w:rPr>
      </w:pPr>
    </w:p>
    <w:p>
      <w:pPr>
        <w:ind w:left="322" w:right="120" w:hanging="322"/>
        <w:spacing w:after="0" w:line="257" w:lineRule="auto"/>
        <w:tabs>
          <w:tab w:leader="none" w:pos="313" w:val="left"/>
        </w:tabs>
        <w:numPr>
          <w:ilvl w:val="0"/>
          <w:numId w:val="69"/>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The RSUs covered by this Agreement shall become nonforfeitable and payable to Grantee pursuant to Section 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with respect to one-third (1/3) of the RSUs granted pursuant to this Agreement on each of [ ], [ ] and [ ] (each such date, an “</w:t>
      </w:r>
      <w:r>
        <w:rPr>
          <w:rFonts w:ascii="Times New Roman" w:cs="Times New Roman" w:eastAsia="Times New Roman" w:hAnsi="Times New Roman"/>
          <w:sz w:val="21"/>
          <w:szCs w:val="21"/>
          <w:u w:val="single" w:color="auto"/>
          <w:color w:val="auto"/>
        </w:rPr>
        <w:t>Applicable Vesting Date</w:t>
      </w:r>
      <w:r>
        <w:rPr>
          <w:rFonts w:ascii="Times New Roman" w:cs="Times New Roman" w:eastAsia="Times New Roman" w:hAnsi="Times New Roman"/>
          <w:sz w:val="21"/>
          <w:szCs w:val="21"/>
          <w:color w:val="auto"/>
        </w:rPr>
        <w:t>”) if Grantee remains continuously employed by the Company or any of its Subsidiaries (or any of their successors) as of each such date.</w:t>
      </w:r>
    </w:p>
    <w:p>
      <w:pPr>
        <w:spacing w:after="0" w:line="75" w:lineRule="exact"/>
        <w:rPr>
          <w:rFonts w:ascii="Arial" w:cs="Arial" w:eastAsia="Arial" w:hAnsi="Arial"/>
          <w:sz w:val="21"/>
          <w:szCs w:val="21"/>
          <w:color w:val="auto"/>
        </w:rPr>
      </w:pPr>
    </w:p>
    <w:p>
      <w:pPr>
        <w:ind w:left="322" w:right="140" w:hanging="322"/>
        <w:spacing w:after="0" w:line="257" w:lineRule="auto"/>
        <w:tabs>
          <w:tab w:leader="none" w:pos="313" w:val="left"/>
        </w:tabs>
        <w:numPr>
          <w:ilvl w:val="0"/>
          <w:numId w:val="69"/>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Accelerated Vesting</w:t>
      </w:r>
      <w:r>
        <w:rPr>
          <w:rFonts w:ascii="Times New Roman" w:cs="Times New Roman" w:eastAsia="Times New Roman" w:hAnsi="Times New Roman"/>
          <w:sz w:val="21"/>
          <w:szCs w:val="21"/>
          <w:color w:val="auto"/>
        </w:rPr>
        <w:t>. Notwithstanding the provisions of Section 4 hereof, all or a portion of the RSUs covered by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that have not already vested and become nonforfeitable pursuant to Section 4 hereof will become nonforfeitable and payable to Grantee pursuant to Section 7 hereof earlier than the time provided in Section 4 hereof (to the extent provided below) upon the occurrence of the earliest of any of the following events:</w:t>
      </w:r>
    </w:p>
    <w:p>
      <w:pPr>
        <w:spacing w:after="0" w:line="66" w:lineRule="exact"/>
        <w:rPr>
          <w:rFonts w:ascii="Arial" w:cs="Arial" w:eastAsia="Arial" w:hAnsi="Arial"/>
          <w:sz w:val="21"/>
          <w:szCs w:val="21"/>
          <w:color w:val="auto"/>
        </w:rPr>
      </w:pPr>
    </w:p>
    <w:p>
      <w:pPr>
        <w:ind w:left="942" w:right="20" w:hanging="315"/>
        <w:spacing w:after="0" w:line="260" w:lineRule="auto"/>
        <w:tabs>
          <w:tab w:leader="none" w:pos="933" w:val="left"/>
        </w:tabs>
        <w:numPr>
          <w:ilvl w:val="1"/>
          <w:numId w:val="69"/>
        </w:numPr>
        <w:rPr>
          <w:rFonts w:ascii="Arial" w:cs="Arial" w:eastAsia="Arial" w:hAnsi="Arial"/>
          <w:sz w:val="21"/>
          <w:szCs w:val="21"/>
          <w:color w:val="auto"/>
        </w:rPr>
      </w:pPr>
      <w:r>
        <w:rPr>
          <w:rFonts w:ascii="Times New Roman" w:cs="Times New Roman" w:eastAsia="Times New Roman" w:hAnsi="Times New Roman"/>
          <w:sz w:val="21"/>
          <w:szCs w:val="21"/>
          <w:color w:val="auto"/>
        </w:rPr>
        <w:t>While Grantee is continuously employed by the Company or any of its Subsidiaries (or any of their successors), Grantee’s employment with the Company or any of its Subsidiaries (or any of their successors) terminates as a result of: (i) Grantee’s death, (ii) Grantee’s Disability (pursuant to subparagraph 5(b)(ii) of the Employment Agreement), (iii) a Termination Without Cause or (iv) a Termination For Good Reason.</w:t>
      </w:r>
    </w:p>
    <w:p>
      <w:pPr>
        <w:spacing w:after="0" w:line="63" w:lineRule="exact"/>
        <w:rPr>
          <w:rFonts w:ascii="Arial" w:cs="Arial" w:eastAsia="Arial" w:hAnsi="Arial"/>
          <w:sz w:val="21"/>
          <w:szCs w:val="21"/>
          <w:color w:val="auto"/>
        </w:rPr>
      </w:pPr>
    </w:p>
    <w:p>
      <w:pPr>
        <w:ind w:left="942" w:right="60" w:hanging="315"/>
        <w:spacing w:after="0" w:line="302" w:lineRule="auto"/>
        <w:tabs>
          <w:tab w:leader="none" w:pos="933" w:val="left"/>
        </w:tabs>
        <w:numPr>
          <w:ilvl w:val="1"/>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34" w:lineRule="exact"/>
        <w:rPr>
          <w:rFonts w:ascii="Arial" w:cs="Arial" w:eastAsia="Arial" w:hAnsi="Arial"/>
          <w:sz w:val="20"/>
          <w:szCs w:val="20"/>
          <w:color w:val="auto"/>
        </w:rPr>
      </w:pPr>
    </w:p>
    <w:p>
      <w:pPr>
        <w:ind w:left="942" w:right="20" w:hanging="315"/>
        <w:spacing w:after="0" w:line="256" w:lineRule="auto"/>
        <w:tabs>
          <w:tab w:leader="none" w:pos="934" w:val="left"/>
        </w:tabs>
        <w:numPr>
          <w:ilvl w:val="1"/>
          <w:numId w:val="69"/>
        </w:numPr>
        <w:rPr>
          <w:rFonts w:ascii="Arial" w:cs="Arial" w:eastAsia="Arial" w:hAnsi="Arial"/>
          <w:sz w:val="21"/>
          <w:szCs w:val="21"/>
          <w:color w:val="auto"/>
        </w:rPr>
      </w:pPr>
      <w:r>
        <w:rPr>
          <w:rFonts w:ascii="Times New Roman" w:cs="Times New Roman" w:eastAsia="Times New Roman" w:hAnsi="Times New Roman"/>
          <w:sz w:val="21"/>
          <w:szCs w:val="21"/>
          <w:color w:val="auto"/>
        </w:rPr>
        <w:t>Subject to the remainder of this Section 5(c) and Grantee’s compliance with the Retirement Conditions, if, on or after January 1, 2026, Grantee has: (i) attained the age of 65 and completed at least three (3) years of Continuous Retirement Service; (ii) attained the age of 55 and completed at least three (3) years of Continuous Retirement Service, and the sum of Grantee’s age (rounded down to</w:t>
      </w:r>
    </w:p>
    <w:p>
      <w:pPr>
        <w:sectPr>
          <w:pgSz w:w="11900" w:h="16838" w:orient="portrait"/>
          <w:cols w:equalWidth="0" w:num="1">
            <w:col w:w="10922"/>
          </w:cols>
          <w:pgMar w:left="638" w:top="12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942"/>
        <w:spacing w:after="0" w:line="261" w:lineRule="auto"/>
        <w:rPr>
          <w:sz w:val="20"/>
          <w:szCs w:val="20"/>
          <w:color w:val="auto"/>
        </w:rPr>
      </w:pPr>
      <w:r>
        <w:rPr>
          <w:rFonts w:ascii="Times New Roman" w:cs="Times New Roman" w:eastAsia="Times New Roman" w:hAnsi="Times New Roman"/>
          <w:sz w:val="21"/>
          <w:szCs w:val="21"/>
          <w:color w:val="auto"/>
        </w:rPr>
        <w:t>the nearest whole year) and years of Continuous Retirement Service is equal to or greater than 70; or (iii) completed at least twenty (20) years of Continuous Retirement Service (any of the circumstances described in clauses (i), (ii), or (iii) of this Section 5(c) referred to as becoming “</w:t>
      </w:r>
      <w:r>
        <w:rPr>
          <w:rFonts w:ascii="Times New Roman" w:cs="Times New Roman" w:eastAsia="Times New Roman" w:hAnsi="Times New Roman"/>
          <w:sz w:val="21"/>
          <w:szCs w:val="21"/>
          <w:u w:val="single" w:color="auto"/>
          <w:color w:val="auto"/>
        </w:rPr>
        <w:t>Retirement Eligible</w:t>
      </w:r>
      <w:r>
        <w:rPr>
          <w:rFonts w:ascii="Times New Roman" w:cs="Times New Roman" w:eastAsia="Times New Roman" w:hAnsi="Times New Roman"/>
          <w:sz w:val="21"/>
          <w:szCs w:val="21"/>
          <w:color w:val="auto"/>
        </w:rPr>
        <w:t>”), Grantee’s RSUs that have not yet vested shall fully vest and become nonforfeitable and payable to Grantee on the date of Grantee’s Retirement.</w:t>
      </w:r>
    </w:p>
    <w:p>
      <w:pPr>
        <w:spacing w:after="0" w:line="56" w:lineRule="exact"/>
        <w:rPr>
          <w:sz w:val="20"/>
          <w:szCs w:val="20"/>
          <w:color w:val="auto"/>
        </w:rPr>
      </w:pPr>
    </w:p>
    <w:p>
      <w:pPr>
        <w:ind w:left="322" w:right="20" w:hanging="322"/>
        <w:spacing w:after="0" w:line="258" w:lineRule="auto"/>
        <w:tabs>
          <w:tab w:leader="none" w:pos="313" w:val="left"/>
        </w:tabs>
        <w:numPr>
          <w:ilvl w:val="0"/>
          <w:numId w:val="7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to the extent the RSUs covered by this Agreement have become nonforfeitable pursuant to Section 4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5 hereof, the RSUs covered by this Agreement shall be forfeited automatically and without further notice, and shall no longer be considered covered by this Agreement, on the date on which Grantee ceases to be employed by the Company or any of its Subsidiaries, AMM (including following a Re-Externalization) or any of its subsidiaries or any of their respective successors.</w:t>
      </w:r>
    </w:p>
    <w:p>
      <w:pPr>
        <w:spacing w:after="0" w:line="60" w:lineRule="exact"/>
        <w:rPr>
          <w:rFonts w:ascii="Arial" w:cs="Arial" w:eastAsia="Arial" w:hAnsi="Arial"/>
          <w:sz w:val="21"/>
          <w:szCs w:val="21"/>
          <w:color w:val="auto"/>
        </w:rPr>
      </w:pPr>
    </w:p>
    <w:p>
      <w:pPr>
        <w:ind w:left="302" w:hanging="302"/>
        <w:spacing w:after="0"/>
        <w:tabs>
          <w:tab w:leader="none" w:pos="302" w:val="left"/>
        </w:tabs>
        <w:numPr>
          <w:ilvl w:val="0"/>
          <w:numId w:val="7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Form and Time of Payment of RSUs</w:t>
      </w:r>
      <w:r>
        <w:rPr>
          <w:rFonts w:ascii="Times New Roman" w:cs="Times New Roman" w:eastAsia="Times New Roman" w:hAnsi="Times New Roman"/>
          <w:sz w:val="21"/>
          <w:szCs w:val="21"/>
          <w:color w:val="auto"/>
        </w:rPr>
        <w:t>.</w:t>
      </w:r>
    </w:p>
    <w:p>
      <w:pPr>
        <w:spacing w:after="0" w:line="114" w:lineRule="exact"/>
        <w:rPr>
          <w:rFonts w:ascii="Arial" w:cs="Arial" w:eastAsia="Arial" w:hAnsi="Arial"/>
          <w:sz w:val="21"/>
          <w:szCs w:val="21"/>
          <w:color w:val="auto"/>
        </w:rPr>
      </w:pPr>
    </w:p>
    <w:p>
      <w:pPr>
        <w:ind w:left="942" w:right="20" w:hanging="315"/>
        <w:spacing w:after="0" w:line="257" w:lineRule="auto"/>
        <w:tabs>
          <w:tab w:leader="none" w:pos="933" w:val="left"/>
        </w:tabs>
        <w:numPr>
          <w:ilvl w:val="1"/>
          <w:numId w:val="70"/>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Form</w:t>
      </w:r>
      <w:r>
        <w:rPr>
          <w:rFonts w:ascii="Times New Roman" w:cs="Times New Roman" w:eastAsia="Times New Roman" w:hAnsi="Times New Roman"/>
          <w:sz w:val="21"/>
          <w:szCs w:val="21"/>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65" w:lineRule="exact"/>
        <w:rPr>
          <w:rFonts w:ascii="Arial" w:cs="Arial" w:eastAsia="Arial" w:hAnsi="Arial"/>
          <w:sz w:val="21"/>
          <w:szCs w:val="21"/>
          <w:color w:val="auto"/>
        </w:rPr>
      </w:pPr>
    </w:p>
    <w:p>
      <w:pPr>
        <w:ind w:left="942" w:hanging="315"/>
        <w:spacing w:after="0"/>
        <w:tabs>
          <w:tab w:leader="none" w:pos="942" w:val="left"/>
        </w:tabs>
        <w:numPr>
          <w:ilvl w:val="1"/>
          <w:numId w:val="70"/>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Timing</w:t>
      </w:r>
      <w:r>
        <w:rPr>
          <w:rFonts w:ascii="Times New Roman" w:cs="Times New Roman" w:eastAsia="Times New Roman" w:hAnsi="Times New Roman"/>
          <w:sz w:val="21"/>
          <w:szCs w:val="21"/>
          <w:color w:val="auto"/>
        </w:rPr>
        <w:t>.</w:t>
      </w:r>
    </w:p>
    <w:p>
      <w:pPr>
        <w:spacing w:after="0" w:line="110" w:lineRule="exact"/>
        <w:rPr>
          <w:rFonts w:ascii="Arial" w:cs="Arial" w:eastAsia="Arial" w:hAnsi="Arial"/>
          <w:sz w:val="21"/>
          <w:szCs w:val="21"/>
          <w:color w:val="auto"/>
        </w:rPr>
      </w:pPr>
    </w:p>
    <w:p>
      <w:pPr>
        <w:ind w:left="1562" w:right="160" w:hanging="412"/>
        <w:spacing w:after="0" w:line="261" w:lineRule="auto"/>
        <w:tabs>
          <w:tab w:leader="none" w:pos="1562" w:val="left"/>
        </w:tabs>
        <w:numPr>
          <w:ilvl w:val="2"/>
          <w:numId w:val="70"/>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Normal Payment Timing</w:t>
      </w:r>
      <w:r>
        <w:rPr>
          <w:rFonts w:ascii="Times New Roman" w:cs="Times New Roman" w:eastAsia="Times New Roman" w:hAnsi="Times New Roman"/>
          <w:sz w:val="21"/>
          <w:szCs w:val="21"/>
          <w:color w:val="auto"/>
        </w:rPr>
        <w:t>. RSUs that become payable to Grantee and that do not constitute “nonqualified deferred compensation” subject to Section 409A of the Code (assuming the timing of payment as described in Sections 7(b)(i)(A)-7(b)(i)(D) below) shall be paid as follows:</w:t>
      </w:r>
    </w:p>
    <w:p>
      <w:pPr>
        <w:spacing w:after="0" w:line="73" w:lineRule="exact"/>
        <w:rPr>
          <w:rFonts w:ascii="Arial" w:cs="Arial" w:eastAsia="Arial" w:hAnsi="Arial"/>
          <w:sz w:val="21"/>
          <w:szCs w:val="21"/>
          <w:color w:val="auto"/>
        </w:rPr>
      </w:pPr>
    </w:p>
    <w:p>
      <w:pPr>
        <w:ind w:left="2202" w:right="700" w:hanging="320"/>
        <w:spacing w:after="0" w:line="276" w:lineRule="auto"/>
        <w:tabs>
          <w:tab w:leader="none" w:pos="2193" w:val="left"/>
        </w:tabs>
        <w:numPr>
          <w:ilvl w:val="3"/>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RSUs that become nonforfeitable pursuant to Section 4 hereof shall be paid within ten (10) days following the date on which such RSUs become nonforfeitable.</w:t>
      </w:r>
    </w:p>
    <w:p>
      <w:pPr>
        <w:spacing w:after="0" w:line="44" w:lineRule="exact"/>
        <w:rPr>
          <w:rFonts w:ascii="Arial" w:cs="Arial" w:eastAsia="Arial" w:hAnsi="Arial"/>
          <w:sz w:val="21"/>
          <w:szCs w:val="21"/>
          <w:color w:val="auto"/>
        </w:rPr>
      </w:pPr>
    </w:p>
    <w:p>
      <w:pPr>
        <w:jc w:val="both"/>
        <w:ind w:left="2202" w:right="180" w:hanging="320"/>
        <w:spacing w:after="0" w:line="261" w:lineRule="auto"/>
        <w:tabs>
          <w:tab w:leader="none" w:pos="2193" w:val="left"/>
        </w:tabs>
        <w:numPr>
          <w:ilvl w:val="3"/>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RSUs that become nonforfeitable pursuant to Section 5(a) hereof shall be paid on the first payroll date following the 60th day after such termination of employment; provided that Grantee (or, if applicable, his estate) shall have first executed and not revoked the Release.</w:t>
      </w:r>
    </w:p>
    <w:p>
      <w:pPr>
        <w:spacing w:after="0" w:line="73" w:lineRule="exact"/>
        <w:rPr>
          <w:rFonts w:ascii="Arial" w:cs="Arial" w:eastAsia="Arial" w:hAnsi="Arial"/>
          <w:sz w:val="21"/>
          <w:szCs w:val="21"/>
          <w:color w:val="auto"/>
        </w:rPr>
      </w:pPr>
    </w:p>
    <w:p>
      <w:pPr>
        <w:ind w:left="2202" w:right="220" w:hanging="320"/>
        <w:spacing w:after="0" w:line="276" w:lineRule="auto"/>
        <w:tabs>
          <w:tab w:leader="none" w:pos="2193" w:val="left"/>
        </w:tabs>
        <w:numPr>
          <w:ilvl w:val="3"/>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RSUs that become nonforfeitable pursuant to Section 5(b) shall be paid on the date of such Change of Control.</w:t>
      </w:r>
    </w:p>
    <w:p>
      <w:pPr>
        <w:spacing w:after="0" w:line="44" w:lineRule="exact"/>
        <w:rPr>
          <w:rFonts w:ascii="Arial" w:cs="Arial" w:eastAsia="Arial" w:hAnsi="Arial"/>
          <w:sz w:val="21"/>
          <w:szCs w:val="21"/>
          <w:color w:val="auto"/>
        </w:rPr>
      </w:pPr>
    </w:p>
    <w:p>
      <w:pPr>
        <w:ind w:left="2202" w:right="200" w:hanging="320"/>
        <w:spacing w:after="0" w:line="256" w:lineRule="auto"/>
        <w:tabs>
          <w:tab w:leader="none" w:pos="2193" w:val="left"/>
        </w:tabs>
        <w:numPr>
          <w:ilvl w:val="3"/>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RSUs that become nonforfeitable pursuant to Section 5(c) shall be paid on the first payroll date following the 60th day after Grantee’s Retirement; provided that Grantee shall have first executed and not revoked the Release; provided further, that Grantee has complied with the Restrictive Covenant Obligations until the date of payment of such RSUs.</w:t>
      </w:r>
    </w:p>
    <w:p>
      <w:pPr>
        <w:sectPr>
          <w:pgSz w:w="11900" w:h="16838" w:orient="portrait"/>
          <w:cols w:equalWidth="0" w:num="1">
            <w:col w:w="10922"/>
          </w:cols>
          <w:pgMar w:left="638" w:top="12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520" w:hanging="320"/>
        <w:spacing w:after="0" w:line="261" w:lineRule="auto"/>
        <w:tabs>
          <w:tab w:leader="none" w:pos="2512" w:val="left"/>
        </w:tabs>
        <w:numPr>
          <w:ilvl w:val="1"/>
          <w:numId w:val="71"/>
        </w:numPr>
        <w:rPr>
          <w:rFonts w:ascii="Arial" w:cs="Arial" w:eastAsia="Arial" w:hAnsi="Arial"/>
          <w:sz w:val="21"/>
          <w:szCs w:val="21"/>
          <w:color w:val="auto"/>
        </w:rPr>
      </w:pPr>
      <w:r>
        <w:rPr>
          <w:rFonts w:ascii="Times New Roman" w:cs="Times New Roman" w:eastAsia="Times New Roman" w:hAnsi="Times New Roman"/>
          <w:sz w:val="21"/>
          <w:szCs w:val="21"/>
          <w:color w:val="auto"/>
        </w:rPr>
        <w:t>Notwithstanding the foregoing, any and all RSUs that become payable pursuant to this Section 7(b)(i) shall be paid to Grantee within the short-term deferral period specified in Treasury Regulation §1.409A-1(b)(4).</w:t>
      </w:r>
    </w:p>
    <w:p>
      <w:pPr>
        <w:spacing w:after="0" w:line="73" w:lineRule="exact"/>
        <w:rPr>
          <w:rFonts w:ascii="Arial" w:cs="Arial" w:eastAsia="Arial" w:hAnsi="Arial"/>
          <w:sz w:val="21"/>
          <w:szCs w:val="21"/>
          <w:color w:val="auto"/>
        </w:rPr>
      </w:pPr>
    </w:p>
    <w:p>
      <w:pPr>
        <w:ind w:left="1880" w:right="120" w:hanging="458"/>
        <w:spacing w:after="0" w:line="253" w:lineRule="auto"/>
        <w:tabs>
          <w:tab w:leader="none" w:pos="1932" w:val="left"/>
        </w:tabs>
        <w:numPr>
          <w:ilvl w:val="0"/>
          <w:numId w:val="7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Nonqualified Deferred Compensation Payment Timing</w:t>
      </w:r>
      <w:r>
        <w:rPr>
          <w:rFonts w:ascii="Times New Roman" w:cs="Times New Roman" w:eastAsia="Times New Roman" w:hAnsi="Times New Roman"/>
          <w:sz w:val="21"/>
          <w:szCs w:val="21"/>
          <w:color w:val="auto"/>
        </w:rPr>
        <w:t>. Notwithstanding Section 7(b)(i), if and to the extent any of the RSUs that become payable to Grantee constitute “nonqualified deferred compensation” subject to Section 409A of the Code (i.e., such RSUs are not covered by Section 7(b)(i) above), to the extent the RSUs are not subject to a “substantial risk of forfeiture” (within the meaning of Section 409A of the Code), such RSUs to the extent vested on such date or event (whether vested by virtue of such date, event or otherwise) shall be paid on the earliest to occur of the following events in a manner and to the extent necessary to comply with Section 409A of the Code:</w:t>
      </w:r>
    </w:p>
    <w:p>
      <w:pPr>
        <w:spacing w:after="0" w:line="72" w:lineRule="exact"/>
        <w:rPr>
          <w:rFonts w:ascii="Arial" w:cs="Arial" w:eastAsia="Arial" w:hAnsi="Arial"/>
          <w:sz w:val="21"/>
          <w:szCs w:val="21"/>
          <w:color w:val="auto"/>
        </w:rPr>
      </w:pPr>
    </w:p>
    <w:p>
      <w:pPr>
        <w:ind w:left="2500" w:hanging="300"/>
        <w:spacing w:after="0"/>
        <w:tabs>
          <w:tab w:leader="none" w:pos="2500" w:val="left"/>
        </w:tabs>
        <w:numPr>
          <w:ilvl w:val="1"/>
          <w:numId w:val="72"/>
        </w:numPr>
        <w:rPr>
          <w:rFonts w:ascii="Arial" w:cs="Arial" w:eastAsia="Arial" w:hAnsi="Arial"/>
          <w:sz w:val="21"/>
          <w:szCs w:val="21"/>
          <w:color w:val="auto"/>
        </w:rPr>
      </w:pPr>
      <w:r>
        <w:rPr>
          <w:rFonts w:ascii="Times New Roman" w:cs="Times New Roman" w:eastAsia="Times New Roman" w:hAnsi="Times New Roman"/>
          <w:sz w:val="21"/>
          <w:szCs w:val="21"/>
          <w:color w:val="auto"/>
        </w:rPr>
        <w:t>The Applicable Vesting Date, with payment to be made within 10 days following such date;</w:t>
      </w:r>
    </w:p>
    <w:p>
      <w:pPr>
        <w:spacing w:after="0" w:line="110" w:lineRule="exact"/>
        <w:rPr>
          <w:rFonts w:ascii="Arial" w:cs="Arial" w:eastAsia="Arial" w:hAnsi="Arial"/>
          <w:sz w:val="21"/>
          <w:szCs w:val="21"/>
          <w:color w:val="auto"/>
        </w:rPr>
      </w:pPr>
    </w:p>
    <w:p>
      <w:pPr>
        <w:ind w:left="2500" w:hanging="300"/>
        <w:spacing w:after="0"/>
        <w:tabs>
          <w:tab w:leader="none" w:pos="2500" w:val="left"/>
        </w:tabs>
        <w:numPr>
          <w:ilvl w:val="1"/>
          <w:numId w:val="72"/>
        </w:numPr>
        <w:rPr>
          <w:rFonts w:ascii="Arial" w:cs="Arial" w:eastAsia="Arial" w:hAnsi="Arial"/>
          <w:sz w:val="21"/>
          <w:szCs w:val="21"/>
          <w:color w:val="auto"/>
        </w:rPr>
      </w:pPr>
      <w:r>
        <w:rPr>
          <w:rFonts w:ascii="Times New Roman" w:cs="Times New Roman" w:eastAsia="Times New Roman" w:hAnsi="Times New Roman"/>
          <w:sz w:val="21"/>
          <w:szCs w:val="21"/>
          <w:color w:val="auto"/>
        </w:rPr>
        <w:t>The date that Grantee experiences a “separation from service” within the meaning of Section 409A(a)</w:t>
      </w:r>
    </w:p>
    <w:p>
      <w:pPr>
        <w:spacing w:after="0" w:line="29" w:lineRule="exact"/>
        <w:rPr>
          <w:rFonts w:ascii="Arial" w:cs="Arial" w:eastAsia="Arial" w:hAnsi="Arial"/>
          <w:sz w:val="21"/>
          <w:szCs w:val="21"/>
          <w:color w:val="auto"/>
        </w:rPr>
      </w:pPr>
    </w:p>
    <w:p>
      <w:pPr>
        <w:ind w:left="2520" w:right="20"/>
        <w:spacing w:after="0" w:line="250" w:lineRule="auto"/>
        <w:rPr>
          <w:rFonts w:ascii="Arial" w:cs="Arial" w:eastAsia="Arial" w:hAnsi="Arial"/>
          <w:sz w:val="21"/>
          <w:szCs w:val="21"/>
          <w:color w:val="auto"/>
        </w:rPr>
      </w:pPr>
      <w:r>
        <w:rPr>
          <w:rFonts w:ascii="Times New Roman" w:cs="Times New Roman" w:eastAsia="Times New Roman" w:hAnsi="Times New Roman"/>
          <w:sz w:val="21"/>
          <w:szCs w:val="21"/>
          <w:color w:val="auto"/>
        </w:rPr>
        <w:t>(2)(A)(i) of Code (including by reason of Grantee’s Retirement), with payment to be made on the first payroll date following the 60th day after such date; provided, however, that: (1) Grantee shall have first executed and not revoked a Release during such 60-day period in the event that the RSUs became nonforfeitable and payable pursuant to Section 5(a) or 5(c) above; (2) Grantee shall have complied with all Retirement Conditions through such date in the event that the RSUs became nonforfeitable and payable pursuant to Section 5(c); and (3) if Grantee is a “specified employee” as determined pursuant to procedures adopted by the Company in compliance with Section 409A of the Code, then payment for the RSUs shall be made on the earlier of the first day of the seventh month after the date of Grantee’s “separation from service” within the meaning of Section 409A(a)(2)(A)(i) of the Code or the Grantee’s death;</w:t>
      </w:r>
    </w:p>
    <w:p>
      <w:pPr>
        <w:spacing w:after="0" w:line="74" w:lineRule="exact"/>
        <w:rPr>
          <w:rFonts w:ascii="Arial" w:cs="Arial" w:eastAsia="Arial" w:hAnsi="Arial"/>
          <w:sz w:val="21"/>
          <w:szCs w:val="21"/>
          <w:color w:val="auto"/>
        </w:rPr>
      </w:pPr>
    </w:p>
    <w:p>
      <w:pPr>
        <w:ind w:left="2520" w:right="40" w:hanging="320"/>
        <w:spacing w:after="0" w:line="260" w:lineRule="auto"/>
        <w:tabs>
          <w:tab w:leader="none" w:pos="2512" w:val="left"/>
        </w:tabs>
        <w:numPr>
          <w:ilvl w:val="1"/>
          <w:numId w:val="72"/>
        </w:numPr>
        <w:rPr>
          <w:rFonts w:ascii="Arial" w:cs="Arial" w:eastAsia="Arial" w:hAnsi="Arial"/>
          <w:sz w:val="21"/>
          <w:szCs w:val="21"/>
          <w:color w:val="auto"/>
        </w:rPr>
      </w:pPr>
      <w:r>
        <w:rPr>
          <w:rFonts w:ascii="Times New Roman" w:cs="Times New Roman" w:eastAsia="Times New Roman" w:hAnsi="Times New Roman"/>
          <w:sz w:val="21"/>
          <w:szCs w:val="21"/>
          <w:color w:val="auto"/>
        </w:rPr>
        <w:t>The date of a Change of Control that constitutes a “change in ownership,” a “change in effective control,” or a “change in the ownership of a substantial portion of the assets” of the Company under Section 409A(a)(2)(A)(v) of the Code (such circumstances, a “</w:t>
      </w:r>
      <w:r>
        <w:rPr>
          <w:rFonts w:ascii="Times New Roman" w:cs="Times New Roman" w:eastAsia="Times New Roman" w:hAnsi="Times New Roman"/>
          <w:sz w:val="21"/>
          <w:szCs w:val="21"/>
          <w:u w:val="single" w:color="auto"/>
          <w:color w:val="auto"/>
        </w:rPr>
        <w:t>409A Change in Control</w:t>
      </w:r>
      <w:r>
        <w:rPr>
          <w:rFonts w:ascii="Times New Roman" w:cs="Times New Roman" w:eastAsia="Times New Roman" w:hAnsi="Times New Roman"/>
          <w:sz w:val="21"/>
          <w:szCs w:val="21"/>
          <w:color w:val="auto"/>
        </w:rPr>
        <w:t>”) with payment to be made within ten (10) days following such date; or</w:t>
      </w:r>
    </w:p>
    <w:p>
      <w:pPr>
        <w:spacing w:after="0" w:line="63" w:lineRule="exact"/>
        <w:rPr>
          <w:rFonts w:ascii="Arial" w:cs="Arial" w:eastAsia="Arial" w:hAnsi="Arial"/>
          <w:sz w:val="21"/>
          <w:szCs w:val="21"/>
          <w:color w:val="auto"/>
        </w:rPr>
      </w:pPr>
    </w:p>
    <w:p>
      <w:pPr>
        <w:ind w:left="2500" w:hanging="300"/>
        <w:spacing w:after="0"/>
        <w:tabs>
          <w:tab w:leader="none" w:pos="2500" w:val="left"/>
        </w:tabs>
        <w:numPr>
          <w:ilvl w:val="1"/>
          <w:numId w:val="72"/>
        </w:numPr>
        <w:rPr>
          <w:rFonts w:ascii="Arial" w:cs="Arial" w:eastAsia="Arial" w:hAnsi="Arial"/>
          <w:sz w:val="21"/>
          <w:szCs w:val="21"/>
          <w:color w:val="auto"/>
        </w:rPr>
      </w:pPr>
      <w:r>
        <w:rPr>
          <w:rFonts w:ascii="Times New Roman" w:cs="Times New Roman" w:eastAsia="Times New Roman" w:hAnsi="Times New Roman"/>
          <w:sz w:val="21"/>
          <w:szCs w:val="21"/>
          <w:color w:val="auto"/>
        </w:rPr>
        <w:t>The date of Grantee’s death.</w:t>
      </w:r>
    </w:p>
    <w:p>
      <w:pPr>
        <w:spacing w:after="0" w:line="200" w:lineRule="exact"/>
        <w:rPr>
          <w:sz w:val="20"/>
          <w:szCs w:val="20"/>
          <w:color w:val="auto"/>
        </w:rPr>
      </w:pPr>
    </w:p>
    <w:p>
      <w:pPr>
        <w:spacing w:after="0" w:line="250" w:lineRule="exact"/>
        <w:rPr>
          <w:sz w:val="20"/>
          <w:szCs w:val="20"/>
          <w:color w:val="auto"/>
        </w:rPr>
      </w:pPr>
    </w:p>
    <w:p>
      <w:pPr>
        <w:ind w:right="360" w:firstLine="627"/>
        <w:spacing w:after="0" w:line="277" w:lineRule="auto"/>
        <w:rPr>
          <w:sz w:val="20"/>
          <w:szCs w:val="20"/>
          <w:color w:val="auto"/>
        </w:rPr>
      </w:pPr>
      <w:r>
        <w:rPr>
          <w:rFonts w:ascii="Times New Roman" w:cs="Times New Roman" w:eastAsia="Times New Roman" w:hAnsi="Times New Roman"/>
          <w:sz w:val="21"/>
          <w:szCs w:val="21"/>
          <w:color w:val="auto"/>
        </w:rPr>
        <w:t>Notwithstanding the foregoing in this Section 7, the Company reserves the right to withhold payment for any vested RSUs that become nonforfeitable pursuant to Section 5(c) in</w:t>
      </w:r>
    </w:p>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1"/>
          <w:szCs w:val="21"/>
          <w:color w:val="auto"/>
        </w:rPr>
        <w:t>the event that Grantee violates the Restrictive Covenant Obligations prior to the payment of such RSUs (and such vested RSUs shall be forfeited for no consideration).</w:t>
      </w:r>
    </w:p>
    <w:p>
      <w:pPr>
        <w:spacing w:after="0" w:line="40" w:lineRule="exact"/>
        <w:rPr>
          <w:sz w:val="20"/>
          <w:szCs w:val="20"/>
          <w:color w:val="auto"/>
        </w:rPr>
      </w:pPr>
    </w:p>
    <w:p>
      <w:pPr>
        <w:ind w:left="620" w:hanging="302"/>
        <w:spacing w:after="0"/>
        <w:tabs>
          <w:tab w:leader="none" w:pos="620" w:val="left"/>
        </w:tabs>
        <w:numPr>
          <w:ilvl w:val="0"/>
          <w:numId w:val="73"/>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Dividend Equivalents; Other Rights</w:t>
      </w:r>
      <w:r>
        <w:rPr>
          <w:rFonts w:ascii="Times New Roman" w:cs="Times New Roman" w:eastAsia="Times New Roman" w:hAnsi="Times New Roman"/>
          <w:sz w:val="21"/>
          <w:szCs w:val="21"/>
          <w:color w:val="auto"/>
        </w:rPr>
        <w:t>.</w:t>
      </w:r>
    </w:p>
    <w:p>
      <w:pPr>
        <w:spacing w:after="0" w:line="127" w:lineRule="exact"/>
        <w:rPr>
          <w:rFonts w:ascii="Arial" w:cs="Arial" w:eastAsia="Arial" w:hAnsi="Arial"/>
          <w:sz w:val="21"/>
          <w:szCs w:val="21"/>
          <w:color w:val="auto"/>
        </w:rPr>
      </w:pPr>
    </w:p>
    <w:p>
      <w:pPr>
        <w:ind w:left="1260" w:right="20" w:hanging="315"/>
        <w:spacing w:after="0" w:line="251" w:lineRule="auto"/>
        <w:tabs>
          <w:tab w:leader="none" w:pos="1251" w:val="left"/>
        </w:tabs>
        <w:numPr>
          <w:ilvl w:val="1"/>
          <w:numId w:val="73"/>
        </w:numPr>
        <w:rPr>
          <w:rFonts w:ascii="Arial" w:cs="Arial" w:eastAsia="Arial" w:hAnsi="Arial"/>
          <w:sz w:val="21"/>
          <w:szCs w:val="21"/>
          <w:color w:val="auto"/>
        </w:rPr>
      </w:pPr>
      <w:r>
        <w:rPr>
          <w:rFonts w:ascii="Times New Roman" w:cs="Times New Roman" w:eastAsia="Times New Roman" w:hAnsi="Times New Roman"/>
          <w:sz w:val="21"/>
          <w:szCs w:val="21"/>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82" w:lineRule="exact"/>
        <w:rPr>
          <w:rFonts w:ascii="Arial" w:cs="Arial" w:eastAsia="Arial" w:hAnsi="Arial"/>
          <w:sz w:val="21"/>
          <w:szCs w:val="21"/>
          <w:color w:val="auto"/>
        </w:rPr>
      </w:pPr>
    </w:p>
    <w:p>
      <w:pPr>
        <w:ind w:left="1260" w:hanging="315"/>
        <w:spacing w:after="0" w:line="261" w:lineRule="auto"/>
        <w:tabs>
          <w:tab w:leader="none" w:pos="1251" w:val="left"/>
        </w:tabs>
        <w:numPr>
          <w:ilvl w:val="1"/>
          <w:numId w:val="73"/>
        </w:numPr>
        <w:rPr>
          <w:rFonts w:ascii="Arial" w:cs="Arial" w:eastAsia="Arial" w:hAnsi="Arial"/>
          <w:sz w:val="21"/>
          <w:szCs w:val="21"/>
          <w:color w:val="auto"/>
        </w:rPr>
      </w:pPr>
      <w:r>
        <w:rPr>
          <w:rFonts w:ascii="Times New Roman" w:cs="Times New Roman" w:eastAsia="Times New Roman" w:hAnsi="Times New Roman"/>
          <w:sz w:val="21"/>
          <w:szCs w:val="21"/>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60" w:lineRule="exact"/>
        <w:rPr>
          <w:rFonts w:ascii="Arial" w:cs="Arial" w:eastAsia="Arial" w:hAnsi="Arial"/>
          <w:sz w:val="21"/>
          <w:szCs w:val="21"/>
          <w:color w:val="auto"/>
        </w:rPr>
      </w:pPr>
    </w:p>
    <w:p>
      <w:pPr>
        <w:ind w:left="1260" w:right="60" w:hanging="315"/>
        <w:spacing w:after="0" w:line="260" w:lineRule="auto"/>
        <w:tabs>
          <w:tab w:leader="none" w:pos="1253" w:val="left"/>
        </w:tabs>
        <w:numPr>
          <w:ilvl w:val="1"/>
          <w:numId w:val="73"/>
        </w:numPr>
        <w:rPr>
          <w:rFonts w:ascii="Arial" w:cs="Arial" w:eastAsia="Arial" w:hAnsi="Arial"/>
          <w:sz w:val="21"/>
          <w:szCs w:val="21"/>
          <w:color w:val="auto"/>
        </w:rPr>
      </w:pPr>
      <w:r>
        <w:rPr>
          <w:rFonts w:ascii="Times New Roman" w:cs="Times New Roman" w:eastAsia="Times New Roman" w:hAnsi="Times New Roman"/>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59" w:lineRule="exact"/>
        <w:rPr>
          <w:rFonts w:ascii="Arial" w:cs="Arial" w:eastAsia="Arial" w:hAnsi="Arial"/>
          <w:sz w:val="21"/>
          <w:szCs w:val="21"/>
          <w:color w:val="auto"/>
        </w:rPr>
      </w:pPr>
    </w:p>
    <w:p>
      <w:pPr>
        <w:ind w:left="640" w:right="100" w:hanging="322"/>
        <w:spacing w:after="0" w:line="254" w:lineRule="auto"/>
        <w:tabs>
          <w:tab w:leader="none" w:pos="631" w:val="left"/>
        </w:tabs>
        <w:numPr>
          <w:ilvl w:val="0"/>
          <w:numId w:val="73"/>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No Right to Future Awards or Employment</w:t>
      </w:r>
      <w:r>
        <w:rPr>
          <w:rFonts w:ascii="Times New Roman" w:cs="Times New Roman" w:eastAsia="Times New Roman" w:hAnsi="Times New Roman"/>
          <w:sz w:val="21"/>
          <w:szCs w:val="21"/>
          <w:color w:val="auto"/>
        </w:rPr>
        <w:t>. The grant of the RSUs under this Agreement to Grantee is a voluntary,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65" w:lineRule="exact"/>
        <w:rPr>
          <w:rFonts w:ascii="Arial" w:cs="Arial" w:eastAsia="Arial" w:hAnsi="Arial"/>
          <w:sz w:val="21"/>
          <w:szCs w:val="21"/>
          <w:color w:val="auto"/>
        </w:rPr>
      </w:pPr>
    </w:p>
    <w:p>
      <w:pPr>
        <w:ind w:left="640" w:right="100" w:hanging="322"/>
        <w:spacing w:after="0" w:line="280" w:lineRule="auto"/>
        <w:tabs>
          <w:tab w:leader="none" w:pos="631" w:val="left"/>
        </w:tabs>
        <w:numPr>
          <w:ilvl w:val="0"/>
          <w:numId w:val="73"/>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number of shares of Common Stock issuable for each RSU and the other terms and conditions of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evidenced by this Agreement are subject to adjustment as provided in Section 11 of the Plan.</w:t>
      </w:r>
    </w:p>
    <w:p>
      <w:pPr>
        <w:spacing w:after="0" w:line="49" w:lineRule="exact"/>
        <w:rPr>
          <w:rFonts w:ascii="Arial" w:cs="Arial" w:eastAsia="Arial" w:hAnsi="Arial"/>
          <w:sz w:val="21"/>
          <w:szCs w:val="21"/>
          <w:color w:val="auto"/>
        </w:rPr>
      </w:pPr>
    </w:p>
    <w:p>
      <w:pPr>
        <w:ind w:left="640" w:right="540" w:hanging="322"/>
        <w:spacing w:after="0" w:line="280" w:lineRule="auto"/>
        <w:tabs>
          <w:tab w:leader="none" w:pos="631" w:val="left"/>
        </w:tabs>
        <w:numPr>
          <w:ilvl w:val="0"/>
          <w:numId w:val="73"/>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To the extent that the Company is required to withhold federal, state, local or foreign taxes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amounts in connection with the delivery to Grantee</w:t>
      </w:r>
    </w:p>
    <w:p>
      <w:pPr>
        <w:sectPr>
          <w:pgSz w:w="11900" w:h="16838" w:orient="portrait"/>
          <w:cols w:equalWidth="0" w:num="1">
            <w:col w:w="11240"/>
          </w:cols>
          <w:pgMar w:left="320" w:top="12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2"/>
        <w:spacing w:after="0" w:line="251" w:lineRule="auto"/>
        <w:rPr>
          <w:sz w:val="20"/>
          <w:szCs w:val="20"/>
          <w:color w:val="auto"/>
        </w:rPr>
      </w:pPr>
      <w:r>
        <w:rPr>
          <w:rFonts w:ascii="Times New Roman" w:cs="Times New Roman" w:eastAsia="Times New Roman" w:hAnsi="Times New Roman"/>
          <w:sz w:val="21"/>
          <w:szCs w:val="21"/>
          <w:color w:val="auto"/>
        </w:rPr>
        <w:t>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76" w:lineRule="exact"/>
        <w:rPr>
          <w:sz w:val="20"/>
          <w:szCs w:val="20"/>
          <w:color w:val="auto"/>
        </w:rPr>
      </w:pPr>
    </w:p>
    <w:p>
      <w:pPr>
        <w:ind w:left="322" w:right="60" w:hanging="322"/>
        <w:spacing w:after="0" w:line="262" w:lineRule="auto"/>
        <w:tabs>
          <w:tab w:leader="none" w:pos="313" w:val="left"/>
        </w:tabs>
        <w:numPr>
          <w:ilvl w:val="0"/>
          <w:numId w:val="74"/>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Compliance With Law</w:t>
      </w:r>
      <w:r>
        <w:rPr>
          <w:rFonts w:ascii="Times New Roman" w:cs="Times New Roman" w:eastAsia="Times New Roman" w:hAnsi="Times New Roman"/>
          <w:sz w:val="21"/>
          <w:szCs w:val="21"/>
          <w:color w:val="auto"/>
        </w:rPr>
        <w:t>. The Company shall make reasonable efforts to comply with all applicable federal and state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55" w:lineRule="exact"/>
        <w:rPr>
          <w:rFonts w:ascii="Arial" w:cs="Arial" w:eastAsia="Arial" w:hAnsi="Arial"/>
          <w:sz w:val="21"/>
          <w:szCs w:val="21"/>
          <w:color w:val="auto"/>
        </w:rPr>
      </w:pPr>
    </w:p>
    <w:p>
      <w:pPr>
        <w:ind w:left="322" w:right="40" w:hanging="322"/>
        <w:spacing w:after="0" w:line="253" w:lineRule="auto"/>
        <w:tabs>
          <w:tab w:leader="none" w:pos="313" w:val="left"/>
        </w:tabs>
        <w:numPr>
          <w:ilvl w:val="0"/>
          <w:numId w:val="74"/>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The RSUs shall be subject to the Company’s Clawback Policy, as in effect on the Date of Grant,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supplemented from time to time. In addition, in the event that Grantee breaches any provision of subparagraphs 7(a) and 7(b) of the Employment Agreement during the Non-Competition Period (as defined in the Employment Agreement) (the “</w:t>
      </w:r>
      <w:r>
        <w:rPr>
          <w:rFonts w:ascii="Times New Roman" w:cs="Times New Roman" w:eastAsia="Times New Roman" w:hAnsi="Times New Roman"/>
          <w:sz w:val="21"/>
          <w:szCs w:val="21"/>
          <w:u w:val="single" w:color="auto"/>
          <w:color w:val="auto"/>
        </w:rPr>
        <w:t>Employment Agreement Covenants</w:t>
      </w:r>
      <w:r>
        <w:rPr>
          <w:rFonts w:ascii="Times New Roman" w:cs="Times New Roman" w:eastAsia="Times New Roman" w:hAnsi="Times New Roman"/>
          <w:sz w:val="21"/>
          <w:szCs w:val="21"/>
          <w:color w:val="auto"/>
        </w:rPr>
        <w:t>”), Grantee shall forfeit any right to receive shares of Common Stock with respect to RSUs that have vested pursuant to Section 5(a) or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79" w:lineRule="exact"/>
        <w:rPr>
          <w:rFonts w:ascii="Arial" w:cs="Arial" w:eastAsia="Arial" w:hAnsi="Arial"/>
          <w:sz w:val="21"/>
          <w:szCs w:val="21"/>
          <w:color w:val="auto"/>
        </w:rPr>
      </w:pPr>
    </w:p>
    <w:p>
      <w:pPr>
        <w:ind w:left="322" w:right="20" w:hanging="322"/>
        <w:spacing w:after="0" w:line="255" w:lineRule="auto"/>
        <w:tabs>
          <w:tab w:leader="none" w:pos="313" w:val="left"/>
        </w:tabs>
        <w:numPr>
          <w:ilvl w:val="0"/>
          <w:numId w:val="74"/>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Relation to Other Benefits</w:t>
      </w:r>
      <w:r>
        <w:rPr>
          <w:rFonts w:ascii="Times New Roman" w:cs="Times New Roman" w:eastAsia="Times New Roman" w:hAnsi="Times New Roman"/>
          <w:sz w:val="21"/>
          <w:szCs w:val="21"/>
          <w:color w:val="auto"/>
        </w:rPr>
        <w:t>. Any economic or other benefit to Grantee under this Agreement or the Plan shall not be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62" w:lineRule="exact"/>
        <w:rPr>
          <w:rFonts w:ascii="Arial" w:cs="Arial" w:eastAsia="Arial" w:hAnsi="Arial"/>
          <w:sz w:val="21"/>
          <w:szCs w:val="21"/>
          <w:color w:val="auto"/>
        </w:rPr>
      </w:pPr>
    </w:p>
    <w:p>
      <w:pPr>
        <w:ind w:left="322" w:right="540" w:hanging="322"/>
        <w:spacing w:after="0" w:line="293" w:lineRule="auto"/>
        <w:tabs>
          <w:tab w:leader="none" w:pos="313" w:val="left"/>
        </w:tabs>
        <w:numPr>
          <w:ilvl w:val="0"/>
          <w:numId w:val="74"/>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is applicable hereto; provided, however, that</w:t>
      </w:r>
    </w:p>
    <w:p>
      <w:pPr>
        <w:sectPr>
          <w:pgSz w:w="11900" w:h="16838" w:orient="portrait"/>
          <w:cols w:equalWidth="0" w:num="1">
            <w:col w:w="10922"/>
          </w:cols>
          <w:pgMar w:left="638" w:top="12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2" w:right="100" w:hanging="8"/>
        <w:spacing w:after="0" w:line="255" w:lineRule="auto"/>
        <w:tabs>
          <w:tab w:leader="none" w:pos="606"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as provided for in subparagraph [ ] of the Employment Agreement.</w:t>
      </w:r>
    </w:p>
    <w:p>
      <w:pPr>
        <w:spacing w:after="0" w:line="63" w:lineRule="exact"/>
        <w:rPr>
          <w:rFonts w:ascii="Times New Roman" w:cs="Times New Roman" w:eastAsia="Times New Roman" w:hAnsi="Times New Roman"/>
          <w:sz w:val="21"/>
          <w:szCs w:val="21"/>
          <w:color w:val="auto"/>
        </w:rPr>
      </w:pPr>
    </w:p>
    <w:p>
      <w:pPr>
        <w:jc w:val="both"/>
        <w:ind w:left="322" w:right="160" w:hanging="322"/>
        <w:spacing w:after="0" w:line="270" w:lineRule="auto"/>
        <w:tabs>
          <w:tab w:leader="none" w:pos="313"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that one or more of the provisions of this Agreement shall be invalidated for any reason by a court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competent jurisdiction, any provision so invalidated shall be deemed to be separable from the other provisions hereof, and the remaining provisions hereof shall continue to be valid and fully enforceable.</w:t>
      </w:r>
    </w:p>
    <w:p>
      <w:pPr>
        <w:spacing w:after="0" w:line="46" w:lineRule="exact"/>
        <w:rPr>
          <w:rFonts w:ascii="Arial" w:cs="Arial" w:eastAsia="Arial" w:hAnsi="Arial"/>
          <w:sz w:val="21"/>
          <w:szCs w:val="21"/>
          <w:color w:val="auto"/>
        </w:rPr>
      </w:pPr>
    </w:p>
    <w:p>
      <w:pPr>
        <w:ind w:left="322" w:right="300" w:hanging="322"/>
        <w:spacing w:after="0" w:line="280" w:lineRule="auto"/>
        <w:tabs>
          <w:tab w:leader="none" w:pos="312"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Relation to Plan</w:t>
      </w:r>
      <w:r>
        <w:rPr>
          <w:rFonts w:ascii="Times New Roman" w:cs="Times New Roman" w:eastAsia="Times New Roman" w:hAnsi="Times New Roman"/>
          <w:sz w:val="21"/>
          <w:szCs w:val="21"/>
          <w:color w:val="auto"/>
        </w:rPr>
        <w:t>. This Agreement is subject to the terms and conditions of the Plan. To the extent not expressly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the terms of the Plan shall govern.</w:t>
      </w:r>
    </w:p>
    <w:p>
      <w:pPr>
        <w:spacing w:after="0" w:line="36" w:lineRule="exact"/>
        <w:rPr>
          <w:rFonts w:ascii="Arial" w:cs="Arial" w:eastAsia="Arial" w:hAnsi="Arial"/>
          <w:sz w:val="21"/>
          <w:szCs w:val="21"/>
          <w:color w:val="auto"/>
        </w:rPr>
      </w:pPr>
    </w:p>
    <w:p>
      <w:pPr>
        <w:ind w:left="322" w:right="80" w:hanging="322"/>
        <w:spacing w:after="0" w:line="273" w:lineRule="auto"/>
        <w:tabs>
          <w:tab w:leader="none" w:pos="296"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Acknowledgement</w:t>
      </w:r>
      <w:r>
        <w:rPr>
          <w:rFonts w:ascii="Times New Roman" w:cs="Times New Roman" w:eastAsia="Times New Roman" w:hAnsi="Times New Roman"/>
          <w:sz w:val="20"/>
          <w:szCs w:val="20"/>
          <w:color w:val="auto"/>
        </w:rPr>
        <w:t>. Grantee acknowledges that Grantee (a) has received a copy of the Plan, (b) has had an opportunity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the terms of this Agreement and the Plan, (c) understands the terms and conditions of this Agreement and the Plan and</w:t>
      </w:r>
    </w:p>
    <w:p>
      <w:pPr>
        <w:ind w:left="602" w:hanging="288"/>
        <w:spacing w:after="0"/>
        <w:tabs>
          <w:tab w:leader="none" w:pos="60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to such terms and conditions.</w:t>
      </w:r>
    </w:p>
    <w:p>
      <w:pPr>
        <w:spacing w:after="0" w:line="96" w:lineRule="exact"/>
        <w:rPr>
          <w:rFonts w:ascii="Times New Roman" w:cs="Times New Roman" w:eastAsia="Times New Roman" w:hAnsi="Times New Roman"/>
          <w:sz w:val="21"/>
          <w:szCs w:val="21"/>
          <w:color w:val="auto"/>
        </w:rPr>
      </w:pPr>
    </w:p>
    <w:p>
      <w:pPr>
        <w:ind w:left="322" w:right="60" w:hanging="322"/>
        <w:spacing w:after="0" w:line="263" w:lineRule="auto"/>
        <w:tabs>
          <w:tab w:leader="none" w:pos="312"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Without limiting Section 3 hereof, the provisions of this Agreement shall inure to the benefit of,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binding upon, the successors, administrators, heirs, legal representatives and assigns of Grantee, and the successors and assigns of the Company.</w:t>
      </w:r>
    </w:p>
    <w:p>
      <w:pPr>
        <w:spacing w:after="0" w:line="54" w:lineRule="exact"/>
        <w:rPr>
          <w:rFonts w:ascii="Arial" w:cs="Arial" w:eastAsia="Arial" w:hAnsi="Arial"/>
          <w:sz w:val="21"/>
          <w:szCs w:val="21"/>
          <w:color w:val="auto"/>
        </w:rPr>
      </w:pPr>
    </w:p>
    <w:p>
      <w:pPr>
        <w:ind w:left="322" w:right="160" w:hanging="322"/>
        <w:spacing w:after="0" w:line="270" w:lineRule="auto"/>
        <w:tabs>
          <w:tab w:leader="none" w:pos="312"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shall be governed by and construed in accordance with the internal substantive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Delaware, without giving effect to any principle of law that would result in the application of the law of any other jurisdiction.</w:t>
      </w:r>
    </w:p>
    <w:p>
      <w:pPr>
        <w:spacing w:after="0" w:line="46" w:lineRule="exact"/>
        <w:rPr>
          <w:rFonts w:ascii="Arial" w:cs="Arial" w:eastAsia="Arial" w:hAnsi="Arial"/>
          <w:sz w:val="21"/>
          <w:szCs w:val="21"/>
          <w:color w:val="auto"/>
        </w:rPr>
      </w:pPr>
    </w:p>
    <w:p>
      <w:pPr>
        <w:ind w:left="322" w:right="40" w:hanging="322"/>
        <w:spacing w:after="0" w:line="254" w:lineRule="auto"/>
        <w:tabs>
          <w:tab w:leader="none" w:pos="312"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to the Company provided for herein shall be in writing (including electronically) to the Company, marked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65" w:lineRule="exact"/>
        <w:rPr>
          <w:rFonts w:ascii="Arial" w:cs="Arial" w:eastAsia="Arial" w:hAnsi="Arial"/>
          <w:sz w:val="21"/>
          <w:szCs w:val="21"/>
          <w:color w:val="auto"/>
        </w:rPr>
      </w:pPr>
    </w:p>
    <w:p>
      <w:pPr>
        <w:ind w:left="322" w:right="20" w:hanging="322"/>
        <w:spacing w:after="0" w:line="262" w:lineRule="auto"/>
        <w:tabs>
          <w:tab w:leader="none" w:pos="312" w:val="left"/>
        </w:tabs>
        <w:numPr>
          <w:ilvl w:val="0"/>
          <w:numId w:val="7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The Company may, in its sole discretion, deliver any documents related to the RSUs and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ectPr>
          <w:pgSz w:w="11900" w:h="16838" w:orient="portrait"/>
          <w:cols w:equalWidth="0" w:num="1">
            <w:col w:w="10922"/>
          </w:cols>
          <w:pgMar w:left="638" w:top="12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2" w:right="60" w:hanging="322"/>
        <w:spacing w:after="0" w:line="254" w:lineRule="auto"/>
        <w:tabs>
          <w:tab w:leader="none" w:pos="312" w:val="left"/>
        </w:tabs>
        <w:numPr>
          <w:ilvl w:val="0"/>
          <w:numId w:val="7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Section 409A of the Code</w:t>
      </w:r>
      <w:r>
        <w:rPr>
          <w:rFonts w:ascii="Times New Roman" w:cs="Times New Roman" w:eastAsia="Times New Roman" w:hAnsi="Times New Roman"/>
          <w:sz w:val="21"/>
          <w:szCs w:val="21"/>
          <w:color w:val="auto"/>
        </w:rPr>
        <w:t>. To the extent applicable, it is intended that this Agreement and the Plan comply with or be 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Each payment under this Agreement shall be considered a separate payment and not one of a series of payments for purposes of Section 409A of the Code.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64" w:lineRule="exact"/>
        <w:rPr>
          <w:rFonts w:ascii="Arial" w:cs="Arial" w:eastAsia="Arial" w:hAnsi="Arial"/>
          <w:sz w:val="21"/>
          <w:szCs w:val="21"/>
          <w:color w:val="auto"/>
        </w:rPr>
      </w:pPr>
    </w:p>
    <w:p>
      <w:pPr>
        <w:ind w:left="322" w:right="60" w:hanging="322"/>
        <w:spacing w:after="0" w:line="263" w:lineRule="auto"/>
        <w:tabs>
          <w:tab w:leader="none" w:pos="312" w:val="left"/>
        </w:tabs>
        <w:numPr>
          <w:ilvl w:val="0"/>
          <w:numId w:val="7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one or more counterparts (including facsimile and other electronically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transmitted counterparts), each of which shall be deemed to be an original but all of which together will constitute one and the same agreement.</w:t>
      </w:r>
    </w:p>
    <w:p>
      <w:pPr>
        <w:spacing w:after="0" w:line="200" w:lineRule="exact"/>
        <w:rPr>
          <w:sz w:val="20"/>
          <w:szCs w:val="20"/>
          <w:color w:val="auto"/>
        </w:rPr>
      </w:pPr>
    </w:p>
    <w:p>
      <w:pPr>
        <w:spacing w:after="0" w:line="281"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9"/>
          <w:szCs w:val="19"/>
          <w:color w:val="auto"/>
        </w:rPr>
        <w:t>[SIGNATURES ON FOLLOWING PAGE]</w:t>
      </w:r>
    </w:p>
    <w:p>
      <w:pPr>
        <w:sectPr>
          <w:pgSz w:w="11900" w:h="16838" w:orient="portrait"/>
          <w:cols w:equalWidth="0" w:num="1">
            <w:col w:w="10922"/>
          </w:cols>
          <w:pgMar w:left="638" w:top="12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40" w:firstLine="191"/>
        <w:spacing w:after="0" w:line="264" w:lineRule="auto"/>
        <w:rPr>
          <w:sz w:val="20"/>
          <w:szCs w:val="20"/>
          <w:color w:val="auto"/>
        </w:rPr>
      </w:pPr>
      <w:r>
        <w:rPr>
          <w:rFonts w:ascii="Times New Roman" w:cs="Times New Roman" w:eastAsia="Times New Roman" w:hAnsi="Times New Roman"/>
          <w:sz w:val="21"/>
          <w:szCs w:val="21"/>
          <w:color w:val="auto"/>
        </w:rPr>
        <w:t>IN WITNESS WHEREOF, the Company has caused this Agreement to be executed on its behalf by its duly authorized officer and Grantee has executed this Agreement, as of the Date of Grant.</w:t>
      </w:r>
    </w:p>
    <w:p>
      <w:pPr>
        <w:spacing w:after="0" w:line="1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AGNC INVESTMENT CORP.</w:t>
      </w:r>
    </w:p>
    <w:p>
      <w:pPr>
        <w:spacing w:after="0" w:line="200" w:lineRule="exact"/>
        <w:rPr>
          <w:sz w:val="20"/>
          <w:szCs w:val="20"/>
          <w:color w:val="auto"/>
        </w:rPr>
      </w:pP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By:</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-150495</wp:posOffset>
            </wp:positionV>
            <wp:extent cx="14852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-151765</wp:posOffset>
            </wp:positionV>
            <wp:extent cx="22739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line="26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21590</wp:posOffset>
            </wp:positionV>
            <wp:extent cx="14852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1"/>
          <w:szCs w:val="2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10120"/>
          </w:cols>
          <w:pgMar w:left="1440" w:top="12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20"/>
          <w:szCs w:val="20"/>
          <w:b w:val="1"/>
          <w:bCs w:val="1"/>
          <w:color w:val="auto"/>
        </w:rPr>
        <w:t>AMENDED AND RESTATED AGNC INVESTMENT CORP. 2016 EQUITY AND INCENTIVE COMPENSATION PLAN PERFORMANCE-BASED RESTRICTED STOCK UNIT AGREEMENT</w:t>
      </w:r>
    </w:p>
    <w:p>
      <w:pPr>
        <w:spacing w:after="0" w:line="5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1"/>
          <w:szCs w:val="21"/>
          <w:color w:val="auto"/>
        </w:rPr>
        <w:t>This PERFORMANCE-BASED RESTRICTED STOCK UNIT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 ] (the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Grant</w:t>
      </w:r>
      <w:r>
        <w:rPr>
          <w:rFonts w:ascii="Times New Roman" w:cs="Times New Roman" w:eastAsia="Times New Roman" w:hAnsi="Times New Roman"/>
          <w:sz w:val="21"/>
          <w:szCs w:val="21"/>
          <w:color w:val="auto"/>
        </w:rPr>
        <w:t>”), by and between AGNC Investment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spacing w:after="0" w:line="40" w:lineRule="exact"/>
        <w:rPr>
          <w:sz w:val="20"/>
          <w:szCs w:val="20"/>
          <w:color w:val="auto"/>
        </w:rPr>
      </w:pPr>
    </w:p>
    <w:p>
      <w:pPr>
        <w:ind w:left="640" w:right="200" w:hanging="322"/>
        <w:spacing w:after="0" w:line="264" w:lineRule="auto"/>
        <w:tabs>
          <w:tab w:leader="none" w:pos="6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Definitions</w:t>
      </w:r>
      <w:r>
        <w:rPr>
          <w:rFonts w:ascii="Times New Roman" w:cs="Times New Roman" w:eastAsia="Times New Roman" w:hAnsi="Times New Roman"/>
          <w:sz w:val="21"/>
          <w:szCs w:val="21"/>
          <w:color w:val="auto"/>
        </w:rPr>
        <w:t>. Capitalized terms used, but not otherwise defined, in this Agreement will have the meanings given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terms in the Company’s Amended and Restated 2016 Equity and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used in this Agreement:</w:t>
      </w:r>
    </w:p>
    <w:p>
      <w:pPr>
        <w:spacing w:after="0" w:line="69" w:lineRule="exact"/>
        <w:rPr>
          <w:rFonts w:ascii="Times New Roman" w:cs="Times New Roman" w:eastAsia="Times New Roman" w:hAnsi="Times New Roman"/>
          <w:sz w:val="21"/>
          <w:szCs w:val="21"/>
          <w:color w:val="auto"/>
        </w:rPr>
      </w:pPr>
    </w:p>
    <w:p>
      <w:pPr>
        <w:ind w:left="1260" w:hanging="315"/>
        <w:spacing w:after="0" w:line="254" w:lineRule="auto"/>
        <w:tabs>
          <w:tab w:leader="none" w:pos="1248"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Continuous Retirement Service</w:t>
      </w:r>
      <w:r>
        <w:rPr>
          <w:rFonts w:ascii="Times New Roman" w:cs="Times New Roman" w:eastAsia="Times New Roman" w:hAnsi="Times New Roman"/>
          <w:sz w:val="21"/>
          <w:szCs w:val="21"/>
          <w:color w:val="auto"/>
        </w:rPr>
        <w:t>” means full-time service or part-time service (equal to at least twenty-four (24) hours per week) as an employee of the Company or its Subsidiaries, which shall be measured from the later of (i) the date of hire with the Company (or the applicable Subsidiary) and (ii) AGNC Investment Corp.’s initial public offering (“</w:t>
      </w:r>
      <w:r>
        <w:rPr>
          <w:rFonts w:ascii="Times New Roman" w:cs="Times New Roman" w:eastAsia="Times New Roman" w:hAnsi="Times New Roman"/>
          <w:sz w:val="21"/>
          <w:szCs w:val="21"/>
          <w:u w:val="single" w:color="auto"/>
          <w:color w:val="auto"/>
        </w:rPr>
        <w:t>IPO</w:t>
      </w:r>
      <w:r>
        <w:rPr>
          <w:rFonts w:ascii="Times New Roman" w:cs="Times New Roman" w:eastAsia="Times New Roman" w:hAnsi="Times New Roman"/>
          <w:sz w:val="21"/>
          <w:szCs w:val="21"/>
          <w:color w:val="auto"/>
        </w:rPr>
        <w:t>”) in May 2008; provided, however, that “Continuous Retirement Service” shall also include service by employees of American Capital, Ltd. whose job duties were significantly devoted to AGNC Mortgage Management, LLC (“</w:t>
      </w:r>
      <w:r>
        <w:rPr>
          <w:rFonts w:ascii="Times New Roman" w:cs="Times New Roman" w:eastAsia="Times New Roman" w:hAnsi="Times New Roman"/>
          <w:sz w:val="21"/>
          <w:szCs w:val="21"/>
          <w:u w:val="single" w:color="auto"/>
          <w:color w:val="auto"/>
        </w:rPr>
        <w:t>AMM</w:t>
      </w:r>
      <w:r>
        <w:rPr>
          <w:rFonts w:ascii="Times New Roman" w:cs="Times New Roman" w:eastAsia="Times New Roman" w:hAnsi="Times New Roman"/>
          <w:sz w:val="21"/>
          <w:szCs w:val="21"/>
          <w:color w:val="auto"/>
        </w:rPr>
        <w:t xml:space="preserve">”), AGNC Investment Corp., AGNC Management, LLC, or MTGE Management, LLC prior to AGNC Investment Corp.’s acquisition of AMM in 2016 as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66" w:lineRule="exact"/>
        <w:rPr>
          <w:rFonts w:ascii="Times New Roman" w:cs="Times New Roman" w:eastAsia="Times New Roman" w:hAnsi="Times New Roman"/>
          <w:sz w:val="21"/>
          <w:szCs w:val="21"/>
          <w:color w:val="auto"/>
        </w:rPr>
      </w:pPr>
    </w:p>
    <w:p>
      <w:pPr>
        <w:ind w:left="1260" w:hanging="315"/>
        <w:spacing w:after="0"/>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has the meaning set forth in the Employment Agreement.</w:t>
      </w:r>
    </w:p>
    <w:p>
      <w:pPr>
        <w:spacing w:after="0" w:line="111" w:lineRule="exact"/>
        <w:rPr>
          <w:rFonts w:ascii="Times New Roman" w:cs="Times New Roman" w:eastAsia="Times New Roman" w:hAnsi="Times New Roman"/>
          <w:sz w:val="21"/>
          <w:szCs w:val="21"/>
          <w:color w:val="auto"/>
        </w:rPr>
      </w:pPr>
    </w:p>
    <w:p>
      <w:pPr>
        <w:ind w:left="1240" w:hanging="295"/>
        <w:spacing w:after="0"/>
        <w:tabs>
          <w:tab w:leader="none" w:pos="124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means [ ].</w:t>
      </w:r>
    </w:p>
    <w:p>
      <w:pPr>
        <w:spacing w:after="0" w:line="111" w:lineRule="exact"/>
        <w:rPr>
          <w:rFonts w:ascii="Times New Roman" w:cs="Times New Roman" w:eastAsia="Times New Roman" w:hAnsi="Times New Roman"/>
          <w:sz w:val="21"/>
          <w:szCs w:val="21"/>
          <w:color w:val="auto"/>
        </w:rPr>
      </w:pPr>
    </w:p>
    <w:p>
      <w:pPr>
        <w:ind w:left="1260" w:right="60" w:hanging="315"/>
        <w:spacing w:after="0" w:line="277" w:lineRule="auto"/>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xml:space="preserve">” means the AER Performance Period or the RER Performance Period, each as defined in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as applicable.</w:t>
      </w:r>
    </w:p>
    <w:p>
      <w:pPr>
        <w:spacing w:after="0" w:line="56" w:lineRule="exact"/>
        <w:rPr>
          <w:rFonts w:ascii="Times New Roman" w:cs="Times New Roman" w:eastAsia="Times New Roman" w:hAnsi="Times New Roman"/>
          <w:sz w:val="21"/>
          <w:szCs w:val="21"/>
          <w:color w:val="auto"/>
        </w:rPr>
      </w:pPr>
    </w:p>
    <w:p>
      <w:pPr>
        <w:ind w:left="1260" w:right="120" w:hanging="315"/>
        <w:spacing w:after="0" w:line="262" w:lineRule="auto"/>
        <w:tabs>
          <w:tab w:leader="none" w:pos="1248"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Re-Externalization</w:t>
      </w:r>
      <w:r>
        <w:rPr>
          <w:rFonts w:ascii="Times New Roman" w:cs="Times New Roman" w:eastAsia="Times New Roman" w:hAnsi="Times New Roman"/>
          <w:sz w:val="21"/>
          <w:szCs w:val="21"/>
          <w:color w:val="auto"/>
        </w:rPr>
        <w:t>” means a sale, merger or other transaction that results in the transfer or issuance of a majority of the outstanding equity interests of AMM or AGNC Management, LLC to a person or entity other than a Subsidiary of the Company.</w:t>
      </w:r>
    </w:p>
    <w:p>
      <w:pPr>
        <w:spacing w:after="0" w:line="58" w:lineRule="exact"/>
        <w:rPr>
          <w:rFonts w:ascii="Times New Roman" w:cs="Times New Roman" w:eastAsia="Times New Roman" w:hAnsi="Times New Roman"/>
          <w:sz w:val="21"/>
          <w:szCs w:val="21"/>
          <w:color w:val="auto"/>
        </w:rPr>
      </w:pPr>
    </w:p>
    <w:p>
      <w:pPr>
        <w:ind w:left="1300" w:hanging="355"/>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means the release described in subparagraph 6(f) of the Employment Agreement.</w:t>
      </w:r>
    </w:p>
    <w:p>
      <w:pPr>
        <w:spacing w:after="0" w:line="111" w:lineRule="exact"/>
        <w:rPr>
          <w:rFonts w:ascii="Times New Roman" w:cs="Times New Roman" w:eastAsia="Times New Roman" w:hAnsi="Times New Roman"/>
          <w:sz w:val="21"/>
          <w:szCs w:val="21"/>
          <w:color w:val="auto"/>
        </w:rPr>
      </w:pPr>
    </w:p>
    <w:p>
      <w:pPr>
        <w:ind w:left="1260" w:right="20" w:hanging="315"/>
        <w:spacing w:after="0" w:line="254" w:lineRule="auto"/>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Award</w:t>
      </w:r>
      <w:r>
        <w:rPr>
          <w:rFonts w:ascii="Times New Roman" w:cs="Times New Roman" w:eastAsia="Times New Roman" w:hAnsi="Times New Roman"/>
          <w:sz w:val="21"/>
          <w:szCs w:val="21"/>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on a Prorated Basis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as of the most recent date prior to the Change of Control for which applicable data for such determination is publicly available, as determined by the Board or the Committee pursuant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(ii) 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w:t>
      </w:r>
    </w:p>
    <w:p>
      <w:pPr>
        <w:sectPr>
          <w:pgSz w:w="11900" w:h="16838" w:orient="portrait"/>
          <w:cols w:equalWidth="0" w:num="1">
            <w:col w:w="11240"/>
          </w:cols>
          <w:pgMar w:left="320" w:top="12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40"/>
        <w:spacing w:after="0" w:line="253" w:lineRule="auto"/>
        <w:rPr>
          <w:sz w:val="20"/>
          <w:szCs w:val="20"/>
          <w:color w:val="auto"/>
        </w:rPr>
      </w:pPr>
      <w:r>
        <w:rPr>
          <w:rFonts w:ascii="Times New Roman" w:cs="Times New Roman" w:eastAsia="Times New Roman" w:hAnsi="Times New Roman"/>
          <w:sz w:val="21"/>
          <w:szCs w:val="21"/>
          <w:color w:val="auto"/>
        </w:rPr>
        <w:t>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1(g) are satisfied will be made by the Committee, as constituted immediately prior to the Change of Control, in its sole discretion.</w:t>
      </w:r>
    </w:p>
    <w:p>
      <w:pPr>
        <w:spacing w:after="0" w:line="68" w:lineRule="exact"/>
        <w:rPr>
          <w:sz w:val="20"/>
          <w:szCs w:val="20"/>
          <w:color w:val="auto"/>
        </w:rPr>
      </w:pPr>
    </w:p>
    <w:p>
      <w:pPr>
        <w:ind w:left="320" w:hanging="315"/>
        <w:spacing w:after="0" w:line="251" w:lineRule="auto"/>
        <w:tabs>
          <w:tab w:leader="none" w:pos="3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Restrictive Covenant Obligations</w:t>
      </w:r>
      <w:r>
        <w:rPr>
          <w:rFonts w:ascii="Times New Roman" w:cs="Times New Roman" w:eastAsia="Times New Roman" w:hAnsi="Times New Roman"/>
          <w:sz w:val="21"/>
          <w:szCs w:val="21"/>
          <w:color w:val="auto"/>
        </w:rPr>
        <w:t>” means, collectively, the Employment Agreement Covenants (as defined in Section 13) and the requirement that, upon Retirement, Grantee must not: (i) either directly or indirectly, whether as a director, officer, consultant, employee or advisor or in any other capacity, render any services to any company, business, agency, partnership or entity engaged in a business competitive with the Company or its Subsidiaries (“</w:t>
      </w:r>
      <w:r>
        <w:rPr>
          <w:rFonts w:ascii="Times New Roman" w:cs="Times New Roman" w:eastAsia="Times New Roman" w:hAnsi="Times New Roman"/>
          <w:sz w:val="21"/>
          <w:szCs w:val="21"/>
          <w:u w:val="single" w:color="auto"/>
          <w:color w:val="auto"/>
        </w:rPr>
        <w:t>Restricted Busines</w:t>
      </w:r>
      <w:r>
        <w:rPr>
          <w:rFonts w:ascii="Times New Roman" w:cs="Times New Roman" w:eastAsia="Times New Roman" w:hAnsi="Times New Roman"/>
          <w:sz w:val="21"/>
          <w:szCs w:val="21"/>
          <w:color w:val="auto"/>
        </w:rPr>
        <w:t>s”) other than the Company or its Subsidiaries; (ii) directly or indirectly induce or attempt to influence any employee of the Company or its Subsidiaries to leave its employ; (iii) directly or indirectly induce or attempt to influence any customer, vendor, supplier, counterparty or consultant of the Company or its Subsidiaries to alter its relationship with the Company or its Subsidiaries; (iv) make or hold any investment in any Restricted Business other than the Company or its Subsidiaries, whether such investment be by way of loan, purchase of stock or other securities or otherwise, provided that there shall be excluded from the foregoing the ownership of not more than 2% of the listed or traded stock of any publicly held corporation; or (v) agree, commit, or otherwise reach an understanding in writing to do any of the foregoing.</w:t>
      </w:r>
    </w:p>
    <w:p>
      <w:pPr>
        <w:spacing w:after="0" w:line="79" w:lineRule="exact"/>
        <w:rPr>
          <w:rFonts w:ascii="Times New Roman" w:cs="Times New Roman" w:eastAsia="Times New Roman" w:hAnsi="Times New Roman"/>
          <w:sz w:val="21"/>
          <w:szCs w:val="21"/>
          <w:color w:val="auto"/>
        </w:rPr>
      </w:pPr>
    </w:p>
    <w:p>
      <w:pPr>
        <w:ind w:left="320" w:hanging="315"/>
        <w:spacing w:after="0" w:line="277" w:lineRule="auto"/>
        <w:tabs>
          <w:tab w:leader="none" w:pos="31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termination of Grantee’s employment with the applicable employer after becoming Retirement Eligible.</w:t>
      </w:r>
    </w:p>
    <w:p>
      <w:pPr>
        <w:spacing w:after="0" w:line="56" w:lineRule="exact"/>
        <w:rPr>
          <w:rFonts w:ascii="Times New Roman" w:cs="Times New Roman" w:eastAsia="Times New Roman" w:hAnsi="Times New Roman"/>
          <w:sz w:val="21"/>
          <w:szCs w:val="21"/>
          <w:color w:val="auto"/>
        </w:rPr>
      </w:pPr>
    </w:p>
    <w:p>
      <w:pPr>
        <w:ind w:left="320" w:right="40" w:hanging="315"/>
        <w:spacing w:after="0" w:line="268" w:lineRule="auto"/>
        <w:tabs>
          <w:tab w:leader="none" w:pos="3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Conditions</w:t>
      </w:r>
      <w:r>
        <w:rPr>
          <w:rFonts w:ascii="Times New Roman" w:cs="Times New Roman" w:eastAsia="Times New Roman" w:hAnsi="Times New Roman"/>
          <w:sz w:val="20"/>
          <w:szCs w:val="20"/>
          <w:color w:val="auto"/>
        </w:rPr>
        <w:t>” means, upon Grantee’s Retirement: (i) Grantee must have fully complied with the Restrictive Covenant Obligations, as well as the terms and conditions of Grantee’s employment, including compliance with all of the Company’s policies and procedures; (ii) there must not be any circumstances that exist at the time of such Grantee’s Retirement that would give the Company grounds to terminate Grantee’s employment for “Cause” (as such term or similar term is defined in the Employment Agreement) as determined by the Committee in its sole discretion; (iii) within sixty (60) days following Grantee’s Retirement, Grantee must execute and not revoke a Release; and (iv) in the case of a voluntary termination of employment by Grantee, Grantee must have delivered written</w:t>
      </w:r>
    </w:p>
    <w:p>
      <w:pPr>
        <w:sectPr>
          <w:pgSz w:w="11900" w:h="16838" w:orient="portrait"/>
          <w:cols w:equalWidth="0" w:num="1">
            <w:col w:w="10300"/>
          </w:cols>
          <w:pgMar w:left="1260" w:top="12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 w:right="40"/>
        <w:spacing w:after="0" w:line="261" w:lineRule="auto"/>
        <w:rPr>
          <w:sz w:val="20"/>
          <w:szCs w:val="20"/>
          <w:color w:val="auto"/>
        </w:rPr>
      </w:pPr>
      <w:r>
        <w:rPr>
          <w:rFonts w:ascii="Times New Roman" w:cs="Times New Roman" w:eastAsia="Times New Roman" w:hAnsi="Times New Roman"/>
          <w:sz w:val="21"/>
          <w:szCs w:val="21"/>
          <w:color w:val="auto"/>
        </w:rPr>
        <w:t>notice to the Committee or the Chief Executive Officer of the Company (other than for himself or herself) of his or her intent to retire from the Company at least ninety (90) days prior to the effective date of such Grantee’s Retirement (unless such notice period is waived by the Committee or the Chief Executive Officer (other than for himself or herself)).</w:t>
      </w:r>
    </w:p>
    <w:p>
      <w:pPr>
        <w:spacing w:after="0" w:line="60" w:lineRule="exact"/>
        <w:rPr>
          <w:sz w:val="20"/>
          <w:szCs w:val="20"/>
          <w:color w:val="auto"/>
        </w:rPr>
      </w:pPr>
    </w:p>
    <w:p>
      <w:pPr>
        <w:ind w:left="942" w:hanging="315"/>
        <w:spacing w:after="0"/>
        <w:tabs>
          <w:tab w:leader="none" w:pos="94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 Eligible</w:t>
      </w:r>
      <w:r>
        <w:rPr>
          <w:rFonts w:ascii="Times New Roman" w:cs="Times New Roman" w:eastAsia="Times New Roman" w:hAnsi="Times New Roman"/>
          <w:sz w:val="21"/>
          <w:szCs w:val="21"/>
          <w:color w:val="auto"/>
        </w:rPr>
        <w:t>” has the meaning set forth in Section 5(c) below.</w:t>
      </w:r>
    </w:p>
    <w:p>
      <w:pPr>
        <w:spacing w:after="0" w:line="111" w:lineRule="exact"/>
        <w:rPr>
          <w:rFonts w:ascii="Times New Roman" w:cs="Times New Roman" w:eastAsia="Times New Roman" w:hAnsi="Times New Roman"/>
          <w:sz w:val="21"/>
          <w:szCs w:val="21"/>
          <w:color w:val="auto"/>
        </w:rPr>
      </w:pPr>
    </w:p>
    <w:p>
      <w:pPr>
        <w:ind w:left="942" w:hanging="315"/>
        <w:spacing w:after="0"/>
        <w:tabs>
          <w:tab w:leader="none" w:pos="94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For Good Reason</w:t>
      </w:r>
      <w:r>
        <w:rPr>
          <w:rFonts w:ascii="Times New Roman" w:cs="Times New Roman" w:eastAsia="Times New Roman" w:hAnsi="Times New Roman"/>
          <w:sz w:val="21"/>
          <w:szCs w:val="21"/>
          <w:color w:val="auto"/>
        </w:rPr>
        <w:t>” has the meaning set forth in the Employment Agreement.</w:t>
      </w:r>
    </w:p>
    <w:p>
      <w:pPr>
        <w:spacing w:after="0" w:line="111" w:lineRule="exact"/>
        <w:rPr>
          <w:rFonts w:ascii="Times New Roman" w:cs="Times New Roman" w:eastAsia="Times New Roman" w:hAnsi="Times New Roman"/>
          <w:sz w:val="21"/>
          <w:szCs w:val="21"/>
          <w:color w:val="auto"/>
        </w:rPr>
      </w:pPr>
    </w:p>
    <w:p>
      <w:pPr>
        <w:ind w:left="942" w:hanging="315"/>
        <w:spacing w:after="0"/>
        <w:tabs>
          <w:tab w:leader="none" w:pos="94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has the meaning set forth in the Employment Agreement.</w:t>
      </w:r>
    </w:p>
    <w:p>
      <w:pPr>
        <w:spacing w:after="0" w:line="107" w:lineRule="exact"/>
        <w:rPr>
          <w:rFonts w:ascii="Times New Roman" w:cs="Times New Roman" w:eastAsia="Times New Roman" w:hAnsi="Times New Roman"/>
          <w:sz w:val="21"/>
          <w:szCs w:val="21"/>
          <w:color w:val="auto"/>
        </w:rPr>
      </w:pPr>
    </w:p>
    <w:p>
      <w:pPr>
        <w:ind w:left="322" w:right="280" w:hanging="322"/>
        <w:spacing w:after="0" w:line="254" w:lineRule="auto"/>
        <w:tabs>
          <w:tab w:leader="none" w:pos="32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 of RSUs</w:t>
      </w:r>
      <w:r>
        <w:rPr>
          <w:rFonts w:ascii="Times New Roman" w:cs="Times New Roman" w:eastAsia="Times New Roman" w:hAnsi="Times New Roman"/>
          <w:sz w:val="21"/>
          <w:szCs w:val="21"/>
          <w:color w:val="auto"/>
        </w:rPr>
        <w:t>. Subject to and upon the terms, conditions and restrictions set forth in this Agreement and in the Plan,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Grantee a target number of [ ] Restricted Stock Units (the “</w:t>
      </w:r>
      <w:r>
        <w:rPr>
          <w:rFonts w:ascii="Times New Roman" w:cs="Times New Roman" w:eastAsia="Times New Roman" w:hAnsi="Times New Roman"/>
          <w:sz w:val="21"/>
          <w:szCs w:val="21"/>
          <w:u w:val="single" w:color="auto"/>
          <w:color w:val="auto"/>
        </w:rPr>
        <w:t>Target Number of RSUs</w:t>
      </w:r>
      <w:r>
        <w:rPr>
          <w:rFonts w:ascii="Times New Roman" w:cs="Times New Roman" w:eastAsia="Times New Roman" w:hAnsi="Times New Roman"/>
          <w:sz w:val="21"/>
          <w:szCs w:val="21"/>
          <w:color w:val="auto"/>
        </w:rPr>
        <w:t xml:space="preserve">”) (with a maximum number of [ ] Restricted Stock Units to be potentially earned pursuant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Maximum Number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and all Restricted Stock Units covered by this Agreement, the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xml:space="preserve">”)), plus the related RSUs granted as dividend equivalents pursuant to the terms of Section 8(a), and subject to the terms and conditions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Each RSU shall represent the right of Grantee to receive one share of Common stock of the Company as defined in Section 2(i) of the Plan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subject to and upon the terms and conditions of this Agreement.</w:t>
      </w:r>
    </w:p>
    <w:p>
      <w:pPr>
        <w:spacing w:after="0" w:line="79" w:lineRule="exact"/>
        <w:rPr>
          <w:rFonts w:ascii="Times New Roman" w:cs="Times New Roman" w:eastAsia="Times New Roman" w:hAnsi="Times New Roman"/>
          <w:sz w:val="21"/>
          <w:szCs w:val="21"/>
          <w:color w:val="auto"/>
        </w:rPr>
      </w:pPr>
    </w:p>
    <w:p>
      <w:pPr>
        <w:ind w:left="322" w:right="200" w:hanging="322"/>
        <w:spacing w:after="0" w:line="264" w:lineRule="auto"/>
        <w:tabs>
          <w:tab w:leader="none" w:pos="32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on Transfer of RSUs</w:t>
      </w:r>
      <w:r>
        <w:rPr>
          <w:rFonts w:ascii="Times New Roman" w:cs="Times New Roman" w:eastAsia="Times New Roman" w:hAnsi="Times New Roman"/>
          <w:sz w:val="21"/>
          <w:szCs w:val="21"/>
          <w:color w:val="auto"/>
        </w:rPr>
        <w:t>. Neither the RSUs evidenced hereby nor any interest therein or in the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underlying such RSUs shall be transferable prior to payment to Grantee pursuant to Section 7 hereof, other than as described in Section 15 of the Plan.</w:t>
      </w:r>
    </w:p>
    <w:p>
      <w:pPr>
        <w:spacing w:after="0" w:line="52" w:lineRule="exact"/>
        <w:rPr>
          <w:rFonts w:ascii="Times New Roman" w:cs="Times New Roman" w:eastAsia="Times New Roman" w:hAnsi="Times New Roman"/>
          <w:sz w:val="21"/>
          <w:szCs w:val="21"/>
          <w:color w:val="auto"/>
        </w:rPr>
      </w:pPr>
    </w:p>
    <w:p>
      <w:pPr>
        <w:ind w:left="322" w:right="200" w:hanging="322"/>
        <w:spacing w:after="0" w:line="262" w:lineRule="auto"/>
        <w:tabs>
          <w:tab w:leader="none" w:pos="32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The RSUs covered by this Agreement shall become nonforfeitable and payable to Grantee on [ ], provided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Board or the Committee has certified achievement of the applicable performance conditions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Grantee remains continuously employed by the Company or any of its Subsidiaries (or any of their successors) through such date.</w:t>
      </w:r>
    </w:p>
    <w:p>
      <w:pPr>
        <w:spacing w:after="0" w:line="56" w:lineRule="exact"/>
        <w:rPr>
          <w:rFonts w:ascii="Times New Roman" w:cs="Times New Roman" w:eastAsia="Times New Roman" w:hAnsi="Times New Roman"/>
          <w:sz w:val="21"/>
          <w:szCs w:val="21"/>
          <w:color w:val="auto"/>
        </w:rPr>
      </w:pPr>
    </w:p>
    <w:p>
      <w:pPr>
        <w:ind w:left="322" w:right="460" w:hanging="322"/>
        <w:spacing w:after="0" w:line="264" w:lineRule="auto"/>
        <w:tabs>
          <w:tab w:leader="none" w:pos="32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Accelerated Vesting</w:t>
      </w:r>
      <w:r>
        <w:rPr>
          <w:rFonts w:ascii="Times New Roman" w:cs="Times New Roman" w:eastAsia="Times New Roman" w:hAnsi="Times New Roman"/>
          <w:sz w:val="21"/>
          <w:szCs w:val="21"/>
          <w:color w:val="auto"/>
        </w:rPr>
        <w:t>. Notwithstanding the provisions of Section 4 hereof, all or a portion of the RSUs covered by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become nonforfeitable and payable to Grantee upon the occurrence of the earliest of any of the following events (to the extent provided below):</w:t>
      </w:r>
    </w:p>
    <w:p>
      <w:pPr>
        <w:spacing w:after="0" w:line="69" w:lineRule="exact"/>
        <w:rPr>
          <w:rFonts w:ascii="Times New Roman" w:cs="Times New Roman" w:eastAsia="Times New Roman" w:hAnsi="Times New Roman"/>
          <w:sz w:val="21"/>
          <w:szCs w:val="21"/>
          <w:color w:val="auto"/>
        </w:rPr>
      </w:pPr>
    </w:p>
    <w:p>
      <w:pPr>
        <w:ind w:left="942" w:right="60" w:hanging="315"/>
        <w:spacing w:after="0" w:line="252" w:lineRule="auto"/>
        <w:tabs>
          <w:tab w:leader="none" w:pos="93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on a Prorated Basis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as of the most recent date prior to the Change of Control for which applicable data for such determination is</w:t>
      </w:r>
    </w:p>
    <w:p>
      <w:pPr>
        <w:sectPr>
          <w:pgSz w:w="11900" w:h="16838" w:orient="portrait"/>
          <w:cols w:equalWidth="0" w:num="1">
            <w:col w:w="10922"/>
          </w:cols>
          <w:pgMar w:left="638" w:top="12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 w:right="280"/>
        <w:spacing w:after="0" w:line="277" w:lineRule="auto"/>
        <w:rPr>
          <w:sz w:val="20"/>
          <w:szCs w:val="20"/>
          <w:color w:val="auto"/>
        </w:rPr>
      </w:pPr>
      <w:r>
        <w:rPr>
          <w:rFonts w:ascii="Times New Roman" w:cs="Times New Roman" w:eastAsia="Times New Roman" w:hAnsi="Times New Roman"/>
          <w:sz w:val="21"/>
          <w:szCs w:val="21"/>
          <w:color w:val="auto"/>
        </w:rPr>
        <w:t xml:space="preserve">publicly available, as determined by the Board or the Committee pursuant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Such number of RSUs shall become nonforfeitable and payable to Grantee on the date of such Change of Control.</w:t>
      </w:r>
    </w:p>
    <w:p>
      <w:pPr>
        <w:spacing w:after="0" w:line="44" w:lineRule="exact"/>
        <w:rPr>
          <w:sz w:val="20"/>
          <w:szCs w:val="20"/>
          <w:color w:val="auto"/>
        </w:rPr>
      </w:pPr>
    </w:p>
    <w:p>
      <w:pPr>
        <w:ind w:left="942" w:right="20" w:hanging="315"/>
        <w:spacing w:after="0" w:line="253" w:lineRule="auto"/>
        <w:tabs>
          <w:tab w:leader="none" w:pos="942"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during the Performance Period, as determined by the Board or the Committee after the end of the Performance Period). Such number of RSUs shall become nonforfeitable and payable to Grantee on or before March 15 of the calendar year immediately following the end of the Performance Period.</w:t>
      </w:r>
    </w:p>
    <w:p>
      <w:pPr>
        <w:spacing w:after="0" w:line="74" w:lineRule="exact"/>
        <w:rPr>
          <w:rFonts w:ascii="Times New Roman" w:cs="Times New Roman" w:eastAsia="Times New Roman" w:hAnsi="Times New Roman"/>
          <w:sz w:val="21"/>
          <w:szCs w:val="21"/>
          <w:color w:val="auto"/>
        </w:rPr>
      </w:pPr>
    </w:p>
    <w:p>
      <w:pPr>
        <w:ind w:left="942" w:right="20" w:hanging="315"/>
        <w:spacing w:after="0" w:line="252" w:lineRule="auto"/>
        <w:tabs>
          <w:tab w:leader="none" w:pos="93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remainder of this Section 5(c) and Grantee’s compliance with the Retirement Conditions, if, on or after January 1, 2026, Grantee has: (i) attained the age of 65 and completed at least three (3) years of Continuous Retirement Service; (ii) attained the age of 55 and completed at least three (3) years of Continuous Retirement Service, and the sum of Grantee’s age (rounded down to the nearest whole year) and years of Continuous Retirement Service is equal to or greater than 70; or (iii) completed at least twenty (20) years of Continuous Retirement Service (any of the circumstances described in clauses (i), (ii), or (iii) of this Section 5(c) referred to as becoming “</w:t>
      </w:r>
      <w:r>
        <w:rPr>
          <w:rFonts w:ascii="Times New Roman" w:cs="Times New Roman" w:eastAsia="Times New Roman" w:hAnsi="Times New Roman"/>
          <w:sz w:val="21"/>
          <w:szCs w:val="21"/>
          <w:u w:val="single" w:color="auto"/>
          <w:color w:val="auto"/>
        </w:rPr>
        <w:t>Retirement Eligible</w:t>
      </w:r>
      <w:r>
        <w:rPr>
          <w:rFonts w:ascii="Times New Roman" w:cs="Times New Roman" w:eastAsia="Times New Roman" w:hAnsi="Times New Roman"/>
          <w:sz w:val="21"/>
          <w:szCs w:val="21"/>
          <w:color w:val="auto"/>
        </w:rPr>
        <w:t>”), the RSUs covered by this Agreement shall continue to vest in accordance with this Agreement on the same terms as though Grantee had remained employed until the last day of the Performance Period. Such number of RSUs shall become nonforfeitable and payable to Grantee on or before March 15 of the calendar year immediately following the end of the Performance Period. Notwithstanding the foregoing, the continued vesting and settlement of RSUs described in this Section 5(c) shall only apply if Grantee complies with the Restrictive Covenant Obligations until the time that such RSUs are paid to Grantee, and the Company reserves the right to withhold payment for any vested RSUs in the event that Grantee violates the Restrictive Covenant Obligations prior to the date on which such RSUs are paid to Grantee (and such vested RSUs shall be forfeited for no consideration).</w:t>
      </w:r>
    </w:p>
    <w:p>
      <w:pPr>
        <w:spacing w:after="0" w:line="66" w:lineRule="exact"/>
        <w:rPr>
          <w:rFonts w:ascii="Times New Roman" w:cs="Times New Roman" w:eastAsia="Times New Roman" w:hAnsi="Times New Roman"/>
          <w:sz w:val="21"/>
          <w:szCs w:val="21"/>
          <w:color w:val="auto"/>
        </w:rPr>
      </w:pPr>
    </w:p>
    <w:p>
      <w:pPr>
        <w:ind w:left="322" w:right="20" w:hanging="322"/>
        <w:spacing w:after="0" w:line="255" w:lineRule="auto"/>
        <w:tabs>
          <w:tab w:leader="none" w:pos="32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to the extent the RSUs covered by this Agreement have become nonforfeitable pursuant to Section 4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5 hereof, the RSUs covered by this Agreement shall be forfeited automatically and without further notice, and shall no longer be considered covered by this Agreement, on the date on which Grantee ceases to be employed by the Company or any of its Subsidiaries, AMM (including following a Re-Externalization) or any of its subsidiaries or any of their respective successors.</w:t>
      </w:r>
    </w:p>
    <w:p>
      <w:pPr>
        <w:spacing w:after="0" w:line="76" w:lineRule="exact"/>
        <w:rPr>
          <w:rFonts w:ascii="Times New Roman" w:cs="Times New Roman" w:eastAsia="Times New Roman" w:hAnsi="Times New Roman"/>
          <w:sz w:val="21"/>
          <w:szCs w:val="21"/>
          <w:color w:val="auto"/>
        </w:rPr>
      </w:pPr>
    </w:p>
    <w:p>
      <w:pPr>
        <w:ind w:left="322" w:hanging="322"/>
        <w:spacing w:after="0"/>
        <w:tabs>
          <w:tab w:leader="none" w:pos="32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Form and Time of Payment of RSUs</w:t>
      </w:r>
      <w:r>
        <w:rPr>
          <w:rFonts w:ascii="Times New Roman" w:cs="Times New Roman" w:eastAsia="Times New Roman" w:hAnsi="Times New Roman"/>
          <w:sz w:val="21"/>
          <w:szCs w:val="21"/>
          <w:color w:val="auto"/>
        </w:rPr>
        <w:t>.</w:t>
      </w:r>
    </w:p>
    <w:p>
      <w:pPr>
        <w:sectPr>
          <w:pgSz w:w="11900" w:h="16838" w:orient="portrait"/>
          <w:cols w:equalWidth="0" w:num="1">
            <w:col w:w="10922"/>
          </w:cols>
          <w:pgMar w:left="638" w:top="12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 w:right="20" w:hanging="315"/>
        <w:spacing w:after="0" w:line="257" w:lineRule="auto"/>
        <w:tabs>
          <w:tab w:leader="none" w:pos="93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w:t>
      </w:r>
      <w:r>
        <w:rPr>
          <w:rFonts w:ascii="Times New Roman" w:cs="Times New Roman" w:eastAsia="Times New Roman" w:hAnsi="Times New Roman"/>
          <w:sz w:val="21"/>
          <w:szCs w:val="21"/>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66" w:lineRule="exact"/>
        <w:rPr>
          <w:rFonts w:ascii="Times New Roman" w:cs="Times New Roman" w:eastAsia="Times New Roman" w:hAnsi="Times New Roman"/>
          <w:sz w:val="21"/>
          <w:szCs w:val="21"/>
          <w:color w:val="auto"/>
        </w:rPr>
      </w:pPr>
    </w:p>
    <w:p>
      <w:pPr>
        <w:ind w:left="942" w:hanging="315"/>
        <w:spacing w:after="0"/>
        <w:tabs>
          <w:tab w:leader="none" w:pos="94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w:t>
      </w:r>
      <w:r>
        <w:rPr>
          <w:rFonts w:ascii="Times New Roman" w:cs="Times New Roman" w:eastAsia="Times New Roman" w:hAnsi="Times New Roman"/>
          <w:sz w:val="21"/>
          <w:szCs w:val="21"/>
          <w:color w:val="auto"/>
        </w:rPr>
        <w:t>.</w:t>
      </w:r>
    </w:p>
    <w:p>
      <w:pPr>
        <w:spacing w:after="0" w:line="111" w:lineRule="exact"/>
        <w:rPr>
          <w:rFonts w:ascii="Times New Roman" w:cs="Times New Roman" w:eastAsia="Times New Roman" w:hAnsi="Times New Roman"/>
          <w:sz w:val="21"/>
          <w:szCs w:val="21"/>
          <w:color w:val="auto"/>
        </w:rPr>
      </w:pPr>
    </w:p>
    <w:p>
      <w:pPr>
        <w:ind w:left="1562" w:right="60" w:hanging="417"/>
        <w:spacing w:after="0" w:line="277" w:lineRule="auto"/>
        <w:tabs>
          <w:tab w:leader="none" w:pos="1562"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that become nonforfeitable pursuant to Section 4 hereof shall be paid within ten (10) days following the date on which such RSUs become nonforfeitable.</w:t>
      </w:r>
    </w:p>
    <w:p>
      <w:pPr>
        <w:spacing w:after="0" w:line="56" w:lineRule="exact"/>
        <w:rPr>
          <w:rFonts w:ascii="Times New Roman" w:cs="Times New Roman" w:eastAsia="Times New Roman" w:hAnsi="Times New Roman"/>
          <w:sz w:val="21"/>
          <w:szCs w:val="21"/>
          <w:color w:val="auto"/>
        </w:rPr>
      </w:pPr>
    </w:p>
    <w:p>
      <w:pPr>
        <w:ind w:left="1562" w:right="100" w:hanging="475"/>
        <w:spacing w:after="0" w:line="277" w:lineRule="auto"/>
        <w:tabs>
          <w:tab w:leader="none" w:pos="1562"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that become nonforfeitable pursuant to Section 5(a) hereof shall be paid on the date of such Change of Control.</w:t>
      </w:r>
    </w:p>
    <w:p>
      <w:pPr>
        <w:spacing w:after="0" w:line="43" w:lineRule="exact"/>
        <w:rPr>
          <w:rFonts w:ascii="Times New Roman" w:cs="Times New Roman" w:eastAsia="Times New Roman" w:hAnsi="Times New Roman"/>
          <w:sz w:val="21"/>
          <w:szCs w:val="21"/>
          <w:color w:val="auto"/>
        </w:rPr>
      </w:pPr>
    </w:p>
    <w:p>
      <w:pPr>
        <w:ind w:left="1562" w:right="140" w:hanging="533"/>
        <w:spacing w:after="0" w:line="256" w:lineRule="auto"/>
        <w:tabs>
          <w:tab w:leader="none" w:pos="1562"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that become nonforfeitable pursuant to Section 5(b) or 5(c) hereof shall be paid on or before March 15 of the calendar year immediately following the end of the Performance Period; provided that if any of the events contemplated in Section 5(b) or 5(c) hereof occurs on or before the last day of the Performance Period, Grantee (or, if applicable, Grantee’s estate) shall have first executed and not revoked a Release.</w:t>
      </w:r>
    </w:p>
    <w:p>
      <w:pPr>
        <w:spacing w:after="0" w:line="76" w:lineRule="exact"/>
        <w:rPr>
          <w:rFonts w:ascii="Times New Roman" w:cs="Times New Roman" w:eastAsia="Times New Roman" w:hAnsi="Times New Roman"/>
          <w:sz w:val="21"/>
          <w:szCs w:val="21"/>
          <w:color w:val="auto"/>
        </w:rPr>
      </w:pPr>
    </w:p>
    <w:p>
      <w:pPr>
        <w:ind w:left="322" w:hanging="322"/>
        <w:spacing w:after="0"/>
        <w:tabs>
          <w:tab w:leader="none" w:pos="32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Dividend Equivalents; Other Rights</w:t>
      </w:r>
      <w:r>
        <w:rPr>
          <w:rFonts w:ascii="Times New Roman" w:cs="Times New Roman" w:eastAsia="Times New Roman" w:hAnsi="Times New Roman"/>
          <w:sz w:val="21"/>
          <w:szCs w:val="21"/>
          <w:color w:val="auto"/>
        </w:rPr>
        <w:t>.</w:t>
      </w:r>
    </w:p>
    <w:p>
      <w:pPr>
        <w:spacing w:after="0" w:line="115" w:lineRule="exact"/>
        <w:rPr>
          <w:rFonts w:ascii="Times New Roman" w:cs="Times New Roman" w:eastAsia="Times New Roman" w:hAnsi="Times New Roman"/>
          <w:sz w:val="21"/>
          <w:szCs w:val="21"/>
          <w:color w:val="auto"/>
        </w:rPr>
      </w:pPr>
    </w:p>
    <w:p>
      <w:pPr>
        <w:ind w:left="942" w:right="20" w:hanging="315"/>
        <w:spacing w:after="0" w:line="252" w:lineRule="auto"/>
        <w:tabs>
          <w:tab w:leader="none" w:pos="93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72" w:lineRule="exact"/>
        <w:rPr>
          <w:rFonts w:ascii="Times New Roman" w:cs="Times New Roman" w:eastAsia="Times New Roman" w:hAnsi="Times New Roman"/>
          <w:sz w:val="21"/>
          <w:szCs w:val="21"/>
          <w:color w:val="auto"/>
        </w:rPr>
      </w:pPr>
    </w:p>
    <w:p>
      <w:pPr>
        <w:ind w:left="942" w:hanging="315"/>
        <w:spacing w:after="0" w:line="262" w:lineRule="auto"/>
        <w:tabs>
          <w:tab w:leader="none" w:pos="94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ectPr>
          <w:pgSz w:w="11900" w:h="16838" w:orient="portrait"/>
          <w:cols w:equalWidth="0" w:num="1">
            <w:col w:w="10922"/>
          </w:cols>
          <w:pgMar w:left="638" w:top="12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 w:right="60" w:hanging="315"/>
        <w:spacing w:after="0" w:line="261" w:lineRule="auto"/>
        <w:tabs>
          <w:tab w:leader="none" w:pos="93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56" w:lineRule="exact"/>
        <w:rPr>
          <w:rFonts w:ascii="Times New Roman" w:cs="Times New Roman" w:eastAsia="Times New Roman" w:hAnsi="Times New Roman"/>
          <w:sz w:val="21"/>
          <w:szCs w:val="21"/>
          <w:color w:val="auto"/>
        </w:rPr>
      </w:pPr>
    </w:p>
    <w:p>
      <w:pPr>
        <w:ind w:left="322" w:right="100" w:hanging="322"/>
        <w:spacing w:after="0" w:line="254" w:lineRule="auto"/>
        <w:tabs>
          <w:tab w:leader="none" w:pos="3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Right to Future Awards or Employment</w:t>
      </w:r>
      <w:r>
        <w:rPr>
          <w:rFonts w:ascii="Times New Roman" w:cs="Times New Roman" w:eastAsia="Times New Roman" w:hAnsi="Times New Roman"/>
          <w:sz w:val="21"/>
          <w:szCs w:val="21"/>
          <w:color w:val="auto"/>
        </w:rPr>
        <w:t>. The grant of the RSUs under this Agreement to Grantee is a voluntary,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66" w:lineRule="exact"/>
        <w:rPr>
          <w:rFonts w:ascii="Times New Roman" w:cs="Times New Roman" w:eastAsia="Times New Roman" w:hAnsi="Times New Roman"/>
          <w:sz w:val="21"/>
          <w:szCs w:val="21"/>
          <w:color w:val="auto"/>
        </w:rPr>
      </w:pPr>
    </w:p>
    <w:p>
      <w:pPr>
        <w:ind w:left="322" w:right="100" w:hanging="322"/>
        <w:spacing w:after="0" w:line="281" w:lineRule="auto"/>
        <w:tabs>
          <w:tab w:leader="none" w:pos="3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number of shares of Common Stock issuable for each RSU and the other terms and conditions of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evidenced by this Agreement are subject to adjustment as provided in Section 11 of the Plan.</w:t>
      </w:r>
    </w:p>
    <w:p>
      <w:pPr>
        <w:spacing w:after="0" w:line="35" w:lineRule="exact"/>
        <w:rPr>
          <w:rFonts w:ascii="Times New Roman" w:cs="Times New Roman" w:eastAsia="Times New Roman" w:hAnsi="Times New Roman"/>
          <w:sz w:val="21"/>
          <w:szCs w:val="21"/>
          <w:color w:val="auto"/>
        </w:rPr>
      </w:pPr>
    </w:p>
    <w:p>
      <w:pPr>
        <w:ind w:left="322" w:hanging="322"/>
        <w:spacing w:after="0" w:line="252" w:lineRule="auto"/>
        <w:tabs>
          <w:tab w:leader="none" w:pos="31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To the extent that the Company is required to withhold federal, state, local or foreign taxes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70" w:lineRule="exact"/>
        <w:rPr>
          <w:rFonts w:ascii="Times New Roman" w:cs="Times New Roman" w:eastAsia="Times New Roman" w:hAnsi="Times New Roman"/>
          <w:sz w:val="21"/>
          <w:szCs w:val="21"/>
          <w:color w:val="auto"/>
        </w:rPr>
      </w:pPr>
    </w:p>
    <w:p>
      <w:pPr>
        <w:ind w:left="322" w:right="40" w:hanging="322"/>
        <w:spacing w:after="0" w:line="262" w:lineRule="auto"/>
        <w:tabs>
          <w:tab w:leader="none" w:pos="3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Compliance With Law</w:t>
      </w:r>
      <w:r>
        <w:rPr>
          <w:rFonts w:ascii="Times New Roman" w:cs="Times New Roman" w:eastAsia="Times New Roman" w:hAnsi="Times New Roman"/>
          <w:sz w:val="21"/>
          <w:szCs w:val="21"/>
          <w:color w:val="auto"/>
        </w:rPr>
        <w:t>. The Company shall make reasonable efforts to comply with all applicable federal and state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56" w:lineRule="exact"/>
        <w:rPr>
          <w:rFonts w:ascii="Times New Roman" w:cs="Times New Roman" w:eastAsia="Times New Roman" w:hAnsi="Times New Roman"/>
          <w:sz w:val="21"/>
          <w:szCs w:val="21"/>
          <w:color w:val="auto"/>
        </w:rPr>
      </w:pPr>
    </w:p>
    <w:p>
      <w:pPr>
        <w:ind w:left="322" w:right="680" w:hanging="322"/>
        <w:spacing w:after="0" w:line="281" w:lineRule="auto"/>
        <w:tabs>
          <w:tab w:leader="none" w:pos="3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The RSUs shall be subject to the Company’s Clawback Policy, as in effect on the Date of Grant,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supplemented from time to time. In</w:t>
      </w:r>
    </w:p>
    <w:p>
      <w:pPr>
        <w:sectPr>
          <w:pgSz w:w="11900" w:h="16838" w:orient="portrait"/>
          <w:cols w:equalWidth="0" w:num="1">
            <w:col w:w="10922"/>
          </w:cols>
          <w:pgMar w:left="638" w:top="12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2" w:right="20"/>
        <w:spacing w:after="0" w:line="254" w:lineRule="auto"/>
        <w:rPr>
          <w:sz w:val="20"/>
          <w:szCs w:val="20"/>
          <w:color w:val="auto"/>
        </w:rPr>
      </w:pPr>
      <w:r>
        <w:rPr>
          <w:rFonts w:ascii="Times New Roman" w:cs="Times New Roman" w:eastAsia="Times New Roman" w:hAnsi="Times New Roman"/>
          <w:sz w:val="21"/>
          <w:szCs w:val="21"/>
          <w:color w:val="auto"/>
        </w:rPr>
        <w:t>addition, in the event that Grantee breaches any provision of subparagraphs 7(a) and 7(b) of the Employment Agreement during the Non-Competition Period (as defined in the Employment Agreement) (the “</w:t>
      </w:r>
      <w:r>
        <w:rPr>
          <w:rFonts w:ascii="Times New Roman" w:cs="Times New Roman" w:eastAsia="Times New Roman" w:hAnsi="Times New Roman"/>
          <w:sz w:val="21"/>
          <w:szCs w:val="21"/>
          <w:u w:val="single" w:color="auto"/>
          <w:color w:val="auto"/>
        </w:rPr>
        <w:t>Employment Agreement Covenants</w:t>
      </w:r>
      <w:r>
        <w:rPr>
          <w:rFonts w:ascii="Times New Roman" w:cs="Times New Roman" w:eastAsia="Times New Roman" w:hAnsi="Times New Roman"/>
          <w:sz w:val="21"/>
          <w:szCs w:val="21"/>
          <w:color w:val="auto"/>
        </w:rPr>
        <w:t>”), Grantee shall forfeit any right to receive shares of Common Stock with respect to RSUs that have vested pursuant to Section 5(b) or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63" w:lineRule="exact"/>
        <w:rPr>
          <w:sz w:val="20"/>
          <w:szCs w:val="20"/>
          <w:color w:val="auto"/>
        </w:rPr>
      </w:pPr>
    </w:p>
    <w:p>
      <w:pPr>
        <w:ind w:left="322" w:right="20" w:hanging="322"/>
        <w:spacing w:after="0" w:line="258" w:lineRule="auto"/>
        <w:tabs>
          <w:tab w:leader="none" w:pos="32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Relation to Other Benefits</w:t>
      </w:r>
      <w:r>
        <w:rPr>
          <w:rFonts w:ascii="Times New Roman" w:cs="Times New Roman" w:eastAsia="Times New Roman" w:hAnsi="Times New Roman"/>
          <w:sz w:val="21"/>
          <w:szCs w:val="21"/>
          <w:color w:val="auto"/>
        </w:rPr>
        <w:t>. Any economic or other benefit to Grantee under this Agreement or the Plan shall not be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61" w:lineRule="exact"/>
        <w:rPr>
          <w:rFonts w:ascii="Times New Roman" w:cs="Times New Roman" w:eastAsia="Times New Roman" w:hAnsi="Times New Roman"/>
          <w:sz w:val="21"/>
          <w:szCs w:val="21"/>
          <w:color w:val="auto"/>
        </w:rPr>
      </w:pPr>
    </w:p>
    <w:p>
      <w:pPr>
        <w:ind w:left="322" w:right="20" w:hanging="322"/>
        <w:spacing w:after="0" w:line="255" w:lineRule="auto"/>
        <w:tabs>
          <w:tab w:leader="none" w:pos="32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as provided for in subparagraph [ ] of the Employment Agreement.</w:t>
      </w:r>
    </w:p>
    <w:p>
      <w:pPr>
        <w:spacing w:after="0" w:line="64" w:lineRule="exact"/>
        <w:rPr>
          <w:rFonts w:ascii="Times New Roman" w:cs="Times New Roman" w:eastAsia="Times New Roman" w:hAnsi="Times New Roman"/>
          <w:sz w:val="21"/>
          <w:szCs w:val="21"/>
          <w:color w:val="auto"/>
        </w:rPr>
      </w:pPr>
    </w:p>
    <w:p>
      <w:pPr>
        <w:jc w:val="both"/>
        <w:ind w:left="322" w:right="160" w:hanging="322"/>
        <w:spacing w:after="0" w:line="264" w:lineRule="auto"/>
        <w:tabs>
          <w:tab w:leader="none" w:pos="32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that one or more of the provisions of this Agreement shall be invalidated for any reason by a court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competent jurisdiction, any provision so invalidated shall be deemed to be separable from the other provisions hereof, and the remaining provisions hereof shall continue to be valid and fully enforceable.</w:t>
      </w:r>
    </w:p>
    <w:p>
      <w:pPr>
        <w:spacing w:after="0" w:line="52" w:lineRule="exact"/>
        <w:rPr>
          <w:rFonts w:ascii="Times New Roman" w:cs="Times New Roman" w:eastAsia="Times New Roman" w:hAnsi="Times New Roman"/>
          <w:sz w:val="21"/>
          <w:szCs w:val="21"/>
          <w:color w:val="auto"/>
        </w:rPr>
      </w:pPr>
    </w:p>
    <w:p>
      <w:pPr>
        <w:ind w:left="322" w:right="280" w:hanging="322"/>
        <w:spacing w:after="0" w:line="294" w:lineRule="auto"/>
        <w:tabs>
          <w:tab w:leader="none" w:pos="32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Relation to Plan</w:t>
      </w:r>
      <w:r>
        <w:rPr>
          <w:rFonts w:ascii="Times New Roman" w:cs="Times New Roman" w:eastAsia="Times New Roman" w:hAnsi="Times New Roman"/>
          <w:sz w:val="21"/>
          <w:szCs w:val="21"/>
          <w:color w:val="auto"/>
        </w:rPr>
        <w:t>. This Agreement is subject to the terms and conditions of the Plan. To the extent not expressly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the terms of the Plan shall govern.</w:t>
      </w:r>
    </w:p>
    <w:p>
      <w:pPr>
        <w:spacing w:after="0" w:line="22" w:lineRule="exact"/>
        <w:rPr>
          <w:rFonts w:ascii="Times New Roman" w:cs="Times New Roman" w:eastAsia="Times New Roman" w:hAnsi="Times New Roman"/>
          <w:sz w:val="21"/>
          <w:szCs w:val="21"/>
          <w:color w:val="auto"/>
        </w:rPr>
      </w:pPr>
    </w:p>
    <w:p>
      <w:pPr>
        <w:ind w:left="322" w:right="80" w:hanging="322"/>
        <w:spacing w:after="0" w:line="273" w:lineRule="auto"/>
        <w:tabs>
          <w:tab w:leader="none" w:pos="32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Acknowledgement</w:t>
      </w:r>
      <w:r>
        <w:rPr>
          <w:rFonts w:ascii="Times New Roman" w:cs="Times New Roman" w:eastAsia="Times New Roman" w:hAnsi="Times New Roman"/>
          <w:sz w:val="20"/>
          <w:szCs w:val="20"/>
          <w:color w:val="auto"/>
        </w:rPr>
        <w:t>. Grantee acknowledges that Grantee (a) has received a copy of the Plan, (b) has had an opportunity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the terms of this Agreement and the Plan, (c) understands the terms and conditions of this Agreement and the Plan and</w:t>
      </w:r>
    </w:p>
    <w:p>
      <w:pPr>
        <w:spacing w:after="0" w:line="1" w:lineRule="exact"/>
        <w:rPr>
          <w:rFonts w:ascii="Times New Roman" w:cs="Times New Roman" w:eastAsia="Times New Roman" w:hAnsi="Times New Roman"/>
          <w:sz w:val="20"/>
          <w:szCs w:val="20"/>
          <w:color w:val="auto"/>
        </w:rPr>
      </w:pPr>
    </w:p>
    <w:p>
      <w:pPr>
        <w:ind w:left="3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(d) agrees to such terms and conditions.</w:t>
      </w:r>
    </w:p>
    <w:p>
      <w:pPr>
        <w:spacing w:after="0" w:line="83" w:lineRule="exact"/>
        <w:rPr>
          <w:rFonts w:ascii="Times New Roman" w:cs="Times New Roman" w:eastAsia="Times New Roman" w:hAnsi="Times New Roman"/>
          <w:sz w:val="20"/>
          <w:szCs w:val="20"/>
          <w:color w:val="auto"/>
        </w:rPr>
      </w:pPr>
    </w:p>
    <w:p>
      <w:pPr>
        <w:ind w:left="322" w:right="60" w:hanging="322"/>
        <w:spacing w:after="0" w:line="270" w:lineRule="auto"/>
        <w:tabs>
          <w:tab w:leader="none" w:pos="32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Without limiting Section 3 hereof, the provisions of this Agreement shall inure to the benefit of,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binding upon, the successors, administrators, heirs, legal representatives and assigns of Grantee, and the successors and assigns of the Company.</w:t>
      </w:r>
    </w:p>
    <w:p>
      <w:pPr>
        <w:sectPr>
          <w:pgSz w:w="11900" w:h="16838" w:orient="portrait"/>
          <w:cols w:equalWidth="0" w:num="1">
            <w:col w:w="10922"/>
          </w:cols>
          <w:pgMar w:left="638" w:top="12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2" w:right="140" w:hanging="322"/>
        <w:spacing w:after="0" w:line="264" w:lineRule="auto"/>
        <w:tabs>
          <w:tab w:leader="none" w:pos="32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shall be governed by and construed in accordance with the internal substantive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Delaware, without giving effect to any principle of law that would result in the application of the law of any other jurisdiction.</w:t>
      </w:r>
    </w:p>
    <w:p>
      <w:pPr>
        <w:spacing w:after="0" w:line="65" w:lineRule="exact"/>
        <w:rPr>
          <w:rFonts w:ascii="Times New Roman" w:cs="Times New Roman" w:eastAsia="Times New Roman" w:hAnsi="Times New Roman"/>
          <w:sz w:val="21"/>
          <w:szCs w:val="21"/>
          <w:color w:val="auto"/>
        </w:rPr>
      </w:pPr>
    </w:p>
    <w:p>
      <w:pPr>
        <w:ind w:left="322" w:right="40" w:hanging="322"/>
        <w:spacing w:after="0" w:line="254" w:lineRule="auto"/>
        <w:tabs>
          <w:tab w:leader="none" w:pos="32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to the Company provided for herein shall be in writing (including electronically) to the Company, marked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66" w:lineRule="exact"/>
        <w:rPr>
          <w:rFonts w:ascii="Times New Roman" w:cs="Times New Roman" w:eastAsia="Times New Roman" w:hAnsi="Times New Roman"/>
          <w:sz w:val="21"/>
          <w:szCs w:val="21"/>
          <w:color w:val="auto"/>
        </w:rPr>
      </w:pPr>
    </w:p>
    <w:p>
      <w:pPr>
        <w:ind w:left="322" w:right="20" w:hanging="322"/>
        <w:spacing w:after="0" w:line="258" w:lineRule="auto"/>
        <w:tabs>
          <w:tab w:leader="none" w:pos="32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The Company may, in its sole discretion, deliver any documents related to the RSUs and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72" w:lineRule="exact"/>
        <w:rPr>
          <w:rFonts w:ascii="Times New Roman" w:cs="Times New Roman" w:eastAsia="Times New Roman" w:hAnsi="Times New Roman"/>
          <w:sz w:val="21"/>
          <w:szCs w:val="21"/>
          <w:color w:val="auto"/>
        </w:rPr>
      </w:pPr>
    </w:p>
    <w:p>
      <w:pPr>
        <w:ind w:left="322" w:right="20" w:hanging="322"/>
        <w:spacing w:after="0" w:line="252" w:lineRule="auto"/>
        <w:tabs>
          <w:tab w:leader="none" w:pos="32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 of the Code</w:t>
      </w:r>
      <w:r>
        <w:rPr>
          <w:rFonts w:ascii="Times New Roman" w:cs="Times New Roman" w:eastAsia="Times New Roman" w:hAnsi="Times New Roman"/>
          <w:sz w:val="21"/>
          <w:szCs w:val="21"/>
          <w:color w:val="auto"/>
        </w:rPr>
        <w:t>. To the extent applicable, it is intended that this Agreement and the Plan comply with or be 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78" w:lineRule="exact"/>
        <w:rPr>
          <w:rFonts w:ascii="Times New Roman" w:cs="Times New Roman" w:eastAsia="Times New Roman" w:hAnsi="Times New Roman"/>
          <w:sz w:val="21"/>
          <w:szCs w:val="21"/>
          <w:color w:val="auto"/>
        </w:rPr>
      </w:pPr>
    </w:p>
    <w:p>
      <w:pPr>
        <w:ind w:left="322" w:right="60" w:hanging="322"/>
        <w:spacing w:after="0" w:line="264" w:lineRule="auto"/>
        <w:tabs>
          <w:tab w:leader="none" w:pos="32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one or more counterparts (including facsimile and other electronically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transmitted counterparts), each of which shall be deemed to be an original but all of which together will constitute one and the same agreement.</w:t>
      </w:r>
    </w:p>
    <w:p>
      <w:pPr>
        <w:spacing w:after="0" w:line="200" w:lineRule="exact"/>
        <w:rPr>
          <w:sz w:val="20"/>
          <w:szCs w:val="20"/>
          <w:color w:val="auto"/>
        </w:rPr>
      </w:pPr>
    </w:p>
    <w:p>
      <w:pPr>
        <w:spacing w:after="0" w:line="279"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9"/>
          <w:szCs w:val="19"/>
          <w:color w:val="auto"/>
        </w:rPr>
        <w:t>[SIGNATURES ON FOLLOWING PAGE]</w:t>
      </w:r>
    </w:p>
    <w:p>
      <w:pPr>
        <w:sectPr>
          <w:pgSz w:w="11900" w:h="16838" w:orient="portrait"/>
          <w:cols w:equalWidth="0" w:num="1">
            <w:col w:w="10922"/>
          </w:cols>
          <w:pgMar w:left="638" w:top="12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9"/>
          <w:szCs w:val="19"/>
          <w:color w:val="auto"/>
        </w:rPr>
        <w:t xml:space="preserve">IN WITNESS WHEREOF, </w:t>
      </w:r>
      <w:r>
        <w:rPr>
          <w:rFonts w:ascii="Times New Roman" w:cs="Times New Roman" w:eastAsia="Times New Roman" w:hAnsi="Times New Roman"/>
          <w:sz w:val="20"/>
          <w:szCs w:val="20"/>
          <w:color w:val="auto"/>
        </w:rPr>
        <w:t>the Company has caused this Agreement to be executed on its behalf by its duly authorized officer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Grantee has executed this Agreement, as of the Date of Grant.</w:t>
      </w:r>
    </w:p>
    <w:p>
      <w:pPr>
        <w:spacing w:after="0" w:line="1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AGNC INVESTMENT CORP.</w:t>
      </w:r>
    </w:p>
    <w:p>
      <w:pPr>
        <w:spacing w:after="0" w:line="200" w:lineRule="exact"/>
        <w:rPr>
          <w:sz w:val="20"/>
          <w:szCs w:val="20"/>
          <w:color w:val="auto"/>
        </w:rPr>
      </w:pP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By:</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-150495</wp:posOffset>
            </wp:positionV>
            <wp:extent cx="14852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-151765</wp:posOffset>
            </wp:positionV>
            <wp:extent cx="2273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line="26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21590</wp:posOffset>
            </wp:positionV>
            <wp:extent cx="14852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Performance Vesting Schedule</w:t>
      </w:r>
    </w:p>
    <w:p>
      <w:pPr>
        <w:sectPr>
          <w:pgSz w:w="11900" w:h="16838" w:orient="portrait"/>
          <w:cols w:equalWidth="0" w:num="1">
            <w:col w:w="10120"/>
          </w:cols>
          <w:pgMar w:left="1440" w:top="12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10120"/>
          </w:cols>
          <w:pgMar w:left="1440" w:top="12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49" w:lineRule="exact"/>
        <w:rPr>
          <w:sz w:val="20"/>
          <w:szCs w:val="20"/>
          <w:color w:val="auto"/>
        </w:rPr>
      </w:pPr>
    </w:p>
    <w:p>
      <w:pPr>
        <w:ind w:left="260" w:hanging="255"/>
        <w:spacing w:after="0"/>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333-151027),</w:t>
      </w:r>
    </w:p>
    <w:p>
      <w:pPr>
        <w:spacing w:after="0" w:line="31"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333-216282),</w:t>
      </w:r>
    </w:p>
    <w:p>
      <w:pPr>
        <w:spacing w:after="0" w:line="1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333-255904), and</w:t>
      </w:r>
    </w:p>
    <w:p>
      <w:pPr>
        <w:spacing w:after="0" w:line="1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S-3 (No. 333-257014);</w:t>
      </w:r>
    </w:p>
    <w:p>
      <w:pPr>
        <w:spacing w:after="0" w:line="200" w:lineRule="exact"/>
        <w:rPr>
          <w:sz w:val="20"/>
          <w:szCs w:val="20"/>
          <w:color w:val="auto"/>
        </w:rPr>
      </w:pPr>
    </w:p>
    <w:p>
      <w:pPr>
        <w:spacing w:after="0" w:line="266" w:lineRule="exact"/>
        <w:rPr>
          <w:sz w:val="20"/>
          <w:szCs w:val="20"/>
          <w:color w:val="auto"/>
        </w:rPr>
      </w:pPr>
    </w:p>
    <w:p>
      <w:pPr>
        <w:jc w:val="both"/>
        <w:ind w:right="520"/>
        <w:spacing w:after="0" w:line="276" w:lineRule="auto"/>
        <w:rPr>
          <w:sz w:val="20"/>
          <w:szCs w:val="20"/>
          <w:color w:val="auto"/>
        </w:rPr>
      </w:pPr>
      <w:r>
        <w:rPr>
          <w:rFonts w:ascii="Times New Roman" w:cs="Times New Roman" w:eastAsia="Times New Roman" w:hAnsi="Times New Roman"/>
          <w:sz w:val="17"/>
          <w:szCs w:val="17"/>
          <w:color w:val="auto"/>
        </w:rPr>
        <w:t>of our reports dated February 22, 2024, with respect to the consolidated financial statements of AGNC Investment Corp., and the effectiveness of internal control over financial reporting of AGNC Investment Corp., included in this Annual Report (Form 10-K) of AGNC Investment Corp.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ectPr>
          <w:pgSz w:w="11900" w:h="16838" w:orient="portrait"/>
          <w:cols w:equalWidth="0" w:num="1">
            <w:col w:w="11240"/>
          </w:cols>
          <w:pgMar w:left="320" w:top="86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color w:val="auto"/>
        </w:rPr>
        <w:t>Exhibit 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jc w:val="both"/>
        <w:ind w:firstLine="221"/>
        <w:spacing w:after="0" w:line="252" w:lineRule="exact"/>
        <w:rPr>
          <w:sz w:val="20"/>
          <w:szCs w:val="20"/>
          <w:color w:val="auto"/>
        </w:rPr>
      </w:pPr>
      <w:r>
        <w:rPr>
          <w:rFonts w:ascii="Times New Roman" w:cs="Times New Roman" w:eastAsia="Times New Roman" w:hAnsi="Times New Roman"/>
          <w:sz w:val="21"/>
          <w:szCs w:val="21"/>
          <w:color w:val="auto"/>
        </w:rPr>
        <w:t>KNOW ALL MEN BY THESE PRESENTS, that the undersigned directors and officers of AGNC Investment Corp., a corporation organized under the laws of the state of Delaware (the “Corporation”), hereby constitute and appoint Bernice Bell, Kenneth Pollack and Kasey Reisman and each of them (with full power to each of them to act alone), his/her true and lawful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2023,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agents, or any of them, may lawfully do or cause to be done by virtue hereof.</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color w:val="auto"/>
        </w:rPr>
        <w:t>IN WITNESS WHEREOF, each of the undersigned directors and/or officers has hereunto set his/her hand and seal, as of the date specified.</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b w:val="1"/>
          <w:bCs w:val="1"/>
          <w:color w:val="auto"/>
        </w:rPr>
        <w:t>AGNC INVESTMENT CORP.</w:t>
      </w:r>
    </w:p>
    <w:p>
      <w:pPr>
        <w:spacing w:after="0" w:line="200" w:lineRule="exact"/>
        <w:rPr>
          <w:sz w:val="20"/>
          <w:szCs w:val="20"/>
          <w:color w:val="auto"/>
        </w:rPr>
      </w:pPr>
    </w:p>
    <w:p>
      <w:pPr>
        <w:spacing w:after="0" w:line="281"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19"/>
          <w:szCs w:val="19"/>
          <w:color w:val="auto"/>
        </w:rPr>
        <w:t>January 18, 2024</w:t>
      </w:r>
      <w:r>
        <w:rPr>
          <w:sz w:val="20"/>
          <w:szCs w:val="20"/>
          <w:color w:val="auto"/>
        </w:rPr>
        <w:tab/>
      </w:r>
      <w:r>
        <w:rPr>
          <w:rFonts w:ascii="Times New Roman" w:cs="Times New Roman" w:eastAsia="Times New Roman" w:hAnsi="Times New Roman"/>
          <w:sz w:val="19"/>
          <w:szCs w:val="19"/>
          <w:u w:val="single" w:color="auto"/>
          <w:color w:val="auto"/>
        </w:rPr>
        <w:t>/s/ Peter J. Federico</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Peter J. Federico</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ectPr>
          <w:pgSz w:w="11900" w:h="16838" w:orient="portrait"/>
          <w:cols w:equalWidth="0" w:num="1">
            <w:col w:w="11240"/>
          </w:cols>
          <w:pgMar w:left="320" w:top="1118" w:right="339" w:bottom="1440" w:gutter="0" w:footer="0" w:header="0"/>
        </w:sectPr>
      </w:pPr>
    </w:p>
    <w:bookmarkStart w:id="123" w:name="page124"/>
    <w:bookmarkEnd w:id="123"/>
    <w:p>
      <w:pPr>
        <w:spacing w:after="0" w:line="14"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21"/>
          <w:szCs w:val="21"/>
          <w:b w:val="1"/>
          <w:bCs w:val="1"/>
          <w:u w:val="single" w:color="auto"/>
          <w:color w:val="auto"/>
        </w:rPr>
        <w:t>Signature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Donna J. Blank</w:t>
      </w:r>
    </w:p>
    <w:p>
      <w:pPr>
        <w:spacing w:after="0"/>
        <w:rPr>
          <w:sz w:val="20"/>
          <w:szCs w:val="20"/>
          <w:color w:val="auto"/>
        </w:rPr>
      </w:pPr>
      <w:r>
        <w:rPr>
          <w:rFonts w:ascii="Times New Roman" w:cs="Times New Roman" w:eastAsia="Times New Roman" w:hAnsi="Times New Roman"/>
          <w:sz w:val="19"/>
          <w:szCs w:val="19"/>
          <w:color w:val="auto"/>
        </w:rPr>
        <w:t>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86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Morris A. Davis</w:t>
      </w:r>
    </w:p>
    <w:p>
      <w:pPr>
        <w:spacing w:after="0"/>
        <w:rPr>
          <w:sz w:val="20"/>
          <w:szCs w:val="20"/>
          <w:color w:val="auto"/>
        </w:rPr>
      </w:pPr>
      <w:r>
        <w:rPr>
          <w:rFonts w:ascii="Times New Roman" w:cs="Times New Roman" w:eastAsia="Times New Roman" w:hAnsi="Times New Roman"/>
          <w:sz w:val="19"/>
          <w:szCs w:val="19"/>
          <w:color w:val="auto"/>
        </w:rPr>
        <w:t>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687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Peter J. Federico</w:t>
      </w:r>
    </w:p>
    <w:p>
      <w:pPr>
        <w:spacing w:after="0"/>
        <w:rPr>
          <w:sz w:val="20"/>
          <w:szCs w:val="20"/>
          <w:color w:val="auto"/>
        </w:rPr>
      </w:pPr>
      <w:r>
        <w:rPr>
          <w:rFonts w:ascii="Times New Roman" w:cs="Times New Roman" w:eastAsia="Times New Roman" w:hAnsi="Times New Roman"/>
          <w:sz w:val="19"/>
          <w:szCs w:val="19"/>
          <w:color w:val="auto"/>
        </w:rPr>
        <w:t>Peter J.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891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John D. Fisk</w:t>
      </w:r>
    </w:p>
    <w:p>
      <w:pPr>
        <w:spacing w:after="0"/>
        <w:rPr>
          <w:sz w:val="20"/>
          <w:szCs w:val="20"/>
          <w:color w:val="auto"/>
        </w:rPr>
      </w:pPr>
      <w:r>
        <w:rPr>
          <w:rFonts w:ascii="Times New Roman" w:cs="Times New Roman" w:eastAsia="Times New Roman" w:hAnsi="Times New Roman"/>
          <w:sz w:val="19"/>
          <w:szCs w:val="19"/>
          <w:color w:val="auto"/>
        </w:rPr>
        <w:t>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4935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Andrew A. Johnson, Jr.</w:t>
      </w:r>
    </w:p>
    <w:p>
      <w:pPr>
        <w:spacing w:after="0"/>
        <w:rPr>
          <w:sz w:val="20"/>
          <w:szCs w:val="20"/>
          <w:color w:val="auto"/>
        </w:rPr>
      </w:pPr>
      <w:r>
        <w:rPr>
          <w:rFonts w:ascii="Times New Roman" w:cs="Times New Roman" w:eastAsia="Times New Roman" w:hAnsi="Times New Roman"/>
          <w:sz w:val="19"/>
          <w:szCs w:val="19"/>
          <w:color w:val="auto"/>
        </w:rPr>
        <w:t>Andrew A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430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Gary D. Kain</w:t>
      </w:r>
    </w:p>
    <w:p>
      <w:pPr>
        <w:spacing w:after="0"/>
        <w:rPr>
          <w:sz w:val="20"/>
          <w:szCs w:val="20"/>
          <w:color w:val="auto"/>
        </w:rPr>
      </w:pPr>
      <w:r>
        <w:rPr>
          <w:rFonts w:ascii="Times New Roman" w:cs="Times New Roman" w:eastAsia="Times New Roman" w:hAnsi="Times New Roman"/>
          <w:sz w:val="19"/>
          <w:szCs w:val="19"/>
          <w:color w:val="auto"/>
        </w:rPr>
        <w:t>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5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Prue B. Larocca</w:t>
      </w:r>
    </w:p>
    <w:p>
      <w:pPr>
        <w:spacing w:after="0"/>
        <w:rPr>
          <w:sz w:val="20"/>
          <w:szCs w:val="20"/>
          <w:color w:val="auto"/>
        </w:rPr>
      </w:pPr>
      <w:r>
        <w:rPr>
          <w:rFonts w:ascii="Times New Roman" w:cs="Times New Roman" w:eastAsia="Times New Roman" w:hAnsi="Times New Roman"/>
          <w:sz w:val="19"/>
          <w:szCs w:val="19"/>
          <w:color w:val="auto"/>
        </w:rPr>
        <w:t>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2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Paul E. Mullings</w:t>
      </w:r>
    </w:p>
    <w:p>
      <w:pPr>
        <w:spacing w:after="0"/>
        <w:rPr>
          <w:sz w:val="20"/>
          <w:szCs w:val="20"/>
          <w:color w:val="auto"/>
        </w:rPr>
      </w:pPr>
      <w:r>
        <w:rPr>
          <w:rFonts w:ascii="Times New Roman" w:cs="Times New Roman" w:eastAsia="Times New Roman" w:hAnsi="Times New Roman"/>
          <w:sz w:val="19"/>
          <w:szCs w:val="19"/>
          <w:color w:val="auto"/>
        </w:rPr>
        <w:t>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6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Frances R. Spark</w:t>
      </w:r>
    </w:p>
    <w:p>
      <w:pPr>
        <w:spacing w:after="0"/>
        <w:rPr>
          <w:sz w:val="20"/>
          <w:szCs w:val="20"/>
          <w:color w:val="auto"/>
        </w:rPr>
      </w:pPr>
      <w:r>
        <w:rPr>
          <w:rFonts w:ascii="Times New Roman" w:cs="Times New Roman" w:eastAsia="Times New Roman" w:hAnsi="Times New Roman"/>
          <w:sz w:val="19"/>
          <w:szCs w:val="19"/>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399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Title</w:t>
            </w: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21"/>
                <w:szCs w:val="21"/>
                <w:b w:val="1"/>
                <w:bCs w:val="1"/>
                <w:color w:val="auto"/>
                <w:w w:val="99"/>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752"/>
        </w:trPr>
        <w:tc>
          <w:tcPr>
            <w:tcW w:w="3460" w:type="dxa"/>
            <w:vAlign w:val="bottom"/>
            <w:gridSpan w:val="3"/>
          </w:tcPr>
          <w:p>
            <w:pPr>
              <w:jc w:val="center"/>
              <w:ind w:right="400"/>
              <w:spacing w:after="0"/>
              <w:rPr>
                <w:sz w:val="20"/>
                <w:szCs w:val="20"/>
                <w:color w:val="auto"/>
              </w:rPr>
            </w:pPr>
            <w:r>
              <w:rPr>
                <w:rFonts w:ascii="Times New Roman" w:cs="Times New Roman" w:eastAsia="Times New Roman" w:hAnsi="Times New Roman"/>
                <w:sz w:val="19"/>
                <w:szCs w:val="19"/>
                <w:color w:val="auto"/>
              </w:rPr>
              <w:t>Director, President and Chief Executive</w:t>
            </w:r>
          </w:p>
        </w:tc>
        <w:tc>
          <w:tcPr>
            <w:tcW w:w="1720" w:type="dxa"/>
            <w:vAlign w:val="bottom"/>
            <w:gridSpan w:val="3"/>
            <w:vMerge w:val="restart"/>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9"/>
                <w:szCs w:val="19"/>
                <w:color w:val="auto"/>
                <w:w w:val="98"/>
              </w:rPr>
              <w:t>Officer</w:t>
            </w: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1"/>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 Executive Chair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18, 2024</w:t>
            </w:r>
          </w:p>
        </w:tc>
        <w:tc>
          <w:tcPr>
            <w:tcW w:w="0" w:type="dxa"/>
            <w:vAlign w:val="bottom"/>
          </w:tcPr>
          <w:p>
            <w:pPr>
              <w:spacing w:after="0"/>
              <w:rPr>
                <w:sz w:val="1"/>
                <w:szCs w:val="1"/>
                <w:color w:val="auto"/>
              </w:rPr>
            </w:pPr>
          </w:p>
        </w:tc>
      </w:tr>
    </w:tbl>
    <w:p>
      <w:pPr>
        <w:sectPr>
          <w:pgSz w:w="11900" w:h="16838" w:orient="portrait"/>
          <w:cols w:equalWidth="0" w:num="2">
            <w:col w:w="3480" w:space="720"/>
            <w:col w:w="5180"/>
          </w:cols>
          <w:pgMar w:left="1100" w:top="970" w:right="1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J. Federico, certify that:</w:t>
      </w:r>
    </w:p>
    <w:p>
      <w:pPr>
        <w:spacing w:after="0" w:line="157" w:lineRule="exact"/>
        <w:rPr>
          <w:sz w:val="20"/>
          <w:szCs w:val="20"/>
          <w:color w:val="auto"/>
        </w:rPr>
      </w:pPr>
    </w:p>
    <w:p>
      <w:pPr>
        <w:ind w:left="740" w:hanging="304"/>
        <w:spacing w:after="0"/>
        <w:tabs>
          <w:tab w:leader="none" w:pos="7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AGNC Investment Corp.;</w:t>
      </w:r>
    </w:p>
    <w:p>
      <w:pPr>
        <w:spacing w:after="0" w:line="157" w:lineRule="exact"/>
        <w:rPr>
          <w:rFonts w:ascii="Times New Roman" w:cs="Times New Roman" w:eastAsia="Times New Roman" w:hAnsi="Times New Roman"/>
          <w:sz w:val="17"/>
          <w:szCs w:val="17"/>
          <w:color w:val="auto"/>
        </w:rPr>
      </w:pPr>
    </w:p>
    <w:p>
      <w:pPr>
        <w:jc w:val="both"/>
        <w:ind w:left="820" w:hanging="384"/>
        <w:spacing w:after="0" w:line="288" w:lineRule="auto"/>
        <w:tabs>
          <w:tab w:leader="none" w:pos="7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820" w:hanging="384"/>
        <w:spacing w:after="0" w:line="295" w:lineRule="auto"/>
        <w:tabs>
          <w:tab w:leader="none" w:pos="78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7"/>
          <w:szCs w:val="17"/>
          <w:color w:val="auto"/>
        </w:rPr>
      </w:pPr>
    </w:p>
    <w:p>
      <w:pPr>
        <w:jc w:val="both"/>
        <w:ind w:left="820" w:hanging="384"/>
        <w:spacing w:after="0" w:line="276" w:lineRule="auto"/>
        <w:tabs>
          <w:tab w:leader="none" w:pos="83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5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43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380" w:hanging="395"/>
        <w:spacing w:after="0" w:line="295" w:lineRule="auto"/>
        <w:tabs>
          <w:tab w:leader="none" w:pos="144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7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820" w:hanging="384"/>
        <w:spacing w:after="0" w:line="295" w:lineRule="auto"/>
        <w:tabs>
          <w:tab w:leader="none" w:pos="77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7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2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2024</w:t>
      </w:r>
    </w:p>
    <w:p>
      <w:pPr>
        <w:spacing w:after="0" w:line="223"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7"/>
          <w:szCs w:val="17"/>
          <w:color w:val="auto"/>
        </w:rPr>
        <w:t>/s/</w:t>
        <w:tab/>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28575</wp:posOffset>
            </wp:positionV>
            <wp:extent cx="2348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Peter J. Federico</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President and Chief Executive Officer (Principal</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Officer)</w:t>
      </w:r>
    </w:p>
    <w:p>
      <w:pPr>
        <w:sectPr>
          <w:pgSz w:w="11900" w:h="16838" w:orient="portrait"/>
          <w:cols w:equalWidth="0" w:num="1">
            <w:col w:w="11240"/>
          </w:cols>
          <w:pgMar w:left="320" w:top="86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Bernice E. Bell, certify that:</w:t>
      </w:r>
    </w:p>
    <w:p>
      <w:pPr>
        <w:spacing w:after="0" w:line="157" w:lineRule="exact"/>
        <w:rPr>
          <w:sz w:val="20"/>
          <w:szCs w:val="20"/>
          <w:color w:val="auto"/>
        </w:rPr>
      </w:pPr>
    </w:p>
    <w:p>
      <w:pPr>
        <w:ind w:left="740" w:hanging="304"/>
        <w:spacing w:after="0"/>
        <w:tabs>
          <w:tab w:leader="none" w:pos="7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AGNC Investment Corp;</w:t>
      </w:r>
    </w:p>
    <w:p>
      <w:pPr>
        <w:spacing w:after="0" w:line="157" w:lineRule="exact"/>
        <w:rPr>
          <w:rFonts w:ascii="Times New Roman" w:cs="Times New Roman" w:eastAsia="Times New Roman" w:hAnsi="Times New Roman"/>
          <w:sz w:val="17"/>
          <w:szCs w:val="17"/>
          <w:color w:val="auto"/>
        </w:rPr>
      </w:pPr>
    </w:p>
    <w:p>
      <w:pPr>
        <w:jc w:val="both"/>
        <w:ind w:left="820" w:hanging="384"/>
        <w:spacing w:after="0" w:line="288" w:lineRule="auto"/>
        <w:tabs>
          <w:tab w:leader="none" w:pos="78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820" w:hanging="384"/>
        <w:spacing w:after="0" w:line="295" w:lineRule="auto"/>
        <w:tabs>
          <w:tab w:leader="none" w:pos="78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7"/>
          <w:szCs w:val="17"/>
          <w:color w:val="auto"/>
        </w:rPr>
      </w:pPr>
    </w:p>
    <w:p>
      <w:pPr>
        <w:jc w:val="both"/>
        <w:ind w:left="820" w:hanging="384"/>
        <w:spacing w:after="0" w:line="276" w:lineRule="auto"/>
        <w:tabs>
          <w:tab w:leader="none" w:pos="83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55"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43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380" w:hanging="395"/>
        <w:spacing w:after="0" w:line="295" w:lineRule="auto"/>
        <w:tabs>
          <w:tab w:leader="none" w:pos="144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7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820" w:hanging="384"/>
        <w:spacing w:after="0" w:line="295" w:lineRule="auto"/>
        <w:tabs>
          <w:tab w:leader="none" w:pos="77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35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25"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2024</w:t>
      </w:r>
    </w:p>
    <w:p>
      <w:pPr>
        <w:spacing w:after="0" w:line="223"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7"/>
          <w:szCs w:val="17"/>
          <w:color w:val="auto"/>
        </w:rPr>
        <w:t>/s/</w:t>
        <w:tab/>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7"/>
          <w:szCs w:val="17"/>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28575</wp:posOffset>
            </wp:positionV>
            <wp:extent cx="23482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Bernice E. Bell</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7"/>
          <w:szCs w:val="17"/>
          <w:color w:val="auto"/>
        </w:rPr>
        <w:t>Officer (Principal Financial Officer)</w:t>
      </w:r>
    </w:p>
    <w:p>
      <w:pPr>
        <w:sectPr>
          <w:pgSz w:w="11900" w:h="16838" w:orient="portrait"/>
          <w:cols w:equalWidth="0" w:num="1">
            <w:col w:w="11240"/>
          </w:cols>
          <w:pgMar w:left="320" w:top="86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color w:val="auto"/>
        </w:rPr>
        <w:t>Exhibit 32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52" w:lineRule="exact"/>
        <w:rPr>
          <w:sz w:val="20"/>
          <w:szCs w:val="20"/>
          <w:color w:val="auto"/>
        </w:rPr>
      </w:pPr>
    </w:p>
    <w:p>
      <w:pPr>
        <w:ind w:right="720" w:firstLine="314"/>
        <w:spacing w:after="0" w:line="295" w:lineRule="auto"/>
        <w:rPr>
          <w:sz w:val="20"/>
          <w:szCs w:val="20"/>
          <w:color w:val="auto"/>
        </w:rPr>
      </w:pPr>
      <w:r>
        <w:rPr>
          <w:rFonts w:ascii="Times New Roman" w:cs="Times New Roman" w:eastAsia="Times New Roman" w:hAnsi="Times New Roman"/>
          <w:sz w:val="17"/>
          <w:szCs w:val="17"/>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94" w:lineRule="exact"/>
        <w:rPr>
          <w:sz w:val="20"/>
          <w:szCs w:val="20"/>
          <w:color w:val="auto"/>
        </w:rPr>
      </w:pPr>
    </w:p>
    <w:p>
      <w:pPr>
        <w:ind w:left="640" w:right="80" w:hanging="322"/>
        <w:spacing w:after="0" w:line="295" w:lineRule="auto"/>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2023 (the “Report”) fully complies with the requirements of Section 13(a) of the Securities Exchange Act of 1934 (15 U.S.C. 78m); and</w:t>
      </w:r>
    </w:p>
    <w:p>
      <w:pPr>
        <w:spacing w:after="0" w:line="94"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Peter J. Federico</w:t>
            </w:r>
          </w:p>
        </w:tc>
      </w:tr>
      <w:tr>
        <w:trPr>
          <w:trHeight w:val="183"/>
        </w:trPr>
        <w:tc>
          <w:tcPr>
            <w:tcW w:w="7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Title:</w:t>
            </w:r>
          </w:p>
        </w:tc>
        <w:tc>
          <w:tcPr>
            <w:tcW w:w="62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auto"/>
              </w:rPr>
              <w:t>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r>
        <w:trPr>
          <w:trHeight w:val="22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22, 2024</w:t>
            </w:r>
          </w:p>
        </w:tc>
      </w:tr>
      <w:tr>
        <w:trPr>
          <w:trHeight w:val="477"/>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7"/>
                <w:szCs w:val="17"/>
                <w:color w:val="auto"/>
              </w:rPr>
              <w:t xml:space="preserve"> E. B</w:t>
            </w:r>
            <w:r>
              <w:rPr>
                <w:rFonts w:ascii="Times New Roman" w:cs="Times New Roman" w:eastAsia="Times New Roman" w:hAnsi="Times New Roman"/>
                <w:sz w:val="13"/>
                <w:szCs w:val="13"/>
                <w:color w:val="auto"/>
              </w:rPr>
              <w:t>ELL</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Bernice E. Bell</w:t>
            </w:r>
          </w:p>
        </w:tc>
      </w:tr>
      <w:tr>
        <w:trPr>
          <w:trHeight w:val="183"/>
        </w:trPr>
        <w:tc>
          <w:tcPr>
            <w:tcW w:w="7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Title:</w:t>
            </w:r>
          </w:p>
        </w:tc>
        <w:tc>
          <w:tcPr>
            <w:tcW w:w="62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auto"/>
              </w:rPr>
              <w:t>Executive Vice 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r>
        <w:trPr>
          <w:trHeight w:val="22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22, 2024</w:t>
            </w:r>
          </w:p>
        </w:tc>
      </w:tr>
    </w:tbl>
    <w:p>
      <w:pPr>
        <w:spacing w:after="0" w:line="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color w:val="auto"/>
        </w:rPr>
        <w:t>Exhibit 97.1</w:t>
      </w:r>
    </w:p>
    <w:p>
      <w:pPr>
        <w:spacing w:after="0" w:line="3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Compensation Clawback Policy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October 26,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Purpose</w:t>
      </w:r>
    </w:p>
    <w:p>
      <w:pPr>
        <w:spacing w:after="0" w:line="128" w:lineRule="exact"/>
        <w:rPr>
          <w:sz w:val="20"/>
          <w:szCs w:val="20"/>
          <w:color w:val="auto"/>
        </w:rPr>
      </w:pPr>
    </w:p>
    <w:p>
      <w:pPr>
        <w:ind w:right="60" w:firstLine="627"/>
        <w:spacing w:after="0" w:line="269" w:lineRule="auto"/>
        <w:rPr>
          <w:sz w:val="20"/>
          <w:szCs w:val="20"/>
          <w:color w:val="auto"/>
        </w:rPr>
      </w:pPr>
      <w:r>
        <w:rPr>
          <w:rFonts w:ascii="Times New Roman" w:cs="Times New Roman" w:eastAsia="Times New Roman" w:hAnsi="Times New Roman"/>
          <w:sz w:val="19"/>
          <w:szCs w:val="19"/>
          <w:color w:val="auto"/>
        </w:rPr>
        <w:t>As required pursuant to the listing standards of the Nasdaq Stock Market LLC (the “</w:t>
      </w:r>
      <w:r>
        <w:rPr>
          <w:rFonts w:ascii="Times New Roman" w:cs="Times New Roman" w:eastAsia="Times New Roman" w:hAnsi="Times New Roman"/>
          <w:sz w:val="20"/>
          <w:szCs w:val="20"/>
          <w:b w:val="1"/>
          <w:bCs w:val="1"/>
          <w:i w:val="1"/>
          <w:iCs w:val="1"/>
          <w:color w:val="auto"/>
        </w:rPr>
        <w:t>Stock Exchange</w:t>
      </w:r>
      <w:r>
        <w:rPr>
          <w:rFonts w:ascii="Times New Roman" w:cs="Times New Roman" w:eastAsia="Times New Roman" w:hAnsi="Times New Roman"/>
          <w:sz w:val="19"/>
          <w:szCs w:val="19"/>
          <w:color w:val="auto"/>
        </w:rPr>
        <w:t>”), Section 10D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19"/>
          <w:szCs w:val="19"/>
          <w:color w:val="auto"/>
        </w:rPr>
        <w:t>”), and Rule 10D-1 under the Exchange Act,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19"/>
          <w:szCs w:val="19"/>
          <w:color w:val="auto"/>
        </w:rPr>
        <w:t>”) of AGNC Investment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19"/>
          <w:szCs w:val="19"/>
          <w:color w:val="auto"/>
        </w:rPr>
        <w:t>”) has adopted this Compensation Clawback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19"/>
          <w:szCs w:val="19"/>
          <w:color w:val="auto"/>
        </w:rPr>
        <w:t>”) to empower the Company to recover Covered Compensation (as defined below) erroneously awarded to a Covered Officer (as defined below) in the event of an Accounting Restatement (as defined below).</w:t>
      </w:r>
    </w:p>
    <w:p>
      <w:pPr>
        <w:spacing w:after="0" w:line="65"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9"/>
          <w:szCs w:val="19"/>
          <w:color w:val="auto"/>
        </w:rPr>
        <w:t>Notwithstanding anything in this Policy to the contrary, at all times, this Policy shall be subject to interpretation and operation in accordance with the final rules and regulations promulgated by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19"/>
          <w:szCs w:val="19"/>
          <w:color w:val="auto"/>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20"/>
          <w:szCs w:val="20"/>
          <w:b w:val="1"/>
          <w:bCs w:val="1"/>
          <w:i w:val="1"/>
          <w:iCs w:val="1"/>
          <w:color w:val="auto"/>
        </w:rPr>
        <w:t>Final Guidance</w:t>
      </w:r>
      <w:r>
        <w:rPr>
          <w:rFonts w:ascii="Times New Roman" w:cs="Times New Roman" w:eastAsia="Times New Roman" w:hAnsi="Times New Roman"/>
          <w:sz w:val="19"/>
          <w:szCs w:val="19"/>
          <w:color w:val="auto"/>
        </w:rPr>
        <w:t>”). Questions regarding this Policy should be directed to the Company’s Corporate Secretary.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Statement</w:t>
      </w:r>
    </w:p>
    <w:p>
      <w:pPr>
        <w:spacing w:after="0" w:line="110" w:lineRule="exact"/>
        <w:rPr>
          <w:sz w:val="20"/>
          <w:szCs w:val="20"/>
          <w:color w:val="auto"/>
        </w:rPr>
      </w:pPr>
    </w:p>
    <w:p>
      <w:pPr>
        <w:ind w:right="60" w:firstLine="627"/>
        <w:spacing w:after="0" w:line="262" w:lineRule="auto"/>
        <w:rPr>
          <w:sz w:val="20"/>
          <w:szCs w:val="20"/>
          <w:color w:val="auto"/>
        </w:rPr>
      </w:pPr>
      <w:r>
        <w:rPr>
          <w:rFonts w:ascii="Times New Roman" w:cs="Times New Roman" w:eastAsia="Times New Roman" w:hAnsi="Times New Roman"/>
          <w:sz w:val="19"/>
          <w:szCs w:val="19"/>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19"/>
          <w:szCs w:val="19"/>
          <w:color w:val="auto"/>
        </w:rPr>
        <w:t>”). If a Clawback Exception applies with respect to a Covered Officer, the Company may forgo such recovery under this Policy from any such Covered Officer.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Officers</w:t>
      </w:r>
    </w:p>
    <w:p>
      <w:pPr>
        <w:spacing w:after="0" w:line="128" w:lineRule="exact"/>
        <w:rPr>
          <w:sz w:val="20"/>
          <w:szCs w:val="20"/>
          <w:color w:val="auto"/>
        </w:rPr>
      </w:pPr>
    </w:p>
    <w:p>
      <w:pPr>
        <w:ind w:right="80" w:firstLine="627"/>
        <w:spacing w:after="0" w:line="273" w:lineRule="auto"/>
        <w:rPr>
          <w:sz w:val="20"/>
          <w:szCs w:val="20"/>
          <w:color w:val="auto"/>
        </w:rPr>
      </w:pPr>
      <w:r>
        <w:rPr>
          <w:rFonts w:ascii="Times New Roman" w:cs="Times New Roman" w:eastAsia="Times New Roman" w:hAnsi="Times New Roman"/>
          <w:sz w:val="19"/>
          <w:szCs w:val="19"/>
          <w:color w:val="auto"/>
        </w:rPr>
        <w:t>For purposes of this Policy, “</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19"/>
          <w:szCs w:val="19"/>
          <w:color w:val="auto"/>
        </w:rPr>
        <w:t>” is defined as any current or former “officer” of the Company within the meaning of Rule 16a-1(f) under the Exchange Act, as determined by the Board or the Compensation and Corporate Governance Committee of the Board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19"/>
          <w:szCs w:val="19"/>
          <w:color w:val="auto"/>
        </w:rPr>
        <w:t>”). Covered Officers include, at a minimum, “executive officers” as defined in Rule 3b-7 under the Exchange Act and identified under Item 401(b) of Regulation S-K.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Compensation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For purposes of this Policy:</w:t>
      </w:r>
    </w:p>
    <w:p>
      <w:pPr>
        <w:spacing w:after="0" w:line="113" w:lineRule="exact"/>
        <w:rPr>
          <w:sz w:val="20"/>
          <w:szCs w:val="20"/>
          <w:color w:val="auto"/>
        </w:rPr>
      </w:pPr>
    </w:p>
    <w:p>
      <w:pPr>
        <w:ind w:left="940" w:right="100" w:hanging="308"/>
        <w:spacing w:after="0" w:line="264" w:lineRule="auto"/>
        <w:tabs>
          <w:tab w:leader="none" w:pos="935" w:val="left"/>
        </w:tabs>
        <w:numPr>
          <w:ilvl w:val="0"/>
          <w:numId w:val="94"/>
        </w:numPr>
        <w:rPr>
          <w:rFonts w:ascii="Arial" w:cs="Arial" w:eastAsia="Arial" w:hAnsi="Arial"/>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i w:val="1"/>
          <w:iCs w:val="1"/>
          <w:color w:val="auto"/>
        </w:rPr>
        <w:t>Covered Compensation</w:t>
      </w:r>
      <w:r>
        <w:rPr>
          <w:rFonts w:ascii="Times New Roman" w:cs="Times New Roman" w:eastAsia="Times New Roman" w:hAnsi="Times New Roman"/>
          <w:sz w:val="19"/>
          <w:szCs w:val="19"/>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0" w:right="339" w:bottom="1440" w:gutter="0" w:footer="0" w:header="0"/>
        </w:sectPr>
      </w:pPr>
    </w:p>
    <w:bookmarkStart w:id="128" w:name="page129"/>
    <w:bookmarkEnd w:id="128"/>
    <w:p>
      <w:pPr>
        <w:ind w:left="940" w:right="40"/>
        <w:spacing w:after="0" w:line="260" w:lineRule="auto"/>
        <w:rPr>
          <w:sz w:val="20"/>
          <w:szCs w:val="20"/>
          <w:color w:val="auto"/>
        </w:rPr>
      </w:pPr>
      <w:r>
        <w:rPr>
          <w:rFonts w:ascii="Times New Roman" w:cs="Times New Roman" w:eastAsia="Times New Roman" w:hAnsi="Times New Roman"/>
          <w:sz w:val="19"/>
          <w:szCs w:val="19"/>
          <w:color w:val="auto"/>
        </w:rPr>
        <w:t>Incentive-Based Compensation Received by a Covered Officer will qualify as Covered Compensation only if: (i) it is Received on or after October 2, 2023 (the date on which listing standards adopted by the Stock Exchange to implement Rule 10D-1 under the Exchange Act became effective);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71"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9"/>
          <w:szCs w:val="19"/>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80" w:lineRule="exact"/>
        <w:rPr>
          <w:sz w:val="20"/>
          <w:szCs w:val="20"/>
          <w:color w:val="auto"/>
        </w:rPr>
      </w:pPr>
    </w:p>
    <w:p>
      <w:pPr>
        <w:ind w:left="940" w:right="40" w:hanging="308"/>
        <w:spacing w:after="0" w:line="267" w:lineRule="auto"/>
        <w:tabs>
          <w:tab w:leader="none" w:pos="93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19"/>
          <w:szCs w:val="19"/>
          <w:color w:val="auto"/>
        </w:rPr>
        <w:t xml:space="preserve">”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w:t>
      </w:r>
      <w:r>
        <w:rPr>
          <w:rFonts w:ascii="Times New Roman" w:cs="Times New Roman" w:eastAsia="Times New Roman" w:hAnsi="Times New Roman"/>
          <w:sz w:val="20"/>
          <w:szCs w:val="20"/>
          <w:color w:val="auto"/>
        </w:rPr>
        <w:t>supplemental executive retirement plans, and any other compensation that is based on such Incentive-Based Compensation, such as earnings accrued on notional amounts of Incentive-Based Compensation contributed to such plans.</w:t>
      </w:r>
    </w:p>
    <w:p>
      <w:pPr>
        <w:spacing w:after="0" w:line="53" w:lineRule="exact"/>
        <w:rPr>
          <w:rFonts w:ascii="Times New Roman" w:cs="Times New Roman" w:eastAsia="Times New Roman" w:hAnsi="Times New Roman"/>
          <w:sz w:val="21"/>
          <w:szCs w:val="21"/>
          <w:color w:val="auto"/>
        </w:rPr>
      </w:pPr>
    </w:p>
    <w:p>
      <w:pPr>
        <w:jc w:val="both"/>
        <w:ind w:left="940" w:right="540" w:hanging="308"/>
        <w:spacing w:after="0" w:line="266" w:lineRule="auto"/>
        <w:tabs>
          <w:tab w:leader="none" w:pos="93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19"/>
          <w:szCs w:val="19"/>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58" w:lineRule="exact"/>
        <w:rPr>
          <w:rFonts w:ascii="Times New Roman" w:cs="Times New Roman" w:eastAsia="Times New Roman" w:hAnsi="Times New Roman"/>
          <w:sz w:val="21"/>
          <w:szCs w:val="21"/>
          <w:color w:val="auto"/>
        </w:rPr>
      </w:pPr>
    </w:p>
    <w:p>
      <w:pPr>
        <w:jc w:val="both"/>
        <w:ind w:left="940" w:right="80" w:hanging="308"/>
        <w:spacing w:after="0" w:line="273" w:lineRule="auto"/>
        <w:tabs>
          <w:tab w:leader="none" w:pos="93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Incentive-Based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19"/>
          <w:szCs w:val="19"/>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Recovery Period</w:t>
      </w:r>
    </w:p>
    <w:p>
      <w:pPr>
        <w:spacing w:after="0" w:line="128" w:lineRule="exact"/>
        <w:rPr>
          <w:sz w:val="20"/>
          <w:szCs w:val="20"/>
          <w:color w:val="auto"/>
        </w:rPr>
      </w:pPr>
    </w:p>
    <w:p>
      <w:pPr>
        <w:ind w:right="200" w:firstLine="627"/>
        <w:spacing w:after="0" w:line="262" w:lineRule="auto"/>
        <w:rPr>
          <w:sz w:val="20"/>
          <w:szCs w:val="20"/>
          <w:color w:val="auto"/>
        </w:rPr>
      </w:pPr>
      <w:r>
        <w:rPr>
          <w:rFonts w:ascii="Times New Roman" w:cs="Times New Roman" w:eastAsia="Times New Roman" w:hAnsi="Times New Roman"/>
          <w:sz w:val="19"/>
          <w:szCs w:val="19"/>
          <w:color w:val="auto"/>
        </w:rPr>
        <w:t>For purposes of this Policy, the applicable “</w:t>
      </w:r>
      <w:r>
        <w:rPr>
          <w:rFonts w:ascii="Times New Roman" w:cs="Times New Roman" w:eastAsia="Times New Roman" w:hAnsi="Times New Roman"/>
          <w:sz w:val="20"/>
          <w:szCs w:val="20"/>
          <w:b w:val="1"/>
          <w:bCs w:val="1"/>
          <w:i w:val="1"/>
          <w:iCs w:val="1"/>
          <w:color w:val="auto"/>
        </w:rPr>
        <w:t>Recovery Period</w:t>
      </w:r>
      <w:r>
        <w:rPr>
          <w:rFonts w:ascii="Times New Roman" w:cs="Times New Roman" w:eastAsia="Times New Roman" w:hAnsi="Times New Roman"/>
          <w:sz w:val="19"/>
          <w:szCs w:val="19"/>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76"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9"/>
          <w:szCs w:val="19"/>
          <w:color w:val="auto"/>
        </w:rPr>
        <w:t>For purposes of this Policy, the “</w:t>
      </w:r>
      <w:r>
        <w:rPr>
          <w:rFonts w:ascii="Times New Roman" w:cs="Times New Roman" w:eastAsia="Times New Roman" w:hAnsi="Times New Roman"/>
          <w:sz w:val="20"/>
          <w:szCs w:val="20"/>
          <w:b w:val="1"/>
          <w:bCs w:val="1"/>
          <w:i w:val="1"/>
          <w:iCs w:val="1"/>
          <w:color w:val="auto"/>
        </w:rPr>
        <w:t>Trigger Date</w:t>
      </w:r>
      <w:r>
        <w:rPr>
          <w:rFonts w:ascii="Times New Roman" w:cs="Times New Roman" w:eastAsia="Times New Roman" w:hAnsi="Times New Roman"/>
          <w:sz w:val="19"/>
          <w:szCs w:val="19"/>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color w:val="auto"/>
        </w:rPr>
        <w:t>date a court, regulator, or other legally authorized body directs the Company to prepare the Accounting Restatement.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Clawback Exceptions</w:t>
      </w:r>
    </w:p>
    <w:p>
      <w:pPr>
        <w:spacing w:after="0" w:line="110" w:lineRule="exact"/>
        <w:rPr>
          <w:sz w:val="20"/>
          <w:szCs w:val="20"/>
          <w:color w:val="auto"/>
        </w:rPr>
      </w:pPr>
    </w:p>
    <w:p>
      <w:pPr>
        <w:jc w:val="both"/>
        <w:ind w:firstLine="627"/>
        <w:spacing w:after="0" w:line="278" w:lineRule="auto"/>
        <w:rPr>
          <w:sz w:val="20"/>
          <w:szCs w:val="20"/>
          <w:color w:val="auto"/>
        </w:rPr>
      </w:pPr>
      <w:r>
        <w:rPr>
          <w:rFonts w:ascii="Times New Roman" w:cs="Times New Roman" w:eastAsia="Times New Roman" w:hAnsi="Times New Roman"/>
          <w:sz w:val="19"/>
          <w:szCs w:val="19"/>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20"/>
          <w:szCs w:val="20"/>
          <w:b w:val="1"/>
          <w:bCs w:val="1"/>
          <w:i w:val="1"/>
          <w:iCs w:val="1"/>
          <w:color w:val="auto"/>
        </w:rPr>
        <w:t>Clawback Exception</w:t>
      </w:r>
      <w:r>
        <w:rPr>
          <w:rFonts w:ascii="Times New Roman" w:cs="Times New Roman" w:eastAsia="Times New Roman" w:hAnsi="Times New Roman"/>
          <w:sz w:val="19"/>
          <w:szCs w:val="19"/>
          <w:color w:val="auto"/>
        </w:rPr>
        <w:t>” applies):</w:t>
      </w:r>
    </w:p>
    <w:p>
      <w:pPr>
        <w:spacing w:after="0" w:line="77" w:lineRule="exact"/>
        <w:rPr>
          <w:sz w:val="20"/>
          <w:szCs w:val="20"/>
          <w:color w:val="auto"/>
        </w:rPr>
      </w:pPr>
    </w:p>
    <w:p>
      <w:pPr>
        <w:ind w:left="940" w:right="160" w:hanging="308"/>
        <w:spacing w:after="0" w:line="272" w:lineRule="auto"/>
        <w:tabs>
          <w:tab w:leader="none" w:pos="93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direct expense paid to a third party to assist in enforcing this Policy would exceed the amount to be recovered (and the Company has already made a reasonable attempt to recover such erroneously awarded Covered Compensation </w:t>
      </w:r>
      <w:r>
        <w:rPr>
          <w:rFonts w:ascii="Times New Roman" w:cs="Times New Roman" w:eastAsia="Times New Roman" w:hAnsi="Times New Roman"/>
          <w:sz w:val="20"/>
          <w:szCs w:val="20"/>
          <w:color w:val="auto"/>
        </w:rPr>
        <w:t>from such Covered Officer,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has documented such reasonable attempt(s) to recover, and has provided such documentation to the Stock Exchange);</w:t>
      </w:r>
    </w:p>
    <w:p>
      <w:pPr>
        <w:spacing w:after="0" w:line="67" w:lineRule="exact"/>
        <w:rPr>
          <w:rFonts w:ascii="Times New Roman" w:cs="Times New Roman" w:eastAsia="Times New Roman" w:hAnsi="Times New Roman"/>
          <w:sz w:val="21"/>
          <w:szCs w:val="21"/>
          <w:color w:val="auto"/>
        </w:rPr>
      </w:pPr>
    </w:p>
    <w:p>
      <w:pPr>
        <w:ind w:left="940" w:right="40" w:hanging="308"/>
        <w:spacing w:after="0" w:line="262" w:lineRule="auto"/>
        <w:tabs>
          <w:tab w:leader="none" w:pos="93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82" w:lineRule="exact"/>
        <w:rPr>
          <w:rFonts w:ascii="Times New Roman" w:cs="Times New Roman" w:eastAsia="Times New Roman" w:hAnsi="Times New Roman"/>
          <w:sz w:val="21"/>
          <w:szCs w:val="21"/>
          <w:color w:val="auto"/>
        </w:rPr>
      </w:pPr>
    </w:p>
    <w:p>
      <w:pPr>
        <w:ind w:left="940" w:right="40" w:hanging="308"/>
        <w:spacing w:after="0" w:line="264" w:lineRule="auto"/>
        <w:tabs>
          <w:tab w:leader="none" w:pos="93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w:t>
      </w:r>
      <w:r>
        <w:rPr>
          <w:rFonts w:ascii="Times New Roman" w:cs="Times New Roman" w:eastAsia="Times New Roman" w:hAnsi="Times New Roman"/>
          <w:sz w:val="20"/>
          <w:szCs w:val="20"/>
          <w:color w:val="auto"/>
        </w:rPr>
        <w:t>supplemental executive retirement plans, or any other compensation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that is based on Incentive-Based Compensation in such plans, such as earnings accrued on notional amounts of Incentive-Based Compensation contributed to such plans.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Prohibitions</w:t>
      </w:r>
    </w:p>
    <w:p>
      <w:pPr>
        <w:spacing w:after="0" w:line="110"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The Company is prohibited from paying or reimbursing the cost of insurance for, or indemnifying, any Covered Officer against the loss of erroneously awarded Covered Compensation.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Administration and Interpretation</w:t>
      </w:r>
    </w:p>
    <w:p>
      <w:pPr>
        <w:spacing w:after="0" w:line="110"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The Board hereby authorizes the Committee to administer this Policy in accordance with the Final Guidance, and the Committee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This Policy is in addition to and is not intended to change, limit or interpret any federal or state law or regulation, including the General Corporation Law of the State of Delaware, the Company’s Certificate of Incorporation (as may be amended, restated or supplemented and in effect from time to time), or the Company’s Amended and Restated Bylaws. The Committee will review the Policy from time to time and will have full and exclusive authority to take any action hereunder it deems appropriate.</w:t>
      </w:r>
    </w:p>
    <w:p>
      <w:pPr>
        <w:spacing w:after="0" w:line="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9"/>
          <w:szCs w:val="19"/>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71" w:right="339" w:bottom="1440" w:gutter="0" w:footer="0" w:header="0"/>
        </w:sectPr>
      </w:pPr>
    </w:p>
    <w:bookmarkStart w:id="130" w:name="page131"/>
    <w:bookmarkEnd w:id="130"/>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This Policy supersedes the AGNC Investment Corp. Clawback Policy, dated as of January 24, 2017, with respect to all Covered Compensation paid to Covered Officers.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w:t>
      </w:r>
    </w:p>
    <w:p>
      <w:pPr>
        <w:spacing w:after="0" w:line="123"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sectPr>
      <w:pgSz w:w="11900" w:h="16838" w:orient="portrait"/>
      <w:cols w:equalWidth="0" w:num="1">
        <w:col w:w="11240"/>
      </w:cols>
      <w:pgMar w:left="320" w:top="13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lowerLetter"/>
      <w:start w:val="25"/>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6"/>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lowerRoman"/>
      <w:start w:val="4"/>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lowerLetter"/>
      <w:start w:val="1"/>
    </w:lvl>
    <w:lvl w:ilvl="1">
      <w:lvlJc w:val="left"/>
      <w:lvlText w:val="(%2)"/>
      <w:numFmt w:val="decimal"/>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21"/>
    </w:lvl>
    <w:lvl w:ilvl="1">
      <w:lvlJc w:val="left"/>
      <w:lvlText w:val="%2)"/>
      <w:numFmt w:val="decimal"/>
      <w:start w:val="1"/>
    </w:lvl>
  </w:abstractNum>
  <w:abstractNum w:abstractNumId="60">
    <w:nsid w:val="8F2B15E"/>
    <w:multiLevelType w:val="hybridMultilevel"/>
    <w:lvl w:ilvl="0">
      <w:lvlJc w:val="left"/>
      <w:lvlText w:val="%1"/>
      <w:numFmt w:val="decimal"/>
      <w:start w:val="23"/>
    </w:lvl>
    <w:lvl w:ilvl="1">
      <w:lvlJc w:val="left"/>
      <w:lvlText w:val="%2"/>
      <w:numFmt w:val="decimal"/>
      <w:start w:val="1"/>
    </w:lvl>
  </w:abstractNum>
  <w:abstractNum w:abstractNumId="61">
    <w:nsid w:val="1A32234B"/>
    <w:multiLevelType w:val="hybridMultilevel"/>
    <w:lvl w:ilvl="0">
      <w:lvlJc w:val="left"/>
      <w:lvlText w:val="%1"/>
      <w:numFmt w:val="decimal"/>
      <w:start w:val="32"/>
    </w:lvl>
    <w:lvl w:ilvl="1">
      <w:lvlJc w:val="left"/>
      <w:lvlText w:val="%2"/>
      <w:numFmt w:val="decimal"/>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lowerLetter"/>
      <w:start w:val="3"/>
    </w:lvl>
  </w:abstractNum>
  <w:abstractNum w:abstractNumId="64">
    <w:nsid w:val="4962813B"/>
    <w:multiLevelType w:val="hybridMultilevel"/>
    <w:lvl w:ilvl="0">
      <w:lvlJc w:val="left"/>
      <w:lvlText w:val="%1."/>
      <w:numFmt w:val="decimal"/>
      <w:start w:val="1"/>
    </w:lvl>
    <w:lvl w:ilvl="1">
      <w:lvlJc w:val="left"/>
      <w:lvlText w:val="%2."/>
      <w:numFmt w:val="lowerLetter"/>
      <w:start w:val="1"/>
    </w:lvl>
  </w:abstractNum>
  <w:abstractNum w:abstractNumId="65">
    <w:nsid w:val="60B6DF70"/>
    <w:multiLevelType w:val="hybridMultilevel"/>
    <w:lvl w:ilvl="0">
      <w:lvlJc w:val="left"/>
      <w:lvlText w:val="%1."/>
      <w:numFmt w:val="lowerLetter"/>
      <w:start w:val="7"/>
    </w:lvl>
  </w:abstractNum>
  <w:abstractNum w:abstractNumId="66">
    <w:nsid w:val="6A5EE64"/>
    <w:multiLevelType w:val="hybridMultilevel"/>
    <w:lvl w:ilvl="0">
      <w:lvlJc w:val="left"/>
      <w:lvlText w:val="%1."/>
      <w:numFmt w:val="lowerLetter"/>
      <w:start w:val="10"/>
    </w:lvl>
  </w:abstractNum>
  <w:abstractNum w:abstractNumId="67">
    <w:nsid w:val="14330624"/>
    <w:multiLevelType w:val="hybridMultilevel"/>
    <w:lvl w:ilvl="0">
      <w:lvlJc w:val="left"/>
      <w:lvlText w:val="%1"/>
      <w:numFmt w:val="decimal"/>
      <w:start w:val="1"/>
    </w:lvl>
    <w:lvl w:ilvl="1">
      <w:lvlJc w:val="left"/>
      <w:lvlText w:val="%2."/>
      <w:numFmt w:val="lowerLetter"/>
      <w:start w:val="1"/>
    </w:lvl>
  </w:abstractNum>
  <w:abstractNum w:abstractNumId="68">
    <w:nsid w:val="7FFFCA11"/>
    <w:multiLevelType w:val="hybridMultilevel"/>
    <w:lvl w:ilvl="0">
      <w:lvlJc w:val="left"/>
      <w:lvlText w:val="%1."/>
      <w:numFmt w:val="decimal"/>
      <w:start w:val="2"/>
    </w:lvl>
    <w:lvl w:ilvl="1">
      <w:lvlJc w:val="left"/>
      <w:lvlText w:val="%2."/>
      <w:numFmt w:val="lowerLetter"/>
      <w:start w:val="1"/>
    </w:lvl>
  </w:abstractNum>
  <w:abstractNum w:abstractNumId="69">
    <w:nsid w:val="1A2770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0">
    <w:nsid w:val="71EA1109"/>
    <w:multiLevelType w:val="hybridMultilevel"/>
    <w:lvl w:ilvl="0">
      <w:lvlJc w:val="left"/>
      <w:lvlText w:val="%1"/>
      <w:numFmt w:val="lowerRoman"/>
      <w:start w:val="1"/>
    </w:lvl>
    <w:lvl w:ilvl="1">
      <w:lvlJc w:val="left"/>
      <w:lvlText w:val="%2."/>
      <w:numFmt w:val="decimal"/>
      <w:start w:val="5"/>
    </w:lvl>
  </w:abstractNum>
  <w:abstractNum w:abstractNumId="71">
    <w:nsid w:val="100F59DC"/>
    <w:multiLevelType w:val="hybridMultilevel"/>
    <w:lvl w:ilvl="0">
      <w:lvlJc w:val="left"/>
      <w:lvlText w:val="%1."/>
      <w:numFmt w:val="lowerRoman"/>
      <w:start w:val="2"/>
    </w:lvl>
    <w:lvl w:ilvl="1">
      <w:lvlJc w:val="left"/>
      <w:lvlText w:val="%2."/>
      <w:numFmt w:val="decimal"/>
      <w:start w:val="1"/>
    </w:lvl>
  </w:abstractNum>
  <w:abstractNum w:abstractNumId="72">
    <w:nsid w:val="7FB7E0AA"/>
    <w:multiLevelType w:val="hybridMultilevel"/>
    <w:lvl w:ilvl="0">
      <w:lvlJc w:val="left"/>
      <w:lvlText w:val="%1."/>
      <w:numFmt w:val="decimal"/>
      <w:start w:val="1"/>
    </w:lvl>
    <w:lvl w:ilvl="1">
      <w:lvlJc w:val="left"/>
      <w:lvlText w:val="%2."/>
      <w:numFmt w:val="lowerLetter"/>
      <w:start w:val="1"/>
    </w:lvl>
  </w:abstractNum>
  <w:abstractNum w:abstractNumId="73">
    <w:nsid w:val="6EB5BD4"/>
    <w:multiLevelType w:val="hybridMultilevel"/>
    <w:lvl w:ilvl="0">
      <w:lvlJc w:val="left"/>
      <w:lvlText w:val="%1."/>
      <w:numFmt w:val="decimal"/>
      <w:start w:val="5"/>
    </w:lvl>
  </w:abstractNum>
  <w:abstractNum w:abstractNumId="74">
    <w:nsid w:val="6F6DD9AC"/>
    <w:multiLevelType w:val="hybridMultilevel"/>
    <w:lvl w:ilvl="0">
      <w:lvlJc w:val="left"/>
      <w:lvlText w:val="%1"/>
      <w:numFmt w:val="decimal"/>
      <w:start w:val="1"/>
    </w:lvl>
    <w:lvl w:ilvl="1">
      <w:lvlJc w:val="left"/>
      <w:lvlText w:val="(%2)"/>
      <w:numFmt w:val="lowerLetter"/>
      <w:start w:val="1"/>
    </w:lvl>
  </w:abstractNum>
  <w:abstractNum w:abstractNumId="75">
    <w:nsid w:val="94211F2"/>
    <w:multiLevelType w:val="hybridMultilevel"/>
    <w:lvl w:ilvl="0">
      <w:lvlJc w:val="left"/>
      <w:lvlText w:val="%1."/>
      <w:numFmt w:val="decimal"/>
      <w:start w:val="9"/>
    </w:lvl>
    <w:lvl w:ilvl="1">
      <w:lvlJc w:val="left"/>
      <w:lvlText w:val="(%2)"/>
      <w:numFmt w:val="lowerLetter"/>
      <w:start w:val="4"/>
    </w:lvl>
  </w:abstractNum>
  <w:abstractNum w:abstractNumId="76">
    <w:nsid w:val="885E1B"/>
    <w:multiLevelType w:val="hybridMultilevel"/>
    <w:lvl w:ilvl="0">
      <w:lvlJc w:val="left"/>
      <w:lvlText w:val="%1."/>
      <w:numFmt w:val="decimal"/>
      <w:start w:val="16"/>
    </w:lvl>
  </w:abstractNum>
  <w:abstractNum w:abstractNumId="77">
    <w:nsid w:val="76272110"/>
    <w:multiLevelType w:val="hybridMultilevel"/>
    <w:lvl w:ilvl="0">
      <w:lvlJc w:val="left"/>
      <w:lvlText w:val="%1."/>
      <w:numFmt w:val="decimal"/>
      <w:start w:val="1"/>
    </w:lvl>
    <w:lvl w:ilvl="1">
      <w:lvlJc w:val="left"/>
      <w:lvlText w:val="%2."/>
      <w:numFmt w:val="lowerLetter"/>
      <w:start w:val="1"/>
    </w:lvl>
  </w:abstractNum>
  <w:abstractNum w:abstractNumId="78">
    <w:nsid w:val="4C04A8AF"/>
    <w:multiLevelType w:val="hybridMultilevel"/>
    <w:lvl w:ilvl="0">
      <w:lvlJc w:val="left"/>
      <w:lvlText w:val="%1."/>
      <w:numFmt w:val="lowerLetter"/>
      <w:start w:val="8"/>
    </w:lvl>
  </w:abstractNum>
  <w:abstractNum w:abstractNumId="79">
    <w:nsid w:val="1716703B"/>
    <w:multiLevelType w:val="hybridMultilevel"/>
    <w:lvl w:ilvl="0">
      <w:lvlJc w:val="left"/>
      <w:lvlText w:val="%1"/>
      <w:numFmt w:val="decimal"/>
      <w:start w:val="1"/>
    </w:lvl>
    <w:lvl w:ilvl="1">
      <w:lvlJc w:val="left"/>
      <w:lvlText w:val="%2."/>
      <w:numFmt w:val="lowerLetter"/>
      <w:start w:val="11"/>
    </w:lvl>
  </w:abstractNum>
  <w:abstractNum w:abstractNumId="80">
    <w:nsid w:val="14E17E33"/>
    <w:multiLevelType w:val="hybridMultilevel"/>
    <w:lvl w:ilvl="0">
      <w:lvlJc w:val="left"/>
      <w:lvlText w:val="%1."/>
      <w:numFmt w:val="decimal"/>
      <w:start w:val="2"/>
    </w:lvl>
    <w:lvl w:ilvl="1">
      <w:lvlJc w:val="left"/>
      <w:lvlText w:val="%2."/>
      <w:numFmt w:val="lowerLetter"/>
      <w:start w:val="1"/>
    </w:lvl>
  </w:abstractNum>
  <w:abstractNum w:abstractNumId="81">
    <w:nsid w:val="3222E7CD"/>
    <w:multiLevelType w:val="hybridMultilevel"/>
    <w:lvl w:ilvl="0">
      <w:lvlJc w:val="left"/>
      <w:lvlText w:val="%1"/>
      <w:numFmt w:val="decimal"/>
      <w:start w:val="1"/>
    </w:lvl>
    <w:lvl w:ilvl="1">
      <w:lvlJc w:val="left"/>
      <w:lvlText w:val="%2."/>
      <w:numFmt w:val="lowerLetter"/>
      <w:start w:val="2"/>
    </w:lvl>
  </w:abstractNum>
  <w:abstractNum w:abstractNumId="82">
    <w:nsid w:val="74DE0EE3"/>
    <w:multiLevelType w:val="hybridMultilevel"/>
    <w:lvl w:ilvl="0">
      <w:lvlJc w:val="left"/>
      <w:lvlText w:val="%1."/>
      <w:numFmt w:val="decimal"/>
      <w:start w:val="6"/>
    </w:lvl>
    <w:lvl w:ilvl="1">
      <w:lvlJc w:val="left"/>
      <w:lvlText w:val="%2"/>
      <w:numFmt w:val="lowerLetter"/>
      <w:start w:val="1"/>
    </w:lvl>
  </w:abstractNum>
  <w:abstractNum w:abstractNumId="83">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2DF6D64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5">
    <w:nsid w:val="46B7D447"/>
    <w:multiLevelType w:val="hybridMultilevel"/>
    <w:lvl w:ilvl="0">
      <w:lvlJc w:val="left"/>
      <w:lvlText w:val="%1"/>
      <w:numFmt w:val="decimal"/>
      <w:start w:val="1"/>
    </w:lvl>
    <w:lvl w:ilvl="1">
      <w:lvlJc w:val="left"/>
      <w:lvlText w:val="%2."/>
      <w:numFmt w:val="lowerLetter"/>
      <w:start w:val="3"/>
    </w:lvl>
  </w:abstractNum>
  <w:abstractNum w:abstractNumId="86">
    <w:nsid w:val="4A2AC315"/>
    <w:multiLevelType w:val="hybridMultilevel"/>
    <w:lvl w:ilvl="0">
      <w:lvlJc w:val="left"/>
      <w:lvlText w:val="%1."/>
      <w:numFmt w:val="decimal"/>
      <w:start w:val="9"/>
    </w:lvl>
    <w:lvl w:ilvl="1">
      <w:lvlJc w:val="left"/>
      <w:lvlText w:val="%2"/>
      <w:numFmt w:val="lowerLetter"/>
      <w:start w:val="1"/>
    </w:lvl>
  </w:abstractNum>
  <w:abstractNum w:abstractNumId="87">
    <w:nsid w:val="39EE015C"/>
    <w:multiLevelType w:val="hybridMultilevel"/>
    <w:lvl w:ilvl="0">
      <w:lvlJc w:val="left"/>
      <w:lvlText w:val="%1."/>
      <w:numFmt w:val="decimal"/>
      <w:start w:val="14"/>
    </w:lvl>
  </w:abstractNum>
  <w:abstractNum w:abstractNumId="88">
    <w:nsid w:val="57FC4FBB"/>
    <w:multiLevelType w:val="hybridMultilevel"/>
    <w:lvl w:ilvl="0">
      <w:lvlJc w:val="left"/>
      <w:lvlText w:val="%1."/>
      <w:numFmt w:val="decimal"/>
      <w:start w:val="20"/>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lvl w:ilvl="1">
      <w:lvlJc w:val="left"/>
      <w:lvlText w:val="(%2)"/>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8" Type="http://schemas.openxmlformats.org/officeDocument/2006/relationships/image" Target="media/image98.png"/><Relationship Id="rId130" Type="http://schemas.openxmlformats.org/officeDocument/2006/relationships/image" Target="media/image99.png"/><Relationship Id="rId147"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05" Type="http://schemas.openxmlformats.org/officeDocument/2006/relationships/hyperlink" Target="http://www.sec.gov/Archives/edgar/data/1423689/000142368922000014/agncexhibit3112312110-k.htm" TargetMode="External"/><Relationship Id="rId106" Type="http://schemas.openxmlformats.org/officeDocument/2006/relationships/hyperlink" Target="http://www.sec.gov/Archives/edgar/data/1423689/000142368921000017/arbylaws-march2021vrevised.htm" TargetMode="External"/><Relationship Id="rId107" Type="http://schemas.openxmlformats.org/officeDocument/2006/relationships/hyperlink" Target="http://www.sec.gov/Archives/edgar/data/1423689/000142368923000046/bylaws72023-ex.htm" TargetMode="External"/><Relationship Id="rId108" Type="http://schemas.openxmlformats.org/officeDocument/2006/relationships/hyperlink" Target="http://www.sec.gov/Archives/edgar/data/1423689/000142368917000044/ex35certificateofdesignati.htm" TargetMode="External"/><Relationship Id="rId109" Type="http://schemas.openxmlformats.org/officeDocument/2006/relationships/hyperlink" Target="http://www.sec.gov/Archives/edgar/data/1423689/000142368917000065/certificateofelimination.htm" TargetMode="External"/><Relationship Id="rId110" Type="http://schemas.openxmlformats.org/officeDocument/2006/relationships/hyperlink" Target="http://www.sec.gov/Archives/edgar/data/1423689/000142368919000019/certificateofdesignations.htm" TargetMode="External"/><Relationship Id="rId111" Type="http://schemas.openxmlformats.org/officeDocument/2006/relationships/hyperlink" Target="http://www.sec.gov/Archives/edgar/data/1423689/000142368919000064/certofdesignations.htm" TargetMode="External"/><Relationship Id="rId112" Type="http://schemas.openxmlformats.org/officeDocument/2006/relationships/hyperlink" Target="http://www.sec.gov/Archives/edgar/data/1423689/000142368919000078/certificateofeliminati.htm" TargetMode="External"/><Relationship Id="rId113" Type="http://schemas.openxmlformats.org/officeDocument/2006/relationships/hyperlink" Target="http://www.sec.gov/Archives/edgar/data/1423689/000142368920000012/certificateofdesignations-.htm" TargetMode="External"/><Relationship Id="rId114" Type="http://schemas.openxmlformats.org/officeDocument/2006/relationships/hyperlink" Target="http://www.sec.gov/Archives/edgar/data/1423689/000142368922000061/seriesgcertificateofdesign.htm" TargetMode="External"/><Relationship Id="rId115" Type="http://schemas.openxmlformats.org/officeDocument/2006/relationships/hyperlink" Target="http://www.sec.gov/Archives/edgar/data/1423689/000142368922000076/exhibit43.htm" TargetMode="External"/><Relationship Id="rId116" Type="http://schemas.openxmlformats.org/officeDocument/2006/relationships/hyperlink" Target="http://www.sec.gov/Archives/edgar/data/1423689/000142368917000044/exhibit41.htm" TargetMode="External"/><Relationship Id="rId117" Type="http://schemas.openxmlformats.org/officeDocument/2006/relationships/hyperlink" Target="http://www.sec.gov/Archives/edgar/data/1423689/000142368919000019/stockcertificateb98.htm" TargetMode="External"/><Relationship Id="rId119" Type="http://schemas.openxmlformats.org/officeDocument/2006/relationships/hyperlink" Target="http://www.sec.gov/Archives/edgar/data/1423689/000142368919000064/stockcertificate.htm" TargetMode="External"/><Relationship Id="rId120" Type="http://schemas.openxmlformats.org/officeDocument/2006/relationships/hyperlink" Target="http://www.sec.gov/Archives/edgar/data/1423689/000142368920000012/stockcertificate.htm" TargetMode="External"/><Relationship Id="rId121" Type="http://schemas.openxmlformats.org/officeDocument/2006/relationships/hyperlink" Target="http://www.sec.gov/Archives/edgar/data/1423689/000142368922000061/stockcertificate1.htm" TargetMode="External"/><Relationship Id="rId122" Type="http://schemas.openxmlformats.org/officeDocument/2006/relationships/hyperlink" Target="http://www.sec.gov/Archives/edgar/data/1423689/000142368917000049/depositagreement.htm" TargetMode="External"/><Relationship Id="rId123" Type="http://schemas.openxmlformats.org/officeDocument/2006/relationships/hyperlink" Target="http://www.sec.gov/Archives/edgar/data/1423689/000142368919000021/prefddepositagmt.htm" TargetMode="External"/><Relationship Id="rId124" Type="http://schemas.openxmlformats.org/officeDocument/2006/relationships/hyperlink" Target="http://www.sec.gov/Archives/edgar/data/1423689/000142368919000068/depositagmt-prefe.htm" TargetMode="External"/><Relationship Id="rId125" Type="http://schemas.openxmlformats.org/officeDocument/2006/relationships/hyperlink" Target="http://www.sec.gov/Archives/edgar/data/1423689/000142368920000014/depositaryagmt-seriesf.htm" TargetMode="External"/><Relationship Id="rId126" Type="http://schemas.openxmlformats.org/officeDocument/2006/relationships/hyperlink" Target="http://www.sec.gov/Archives/edgar/data/1423689/000142368922000069/depositaryagmt.htm" TargetMode="External"/><Relationship Id="rId127" Type="http://schemas.openxmlformats.org/officeDocument/2006/relationships/hyperlink" Target="http://www.sec.gov/Archives/edgar/data/1423689/000142368921000059/a101indem.htm" TargetMode="External"/><Relationship Id="rId128" Type="http://schemas.openxmlformats.org/officeDocument/2006/relationships/hyperlink" Target="http://www.sec.gov/Archives/edgar/data/1423689/000142368921000066/a101indem.htm" TargetMode="External"/><Relationship Id="rId129" Type="http://schemas.openxmlformats.org/officeDocument/2006/relationships/hyperlink" Target="http://www.sec.gov/Archives/edgar/data/1423689/000119312520314929/d95688dex101.htm" TargetMode="External"/><Relationship Id="rId131" Type="http://schemas.openxmlformats.org/officeDocument/2006/relationships/hyperlink" Target="http://www.sec.gov/Archives/edgar/data/1423689/000119312520314929/d95688dex102.htm" TargetMode="External"/><Relationship Id="rId132" Type="http://schemas.openxmlformats.org/officeDocument/2006/relationships/hyperlink" Target="http://www.sec.gov/Archives/edgar/data/1423689/000142368923000017/agncexhibit10412312210-k.htm" TargetMode="External"/><Relationship Id="rId133" Type="http://schemas.openxmlformats.org/officeDocument/2006/relationships/hyperlink" Target="http://www.sec.gov/Archives/edgar/data/1423689/000119312520314929/d95688dex103.htm" TargetMode="External"/><Relationship Id="rId134" Type="http://schemas.openxmlformats.org/officeDocument/2006/relationships/hyperlink" Target="http://www.sec.gov/Archives/edgar/data/1423689/000142368923000017/agncexhibit10612312210-k.htm" TargetMode="External"/><Relationship Id="rId135" Type="http://schemas.openxmlformats.org/officeDocument/2006/relationships/hyperlink" Target="http://www.sec.gov/Archives/edgar/data/1423689/000142368921000005/bell12221.htm" TargetMode="External"/><Relationship Id="rId136" Type="http://schemas.openxmlformats.org/officeDocument/2006/relationships/hyperlink" Target="http://www.sec.gov/Archives/edgar/data/1423689/000142368922000004/bbell.htm" TargetMode="External"/><Relationship Id="rId137" Type="http://schemas.openxmlformats.org/officeDocument/2006/relationships/hyperlink" Target="http://www.sec.gov/Archives/edgar/data/1423689/000142368923000008/amdt2bell.htm" TargetMode="External"/><Relationship Id="rId138" Type="http://schemas.openxmlformats.org/officeDocument/2006/relationships/hyperlink" Target="http://www.sec.gov/Archives/edgar/data/1423689/000142368921000011/agncexhibit101512312010-k.htm" TargetMode="External"/><Relationship Id="rId139" Type="http://schemas.openxmlformats.org/officeDocument/2006/relationships/hyperlink" Target="http://www.sec.gov/Archives/edgar/data/1423689/000142368922000004/pollack.htm" TargetMode="External"/><Relationship Id="rId140" Type="http://schemas.openxmlformats.org/officeDocument/2006/relationships/hyperlink" Target="http://www.sec.gov/Archives/edgar/data/1423689/000142368923000008/amdt2pollack.htm" TargetMode="External"/><Relationship Id="rId141" Type="http://schemas.openxmlformats.org/officeDocument/2006/relationships/hyperlink" Target="http://www.sec.gov/Archives/edgar/data/1423689/000142368922000014/agncexhibit101112312110-k.htm" TargetMode="External"/><Relationship Id="rId142" Type="http://schemas.openxmlformats.org/officeDocument/2006/relationships/hyperlink" Target="http://www.sec.gov/Archives/edgar/data/1423689/000142368918000007/agncexhibit101412311710-k.htm" TargetMode="External"/><Relationship Id="rId143" Type="http://schemas.openxmlformats.org/officeDocument/2006/relationships/hyperlink" Target="http://www.sec.gov/Archives/edgar/data/1423689/000142368918000047/agncexhibit109301810-q.htm" TargetMode="External"/><Relationship Id="rId144" Type="http://schemas.openxmlformats.org/officeDocument/2006/relationships/hyperlink" Target="http://www.sec.gov/Archives/edgar/data/1423689/000142368921000011/agncexhibit102612312010-k.htm" TargetMode="External"/><Relationship Id="rId145" Type="http://schemas.openxmlformats.org/officeDocument/2006/relationships/hyperlink" Target="http://www.sec.gov/Archives/edgar/data/1423689/000142368921000011/agncexhibit102712312010-k.htm" TargetMode="External"/><Relationship Id="rId146" Type="http://schemas.openxmlformats.org/officeDocument/2006/relationships/hyperlink" Target="http://www.sec.gov/Archives/edgar/data/1423689/000142368921000011/agncexhibit102812312010-k.htm" TargetMode="External"/><Relationship Id="rId148" Type="http://schemas.openxmlformats.org/officeDocument/2006/relationships/hyperlink" Target="http://www.sec.gov/Archives/edgar/data/1423689/000142368921000011/agncexhibit102912312010-k.htm" TargetMode="External"/><Relationship Id="rId149" Type="http://schemas.openxmlformats.org/officeDocument/2006/relationships/hyperlink" Target="http://www.sec.gov/Archives/edgar/data/1423689/000142368923000051/agncexhibit1463023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2024-02-22T16:33:39Z</dcterms:created>
  <dcterms:modified xsi:type="dcterms:W3CDTF">2024-02-22T16:33:39Z</dcterms:modified>
</cp:coreProperties>
</file>