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ind w:left="38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-241300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5325745</wp:posOffset>
            </wp:positionH>
            <wp:positionV relativeFrom="paragraph">
              <wp:posOffset>-646430</wp:posOffset>
            </wp:positionV>
            <wp:extent cx="59055" cy="6597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4048125</wp:posOffset>
            </wp:positionH>
            <wp:positionV relativeFrom="paragraph">
              <wp:posOffset>-646430</wp:posOffset>
            </wp:positionV>
            <wp:extent cx="59055" cy="6597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-1569720</wp:posOffset>
            </wp:positionH>
            <wp:positionV relativeFrom="paragraph">
              <wp:posOffset>19685</wp:posOffset>
            </wp:positionV>
            <wp:extent cx="6989445" cy="49669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45" cy="4966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25" w:right="35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740" w:type="dxa"/>
            <w:vAlign w:val="bottom"/>
            <w:gridSpan w:val="7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8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20" w:type="dxa"/>
            <w:vAlign w:val="bottom"/>
            <w:gridSpan w:val="1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80" w:type="dxa"/>
            <w:vAlign w:val="bottom"/>
            <w:gridSpan w:val="4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1"/>
                <w:szCs w:val="21"/>
                <w:color w:val="0000EE"/>
                <w:w w:val="92"/>
              </w:rPr>
            </w:pPr>
            <w:hyperlink r:id="rId12">
              <w:r>
                <w:rPr>
                  <w:rFonts w:ascii="Arial" w:cs="Arial" w:eastAsia="Arial" w:hAnsi="Arial"/>
                  <w:sz w:val="21"/>
                  <w:szCs w:val="21"/>
                  <w:color w:val="0000EE"/>
                  <w:w w:val="92"/>
                </w:rPr>
                <w:t>Kuehl Christopher</w:t>
              </w:r>
            </w:hyperlink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80" w:type="dxa"/>
            <w:vAlign w:val="bottom"/>
            <w:gridSpan w:val="7"/>
          </w:tcPr>
          <w:p>
            <w:pPr>
              <w:spacing w:after="0" w:line="107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 xml:space="preserve">AGNC Investment Corp. </w:t>
              </w:r>
            </w:hyperlink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[</w:t>
            </w:r>
            <w:r>
              <w:rPr>
                <w:rFonts w:ascii="Arial" w:cs="Arial" w:eastAsia="Arial" w:hAnsi="Arial"/>
                <w:sz w:val="12"/>
                <w:szCs w:val="12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0"/>
                <w:szCs w:val="10"/>
                <w:color w:val="0000FF"/>
              </w:rPr>
              <w:t>AGNC</w:t>
            </w:r>
            <w:r>
              <w:rPr>
                <w:rFonts w:ascii="Arial" w:cs="Arial" w:eastAsia="Arial" w:hAnsi="Arial"/>
                <w:sz w:val="12"/>
                <w:szCs w:val="12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]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80" w:type="dxa"/>
            <w:vAlign w:val="bottom"/>
            <w:gridSpan w:val="8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(Check all applicable)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00" w:type="dxa"/>
            <w:vAlign w:val="bottom"/>
            <w:gridSpan w:val="4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0000EE"/>
            </w:tcBorders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200" w:type="dxa"/>
            <w:vAlign w:val="bottom"/>
            <w:gridSpan w:val="3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00" w:type="dxa"/>
            <w:vAlign w:val="bottom"/>
            <w:gridSpan w:val="4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  <w:gridSpan w:val="3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3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980" w:type="dxa"/>
            <w:vAlign w:val="bottom"/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 Date of Earliest Transaction (Month/Day/Year)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  <w:vMerge w:val="restart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2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98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8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  <w:vMerge w:val="restart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EVP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300" w:type="dxa"/>
            <w:vAlign w:val="bottom"/>
            <w:gridSpan w:val="5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AGNC INVESTMENT CORP.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60" w:type="dxa"/>
            <w:vAlign w:val="bottom"/>
            <w:gridSpan w:val="6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03/16/2020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30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4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 BETHESDA METRO CENTER, 12TH FLOOR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20" w:type="dxa"/>
            <w:vAlign w:val="bottom"/>
            <w:gridSpan w:val="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20" w:type="dxa"/>
            <w:vAlign w:val="bottom"/>
            <w:gridSpan w:val="1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  <w:gridSpan w:val="5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140" w:type="dxa"/>
            <w:vAlign w:val="bottom"/>
            <w:gridSpan w:val="10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BETHESDA</w:t>
            </w:r>
          </w:p>
        </w:tc>
        <w:tc>
          <w:tcPr>
            <w:tcW w:w="1120" w:type="dxa"/>
            <w:vAlign w:val="bottom"/>
            <w:gridSpan w:val="3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MD</w:t>
            </w:r>
          </w:p>
        </w:tc>
        <w:tc>
          <w:tcPr>
            <w:tcW w:w="13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20814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4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40" w:type="dxa"/>
            <w:vAlign w:val="bottom"/>
            <w:gridSpan w:val="8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4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  <w:gridSpan w:val="3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3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40" w:type="dxa"/>
            <w:vAlign w:val="bottom"/>
            <w:tcBorders>
              <w:top w:val="single" w:sz="8" w:color="2C2C2C"/>
            </w:tcBorders>
            <w:gridSpan w:val="22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2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780" w:type="dxa"/>
            <w:vAlign w:val="bottom"/>
            <w:gridSpan w:val="5"/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80" w:type="dxa"/>
            <w:vAlign w:val="bottom"/>
            <w:gridSpan w:val="7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7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780" w:type="dxa"/>
            <w:vAlign w:val="bottom"/>
            <w:gridSpan w:val="7"/>
          </w:tcPr>
          <w:p>
            <w:pPr>
              <w:ind w:lef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Disposed Of (D) (Instr. 3, 4 and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</w:tcPr>
          <w:p>
            <w:pPr>
              <w:ind w:lef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gridSpan w:val="5"/>
          </w:tcPr>
          <w:p>
            <w:pPr>
              <w:ind w:left="7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4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  <w:vMerge w:val="restart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4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440" w:type="dxa"/>
            <w:vAlign w:val="bottom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(A) or</w:t>
            </w:r>
          </w:p>
        </w:tc>
        <w:tc>
          <w:tcPr>
            <w:tcW w:w="600" w:type="dxa"/>
            <w:vAlign w:val="bottom"/>
            <w:gridSpan w:val="4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03/16/2020</w:t>
            </w: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F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4"/>
              </w:rPr>
              <w:t>10,544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94"/>
                <w:vertAlign w:val="superscript"/>
              </w:rPr>
              <w:t>(1)</w:t>
            </w: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2000" w:type="dxa"/>
            <w:vAlign w:val="bottom"/>
            <w:tcBorders>
              <w:bottom w:val="single" w:sz="8" w:color="2C2C2C"/>
            </w:tcBorders>
            <w:gridSpan w:val="9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11.81  472,629.445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(2)</w:t>
            </w: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2,000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I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IRA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920" w:type="dxa"/>
            <w:vAlign w:val="bottom"/>
            <w:tcBorders>
              <w:top w:val="single" w:sz="8" w:color="2C2C2C"/>
            </w:tcBorders>
            <w:gridSpan w:val="21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2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20" w:type="dxa"/>
            <w:vAlign w:val="bottom"/>
            <w:gridSpan w:val="16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  <w:right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5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3. Transaction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4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8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040" w:type="dxa"/>
            <w:vAlign w:val="bottom"/>
            <w:gridSpan w:val="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6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6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80" w:type="dxa"/>
            <w:vAlign w:val="bottom"/>
            <w:gridSpan w:val="4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040" w:type="dxa"/>
            <w:vAlign w:val="bottom"/>
            <w:gridSpan w:val="5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64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222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if any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6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80" w:type="dxa"/>
            <w:vAlign w:val="bottom"/>
            <w:gridSpan w:val="4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40" w:type="dxa"/>
            <w:vAlign w:val="bottom"/>
            <w:gridSpan w:val="5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4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5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40" w:type="dxa"/>
            <w:vAlign w:val="bottom"/>
            <w:gridSpan w:val="4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5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4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Beneficially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5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5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5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4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0" w:type="dxa"/>
            <w:vAlign w:val="bottom"/>
            <w:gridSpan w:val="6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Explanation of Responses: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80" w:type="dxa"/>
            <w:vAlign w:val="bottom"/>
            <w:gridSpan w:val="17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8000"/>
                <w:w w:val="99"/>
              </w:rPr>
              <w:t>1. Dispositions represent shares withheld upon vesting of restricted stock unit awards to cover required tax withholdings.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120" w:type="dxa"/>
            <w:vAlign w:val="bottom"/>
            <w:gridSpan w:val="2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8000"/>
                <w:w w:val="93"/>
              </w:rPr>
              <w:t>2. Includes 1,895 dividend equivalent restricted stock units received on previously granted RSU awards since the Reporting Person's last Form 4 filing.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8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Remarks: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4"/>
              </w:rPr>
              <w:t>Christopher Kuehl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03/17/2020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0" w:type="dxa"/>
            <w:vAlign w:val="bottom"/>
            <w:gridSpan w:val="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140" w:type="dxa"/>
            <w:vAlign w:val="bottom"/>
            <w:gridSpan w:val="15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Reminder: Report on a separate line for each class of securities beneficially owned directly or indirectly.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60" w:type="dxa"/>
            <w:vAlign w:val="bottom"/>
            <w:gridSpan w:val="1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* If the form is filed by more than one reporting person, </w:t>
            </w:r>
            <w:r>
              <w:rPr>
                <w:rFonts w:ascii="Arial" w:cs="Arial" w:eastAsia="Arial" w:hAnsi="Arial"/>
                <w:sz w:val="13"/>
                <w:szCs w:val="13"/>
                <w:i w:val="1"/>
                <w:iCs w:val="1"/>
                <w:color w:val="auto"/>
              </w:rPr>
              <w:t>see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Instruction 4 (b)(v).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7005955</wp:posOffset>
            </wp:positionH>
            <wp:positionV relativeFrom="paragraph">
              <wp:posOffset>-2940050</wp:posOffset>
            </wp:positionV>
            <wp:extent cx="298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jc w:val="both"/>
        <w:ind w:left="40" w:right="3340" w:firstLine="7"/>
        <w:spacing w:after="0" w:line="319" w:lineRule="auto"/>
        <w:tabs>
          <w:tab w:leader="none" w:pos="181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5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2" Type="http://schemas.openxmlformats.org/officeDocument/2006/relationships/hyperlink" Target="http://www.sec.gov/cgi-bin/browse-edgar?action=getcompany&amp;CIK=0001544050" TargetMode="External"/><Relationship Id="rId13" Type="http://schemas.openxmlformats.org/officeDocument/2006/relationships/hyperlink" Target="http://www.sec.gov/cgi-bin/browse-edgar?action=getcompany&amp;CIK=0001423689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2020-03-17T15:34:43Z</dcterms:created>
  <dcterms:modified xsi:type="dcterms:W3CDTF">2020-03-17T15:34:43Z</dcterms:modified>
</cp:coreProperties>
</file>