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42"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001-34057</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108585</wp:posOffset>
            </wp:positionV>
            <wp:extent cx="1551940" cy="857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CAPITAL AGENCY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153"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00" w:type="dxa"/>
            <w:vAlign w:val="bottom"/>
          </w:tcPr>
          <w:p>
            <w:pPr>
              <w:jc w:val="center"/>
              <w:ind w:right="2182"/>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2182"/>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5"/>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Bethesda Metro Center, 14th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Bethesda, Maryland 20814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968-9300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47" w:lineRule="exact"/>
        <w:rPr>
          <w:sz w:val="24"/>
          <w:szCs w:val="24"/>
          <w:color w:val="auto"/>
        </w:rPr>
      </w:pPr>
    </w:p>
    <w:p>
      <w:pPr>
        <w:ind w:right="1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to be filed by Section 13 or 15(d) of the Securities Exchange Act of 1934 during the 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15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446"/>
        </w:trPr>
        <w:tc>
          <w:tcPr>
            <w:tcW w:w="21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2740" w:type="dxa"/>
            <w:vAlign w:val="bottom"/>
          </w:tcPr>
          <w:p>
            <w:pPr>
              <w:ind w:left="640"/>
              <w:spacing w:after="0"/>
              <w:rPr>
                <w:sz w:val="20"/>
                <w:szCs w:val="20"/>
                <w:color w:val="auto"/>
              </w:rPr>
            </w:pPr>
            <w:r>
              <w:rPr>
                <w:rFonts w:ascii="Arial" w:cs="Arial" w:eastAsia="Arial" w:hAnsi="Arial"/>
                <w:sz w:val="18"/>
                <w:szCs w:val="18"/>
                <w:color w:val="auto"/>
                <w:w w:val="91"/>
              </w:rPr>
              <w:t>Smaller Reporting Company</w:t>
            </w:r>
          </w:p>
        </w:tc>
        <w:tc>
          <w:tcPr>
            <w:tcW w:w="15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276"/>
        </w:trPr>
        <w:tc>
          <w:tcPr>
            <w:tcW w:w="80" w:type="dxa"/>
            <w:vAlign w:val="bottom"/>
          </w:tcPr>
          <w:p>
            <w:pPr>
              <w:spacing w:after="0"/>
              <w:rPr>
                <w:sz w:val="24"/>
                <w:szCs w:val="24"/>
                <w:color w:val="auto"/>
              </w:rPr>
            </w:pPr>
          </w:p>
        </w:tc>
        <w:tc>
          <w:tcPr>
            <w:tcW w:w="9640" w:type="dxa"/>
            <w:vAlign w:val="bottom"/>
            <w:gridSpan w:val="4"/>
          </w:tcPr>
          <w:p>
            <w:pPr>
              <w:ind w:left="320"/>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5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80" w:type="dxa"/>
            <w:vAlign w:val="bottom"/>
          </w:tcPr>
          <w:p>
            <w:pPr>
              <w:spacing w:after="0"/>
              <w:rPr>
                <w:sz w:val="20"/>
                <w:szCs w:val="20"/>
                <w:color w:val="auto"/>
              </w:rPr>
            </w:pPr>
          </w:p>
        </w:tc>
        <w:tc>
          <w:tcPr>
            <w:tcW w:w="9640" w:type="dxa"/>
            <w:vAlign w:val="bottom"/>
            <w:gridSpan w:val="4"/>
          </w:tcPr>
          <w:p>
            <w:pPr>
              <w:ind w:left="220"/>
              <w:spacing w:after="0"/>
              <w:rPr>
                <w:sz w:val="20"/>
                <w:szCs w:val="20"/>
                <w:color w:val="auto"/>
              </w:rPr>
            </w:pPr>
            <w:r>
              <w:rPr>
                <w:rFonts w:ascii="Arial" w:cs="Arial" w:eastAsia="Arial" w:hAnsi="Arial"/>
                <w:sz w:val="18"/>
                <w:szCs w:val="18"/>
                <w:color w:val="auto"/>
                <w:w w:val="98"/>
              </w:rPr>
              <w:t>The number of shares of the issuer's common stock, $0.01 par value, outstanding as of April 30, 2015 was 352,788,707.</w:t>
            </w:r>
          </w:p>
        </w:tc>
        <w:tc>
          <w:tcPr>
            <w:tcW w:w="1560" w:type="dxa"/>
            <w:vAlign w:val="bottom"/>
          </w:tcPr>
          <w:p>
            <w:pPr>
              <w:spacing w:after="0"/>
              <w:rPr>
                <w:sz w:val="20"/>
                <w:szCs w:val="20"/>
                <w:color w:val="auto"/>
              </w:rPr>
            </w:pPr>
          </w:p>
        </w:tc>
      </w:tr>
      <w:tr>
        <w:trPr>
          <w:trHeight w:val="135"/>
        </w:trPr>
        <w:tc>
          <w:tcPr>
            <w:tcW w:w="8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15"/>
        </w:trPr>
        <w:tc>
          <w:tcPr>
            <w:tcW w:w="80" w:type="dxa"/>
            <w:vAlign w:val="bottom"/>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03" w:right="239" w:bottom="1440" w:gutter="0" w:footer="0" w:header="0"/>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4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PART I.</w:t>
              </w:r>
            </w:hyperlink>
          </w:p>
        </w:tc>
        <w:tc>
          <w:tcPr>
            <w:tcW w:w="7660" w:type="dxa"/>
            <w:vAlign w:val="bottom"/>
            <w:gridSpan w:val="6"/>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FINANCIAL INFORMATION</w:t>
              </w:r>
            </w:hyperlink>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40"/>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Item 1.</w:t>
              </w:r>
            </w:hyperlink>
          </w:p>
        </w:tc>
        <w:tc>
          <w:tcPr>
            <w:tcW w:w="580" w:type="dxa"/>
            <w:vAlign w:val="bottom"/>
            <w:tcBorders>
              <w:top w:val="single" w:sz="8" w:color="0000EE"/>
            </w:tcBorders>
            <w:gridSpan w:val="2"/>
          </w:tcPr>
          <w:p>
            <w:pPr>
              <w:spacing w:after="0"/>
              <w:rPr>
                <w:sz w:val="24"/>
                <w:szCs w:val="24"/>
                <w:color w:val="auto"/>
              </w:rPr>
            </w:pPr>
          </w:p>
        </w:tc>
        <w:tc>
          <w:tcPr>
            <w:tcW w:w="2140" w:type="dxa"/>
            <w:vAlign w:val="bottom"/>
            <w:tcBorders>
              <w:top w:val="single" w:sz="8" w:color="0000EE"/>
            </w:tcBorders>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4"/>
                <w:szCs w:val="24"/>
                <w:color w:val="auto"/>
              </w:rPr>
            </w:pPr>
          </w:p>
        </w:tc>
        <w:tc>
          <w:tcPr>
            <w:tcW w:w="1980" w:type="dxa"/>
            <w:vAlign w:val="bottom"/>
            <w:gridSpan w:val="2"/>
          </w:tcPr>
          <w:p>
            <w:pPr>
              <w:jc w:val="center"/>
              <w:ind w:left="1819"/>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c>
          <w:tcPr>
            <w:tcW w:w="4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Item 2.</w:t>
              </w:r>
            </w:hyperlink>
          </w:p>
        </w:tc>
        <w:tc>
          <w:tcPr>
            <w:tcW w:w="580" w:type="dxa"/>
            <w:vAlign w:val="bottom"/>
            <w:gridSpan w:val="2"/>
          </w:tcPr>
          <w:p>
            <w:pPr>
              <w:spacing w:after="0"/>
              <w:rPr>
                <w:sz w:val="20"/>
                <w:szCs w:val="20"/>
                <w:color w:val="auto"/>
              </w:rPr>
            </w:pPr>
          </w:p>
        </w:tc>
        <w:tc>
          <w:tcPr>
            <w:tcW w:w="5800" w:type="dxa"/>
            <w:vAlign w:val="bottom"/>
            <w:tcBorders>
              <w:bottom w:val="single" w:sz="8" w:color="0000EE"/>
            </w:tcBorders>
            <w:gridSpan w:val="5"/>
          </w:tcPr>
          <w:p>
            <w:pPr>
              <w:spacing w:after="0"/>
              <w:rPr>
                <w:rFonts w:ascii="Arial" w:cs="Arial" w:eastAsia="Arial" w:hAnsi="Arial"/>
                <w:sz w:val="16"/>
                <w:szCs w:val="16"/>
                <w:color w:val="0000EE"/>
                <w:w w:val="91"/>
              </w:rPr>
            </w:pPr>
            <w:hyperlink w:anchor="page25">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5">
              <w:r>
                <w:rPr>
                  <w:rFonts w:ascii="Arial" w:cs="Arial" w:eastAsia="Arial" w:hAnsi="Arial"/>
                  <w:sz w:val="15"/>
                  <w:szCs w:val="15"/>
                  <w:color w:val="0000EE"/>
                  <w:w w:val="71"/>
                </w:rPr>
                <w:t>25</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46">
              <w:r>
                <w:rPr>
                  <w:rFonts w:ascii="Arial" w:cs="Arial" w:eastAsia="Arial" w:hAnsi="Arial"/>
                  <w:sz w:val="16"/>
                  <w:szCs w:val="16"/>
                  <w:color w:val="0000EE"/>
                  <w:w w:val="89"/>
                </w:rPr>
                <w:t>Item 3.</w:t>
              </w:r>
            </w:hyperlink>
          </w:p>
        </w:tc>
        <w:tc>
          <w:tcPr>
            <w:tcW w:w="580" w:type="dxa"/>
            <w:vAlign w:val="bottom"/>
            <w:gridSpan w:val="2"/>
          </w:tcPr>
          <w:p>
            <w:pPr>
              <w:spacing w:after="0"/>
              <w:rPr>
                <w:sz w:val="20"/>
                <w:szCs w:val="20"/>
                <w:color w:val="auto"/>
              </w:rPr>
            </w:pPr>
          </w:p>
        </w:tc>
        <w:tc>
          <w:tcPr>
            <w:tcW w:w="7660" w:type="dxa"/>
            <w:vAlign w:val="bottom"/>
            <w:gridSpan w:val="6"/>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Quantitative and Qualitative Disclosures About Market Risk</w:t>
              </w:r>
            </w:hyperlink>
          </w:p>
        </w:tc>
        <w:tc>
          <w:tcPr>
            <w:tcW w:w="2020" w:type="dxa"/>
            <w:vAlign w:val="bottom"/>
            <w:gridSpan w:val="3"/>
          </w:tcPr>
          <w:p>
            <w:pPr>
              <w:jc w:val="center"/>
              <w:ind w:left="1779"/>
              <w:spacing w:after="0"/>
              <w:rPr>
                <w:rFonts w:ascii="Arial" w:cs="Arial" w:eastAsia="Arial" w:hAnsi="Arial"/>
                <w:sz w:val="16"/>
                <w:szCs w:val="16"/>
                <w:color w:val="0000EE"/>
                <w:w w:val="89"/>
              </w:rPr>
            </w:pPr>
            <w:hyperlink w:anchor="page46">
              <w:r>
                <w:rPr>
                  <w:rFonts w:ascii="Arial" w:cs="Arial" w:eastAsia="Arial" w:hAnsi="Arial"/>
                  <w:sz w:val="16"/>
                  <w:szCs w:val="16"/>
                  <w:color w:val="0000EE"/>
                  <w:w w:val="89"/>
                </w:rPr>
                <w:t>45</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Item 4.</w:t>
              </w:r>
            </w:hyperlink>
          </w:p>
        </w:tc>
        <w:tc>
          <w:tcPr>
            <w:tcW w:w="580" w:type="dxa"/>
            <w:vAlign w:val="bottom"/>
            <w:gridSpan w:val="2"/>
          </w:tcPr>
          <w:p>
            <w:pPr>
              <w:spacing w:after="0"/>
              <w:rPr>
                <w:sz w:val="20"/>
                <w:szCs w:val="20"/>
                <w:color w:val="auto"/>
              </w:rPr>
            </w:pPr>
          </w:p>
        </w:tc>
        <w:tc>
          <w:tcPr>
            <w:tcW w:w="3920" w:type="dxa"/>
            <w:vAlign w:val="bottom"/>
            <w:tcBorders>
              <w:top w:val="single" w:sz="8" w:color="0000EE"/>
            </w:tcBorders>
            <w:gridSpan w:val="4"/>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Controls and Proceedures</w:t>
              </w:r>
            </w:hyperlink>
          </w:p>
        </w:tc>
        <w:tc>
          <w:tcPr>
            <w:tcW w:w="3740" w:type="dxa"/>
            <w:vAlign w:val="bottom"/>
            <w:gridSpan w:val="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50">
              <w:r>
                <w:rPr>
                  <w:rFonts w:ascii="Arial" w:cs="Arial" w:eastAsia="Arial" w:hAnsi="Arial"/>
                  <w:sz w:val="15"/>
                  <w:szCs w:val="15"/>
                  <w:color w:val="0000EE"/>
                  <w:w w:val="71"/>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PART II.</w:t>
              </w:r>
            </w:hyperlink>
          </w:p>
        </w:tc>
        <w:tc>
          <w:tcPr>
            <w:tcW w:w="6720" w:type="dxa"/>
            <w:vAlign w:val="bottom"/>
            <w:gridSpan w:val="9"/>
          </w:tcPr>
          <w:p>
            <w:pPr>
              <w:spacing w:after="0"/>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OTHER INFORMATION</w:t>
              </w:r>
            </w:hyperlink>
          </w:p>
        </w:tc>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34"/>
        </w:trPr>
        <w:tc>
          <w:tcPr>
            <w:tcW w:w="580" w:type="dxa"/>
            <w:vAlign w:val="bottom"/>
            <w:tcBorders>
              <w:top w:val="single" w:sz="8" w:color="0000EE"/>
              <w:bottom w:val="single" w:sz="8" w:color="0000EE"/>
            </w:tcBorders>
            <w:gridSpan w:val="2"/>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Item 1.</w:t>
              </w:r>
            </w:hyperlink>
          </w:p>
        </w:tc>
        <w:tc>
          <w:tcPr>
            <w:tcW w:w="40" w:type="dxa"/>
            <w:vAlign w:val="bottom"/>
            <w:tcBorders>
              <w:top w:val="single" w:sz="8" w:color="0000EE"/>
            </w:tcBorders>
          </w:tcPr>
          <w:p>
            <w:pPr>
              <w:spacing w:after="0"/>
              <w:rPr>
                <w:sz w:val="24"/>
                <w:szCs w:val="24"/>
                <w:color w:val="auto"/>
              </w:rPr>
            </w:pPr>
          </w:p>
        </w:tc>
        <w:tc>
          <w:tcPr>
            <w:tcW w:w="420" w:type="dxa"/>
            <w:vAlign w:val="bottom"/>
            <w:gridSpan w:val="2"/>
          </w:tcPr>
          <w:p>
            <w:pPr>
              <w:spacing w:after="0"/>
              <w:rPr>
                <w:sz w:val="24"/>
                <w:szCs w:val="24"/>
                <w:color w:val="auto"/>
              </w:rPr>
            </w:pPr>
          </w:p>
        </w:tc>
        <w:tc>
          <w:tcPr>
            <w:tcW w:w="120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Legal Proceedings</w:t>
              </w:r>
            </w:hyperlink>
          </w:p>
        </w:tc>
        <w:tc>
          <w:tcPr>
            <w:tcW w:w="620" w:type="dxa"/>
            <w:vAlign w:val="bottom"/>
            <w:tcBorders>
              <w:top w:val="single" w:sz="8" w:color="0000EE"/>
            </w:tcBorders>
            <w:gridSpan w:val="2"/>
          </w:tcPr>
          <w:p>
            <w:pPr>
              <w:spacing w:after="0"/>
              <w:rPr>
                <w:sz w:val="24"/>
                <w:szCs w:val="24"/>
                <w:color w:val="auto"/>
              </w:rPr>
            </w:pPr>
          </w:p>
        </w:tc>
        <w:tc>
          <w:tcPr>
            <w:tcW w:w="4900" w:type="dxa"/>
            <w:vAlign w:val="bottom"/>
            <w:gridSpan w:val="3"/>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50</w:t>
              </w:r>
            </w:hyperlink>
          </w:p>
        </w:tc>
      </w:tr>
      <w:tr>
        <w:trPr>
          <w:trHeight w:val="237"/>
        </w:trPr>
        <w:tc>
          <w:tcPr>
            <w:tcW w:w="580" w:type="dxa"/>
            <w:vAlign w:val="bottom"/>
            <w:gridSpan w:val="2"/>
          </w:tcPr>
          <w:p>
            <w:pPr>
              <w:spacing w:after="0"/>
              <w:rPr>
                <w:rFonts w:ascii="Arial" w:cs="Arial" w:eastAsia="Arial" w:hAnsi="Arial"/>
                <w:sz w:val="16"/>
                <w:szCs w:val="16"/>
                <w:color w:val="0000EE"/>
                <w:w w:val="93"/>
              </w:rPr>
            </w:pPr>
            <w:hyperlink w:anchor="page51">
              <w:r>
                <w:rPr>
                  <w:rFonts w:ascii="Arial" w:cs="Arial" w:eastAsia="Arial" w:hAnsi="Arial"/>
                  <w:sz w:val="16"/>
                  <w:szCs w:val="16"/>
                  <w:color w:val="0000EE"/>
                  <w:w w:val="93"/>
                </w:rPr>
                <w:t>Item 1A.</w:t>
              </w:r>
            </w:hyperlink>
          </w:p>
        </w:tc>
        <w:tc>
          <w:tcPr>
            <w:tcW w:w="460" w:type="dxa"/>
            <w:vAlign w:val="bottom"/>
            <w:gridSpan w:val="3"/>
          </w:tcPr>
          <w:p>
            <w:pPr>
              <w:spacing w:after="0"/>
              <w:rPr>
                <w:sz w:val="20"/>
                <w:szCs w:val="20"/>
                <w:color w:val="auto"/>
              </w:rPr>
            </w:pPr>
          </w:p>
        </w:tc>
        <w:tc>
          <w:tcPr>
            <w:tcW w:w="6720" w:type="dxa"/>
            <w:vAlign w:val="bottom"/>
            <w:gridSpan w:val="9"/>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Risk Factors</w:t>
              </w:r>
            </w:hyperlink>
          </w:p>
        </w:tc>
        <w:tc>
          <w:tcPr>
            <w:tcW w:w="2960" w:type="dxa"/>
            <w:vAlign w:val="bottom"/>
            <w:gridSpan w:val="2"/>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50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Item 2.</w:t>
              </w:r>
            </w:hyperlink>
          </w:p>
        </w:tc>
        <w:tc>
          <w:tcPr>
            <w:tcW w:w="120" w:type="dxa"/>
            <w:vAlign w:val="bottom"/>
          </w:tcPr>
          <w:p>
            <w:pPr>
              <w:spacing w:after="0"/>
              <w:rPr>
                <w:sz w:val="20"/>
                <w:szCs w:val="20"/>
                <w:color w:val="auto"/>
              </w:rPr>
            </w:pPr>
          </w:p>
        </w:tc>
        <w:tc>
          <w:tcPr>
            <w:tcW w:w="460" w:type="dxa"/>
            <w:vAlign w:val="bottom"/>
            <w:gridSpan w:val="3"/>
          </w:tcPr>
          <w:p>
            <w:pPr>
              <w:spacing w:after="0"/>
              <w:rPr>
                <w:sz w:val="20"/>
                <w:szCs w:val="20"/>
                <w:color w:val="auto"/>
              </w:rPr>
            </w:pPr>
          </w:p>
        </w:tc>
        <w:tc>
          <w:tcPr>
            <w:tcW w:w="3920" w:type="dxa"/>
            <w:vAlign w:val="bottom"/>
            <w:tcBorders>
              <w:bottom w:val="single" w:sz="8" w:color="0000EE"/>
            </w:tcBorders>
            <w:gridSpan w:val="8"/>
          </w:tcPr>
          <w:p>
            <w:pPr>
              <w:spacing w:after="0"/>
              <w:rPr>
                <w:rFonts w:ascii="Arial" w:cs="Arial" w:eastAsia="Arial" w:hAnsi="Arial"/>
                <w:sz w:val="16"/>
                <w:szCs w:val="16"/>
                <w:color w:val="0000EE"/>
                <w:w w:val="90"/>
              </w:rPr>
            </w:pPr>
            <w:hyperlink w:anchor="page51">
              <w:r>
                <w:rPr>
                  <w:rFonts w:ascii="Arial" w:cs="Arial" w:eastAsia="Arial" w:hAnsi="Arial"/>
                  <w:sz w:val="16"/>
                  <w:szCs w:val="16"/>
                  <w:color w:val="0000EE"/>
                  <w:w w:val="90"/>
                </w:rPr>
                <w:t>Unregistered Sales of Equity Securities and Use of Proceeds</w:t>
              </w:r>
            </w:hyperlink>
          </w:p>
        </w:tc>
        <w:tc>
          <w:tcPr>
            <w:tcW w:w="2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50</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Item 3.</w:t>
              </w:r>
            </w:hyperlink>
          </w:p>
        </w:tc>
        <w:tc>
          <w:tcPr>
            <w:tcW w:w="580" w:type="dxa"/>
            <w:vAlign w:val="bottom"/>
            <w:gridSpan w:val="4"/>
          </w:tcPr>
          <w:p>
            <w:pPr>
              <w:spacing w:after="0"/>
              <w:rPr>
                <w:sz w:val="20"/>
                <w:szCs w:val="20"/>
                <w:color w:val="auto"/>
              </w:rPr>
            </w:pPr>
          </w:p>
        </w:tc>
        <w:tc>
          <w:tcPr>
            <w:tcW w:w="6720" w:type="dxa"/>
            <w:vAlign w:val="bottom"/>
            <w:gridSpan w:val="9"/>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Defaults upon Senior Securites</w:t>
              </w:r>
            </w:hyperlink>
          </w:p>
        </w:tc>
        <w:tc>
          <w:tcPr>
            <w:tcW w:w="2960" w:type="dxa"/>
            <w:vAlign w:val="bottom"/>
            <w:gridSpan w:val="2"/>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50</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Item 4.</w:t>
              </w:r>
            </w:hyperlink>
          </w:p>
        </w:tc>
        <w:tc>
          <w:tcPr>
            <w:tcW w:w="580" w:type="dxa"/>
            <w:vAlign w:val="bottom"/>
            <w:gridSpan w:val="4"/>
          </w:tcPr>
          <w:p>
            <w:pPr>
              <w:spacing w:after="0"/>
              <w:rPr>
                <w:sz w:val="20"/>
                <w:szCs w:val="20"/>
                <w:color w:val="auto"/>
              </w:rPr>
            </w:pPr>
          </w:p>
        </w:tc>
        <w:tc>
          <w:tcPr>
            <w:tcW w:w="2000" w:type="dxa"/>
            <w:vAlign w:val="bottom"/>
            <w:tcBorders>
              <w:top w:val="single" w:sz="8" w:color="0000EE"/>
            </w:tcBorders>
            <w:gridSpan w:val="7"/>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Mine Safety Disclosures</w:t>
              </w:r>
            </w:hyperlink>
          </w:p>
        </w:tc>
        <w:tc>
          <w:tcPr>
            <w:tcW w:w="4720" w:type="dxa"/>
            <w:vAlign w:val="bottom"/>
            <w:gridSpan w:val="2"/>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top w:val="single" w:sz="8" w:color="0000EE"/>
            </w:tcBorders>
          </w:tcPr>
          <w:p>
            <w:pPr>
              <w:jc w:val="right"/>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50</w:t>
              </w:r>
            </w:hyperlink>
          </w:p>
        </w:tc>
      </w:tr>
      <w:tr>
        <w:trPr>
          <w:trHeight w:val="237"/>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Item 5.</w:t>
              </w:r>
            </w:hyperlink>
          </w:p>
        </w:tc>
        <w:tc>
          <w:tcPr>
            <w:tcW w:w="580" w:type="dxa"/>
            <w:vAlign w:val="bottom"/>
            <w:gridSpan w:val="4"/>
          </w:tcPr>
          <w:p>
            <w:pPr>
              <w:spacing w:after="0"/>
              <w:rPr>
                <w:sz w:val="20"/>
                <w:szCs w:val="20"/>
                <w:color w:val="auto"/>
              </w:rPr>
            </w:pPr>
          </w:p>
        </w:tc>
        <w:tc>
          <w:tcPr>
            <w:tcW w:w="118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3"/>
              </w:rPr>
            </w:pPr>
            <w:hyperlink w:anchor="page51">
              <w:r>
                <w:rPr>
                  <w:rFonts w:ascii="Arial" w:cs="Arial" w:eastAsia="Arial" w:hAnsi="Arial"/>
                  <w:sz w:val="16"/>
                  <w:szCs w:val="16"/>
                  <w:color w:val="0000EE"/>
                  <w:w w:val="93"/>
                </w:rPr>
                <w:t>Other Information</w:t>
              </w:r>
            </w:hyperlink>
          </w:p>
        </w:tc>
        <w:tc>
          <w:tcPr>
            <w:tcW w:w="400" w:type="dxa"/>
            <w:vAlign w:val="bottom"/>
            <w:tcBorders>
              <w:top w:val="single" w:sz="8" w:color="0000EE"/>
            </w:tcBorders>
            <w:gridSpan w:val="2"/>
          </w:tcPr>
          <w:p>
            <w:pPr>
              <w:spacing w:after="0"/>
              <w:rPr>
                <w:sz w:val="20"/>
                <w:szCs w:val="20"/>
                <w:color w:val="auto"/>
              </w:rPr>
            </w:pPr>
          </w:p>
        </w:tc>
        <w:tc>
          <w:tcPr>
            <w:tcW w:w="5140" w:type="dxa"/>
            <w:vAlign w:val="bottom"/>
            <w:gridSpan w:val="4"/>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50</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Item 6.</w:t>
              </w:r>
            </w:hyperlink>
          </w:p>
        </w:tc>
        <w:tc>
          <w:tcPr>
            <w:tcW w:w="580" w:type="dxa"/>
            <w:vAlign w:val="bottom"/>
            <w:gridSpan w:val="4"/>
          </w:tcPr>
          <w:p>
            <w:pPr>
              <w:spacing w:after="0"/>
              <w:rPr>
                <w:sz w:val="20"/>
                <w:szCs w:val="20"/>
                <w:color w:val="auto"/>
              </w:rPr>
            </w:pPr>
          </w:p>
        </w:tc>
        <w:tc>
          <w:tcPr>
            <w:tcW w:w="540" w:type="dxa"/>
            <w:vAlign w:val="bottom"/>
            <w:tcBorders>
              <w:bottom w:val="single" w:sz="8" w:color="0000EE"/>
            </w:tcBorders>
          </w:tcPr>
          <w:p>
            <w:pPr>
              <w:spacing w:after="0"/>
              <w:rPr>
                <w:rFonts w:ascii="Arial" w:cs="Arial" w:eastAsia="Arial" w:hAnsi="Arial"/>
                <w:sz w:val="16"/>
                <w:szCs w:val="16"/>
                <w:color w:val="0000EE"/>
                <w:w w:val="92"/>
              </w:rPr>
            </w:pPr>
            <w:hyperlink w:anchor="page51">
              <w:r>
                <w:rPr>
                  <w:rFonts w:ascii="Arial" w:cs="Arial" w:eastAsia="Arial" w:hAnsi="Arial"/>
                  <w:sz w:val="16"/>
                  <w:szCs w:val="16"/>
                  <w:color w:val="0000EE"/>
                  <w:w w:val="92"/>
                </w:rPr>
                <w:t>Exhibits</w:t>
              </w:r>
            </w:hyperlink>
          </w:p>
        </w:tc>
        <w:tc>
          <w:tcPr>
            <w:tcW w:w="6180" w:type="dxa"/>
            <w:vAlign w:val="bottom"/>
            <w:gridSpan w:val="8"/>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50</w:t>
              </w:r>
            </w:hyperlink>
          </w:p>
        </w:tc>
      </w:tr>
      <w:tr>
        <w:trPr>
          <w:trHeight w:val="534"/>
        </w:trPr>
        <w:tc>
          <w:tcPr>
            <w:tcW w:w="680" w:type="dxa"/>
            <w:vAlign w:val="bottom"/>
            <w:tcBorders>
              <w:bottom w:val="single" w:sz="8" w:color="0000EE"/>
            </w:tcBorders>
            <w:gridSpan w:val="4"/>
          </w:tcPr>
          <w:p>
            <w:pPr>
              <w:spacing w:after="0"/>
              <w:rPr>
                <w:rFonts w:ascii="Arial" w:cs="Arial" w:eastAsia="Arial" w:hAnsi="Arial"/>
                <w:sz w:val="16"/>
                <w:szCs w:val="16"/>
                <w:color w:val="0000EE"/>
                <w:w w:val="86"/>
              </w:rPr>
            </w:pPr>
            <w:hyperlink w:anchor="page52">
              <w:r>
                <w:rPr>
                  <w:rFonts w:ascii="Arial" w:cs="Arial" w:eastAsia="Arial" w:hAnsi="Arial"/>
                  <w:sz w:val="16"/>
                  <w:szCs w:val="16"/>
                  <w:color w:val="0000EE"/>
                  <w:w w:val="86"/>
                </w:rPr>
                <w:t>Signatures</w:t>
              </w:r>
            </w:hyperlink>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52</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280" w:top="58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271780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4"/>
              </w:rPr>
              <w:t>March 31, 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2014</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Agency securities, at fair value (including pledged securities of $56,836 and $51,629, respectively)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55,482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1"/>
              </w:rPr>
              <w:t>Agency securities transferred to consolidated variable interest entities, at fair value (pledged securities)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U.S. Treasury securities, at fair value (including pledged securities of $4,328 and $2,375,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REIT equity securities,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assets,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Receivable for securities sold (including pledged securities of $721 and $79, respectively)</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under reverse 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67,766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Debt of consolidated variable interest entities,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for securities purchased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liabilities,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rPr>
              <w:t>Obligation to return securities borrowed under reverse repurchase agreements, at</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63,749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58,338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 $0.01 par value; 10.0 shares authorized:</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Redeemable Preferred Stock; $0.01 par value; 6.9 shares issued and outstanding (aggregate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liquidation preference of $348)</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Common stock - $0.01 par value; 600.0 shares authorized;</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352.8 shares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5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73,105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67,766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62"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Three months ended March</w:t>
      </w:r>
    </w:p>
    <w:p>
      <w:pPr>
        <w:spacing w:after="0" w:line="26"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2014</w:t>
            </w: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37"/>
        </w:trPr>
        <w:tc>
          <w:tcPr>
            <w:tcW w:w="926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loss,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Gain (loss) on sale of agency securities, net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derivative instruments and other securities,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9260" w:type="dxa"/>
            <w:vAlign w:val="bottom"/>
          </w:tcPr>
          <w:p>
            <w:pPr>
              <w:ind w:left="720"/>
              <w:spacing w:after="0"/>
              <w:rPr>
                <w:sz w:val="20"/>
                <w:szCs w:val="20"/>
                <w:color w:val="auto"/>
              </w:rPr>
            </w:pPr>
            <w:r>
              <w:rPr>
                <w:rFonts w:ascii="Arial" w:cs="Arial" w:eastAsia="Arial" w:hAnsi="Arial"/>
                <w:sz w:val="18"/>
                <w:szCs w:val="18"/>
                <w:color w:val="auto"/>
              </w:rPr>
              <w:t>Total other loss, net</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926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available-for-sale securities,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97"/>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available to common stockholders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r>
      <w:tr>
        <w:trPr>
          <w:trHeight w:val="311"/>
        </w:trPr>
        <w:tc>
          <w:tcPr>
            <w:tcW w:w="9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4"/>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354.8</w:t>
            </w:r>
          </w:p>
        </w:tc>
      </w:tr>
      <w:tr>
        <w:trPr>
          <w:trHeight w:val="251"/>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per common share -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per common share -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251"/>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20" w:type="dxa"/>
            <w:vAlign w:val="bottom"/>
            <w:gridSpan w:val="4"/>
            <w:vMerge w:val="restart"/>
          </w:tcPr>
          <w:p>
            <w:pPr>
              <w:jc w:val="right"/>
              <w:ind w:right="11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vMerge w:val="restart"/>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2014</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8,814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2015</w:t>
            </w: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agency securities premiums and discounts,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Amortization of accumulated other comprehensive loss on interest rate swaps de-designated as qualifying hedges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(Gain) loss on sale of agency securities, net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derivative instruments and other securities,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Purchases of agency securities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agency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Principal collections on agency securities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1,853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U.S. Treasury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U.S. Treasury securities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17,999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12,807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(payments on) reverse repurchase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proceeds from other derivative instruments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REIT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REIT equity securities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Other investing cash flows, net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13,244</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79,314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on repurchase agreements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(112,288)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(93,118)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debt of consolidated variable interest entities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for common stock repurchases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7,541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(14,149)</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1,726</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unaudited interim consolidated financial statements of American Capital Agency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unaudited interim consolidated financial statements include the accounts of our wholly-owned subsidiaries, American Capital Agency TRS, LLC and Old Georgetown Insurance Co., LLC, and variable interest entities for which the Company is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externally managed by American Capital AGNC Management, LLC (our "Manager"), an affiliate of American Capital, Ltd. ("American Capital").</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("FHLB") and in other assets reasonably related to agency securities.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asset value (also referred to as "net book value," "NAV" and "stockholders' equity"). We fund our investments primarily through short-term borrowings structured as repurchase agreements.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ASC Topic 320, </w:t>
      </w:r>
      <w:r>
        <w:rPr>
          <w:rFonts w:ascii="Arial" w:cs="Arial" w:eastAsia="Arial" w:hAnsi="Arial"/>
          <w:sz w:val="16"/>
          <w:szCs w:val="16"/>
          <w:i w:val="1"/>
          <w:iCs w:val="1"/>
          <w:color w:val="auto"/>
        </w:rPr>
        <w:t>Investments—Debt and Equity Securities</w:t>
      </w:r>
      <w:r>
        <w:rPr>
          <w:rFonts w:ascii="Arial" w:cs="Arial" w:eastAsia="Arial" w:hAnsi="Arial"/>
          <w:sz w:val="16"/>
          <w:szCs w:val="16"/>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 reported at amortized cost. We may sell any of our agency securities as part of our overall management of our investment portfolio. Accordingly, we typically designate our agency securities as available-for-sale. All securities classified as available-for-sale are reported at fair value, with unrealized gains and losses reported in accumulated other comprehensive income (loss) ("OCI"),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separate component of stockholders' equity. Upon the sale of a security, we determine the cost of the security and the amount of unrealized gains or losses to reclassify out of accumulated OCI into earnings based on the specific identification method.</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Interest-only securities and inverse interest-only securities (collectively referred to as "interest-only securities") represent our right to receive a specified proportion of the contractual interest flows of specific agency CMO securities. Principal-only securities represent our right to receive the contractual principal flows of specific agency CMO securities. Interest and principal-only securities are measured at fair value through earnings in gain (loss) on derivative instruments and other securities, net in our consolidated statements of comprehensive income. Our investments in interest and principal-only securities are included in agency securities, at fair value on the accompanying consolidated balance sheets.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equity securities represent investments in the common stock of other publicly traded mortgage REITs that invest predominantly in agency MBS.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designate our investments in REIT equity securities as trading securities and report them at fair value on the accompanying consolidated balance sheets.</w:t>
      </w:r>
    </w:p>
    <w:p>
      <w:pPr>
        <w:spacing w:after="0" w:line="1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our agency securities based on valuations obtained from third-party pricing services and non-binding dealer quotes derived from common market pricing methods using observable (or "Level 2") inputs.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based on a market approach using quoted market prices (or "Level 1" inputs). Refer to Note 8 for further discussion of fair value measurements.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our agency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investment securities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Nonrefundable Fees and Other Costs </w:t>
      </w:r>
      <w:r>
        <w:rPr>
          <w:rFonts w:ascii="Arial" w:cs="Arial" w:eastAsia="Arial" w:hAnsi="Arial"/>
          <w:sz w:val="18"/>
          <w:szCs w:val="18"/>
          <w:color w:val="auto"/>
        </w:rPr>
        <w:t>("ASC 310-20").</w:t>
      </w:r>
    </w:p>
    <w:p>
      <w:pPr>
        <w:spacing w:after="0" w:line="13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estimate long-term prepayment speeds of our agency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As market conditions may change rapidly, we may make adjustments for different securities based on our Manager's judgment. Various market participants could use materially different assumptions.</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use a variety of derivative instruments to hedge a portion of our exposure to market risks, including interest rate risk, prepayment risk and extension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forward contracts for the purchase or sale of agency MBS securities in the "to-be-announced" market on a generic pool basis ("TBA securities") and we utilize U.S. Treasury securities and U.S. Treasury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futures contracts, primarily through short sales. We may also purchase or write put or call options on TBA securities and we may invest in other types of mortgage derivatives, such as interest and principal-only securities.</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also enter into TBA contracts as a means of investing in and financing agency securities (thereby increasing our "at risk" leverage) or as a means of disposing of or reducing our exposure to agency securities (thereby reducing our "at risk" leverage). Pursuant to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the balance sheet and to measure those instruments at fair value.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September 30, 2011, we entered into interest rate swap agreements typically with the intention of qualifying for hedge accounting under ASC</w:t>
      </w:r>
    </w:p>
    <w:p>
      <w:pPr>
        <w:spacing w:after="0" w:line="46" w:lineRule="exact"/>
        <w:rPr>
          <w:sz w:val="20"/>
          <w:szCs w:val="20"/>
          <w:color w:val="auto"/>
        </w:rPr>
      </w:pPr>
    </w:p>
    <w:p>
      <w:pPr>
        <w:jc w:val="both"/>
        <w:ind w:firstLine="8"/>
        <w:spacing w:after="0" w:line="255"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However, as of September 30,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 are privately negotiated in the over−the−counter ("OTC") market, with swap agreements entered into subsequent to May 2013 subject to central clearing through a registered commodities exchange ("centrally cleared swaps").</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"non-centrally cleared" interest rate swaps based on valuations obtained from third-party pricing services and the swap counterparty (collectively, “third-party valuations”). The third-party valuations are model-driven using observable inputs consisting of LIBOR and the forward yield curve. We also consider the creditworthiness of both us and our counterparties and the impact of netting and credit enhancement provisions contained in each derivative agreement, such as collateral postings. All of our "non-centrally cleared" interest rate swaps are subject to bilateral collateral arrangements. Consequently, no credit valuation adjustment was made in determining the fair value of such instruments.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interest rate swaption agreements are privately negotiated in the OTC market and are not subject to central clearing. We estimate the fair value of our interest rate swaption agreements based on model-driven valuations obtained from third-party pricing services and the swaption counterparty using observable inputs, taking into account the fair value of the future interest rate swap that we have the option to enter into as well as the remaining length of time that we have to exercise the option, adjusted for non-performance risk, if 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we may from time to time utilize TBA dollar roll transactions to finance agency MBS purchases.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MBS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or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the balance sheet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2015 and December 31, 2014, our investment portfolio consisted of $61.4 billion and $56.7 billion of agency MBS, respectively, and a $4.9 billion and $14.8 billion net long TBA position, at fair value, respectively.</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TBA positions are reported at their net carrying value of $79 million and $192 million as of March 31, 2015 and December 31, 2014,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 6 for further details of our net TBA position as of March 31, 2015 and December 31, 2014.)</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2015 and December 31, 2014, the net unamortized premium balance on our agency MBS was $2.6 billion and $2.5 billion, respectively, including interest and principal-only strips.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our investments in agency MBS as of March 31, 2015 and December 31, 2014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6"/>
              </w:rPr>
              <w:t>March 31, 2015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Gain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59,140</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60,349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61,352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Gain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54,473</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56,748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44,954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12,231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57,474</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1,944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2,562</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46,862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59,995</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1,032</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r>
        <w:trPr>
          <w:trHeight w:val="250"/>
        </w:trPr>
        <w:tc>
          <w:tcPr>
            <w:tcW w:w="64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47,636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13,014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60,955</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354</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397</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48,008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13,039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61,352</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March 31, 2015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264"/>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March 31, 2015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276"/>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quarter ended March 31, 2015 </w:t>
            </w:r>
            <w:r>
              <w:rPr>
                <w:rFonts w:ascii="Arial" w:cs="Arial" w:eastAsia="Arial" w:hAnsi="Arial"/>
                <w:sz w:val="8"/>
                <w:szCs w:val="8"/>
                <w:color w:val="auto"/>
              </w:rPr>
              <w:t>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r>
      <w:tr>
        <w:trPr>
          <w:trHeight w:val="209"/>
        </w:trPr>
        <w:tc>
          <w:tcPr>
            <w:tcW w:w="634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underlying unamortized principal balance ("UPB" or "par value") of our interest-only agency MBS strips was $1.1 billion and the weighted average contractual interest we are entitled to receive was 5.45% of this amount as of March 31, 2015. The par value of our principal-only agency MBS strips was $235 million as of March 31, 2015.</w:t>
      </w:r>
    </w:p>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March 31, 2015.</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 based on forward rates as of March 31, 2015.</w:t>
      </w:r>
    </w:p>
    <w:p>
      <w:pPr>
        <w:spacing w:after="0" w:line="37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23495</wp:posOffset>
            </wp:positionV>
            <wp:extent cx="3155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42,749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10,566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53,422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2,396</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44,592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55,776</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758</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r>
      <w:tr>
        <w:trPr>
          <w:trHeight w:val="250"/>
        </w:trPr>
        <w:tc>
          <w:tcPr>
            <w:tcW w:w="64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45,075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11,159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56,346</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402</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45,451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11,185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56,748</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2014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64"/>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2014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76"/>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year ended December 31, 2014 </w:t>
            </w:r>
            <w:r>
              <w:rPr>
                <w:rFonts w:ascii="Arial" w:cs="Arial" w:eastAsia="Arial" w:hAnsi="Arial"/>
                <w:sz w:val="8"/>
                <w:szCs w:val="8"/>
                <w:color w:val="auto"/>
              </w:rPr>
              <w:t>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155"/>
        </w:trPr>
        <w:tc>
          <w:tcPr>
            <w:tcW w:w="6340" w:type="dxa"/>
            <w:vAlign w:val="bottom"/>
          </w:tcPr>
          <w:p>
            <w:pPr>
              <w:ind w:left="40"/>
              <w:spacing w:after="0" w:line="155" w:lineRule="exact"/>
              <w:rPr>
                <w:sz w:val="20"/>
                <w:szCs w:val="20"/>
                <w:color w:val="auto"/>
              </w:rPr>
            </w:pPr>
            <w:r>
              <w:rPr>
                <w:rFonts w:ascii="Arial" w:cs="Arial" w:eastAsia="Arial" w:hAnsi="Arial"/>
                <w:sz w:val="14"/>
                <w:szCs w:val="14"/>
                <w:color w:val="auto"/>
              </w:rPr>
              <w:t>________________________</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ind w:left="660" w:hanging="328"/>
        <w:spacing w:after="0" w:line="255"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underlying UPB of our interest-only agency MBS strips was $1.2 billion and the weighted average contractual interest we are entitled to receive was 5.46% of this amount as of December 31, 2014. The par value of our principal-only agency MBS strips was $242 million as of December 31, 2014.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87" w:right="239" w:bottom="1440" w:gutter="0" w:footer="0" w:header="0"/>
        </w:sectPr>
      </w:pPr>
    </w:p>
    <w:bookmarkStart w:id="12" w:name="page13"/>
    <w:bookmarkEnd w:id="12"/>
    <w:p>
      <w:pPr>
        <w:ind w:left="660" w:hanging="328"/>
        <w:spacing w:after="0" w:line="250"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December 31, 2014.</w:t>
      </w: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9% based on forward rates as of December 31, 2014.</w:t>
      </w:r>
    </w:p>
    <w:p>
      <w:pPr>
        <w:spacing w:after="0" w:line="15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actual maturities of our agency MBS are generally shorter than the stated contractual maturities. Actual maturities are affected by the contractual lives of the underlying mortgages, periodic contractual principal payments and principal prepayments. As of March 31, 2015 and December 31, 2014, our weighted average expected constant prepayment rate ("CPR") over the remaining life of our aggregate agency MBS portfolio was 10% and 9%, respectively. Our estimates differ materially for different types of securities and thus individual holdings have a wide range of projected CPRs.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as of March 31, 2015 and December 31, 2014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March 31, 2015</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Agency MBS Classified as Available-for-</w:t>
            </w: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Sale </w:t>
            </w:r>
            <w:r>
              <w:rPr>
                <w:rFonts w:ascii="Arial" w:cs="Arial" w:eastAsia="Arial" w:hAnsi="Arial"/>
                <w:sz w:val="8"/>
                <w:szCs w:val="8"/>
                <w:b w:val="1"/>
                <w:bCs w:val="1"/>
                <w:color w:val="auto"/>
              </w:rPr>
              <w:t>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2.62%</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23,885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23,373</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3.27%</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22,153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21,820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3.26%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2.40%</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35,471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2.92%</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3.75%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3.28%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3.28%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59,995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2.72%</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life of our interest-only strips was 5.7 and 6.0 years as of March 31, 2015 and December 31, 2014, respectively. The weighted average life of our principal-only strips was 7.6 and 8.1 years as of March 31, 2015 and December 31, 2014,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agency securities classified as available-for-sale are reported at fair value, with unrealized gains and losses excluded from earnings and reported in accumulated OCI. The following table summarizes changes in accumulated OCI, a separate component of stockholders' equity, for our available-for-sale securities for the three months ended March 31, 2015 and 2014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Beginning</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Reversal of</w:t>
            </w:r>
          </w:p>
        </w:tc>
        <w:tc>
          <w:tcPr>
            <w:tcW w:w="20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Agency Securities Classified as</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and (Losses),</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and Losses,</w:t>
            </w: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Net on Realization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Three months ended March 31, 2015</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58"/>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Three months ended March 31, 2014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(1,087)</w:t>
            </w: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agency securities by length of time that such securities have been in a continuous unrealized loss position as of March 31, 2015 and December 31, 2014 (in millions):</w:t>
      </w:r>
    </w:p>
    <w:p>
      <w:pPr>
        <w:spacing w:after="0" w:line="365"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Unrealized Loss Position For</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3"/>
        </w:trPr>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960" w:type="dxa"/>
            <w:vAlign w:val="bottom"/>
            <w:tcBorders>
              <w:bottom w:val="single" w:sz="8" w:color="auto"/>
            </w:tcBorders>
          </w:tcPr>
          <w:p>
            <w:pPr>
              <w:spacing w:after="0"/>
              <w:rPr>
                <w:sz w:val="22"/>
                <w:szCs w:val="22"/>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Agency Securities Classified as</w:t>
            </w:r>
          </w:p>
        </w:tc>
        <w:tc>
          <w:tcPr>
            <w:tcW w:w="10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Estimated Fair</w:t>
            </w:r>
          </w:p>
        </w:tc>
        <w:tc>
          <w:tcPr>
            <w:tcW w:w="9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3"/>
              </w:rPr>
              <w:t>Estimated Fair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Unrealized</w:t>
            </w:r>
          </w:p>
        </w:tc>
      </w:tr>
      <w:tr>
        <w:trPr>
          <w:trHeight w:val="19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58"/>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December 31, 2014</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22"/>
                <w:szCs w:val="22"/>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11,679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12,457</w:t>
            </w: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(188)</w:t>
            </w:r>
          </w:p>
        </w:tc>
      </w:tr>
    </w:tbl>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the end of each respective reporting period, a decision had not been made to sell any of these agency securities and we do not believe it is more likely than not we will be required to sell the agency securities before recovery of their amortized cost basis. The unrealized losses on these agency securities are not due to credit losses given the GSE guarantees, but are rather due to changes in interest rates and prepayment expectations. We did not recognize any OTTI charges on our investment securities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for the three months ended March 31, 2015 and 2014. However, as we continue to actively manage our portfolio, we may recognize additional realized losses on our agency securities upon selecting specific securities to sell.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net gain (loss) from the sale of agency securities classified as available-for-sale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 (in millions):</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9"/>
        </w:trPr>
        <w:tc>
          <w:tcPr>
            <w:tcW w:w="820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Agency Securities Classified as</w:t>
            </w:r>
          </w:p>
        </w:tc>
        <w:tc>
          <w:tcPr>
            <w:tcW w:w="240" w:type="dxa"/>
            <w:vAlign w:val="bottom"/>
          </w:tcPr>
          <w:p>
            <w:pPr>
              <w:spacing w:after="0"/>
              <w:rPr>
                <w:sz w:val="12"/>
                <w:szCs w:val="12"/>
                <w:color w:val="auto"/>
              </w:rPr>
            </w:pPr>
          </w:p>
        </w:tc>
        <w:tc>
          <w:tcPr>
            <w:tcW w:w="10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sold, at cost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(9,711)</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7,768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9,692</w:t>
            </w: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gain on sale of agency MBS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Gross loss on sale of agency MBS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37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For the three months ended March 31, 2015 and 2014, we recognized a net unrealized gain of $11 million and $12 million, respectively, for the change in value of investments in interest and principal-only strips in gain (loss) on derivative instruments and other securities, net in our consolidated statements of comprehensive income. Over the same periods, we did not recognize any realized gains or losses on our interest or principal-only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March 31, 2015 and December 31, 2014, we held investments in CMO trusts, which are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connection with our consolidated CMO trusts, we recognized agency securities with a total fair value of $1.2 billion and $1.3 billion as of March 31, 2015 and December 31, 2014, respectively, and debt, at fair value, of $725 million and $761 million, respectively, in our accompanying consolidated balance sheets. As of March 31, 2015 and December 31, 2014, the agency securities had an aggregate unpaid principal balance of $1.1 billion and $1.2 billion, respectively, and the debt had an aggregate unpaid principal balance of $707 million and $742 million, respectively. We re-measure our consolidated debt at fair value through earnings in gain (loss) on derivative instruments and other securities, net in our consolidated statements of comprehensive income. For the three months ended March 31, 2015, we recorded no gain or loss associated with our consolidated debt. For the three months ended March 31, 2014, we recognized a net loss of $(3) million associated with our consolidated debt.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both March 31, 2015 and December 31, 2014, the fair value of our CMO securities and interest and principal-only securities was $1.6 billion, excluding the consolidated CMO trusts discussed above, or $2.1 billion including the net asset value of our consolidated CMO trusts. Our maximum exposure to loss related to our CMO securities and interest and principal-only securities, including our consolidated CMO trusts, was $289 million and $274 million as of March 31, 2015 and December 31, 2014,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Debt</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pledge certain of our securities as collateral under repurchase arrangements with financial institutions, the terms and conditions of which are negotiated on a transaction-by-transaction basis. For additional information regarding our pledged assets please refer to Note 7. Interest rates on these borrowings are generally based on LIBOR plus or minus a margin and amounts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2015, we had met all margin call requirements.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arrangements and weighted average interest rates classified by remaining maturities as of March 31, 2015 and December 31, 2014 (dollars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2015</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2014</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MBS: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24,680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14,157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20,223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5,455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6,654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330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2,678</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937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1,268</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48 to &lt; 60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1,706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Total agency MBS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54,331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48,389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1 day</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3,781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1,907</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 / Weighted Average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58,112</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142</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50,296</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March 31, 2015 and December 31, 2014, debt of consolidated VIEs, at fair value ("other debt") was $725 million and $761 million, respectively. As of March 31, 2015 and December 31, 2014, our other debt had a weighted average interest rate of LIBOR plus 43 basis points and a principal balance of $707 million and $742 million, respectively. The actual maturities of our other debt are generally shorter than the stated contractual maturities. The actual maturities are affected by the contractual lives of the underlying agency MBS securitizing our other debt and periodic principal prepayments of such underlying securities. The estimated weighted average life of our other debt as of March 31, 2015 and December 31, 2014 was 5.6 and 5.8 years, respectively.</w:t>
      </w:r>
    </w:p>
    <w:p>
      <w:pPr>
        <w:spacing w:after="0" w:line="10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March 31, 2015 and December 31, 2014, we also had outstanding forward commitments to purchase and sell agency securities through the TBA market (see Notes 3 and 6). These transactions, also referred to as TBA dollar roll transactions, represent a form of "off-balance sheet" financing and serve to either increase, in the case of forward purchases, or decrease, in the case of forward sales, our total "at risk" leverage. However, pursuant to ASC 815, we account for such transactions as one or more series of derivative transactions and, consequently, they are not recognized as debt on our consolidated balance sheet and are excluded from commensurate measurements of our balance sheet debt to equity leverage ratios.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risk management strategy, we hedge a portion of our interest rate risk by entering into derivative and other hedging instrument contracts. We typically enter into agreements for interest rate swaps and interest rate swaptions and purchase or short TBA and U.S. Treasury securities. We may also purchase or write put or call options on TBA securities or we may invest in other types of mortgage derivative securities, such as interest and principal-only securities. Our risk management strategy attempts to manage the overall risk of the portfolio, reduce fluctuations in book value and generate additional income distributable to stockholders. For additional information regarding our derivative instruments and our overall risk management strategy, please refer to the discussion of derivative and other hedging instruments in Note 3.</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the three months ended March 31, 2015 and 2014, we reclassified $29 million and $43 million, respectively, of net deferred losses from accumulated OCI into interest expense related to our de-designated interest rate swaps and recognized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an equal, but offsetting, amount in other comprehensive income. Our total net periodic interest costs on our swap portfolio for these periods was $113 million and $126 million, respectively. The difference of $84 million and $83 million for these periods, respectively, is reported in our accompanying consolidated statements of comprehensive income in gain (loss) on derivative instruments and other securities, net. As of March 31, 2015, the remaining net deferred loss in accumulated OCI related to de-designated interest rate swaps was $111 million and will be reclassified from OCI into interest expense over a remaining weighted average period of 1.2 years. As of March 31, 2015, the net deferred loss expected to be reclassified from OCI into interest expense over the next twelve months was $91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 and liabilities as of March 31,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80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March 31, 2015</w:t>
            </w:r>
          </w:p>
        </w:tc>
        <w:tc>
          <w:tcPr>
            <w:tcW w:w="2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23"/>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92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92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92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4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2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84"/>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w:t>
            </w:r>
          </w:p>
        </w:tc>
        <w:tc>
          <w:tcPr>
            <w:tcW w:w="49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4,328</w:t>
            </w:r>
          </w:p>
        </w:tc>
        <w:tc>
          <w:tcPr>
            <w:tcW w:w="2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Obligation to return securities borrowed under reverse repurchase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w:t>
            </w:r>
          </w:p>
        </w:tc>
        <w:tc>
          <w:tcPr>
            <w:tcW w:w="4920" w:type="dxa"/>
            <w:vAlign w:val="bottom"/>
            <w:gridSpan w:val="2"/>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agreements, at fair value </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2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w:t>
            </w: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Total - (short)/long, net</w:t>
            </w:r>
          </w:p>
        </w:tc>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965</w:t>
            </w:r>
          </w:p>
        </w:tc>
        <w:tc>
          <w:tcPr>
            <w:tcW w:w="22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328"/>
        <w:spacing w:after="0" w:line="24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obligation to return securities borrowed under reverse repurchase agreements as of March 31, 2015 and December 31, 2014 relates to securities borrowed to cover short sales of U.S. Treasury securities from which we received total sale proceeds of $3.3 billion and $5.4 billion, respectively. The change in fair value of the borrowed securities is recorded in gain (loss) on derivative instruments and other securities, net in our consolidated statements of comprehensive income.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tables summarize our interest rate swap agreements outstanding as of March 31, 2015 and December 31, 2014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2015</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10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Net</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Fixed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14,850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10,475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1.74%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9,825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2.45%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2,725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12.5</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44,925</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1.94%</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0.25%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________________________</w:t>
      </w:r>
    </w:p>
    <w:p>
      <w:pPr>
        <w:spacing w:after="0" w:line="2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$10.1 billion with an average forward start date of 0.9 years and an average maturity of 7.3 years from March 31, 2015.</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1.64% as of March 31,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Average maturity measured from March 31, 2015 through stated maturity date.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 2014</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ind w:left="22"/>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12,300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1.33%</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8,975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1.63%</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2.47%</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10,775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2.48%</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3.19%</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12.6</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ind w:left="22"/>
              <w:spacing w:after="0"/>
              <w:rPr>
                <w:sz w:val="20"/>
                <w:szCs w:val="20"/>
                <w:color w:val="auto"/>
              </w:rPr>
            </w:pPr>
            <w:r>
              <w:rPr>
                <w:rFonts w:ascii="Arial" w:cs="Arial" w:eastAsia="Arial" w:hAnsi="Arial"/>
                <w:sz w:val="16"/>
                <w:szCs w:val="16"/>
                <w:color w:val="auto"/>
                <w:w w:val="92"/>
              </w:rPr>
              <w:t>2.05%</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5.8</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Notional amount includes forward starting swaps of $12.4 billion with an average forward start date of 1.1 years and an average maturity of 7.9 years from December 31, 2014.</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1.68% as of December 31, 2014.</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Average maturity measured from December 31, 2014 through stated maturity date.</w:t>
      </w:r>
    </w:p>
    <w:p>
      <w:pPr>
        <w:spacing w:after="0" w:line="31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our interest rate payer swaption agreements outstanding as of March 31, 2015 and December 31, 2014 (dollars in millions):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Payer Swaptions</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auto"/>
                <w:w w:val="97"/>
              </w:rPr>
              <w:t>Option</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left="223"/>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Pay</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2015</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 1 year</w:t>
            </w:r>
          </w:p>
        </w:tc>
        <w:tc>
          <w:tcPr>
            <w:tcW w:w="660" w:type="dxa"/>
            <w:vAlign w:val="bottom"/>
          </w:tcPr>
          <w:p>
            <w:pPr>
              <w:jc w:val="right"/>
              <w:ind w:right="481"/>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117</w:t>
            </w:r>
          </w:p>
        </w:tc>
        <w:tc>
          <w:tcPr>
            <w:tcW w:w="120" w:type="dxa"/>
            <w:vAlign w:val="bottom"/>
          </w:tcPr>
          <w:p>
            <w:pPr>
              <w:spacing w:after="0"/>
              <w:rPr>
                <w:sz w:val="20"/>
                <w:szCs w:val="20"/>
                <w:color w:val="auto"/>
              </w:rPr>
            </w:pPr>
          </w:p>
        </w:tc>
        <w:tc>
          <w:tcPr>
            <w:tcW w:w="740" w:type="dxa"/>
            <w:vAlign w:val="bottom"/>
          </w:tcPr>
          <w:p>
            <w:pPr>
              <w:jc w:val="right"/>
              <w:ind w:right="563"/>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28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4,650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3.33%</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&gt; 1 to ≤ 2 years</w:t>
            </w:r>
          </w:p>
        </w:tc>
        <w:tc>
          <w:tcPr>
            <w:tcW w:w="6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Payer Swaptions</w:t>
            </w:r>
          </w:p>
        </w:tc>
        <w:tc>
          <w:tcPr>
            <w:tcW w:w="6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130</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29</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5,200</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3.40%</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3M</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7.0</w:t>
            </w:r>
          </w:p>
        </w:tc>
        <w:tc>
          <w:tcPr>
            <w:tcW w:w="0" w:type="dxa"/>
            <w:vAlign w:val="bottom"/>
          </w:tcPr>
          <w:p>
            <w:pPr>
              <w:spacing w:after="0"/>
              <w:rPr>
                <w:sz w:val="1"/>
                <w:szCs w:val="1"/>
                <w:color w:val="auto"/>
              </w:rPr>
            </w:pPr>
          </w:p>
        </w:tc>
      </w:tr>
      <w:tr>
        <w:trPr>
          <w:trHeight w:val="284"/>
        </w:trPr>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2014</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 1 year</w:t>
            </w:r>
          </w:p>
        </w:tc>
        <w:tc>
          <w:tcPr>
            <w:tcW w:w="66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37"/>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&gt; 1 to ≤ 2 years</w:t>
            </w:r>
          </w:p>
        </w:tc>
        <w:tc>
          <w:tcPr>
            <w:tcW w:w="66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10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3.87%</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Payer Swaptions</w:t>
            </w: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145</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46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3.28%</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interest rate receiver swaption agreements outstanding as of March 31, 2015 and December 31, 2014 (dollars in millions):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Receiver Swaptions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Underlying Receiver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Pay</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2015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 1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1.96%</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6.7</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 1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1.78%</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6" w:right="2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t>The following table summarizes our U.S. Treasury securities as of March 31, 2015 and December 31, 2014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3"/>
                <w:szCs w:val="13"/>
                <w:color w:val="auto"/>
              </w:rPr>
            </w:pPr>
          </w:p>
        </w:tc>
        <w:tc>
          <w:tcPr>
            <w:tcW w:w="142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Face Amount Net</w:t>
            </w:r>
          </w:p>
        </w:tc>
        <w:tc>
          <w:tcPr>
            <w:tcW w:w="120" w:type="dxa"/>
            <w:vAlign w:val="bottom"/>
          </w:tcPr>
          <w:p>
            <w:pPr>
              <w:spacing w:after="0"/>
              <w:rPr>
                <w:sz w:val="13"/>
                <w:szCs w:val="13"/>
                <w:color w:val="auto"/>
              </w:rPr>
            </w:pPr>
          </w:p>
        </w:tc>
        <w:tc>
          <w:tcPr>
            <w:tcW w:w="11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Cost Basis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Market Value</w:t>
            </w:r>
          </w:p>
        </w:tc>
        <w:tc>
          <w:tcPr>
            <w:tcW w:w="220" w:type="dxa"/>
            <w:vAlign w:val="bottom"/>
            <w:vMerge w:val="restart"/>
          </w:tcPr>
          <w:p>
            <w:pPr>
              <w:spacing w:after="0"/>
              <w:rPr>
                <w:sz w:val="13"/>
                <w:szCs w:val="13"/>
                <w:color w:val="auto"/>
              </w:rPr>
            </w:pPr>
          </w:p>
        </w:tc>
        <w:tc>
          <w:tcPr>
            <w:tcW w:w="13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Face Amount Net</w:t>
            </w:r>
          </w:p>
        </w:tc>
        <w:tc>
          <w:tcPr>
            <w:tcW w:w="220" w:type="dxa"/>
            <w:vAlign w:val="bottom"/>
          </w:tcPr>
          <w:p>
            <w:pPr>
              <w:spacing w:after="0"/>
              <w:rPr>
                <w:sz w:val="13"/>
                <w:szCs w:val="13"/>
                <w:color w:val="auto"/>
              </w:rPr>
            </w:pPr>
          </w:p>
        </w:tc>
        <w:tc>
          <w:tcPr>
            <w:tcW w:w="10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6"/>
              </w:rPr>
              <w:t>Cost Basis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8"/>
              </w:rPr>
              <w:t>Long / (Short)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8"/>
              </w:rPr>
              <w:t>Long / (Short)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(2,096)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4,258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4,303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4,324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U.S. Treasury securities,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our TBA securities as of March 31, 2015 and December 31, 2014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3"/>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1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r>
      <w:tr>
        <w:trPr>
          <w:trHeight w:val="270"/>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180" w:type="dxa"/>
            <w:vAlign w:val="bottom"/>
          </w:tcPr>
          <w:p>
            <w:pPr>
              <w:jc w:val="right"/>
              <w:ind w:right="160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1,632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1,673</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w:t>
            </w:r>
          </w:p>
        </w:tc>
      </w:tr>
      <w:tr>
        <w:trPr>
          <w:trHeight w:val="276"/>
        </w:trPr>
        <w:tc>
          <w:tcPr>
            <w:tcW w:w="2180" w:type="dxa"/>
            <w:vAlign w:val="bottom"/>
            <w:shd w:val="clear" w:color="auto" w:fill="CCEEFF"/>
          </w:tcPr>
          <w:p>
            <w:pPr>
              <w:jc w:val="right"/>
              <w:ind w:right="160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2180" w:type="dxa"/>
            <w:vAlign w:val="bottom"/>
          </w:tcPr>
          <w:p>
            <w:pPr>
              <w:jc w:val="right"/>
              <w:ind w:right="160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0"/>
        </w:trPr>
        <w:tc>
          <w:tcPr>
            <w:tcW w:w="2180" w:type="dxa"/>
            <w:vAlign w:val="bottom"/>
            <w:shd w:val="clear" w:color="auto" w:fill="CCEEFF"/>
          </w:tcPr>
          <w:p>
            <w:pPr>
              <w:jc w:val="right"/>
              <w:ind w:right="160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23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15-Year TBAs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(1,293)</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(1,383)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(1,396)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3,260</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3,348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3,360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12</w:t>
            </w:r>
          </w:p>
        </w:tc>
      </w:tr>
      <w:tr>
        <w:trPr>
          <w:trHeight w:val="270"/>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180" w:type="dxa"/>
            <w:vAlign w:val="bottom"/>
          </w:tcPr>
          <w:p>
            <w:pPr>
              <w:jc w:val="right"/>
              <w:ind w:right="160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5,432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5,566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5,254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5,259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5,313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54</w:t>
            </w:r>
          </w:p>
        </w:tc>
      </w:tr>
      <w:tr>
        <w:trPr>
          <w:trHeight w:val="276"/>
        </w:trPr>
        <w:tc>
          <w:tcPr>
            <w:tcW w:w="2180" w:type="dxa"/>
            <w:vAlign w:val="bottom"/>
            <w:shd w:val="clear" w:color="auto" w:fill="CCEEFF"/>
          </w:tcPr>
          <w:p>
            <w:pPr>
              <w:jc w:val="right"/>
              <w:ind w:right="160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7,902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w:t>
            </w:r>
          </w:p>
        </w:tc>
      </w:tr>
      <w:tr>
        <w:trPr>
          <w:trHeight w:val="264"/>
        </w:trPr>
        <w:tc>
          <w:tcPr>
            <w:tcW w:w="2180" w:type="dxa"/>
            <w:vAlign w:val="bottom"/>
          </w:tcPr>
          <w:p>
            <w:pPr>
              <w:jc w:val="right"/>
              <w:ind w:right="160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(2,862)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(2,874)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45</w:t>
            </w:r>
          </w:p>
        </w:tc>
      </w:tr>
      <w:tr>
        <w:trPr>
          <w:trHeight w:val="270"/>
        </w:trPr>
        <w:tc>
          <w:tcPr>
            <w:tcW w:w="2180" w:type="dxa"/>
            <w:vAlign w:val="bottom"/>
            <w:shd w:val="clear" w:color="auto" w:fill="CCEEFF"/>
          </w:tcPr>
          <w:p>
            <w:pPr>
              <w:jc w:val="right"/>
              <w:ind w:right="1609"/>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23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30-Year TBAs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6,166</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6,198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6,290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92</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11,152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11,228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11,408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180</w:t>
            </w:r>
          </w:p>
        </w:tc>
      </w:tr>
      <w:tr>
        <w:trPr>
          <w:trHeight w:val="243"/>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net TBA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192</w:t>
            </w: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1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Issuer</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Fannie Mae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15,316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15,509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64"/>
        </w:trPr>
        <w:tc>
          <w:tcPr>
            <w:tcW w:w="2300" w:type="dxa"/>
            <w:vAlign w:val="bottom"/>
            <w:gridSpan w:val="2"/>
          </w:tcPr>
          <w:p>
            <w:pPr>
              <w:ind w:left="40"/>
              <w:spacing w:after="0"/>
              <w:rPr>
                <w:sz w:val="20"/>
                <w:szCs w:val="20"/>
                <w:color w:val="auto"/>
              </w:rPr>
            </w:pPr>
            <w:r>
              <w:rPr>
                <w:rFonts w:ascii="Arial" w:cs="Arial" w:eastAsia="Arial" w:hAnsi="Arial"/>
                <w:sz w:val="16"/>
                <w:szCs w:val="16"/>
                <w:color w:val="auto"/>
              </w:rPr>
              <w:t>Freddie Mac</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Ginnie Mae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3,711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3,741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300" w:type="dxa"/>
            <w:vAlign w:val="bottom"/>
            <w:gridSpan w:val="2"/>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4,873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4,815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4,894</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14,412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14,576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14,768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in our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tables below summarize changes in our derivative and other hedge portfolio and their effect on our consolidated statements of comprehensive income for the three months ended March 31, 2015 and 2014 (in millions):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880"/>
              <w:spacing w:after="0"/>
              <w:rPr>
                <w:sz w:val="20"/>
                <w:szCs w:val="20"/>
                <w:color w:val="auto"/>
              </w:rPr>
            </w:pPr>
            <w:r>
              <w:rPr>
                <w:rFonts w:ascii="Arial" w:cs="Arial" w:eastAsia="Arial" w:hAnsi="Arial"/>
                <w:sz w:val="14"/>
                <w:szCs w:val="14"/>
                <w:b w:val="1"/>
                <w:bCs w:val="1"/>
                <w:color w:val="auto"/>
              </w:rPr>
              <w:t>Three Months Ended March 31, 2015</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2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March 31, 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14,412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45,500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4,873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(44,925)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750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2,411</w:t>
            </w:r>
          </w:p>
        </w:tc>
        <w:tc>
          <w:tcPr>
            <w:tcW w:w="12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15,562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4,261</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466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55" w:lineRule="auto"/>
        <w:tabs>
          <w:tab w:leader="none" w:pos="657"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a net gain of $2 million from investments in REIT equity securities and a net gain of $11 million from interest and principal-only securities recognized in gain (loss) on derivative instruments and other securities, net in our consolidated statements of comprehensive income.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880"/>
              <w:spacing w:after="0"/>
              <w:rPr>
                <w:sz w:val="20"/>
                <w:szCs w:val="20"/>
                <w:color w:val="auto"/>
              </w:rPr>
            </w:pPr>
            <w:r>
              <w:rPr>
                <w:rFonts w:ascii="Arial" w:cs="Arial" w:eastAsia="Arial" w:hAnsi="Arial"/>
                <w:sz w:val="14"/>
                <w:szCs w:val="14"/>
                <w:b w:val="1"/>
                <w:bCs w:val="1"/>
                <w:color w:val="auto"/>
              </w:rPr>
              <w:t>Three Months Ended March 31, 2014</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0" w:type="dxa"/>
            <w:vAlign w:val="bottom"/>
          </w:tcPr>
          <w:p>
            <w:pPr>
              <w:spacing w:after="0"/>
              <w:rPr>
                <w:sz w:val="12"/>
                <w:szCs w:val="12"/>
                <w:color w:val="auto"/>
              </w:rPr>
            </w:pP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March 31, 2014</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24,376</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13,909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(5,900)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(46,400)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TBA put option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hanging="328"/>
        <w:spacing w:after="0" w:line="248"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 net gain of $49 million from investments in REIT equity securities, a net loss of $3 million from debt of consolidated VIEs, a net gain of $12 million from interest and principal-only securities and other miscellaneous net losses of $2 million recognized in gain (loss) on derivative instruments and other securities, net in our consolidated statements of comprehensive income.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repurchase agreements and derivative contracts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In addition, obligations under our derivative agreements will typically vary over time based on similar factors as well as the remaining term of the derivative contract. We are also typically required to post initial collateral upon execution of derivative transactions, such as interest rate swap agreements and TBA contracts. If we breach any of these provisions, we will be required to fully settle our obligations under the agreements, which could include a forced liquidation of our pledged collateral.</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repurchase agreement and derivative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Consequently, the use of repurchase agreements and derivative instruments exposes us to credit risk relating to potential losses that could be recognized in the event that our counterparties fail to perform their obligations under such agreements. We minimize this risk by limiting our repurchase agreement and derivative counterparties to major financial institutions with acceptable credit ratings or to registered clearinghouses, and we monitor our positions with individual counterparties. In the event of a default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6"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3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Further, each of our International Swaps and Derivatives Association ("ISDA") Master Agreements also contains a cross default provision under which a default under certain of our other indebtedness in excess of a certain threshold causes an event of default under the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above certain specified levels. As of March 31, 2015, the fair value of additional collateral that could be required to be posted as a result of the credit-risk-related contingent features being triggered was not material to our financial statements.</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2015, our amount at risk with any counterparty related to our repurchase agreements was less than 4% of our stockholders' equity and our amount at risk with any counterparty related to our interest rate swap and swaption agreements, excluding centrally cleared swaps, was less than 1% of our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tables summarize our assets pledged as collateral under our repurchase agreements, debt of consolidated VIEs, derivative agreements and prime broker agreements by type, including securities pledged related to securities sold but not yet settled, as of March 31, 2015 and December 31, 2014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2015</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Debt of</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Prime Broker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VIEs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58,778</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4,328</w:t>
            </w:r>
          </w:p>
        </w:tc>
        <w:tc>
          <w:tcPr>
            <w:tcW w:w="0" w:type="dxa"/>
            <w:vAlign w:val="bottom"/>
          </w:tcPr>
          <w:p>
            <w:pPr>
              <w:spacing w:after="0"/>
              <w:rPr>
                <w:sz w:val="1"/>
                <w:szCs w:val="1"/>
                <w:color w:val="auto"/>
              </w:rPr>
            </w:pPr>
          </w:p>
        </w:tc>
      </w:tr>
      <w:tr>
        <w:trPr>
          <w:trHeight w:val="27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64,396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Debt of</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Prime Broker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VIEs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52,895</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27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56,215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agency securities, at fair value, respectively, on our consolidated balance sheets.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jc w:val="both"/>
        <w:ind w:firstLine="405"/>
        <w:spacing w:after="0" w:line="259" w:lineRule="auto"/>
        <w:rPr>
          <w:sz w:val="20"/>
          <w:szCs w:val="20"/>
          <w:color w:val="auto"/>
        </w:rPr>
      </w:pPr>
      <w:r>
        <w:rPr>
          <w:rFonts w:ascii="Arial" w:cs="Arial" w:eastAsia="Arial" w:hAnsi="Arial"/>
          <w:sz w:val="18"/>
          <w:szCs w:val="18"/>
          <w:color w:val="auto"/>
        </w:rPr>
        <w:t>The following table summarizes our securities pledged as collateral under repurchase agreements and other debt of consolidated VIEs by remaining maturity of the repurchase agreement and other debt liability, including securities pledged related to sold but not yet settled securities, as of March 31, 2015 and December 31, 2014 (in millions). For the corresponding repurchase agreement and other debt liability associated with the following amounts and the interest rates thereon, refer to Note 5</w:t>
      </w:r>
      <w:r>
        <w:rPr>
          <w:rFonts w:ascii="Arial" w:cs="Arial" w:eastAsia="Arial" w:hAnsi="Arial"/>
          <w:sz w:val="18"/>
          <w:szCs w:val="18"/>
          <w:i w:val="1"/>
          <w:iCs w:val="1"/>
          <w:color w:val="auto"/>
        </w:rPr>
        <w: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2015</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Agency Securities Pledged by Remaining Maturity of</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12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Fair Value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3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Repurchase Agreements and Debt of Consolidated</w:t>
            </w: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VIEs</w:t>
            </w:r>
          </w:p>
        </w:tc>
        <w:tc>
          <w:tcPr>
            <w:tcW w:w="3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Securities</w:t>
            </w:r>
          </w:p>
        </w:tc>
        <w:tc>
          <w:tcPr>
            <w:tcW w:w="3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Agency MBS: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25,572</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25,188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69</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14,605</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14,453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378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3,937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3,880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3780" w:type="dxa"/>
            <w:vAlign w:val="bottom"/>
            <w:gridSpan w:val="2"/>
          </w:tcPr>
          <w:p>
            <w:pPr>
              <w:ind w:left="720"/>
              <w:spacing w:after="0"/>
              <w:rPr>
                <w:sz w:val="20"/>
                <w:szCs w:val="20"/>
                <w:color w:val="auto"/>
              </w:rPr>
            </w:pPr>
            <w:r>
              <w:rPr>
                <w:rFonts w:ascii="Arial" w:cs="Arial" w:eastAsia="Arial" w:hAnsi="Arial"/>
                <w:sz w:val="16"/>
                <w:szCs w:val="16"/>
                <w:color w:val="auto"/>
              </w:rPr>
              <w:t>Total agency MBS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58,466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57,527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159</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52,124</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51,578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18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3,789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3,774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62,255</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61,301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180</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53,477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2015 and December 31, 2014, none of our repurchase agreement borrowings backed by agency MBS were due on demand or mature overnight.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2015 and December 31, 2014, we had assets pledged to us from counterparties as collateral under our reverse repurchase and derivative agreements summarized in the tables below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2015</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Reverse</w:t>
            </w:r>
          </w:p>
        </w:tc>
        <w:tc>
          <w:tcPr>
            <w:tcW w:w="100" w:type="dxa"/>
            <w:vAlign w:val="bottom"/>
          </w:tcPr>
          <w:p>
            <w:pPr>
              <w:spacing w:after="0"/>
              <w:rPr>
                <w:sz w:val="13"/>
                <w:szCs w:val="13"/>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43"/>
              <w:spacing w:after="0" w:line="153" w:lineRule="exact"/>
              <w:rPr>
                <w:sz w:val="20"/>
                <w:szCs w:val="20"/>
                <w:color w:val="auto"/>
              </w:rPr>
            </w:pPr>
            <w:r>
              <w:rPr>
                <w:rFonts w:ascii="Arial" w:cs="Arial" w:eastAsia="Arial" w:hAnsi="Arial"/>
                <w:sz w:val="14"/>
                <w:szCs w:val="14"/>
                <w:b w:val="1"/>
                <w:bCs w:val="1"/>
                <w:color w:val="auto"/>
              </w:rPr>
              <w:t>Reverse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3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3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Agency MBS -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fair value</w:t>
            </w:r>
          </w:p>
        </w:tc>
        <w:tc>
          <w:tcPr>
            <w:tcW w:w="180" w:type="dxa"/>
            <w:vAlign w:val="bottom"/>
          </w:tcPr>
          <w:p>
            <w:pPr>
              <w:spacing w:after="0"/>
              <w:rPr>
                <w:sz w:val="20"/>
                <w:szCs w:val="20"/>
                <w:color w:val="auto"/>
              </w:rPr>
            </w:pP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3,363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3,363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5,363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5,410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3,363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3,377</w:t>
            </w:r>
          </w:p>
        </w:tc>
        <w:tc>
          <w:tcPr>
            <w:tcW w:w="3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5,363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5,481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are accounted for as securities borrowing transactions and are used to cover short sales of the same securities.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subject to such arrangements and can potentially be offset on our consolidated balance sheets as of March 31, 2015 and December 31, 2014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13"/>
          </w:tcPr>
          <w:p>
            <w:pPr>
              <w:ind w:left="800"/>
              <w:spacing w:after="0"/>
              <w:rPr>
                <w:sz w:val="20"/>
                <w:szCs w:val="20"/>
                <w:color w:val="auto"/>
              </w:rPr>
            </w:pPr>
            <w:r>
              <w:rPr>
                <w:rFonts w:ascii="Arial" w:cs="Arial" w:eastAsia="Arial" w:hAnsi="Arial"/>
                <w:sz w:val="14"/>
                <w:szCs w:val="14"/>
                <w:b w:val="1"/>
                <w:bCs w:val="1"/>
                <w:color w:val="auto"/>
              </w:rPr>
              <w:t>Offsetting of Financial Assets and Derivative Assets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99"/>
              </w:rPr>
              <w:t>Total derivative, other hedging instruments and other assets</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5,218</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4"/>
                <w:szCs w:val="14"/>
                <w:color w:val="auto"/>
                <w:w w:val="99"/>
              </w:rPr>
              <w:t>Total derivative, other hedging instruments and other assets</w:t>
            </w:r>
          </w:p>
        </w:tc>
        <w:tc>
          <w:tcPr>
            <w:tcW w:w="1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5,429</w:t>
            </w:r>
          </w:p>
        </w:tc>
        <w:tc>
          <w:tcPr>
            <w:tcW w:w="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5,429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3"/>
          </w:tcPr>
          <w:p>
            <w:pPr>
              <w:ind w:left="520"/>
              <w:spacing w:after="0"/>
              <w:rPr>
                <w:sz w:val="20"/>
                <w:szCs w:val="20"/>
                <w:color w:val="auto"/>
              </w:rPr>
            </w:pPr>
            <w:r>
              <w:rPr>
                <w:rFonts w:ascii="Arial" w:cs="Arial" w:eastAsia="Arial" w:hAnsi="Arial"/>
                <w:sz w:val="14"/>
                <w:szCs w:val="14"/>
                <w:b w:val="1"/>
                <w:bCs w:val="1"/>
                <w:color w:val="auto"/>
              </w:rPr>
              <w:t>Offsetting of Financial Liabilities and Derivative Liabilities</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4"/>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30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58,112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58,112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(54,937)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400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derivative, other hedging instruments and other</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59,420</w:t>
            </w:r>
          </w:p>
        </w:tc>
        <w:tc>
          <w:tcPr>
            <w:tcW w:w="10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59,420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(3,272)</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(56,145)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liabilities</w:t>
            </w:r>
          </w:p>
        </w:tc>
        <w:tc>
          <w:tcPr>
            <w:tcW w:w="1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3"/>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(45,606)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400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derivative, other hedging instruments and other</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51,176</w:t>
            </w:r>
          </w:p>
        </w:tc>
        <w:tc>
          <w:tcPr>
            <w:tcW w:w="100" w:type="dxa"/>
            <w:vAlign w:val="bottom"/>
          </w:tcPr>
          <w:p>
            <w:pPr>
              <w:spacing w:after="0"/>
              <w:rPr>
                <w:sz w:val="11"/>
                <w:szCs w:val="1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80" w:type="dxa"/>
            <w:vAlign w:val="bottom"/>
            <w:gridSpan w:val="3"/>
            <w:vMerge w:val="restart"/>
          </w:tcPr>
          <w:p>
            <w:pPr>
              <w:ind w:left="8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51,176</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(4,784)</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(46,388)</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1"/>
        </w:trPr>
        <w:tc>
          <w:tcPr>
            <w:tcW w:w="4000" w:type="dxa"/>
            <w:vAlign w:val="bottom"/>
            <w:gridSpan w:val="2"/>
          </w:tcPr>
          <w:p>
            <w:pPr>
              <w:ind w:left="280"/>
              <w:spacing w:after="0"/>
              <w:rPr>
                <w:sz w:val="20"/>
                <w:szCs w:val="20"/>
                <w:color w:val="auto"/>
              </w:rPr>
            </w:pPr>
            <w:r>
              <w:rPr>
                <w:rFonts w:ascii="Arial" w:cs="Arial" w:eastAsia="Arial" w:hAnsi="Arial"/>
                <w:sz w:val="14"/>
                <w:szCs w:val="14"/>
                <w:color w:val="auto"/>
              </w:rPr>
              <w:t>liabilities</w:t>
            </w:r>
          </w:p>
        </w:tc>
        <w:tc>
          <w:tcPr>
            <w:tcW w:w="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right="32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cash and securities received / pledged as collateral, at fair value.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determine the fair value of our agency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sources to understand the significant inputs and assumptions they used to determine their prices. For further information regarding valuation of our derivative instruments, please refer to the discussion of derivative and other hedging instruments in Note 3.</w:t>
      </w:r>
    </w:p>
    <w:p>
      <w:pPr>
        <w:spacing w:after="0" w:line="2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the three months ended March 31, 2015.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March 31,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60,131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55,482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4,328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80" w:type="dxa"/>
            <w:vAlign w:val="bottom"/>
          </w:tcPr>
          <w:p>
            <w:pPr>
              <w:ind w:left="200"/>
              <w:spacing w:after="0" w:line="157" w:lineRule="exact"/>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3,377</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2,063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5,368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1,646</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the fair value of the agency MBS transferred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consolidated VIEs, less the fair value of our retained interests, which are based on valuations obtained from third-party pricing services and non-binding dealer quotes derived from common market pricing methods using "Level 2" inputs.</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Excluded from the table above are financial instruments, including cash and cash equivalents, restricted cash, receivables, payables and borrowings under repurchase agreements, which are presented in our consolidated financial statements at cost, which is determined to approximate fair value, primarily due to the short duration of these instruments. The cost basis of repo borrowings with initial terms of greater than one year is determined to approximate fair value, primarily as such agreements have floating rates based on an index plus or minus a fixed spread and the fixed spread is generally consistent with those demanded in the market. We estimate the fair value of these instruments using "Level 2" inputs.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March 31, 2015,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April 2012, we completed a public offering in which 6.9 million shares of our Series A Preferred Stock were sold to the underwriters at a price of $24.2125 per share for proceeds, net of offering expenses, of $167 million. In May 2014, we completed a public offering in which 7.0 million depositary shares were sold to the underwriters at a price of $24.2125 per depositary share for proceeds, net of offering expenses, of $169 million. Each depositary share represents a 1/1,000th interest in a share of our Series B Preferred Stock.</w:t>
      </w:r>
    </w:p>
    <w:p>
      <w:pPr>
        <w:spacing w:after="0" w:line="13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Series A and Series B Preferred Stock have no stated maturity, are not subject to any sinking fund or mandatory redemption and rank on parity with each other. Under certain circumstances upon a change of control, our Series A and Series B Preferred Stock are convertible to shares of our common stock. Holders of our Series A Preferred Stock and depository shares underlying our Series B Preferred Stock have no voting rights, except under limited conditions, and are entitled to receive cumulative cash dividends at a rate of 8.000% and 7.750% per annum, respectively, of their $25.00 per share and $25.00 per depositary share liquidation preference, respectively, before holders of our common stock are entitled to receive any dividends. Shares of our Series A Preferred Stock and depository shares underlying our Series B Preferred Stock are each redeemable at $25.00 per share, plus accumulated and unpaid dividends (whether or not declared) exclusively at our option commencing on April 5, 2017 and May 8, 2019, respectively, or earlier under certain circumstances intended to preserve our qualification as a REIT for federal income tax purposes. Dividends are payable quarterly in arrears on the 15th day of each January, April, July and October. As of March 31, 2015, we had declared all required quarterly dividends on our Series A and Series B Preferred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Board of Directors adopted a program that authorizes repurchases of our common stock through December 31, 2015, up to a specified amount.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2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did not repurchase any shares of our common stock during the three months ended March 31, 2015. During the three months ended March 31, 2014, we repurchased approximately 3.4 million shares of our common stock at an average repurchase price of $22.10 per share, including expenses, totaling $74 million. As of March 31, 2015, the total remaining amount authorized for repurchases of our common stock was $992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changes to accumulated OCI for the three months ended March 31, 2015 and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1"/>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March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March 31,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reclassifications out of accumulated OCI for the three months ended March 31, 2015 and 2014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121"/>
              <w:spacing w:after="0"/>
              <w:rPr>
                <w:sz w:val="20"/>
                <w:szCs w:val="20"/>
                <w:color w:val="auto"/>
              </w:rPr>
            </w:pPr>
            <w:r>
              <w:rPr>
                <w:rFonts w:ascii="Arial" w:cs="Arial" w:eastAsia="Arial" w:hAnsi="Arial"/>
                <w:sz w:val="14"/>
                <w:szCs w:val="14"/>
                <w:b w:val="1"/>
                <w:bCs w:val="1"/>
                <w:color w:val="auto"/>
                <w:w w:val="96"/>
              </w:rPr>
              <w:t>Three Months Ended March 31,</w:t>
            </w:r>
          </w:p>
        </w:tc>
        <w:tc>
          <w:tcPr>
            <w:tcW w:w="10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4"/>
              </w:rPr>
              <w:t>Line Item in the Consolidated</w:t>
            </w: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Where Net Income is Presented</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(Gain) loss amounts reclassified from accumulated OCI for available-for-</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sale MBS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agency securities, net</w:t>
            </w:r>
          </w:p>
        </w:tc>
        <w:tc>
          <w:tcPr>
            <w:tcW w:w="0" w:type="dxa"/>
            <w:vAlign w:val="bottom"/>
          </w:tcPr>
          <w:p>
            <w:pPr>
              <w:spacing w:after="0"/>
              <w:rPr>
                <w:sz w:val="1"/>
                <w:szCs w:val="1"/>
                <w:color w:val="auto"/>
              </w:rPr>
            </w:pPr>
          </w:p>
        </w:tc>
      </w:tr>
      <w:tr>
        <w:trPr>
          <w:trHeight w:val="22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Periodic interest costs of interest rate swaps previously designated as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18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13, 2015, our Board of Directors declared a monthly dividend of $0.22 per common share, which will be paid on May 8, 2015, to common stockholders of record as of April 30, 2015.</w:t>
      </w:r>
    </w:p>
    <w:p>
      <w:pPr>
        <w:spacing w:after="0" w:line="17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 April 27, 2015, our Board of Directors declared a monthly dividend of $0.20 per common share, which will be paid on June 5, 2015, to common stockholders of record as of May 29,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American Capital Agency Corp.'s consolidated financial statements with a narrative from the perspective of management. Our MD&amp;A is presented in five sections:</w:t>
      </w:r>
    </w:p>
    <w:p>
      <w:pPr>
        <w:spacing w:after="0" w:line="1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American Capital Agency Corp. ("AGNC," the "Company," "we," "us" and "our") was organized on January 7, 2008 and commenced operations on May 20, 2008 following the completion of our initial public offering. Our common stock is traded on The NASDAQ Global Select Market under the symbol "AGNC." We are externally managed by American Capital AGNC Management, LLC (our "Manager"), an affiliate of American Capital, Ltd. ("American Capital").</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and in other assets reasonably related to agency securities.</w:t>
      </w:r>
    </w:p>
    <w:p>
      <w:pPr>
        <w:spacing w:after="0" w:line="1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book value (also referred to as "net asset value", "NAV" and "stockholders' equity"). We fund our investments primarily through borrowings structured as repurchase agreements ("repo").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Strategy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investment strategy is designed to:</w:t>
      </w:r>
    </w:p>
    <w:p>
      <w:pPr>
        <w:spacing w:after="0" w:line="185" w:lineRule="exact"/>
        <w:rPr>
          <w:sz w:val="20"/>
          <w:szCs w:val="20"/>
          <w:color w:val="auto"/>
        </w:rPr>
      </w:pPr>
    </w:p>
    <w:p>
      <w:pPr>
        <w:ind w:left="760" w:hanging="347"/>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 and assets reasonably related to agency securities that seeks to generate attractive risk-adjusted returns;</w:t>
      </w:r>
    </w:p>
    <w:p>
      <w:pPr>
        <w:spacing w:after="0" w:line="75"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securities market;</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financing, interest rate, prepayment and extension risks;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preserve our net book value;</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regular quarterly distributions to our stockholders;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as amended (the "Investment Company Act").</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size and composition of our investment portfolio depends on investment strategies implemented by our Manager,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and evolving regulations or legal settlements that impact servicing practices or other mortgage related activities.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Our Risk Management Strategy</w:t>
      </w:r>
    </w:p>
    <w:p>
      <w:pPr>
        <w:spacing w:after="0" w:line="24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 a variety of strategies to hedge a portion of our exposure to market risks, including interest rate, prepayment and extension risks, to the extent that our Manager believes is prudent, taking into account our investment strategy, the cost of the hedging transactions and our intention to qualify as a REIT. As a result, we may not hedge certain interest rate, prepayment or extension risks if our Manager believes that bearing such risks enhances our return relative to our risk/return profile, or the hedging transaction would negatively impact our REIT status.</w:t>
      </w:r>
    </w:p>
    <w:p>
      <w:pPr>
        <w:spacing w:after="0" w:line="187" w:lineRule="exact"/>
        <w:rPr>
          <w:sz w:val="20"/>
          <w:szCs w:val="20"/>
          <w:color w:val="auto"/>
        </w:rPr>
      </w:pPr>
    </w:p>
    <w:p>
      <w:pPr>
        <w:jc w:val="both"/>
        <w:ind w:left="660" w:hanging="328"/>
        <w:spacing w:after="0" w:line="272"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hedge a portion of our exposure to potential interest rate mismatches between the interest we earn on our longer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and the interest we pay on our shorter term borrowings. Because a majority of our funding is in the form of repurchase agreements, our financing costs fluctuate based on short-term interest rate indices, such as LIBOR. Because our investments are assets that primarily have fixed rates of interest and could mature in up to 40 years, the interest we earn on those assets generally does not move in tandem with the interest that we pay on our repurchase agreements; therefore, we may experience reduced income or losses due to adverse rate movements. In order to attempt to mitigate a portion of such risk, we utilize certain hedging techniques to attempt to lock in a portion of the net interest spread between the interest we earn on our assets and the interest we pay on our financing costs.</w:t>
      </w:r>
    </w:p>
    <w:p>
      <w:pPr>
        <w:spacing w:after="0" w:line="177"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Additionally, because prepayments on residential mortgages generally accelerate when interest rates decrease and slow when interest rates increase, mortgage securities typically have "negative convexity." In other words, certain mortgage securities in which we invest may increase in price more slowly than similar duration bonds, or even fall in value, as interest rates decline. Conversely, certain mortgage securities in which we invest may decrease in value more quickly than similar duration bonds as interest rates increase. In order to manage this risk, we monitor, among other things, the "duration gap" between our mortgage assets and our hedge portfolio as well as our convexity exposure. Duration is the estimated percentage change in market value of our mortgage assets or our hedge portfolio that would be caused by a parallel change in short and long-term interest rates. Convexity exposure relates to the way the duration of our mortgage assets or our hedge portfolio changes when the interest rate or prepayment environment changes.</w:t>
      </w:r>
    </w:p>
    <w:p>
      <w:pPr>
        <w:spacing w:after="0" w:line="192"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value of our mortgage assets may also be adversely impacted by fluctuations in the shape of the yield curve or by changes in the market's expectation about the volatility of future interest rates. We analyze our exposure to non-parallel changes in interest rates and to changes in the market's expectation of future interest rate volatility and take actions to attempt to mitigate these risks.</w:t>
      </w:r>
    </w:p>
    <w:p>
      <w:pPr>
        <w:spacing w:after="0" w:line="181"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In this scenario, our financial results may be adversely affected as we may have to invest that principal at potentially lower yields.</w:t>
      </w:r>
    </w:p>
    <w:p>
      <w:pPr>
        <w:spacing w:after="0" w:line="165" w:lineRule="exact"/>
        <w:rPr>
          <w:rFonts w:ascii="Arial" w:cs="Arial" w:eastAsia="Arial" w:hAnsi="Arial"/>
          <w:sz w:val="17"/>
          <w:szCs w:val="17"/>
          <w:b w:val="1"/>
          <w:bCs w:val="1"/>
          <w:i w:val="1"/>
          <w:iCs w:val="1"/>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Extension Risk. </w:t>
      </w:r>
      <w:r>
        <w:rPr>
          <w:rFonts w:ascii="Arial" w:cs="Arial" w:eastAsia="Arial" w:hAnsi="Arial"/>
          <w:sz w:val="18"/>
          <w:szCs w:val="18"/>
          <w:color w:val="auto"/>
        </w:rPr>
        <w:t>Because residential borrowers have the option to make only scheduled payments on their mortgage loans, rather than prepay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loans, we face the risk that a return of capital on our investment will occur slower than anticipated. Extension risk generally increases when interest rates rise. In this scenario, our financial results may be adversely affected as we may have to finance our investments at potentially higher costs without the ability to reinvest principal into higher yielding securities.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principal instruments that we use to hedge a portion of our exposure to interest rate, prepayment and extension risks are interest rate swaps and options to enter into interest rate swaps ("interest rate swaptions"). We also utilize forward contracts for the purchase or sale of agency MBS securities on a generic pool basis, or a TBA contract, and on a non-generic, specified pool basis, and we utilize U.S. Treasury securities and U.S. Treasury futures contracts, primarily through short sales. We may also purchase or write put or call options on TBA securities and we may invest in other types of mortgage derivatives, such as interest and principal-only securities.</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hedging instruments are generally not designed to protect our net book value from "spread risk" (also referred to as "basis risk"), which is the risk of an increase of the market spread between the yield on our agency securities and the benchmark yield on U.S. Treasury securities or interest rate swap rates. The inherent spread risk associated with our agency securities and the resulting fluctuations in fair value of these securities can occur independent of interest rates and may relate to other factors impacting the mortgage and fixed income markets, such as actual or anticipated monetary policy actions by the Federal Reserve ("Fed"), liquidity, or changes in required rates of return on different assets. Consequently, while we use interest rate swaps and other supplemental hedges to attempt to protect our net book value against moves in interest rates, such instruments typically will not protect our net book value against spread risk and, therefore, the value of our agency securities and our net book value could decline.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7" w:name="page28"/>
    <w:bookmarkEnd w:id="27"/>
    <w:p>
      <w:pPr>
        <w:jc w:val="both"/>
        <w:ind w:firstLine="432"/>
        <w:spacing w:after="0" w:line="302" w:lineRule="auto"/>
        <w:rPr>
          <w:sz w:val="20"/>
          <w:szCs w:val="20"/>
          <w:color w:val="auto"/>
        </w:rPr>
      </w:pPr>
      <w:r>
        <w:rPr>
          <w:rFonts w:ascii="Arial" w:cs="Arial" w:eastAsia="Arial" w:hAnsi="Arial"/>
          <w:sz w:val="16"/>
          <w:szCs w:val="16"/>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be no certainty that our Manager's projections of our exposures to interest rates, prepayments, extension or other risks will be accurate or that our hedging activities will be effective and, therefore, actual results could differ materially.</w:t>
      </w:r>
    </w:p>
    <w:p>
      <w:pPr>
        <w:spacing w:after="0" w:line="15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Income from hedging transactions that we enter into to manage risk may not constitute qualifying gross income under one or both of the gross income tests applicable to REITs. Therefore, we may have to limit our use of certain advantageous hedging techniques, which could expose us to greater risks than we would otherwise want to bear, or implement those hedges through a taxable REIT subsidiary ("TRS"). Implementing our hedges through a TRS could increase the cost of our hedging activities because a TRS is subject to tax on income and gains.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U.S. interest rates declined in the first quarter of 2015, consistent with the general decline in interest rates across the globe. The yield on the 10 year U.S. Treasury note fell 24 basis points ("bps") to end the quarter at 1.93%. Despite the modest aggregate decline, the intra-quarter swings in interest rates were extreme by historical standards. The yield on the 10 year U.S. Treasury note fell 50 bps in January, increased 60 bps in February and early March, and ended the quarter with another 30 bps decline.</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the fourth quarter of 2014, we made several changes to the composition of our asset and hedge portfolio that were intended to mitigate the negative impact of volatile interest rate environments, such as what unfolded in the first quarter of 2015. In particular, we reduced our exposure to higher coupon, generic agency MBS; lowered our net duration gap (the difference between the interest rate sensitivity of our assets and that of our liabilities and hedges); and reduced leverage. In the first quarter, we further reduced our “at risk” leverage, inclusive of our net TBA position, to 6.4x as of March 31, 2015, our lowest leverage level in over 6 years. Similarly, we reduced our net duration gap to 0.2 years as of March 31, 2015, compared to 0.5 years as of December 31, 2014 and 1.2 years as of March 31, 2014. Together, these actions muted the month-to-month fluctuations in our net book value and limited our aggregate net book value change to a loss of $(0.21) per common share or (0.8%) over the first quarter, despite the considerable intra-quarter moves in interest rates. As a result, economic return for the first quarter was 1.7%, or 7.1% annualized, based upon $0.66 in dividends per common share and a decline of $(0.21) in our net book value per common share.</w:t>
      </w:r>
    </w:p>
    <w:p>
      <w:pPr>
        <w:spacing w:after="0" w:line="12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believe that interest rate volatility will likely remain elevated due to the countervailing forces of weak economic growth and deflation risk abroad versus moderate economic growth and stable price inflation in the U.S. Weak economic growth and deflationary forces have led to substantial quantitative easing in Europe, Japan, and China, driving some overseas sovereign yields to historically low levels, and, in some cases, to negative yields. In contrast, the U.S. economic landscape is very different, marked by moderate growth, a strong dollar, low energy prices and improving employment. As a result of these factors, the Federal Reserve appears poised to raise short term rates despite disappointing U.S. gross domestic product, or "GDP", growth in the first quarter of 2015. The divergence between global and domestic economic forces has created significant interest rate uncertainty. In addition, more onerous regulatory requirements and unprecedented central bank intervention appears to have reduced bond market liquidity, further exacerbating interest rate volatility. In light of these factors, we positioned our portfolio in a manner that prioritizes risk management and book value preservation over incremental short term returns.</w:t>
      </w:r>
    </w:p>
    <w:p>
      <w:pPr>
        <w:spacing w:after="0" w:line="11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Looking ahead, if interest rates decline, we would expect prepayment speeds to accelerate substantially and agency MBS spreads relative to benchmark interest rates to widen somewhat, possibly adversely impacting our net book value per share in the near term. In this falling rate scenario, we believe our portfolio performance will benefit somewhat from our sizable position in assets that possess favorable prepayment characteristics and our relatively low coupon profile. If interest rates increase, we would expect agency MBS spreads to tighten in response to reduced supply and prepayments to slow. In this scenario, the benefit to our net book value per share stemming from strong agency MBS performance would be offset somewhat by hedging costs associated with rising interest rate scenarios. For the estimated impact of changes in interests rates and mortgage spreads on our net book value please refer to "Quantitative and Qualitative Disclosures about Market Risk" under Item 3 of this Quarterly Report on Form 10-Q.</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Given our current defensive portfolio positioning, we expect fluctuations in our net book value to be more muted than they would otherwise be and our economic return to be driven primarily by our dividend in the near term. Our conservative risk profile also provides us capacity and flexibility to grow our portfolio quickly through increased leverage if agency MBS weaken and expected returns improve.</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April 27, 2015, our Board of Directors declared a monthly dividend of $0.20 per common share for the month of May, payable on June 5, 2015 to common stockholders of record as of May 29, 2015, a decline of $0.02 per common share, or 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from April's monthly dividend of $0.22 per common share. The reduction in our dividend was as a result of our defensive portfolio positioning and corresponding diminished near-term earnings expectations.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interest rates and prices of generic fixed rate agency mortgage-backed securities as of each date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Mar. 31, 2015</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Mar. 31, 2014</w:t>
            </w:r>
          </w:p>
        </w:tc>
        <w:tc>
          <w:tcPr>
            <w:tcW w:w="120" w:type="dxa"/>
            <w:vAlign w:val="bottom"/>
            <w:vMerge w:val="restart"/>
          </w:tcPr>
          <w:p>
            <w:pPr>
              <w:spacing w:after="0"/>
              <w:rPr>
                <w:sz w:val="12"/>
                <w:szCs w:val="12"/>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June 30, 2014</w:t>
            </w:r>
          </w:p>
        </w:tc>
        <w:tc>
          <w:tcPr>
            <w:tcW w:w="120" w:type="dxa"/>
            <w:vAlign w:val="bottom"/>
            <w:vMerge w:val="restart"/>
          </w:tcPr>
          <w:p>
            <w:pPr>
              <w:spacing w:after="0"/>
              <w:rPr>
                <w:sz w:val="12"/>
                <w:szCs w:val="12"/>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Sept. 30, 2014</w:t>
            </w:r>
          </w:p>
        </w:tc>
        <w:tc>
          <w:tcPr>
            <w:tcW w:w="140" w:type="dxa"/>
            <w:vAlign w:val="bottom"/>
            <w:vMerge w:val="restart"/>
          </w:tcPr>
          <w:p>
            <w:pPr>
              <w:spacing w:after="0"/>
              <w:rPr>
                <w:sz w:val="12"/>
                <w:szCs w:val="12"/>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Dec. 31, 2014</w:t>
            </w:r>
          </w:p>
        </w:tc>
        <w:tc>
          <w:tcPr>
            <w:tcW w:w="100" w:type="dxa"/>
            <w:vAlign w:val="bottom"/>
            <w:vMerge w:val="restart"/>
          </w:tcPr>
          <w:p>
            <w:pPr>
              <w:spacing w:after="0"/>
              <w:rPr>
                <w:sz w:val="12"/>
                <w:szCs w:val="12"/>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Mar. 31, 2015</w:t>
            </w:r>
          </w:p>
        </w:tc>
        <w:tc>
          <w:tcPr>
            <w:tcW w:w="10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92"/>
              </w:rPr>
              <w:t>vs.</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Dec. 31, 2014</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LIBOR:</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1-Month</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0.16%</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0.18%</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3-Month</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0.23%</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0.23%</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0.24%</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0.26%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0.27%</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+0.01</w:t>
            </w:r>
          </w:p>
        </w:tc>
        <w:tc>
          <w:tcPr>
            <w:tcW w:w="88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6-Month</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0.40%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0.46%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0.58%</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3-Year U.S. Treasury</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0.88%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0.86%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1.06%</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1.08%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0.88%</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-0.20</w:t>
            </w:r>
          </w:p>
        </w:tc>
        <w:tc>
          <w:tcPr>
            <w:tcW w:w="88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U.S. Treasury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1.78%</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10-Year U.S. Treasury</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2.72%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2.52%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2.51%</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2.17%</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1.93%</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-0.24</w:t>
            </w:r>
          </w:p>
        </w:tc>
        <w:tc>
          <w:tcPr>
            <w:tcW w:w="88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U.S. Treasury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2.54%</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Swap</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3-Year Swap</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1.01%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0.99%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1.31%</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1.29%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1.11%</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-0.18</w:t>
            </w:r>
          </w:p>
        </w:tc>
        <w:tc>
          <w:tcPr>
            <w:tcW w:w="88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1.95%</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2.85%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2.61%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2.65%</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2.29%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2.03%</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-0.26</w:t>
            </w:r>
          </w:p>
        </w:tc>
        <w:tc>
          <w:tcPr>
            <w:tcW w:w="88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3.20%</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2.39%</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MBS Price:</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$96.53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$98.77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$98.59</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$101.22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$102.25</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7"/>
              </w:rPr>
              <w:t>+$1.03</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$100.59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$102.92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$102.23</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$104.28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$105.05</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7"/>
              </w:rPr>
              <w:t>+$0.77</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$103.94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$106.11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$105.41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$106.92</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7"/>
              </w:rPr>
              <w:t>+$0.17</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$106.69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$108.30</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$107.91</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$108.56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$109.08</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7"/>
              </w:rPr>
              <w:t>+$0.52</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15-Year Fixed Rate MBS Price:</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$99.92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$101.59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$100.55</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$101.81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$102.71</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7"/>
              </w:rPr>
              <w:t>+$0.90</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$102.72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$103.88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$102.98</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$103.91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$104.83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7"/>
              </w:rPr>
              <w:t>+$0.92</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$104.83</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$105.98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$105.11</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$105.61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$106.09</w:t>
            </w:r>
          </w:p>
        </w:tc>
        <w:tc>
          <w:tcPr>
            <w:tcW w:w="10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7"/>
              </w:rPr>
              <w:t>+$0.48</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$105.78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$106.17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$105.69</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$106.06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$105.59</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-$0.47</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336"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recent prepayment trends for our portfolio:</w:t>
      </w:r>
    </w:p>
    <w:p>
      <w:pPr>
        <w:spacing w:after="0" w:line="312"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Annualized Monthly Constant Prepayment Rates </w:t>
            </w:r>
            <w:r>
              <w:rPr>
                <w:rFonts w:ascii="Arial" w:cs="Arial" w:eastAsia="Arial" w:hAnsi="Arial"/>
                <w:sz w:val="8"/>
                <w:szCs w:val="8"/>
                <w:b w:val="1"/>
                <w:bCs w:val="1"/>
                <w:color w:val="auto"/>
              </w:rPr>
              <w:t>1</w:t>
            </w:r>
          </w:p>
        </w:tc>
        <w:tc>
          <w:tcPr>
            <w:tcW w:w="100" w:type="dxa"/>
            <w:vAlign w:val="bottom"/>
            <w:vMerge w:val="restart"/>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w:t>
            </w: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Mar.</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4180" w:type="dxa"/>
            <w:vAlign w:val="bottom"/>
            <w:gridSpan w:val="2"/>
          </w:tcPr>
          <w:p>
            <w:pPr>
              <w:ind w:left="20"/>
              <w:spacing w:after="0"/>
              <w:rPr>
                <w:sz w:val="20"/>
                <w:szCs w:val="20"/>
                <w:color w:val="auto"/>
              </w:rPr>
            </w:pPr>
            <w:r>
              <w:rPr>
                <w:rFonts w:ascii="Arial" w:cs="Arial" w:eastAsia="Arial" w:hAnsi="Arial"/>
                <w:sz w:val="14"/>
                <w:szCs w:val="14"/>
                <w:color w:val="auto"/>
              </w:rPr>
              <w:t>AGNC portfolio</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-163195</wp:posOffset>
            </wp:positionV>
            <wp:extent cx="41681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814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________________________</w:t>
      </w:r>
    </w:p>
    <w:p>
      <w:pPr>
        <w:spacing w:after="0" w:line="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2015 and December 31, 2014, our investment portfolio consisted of $61.4 billion and $56.7 billion of agency MBS, respectively, and a $4.9 billion and $14.8 billion net long TBA position, at fair value, respectively.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March 31, 2015</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2014</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 and Net TBA Securities</w:t>
            </w:r>
          </w:p>
        </w:tc>
        <w:tc>
          <w:tcPr>
            <w:tcW w:w="2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8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agency 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25,693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23,021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net (short) / long TBA securities</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3,360</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23,821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24,297</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26,042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26,381</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20-year</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1,247</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80" w:type="dxa"/>
            <w:vAlign w:val="bottom"/>
            <w:gridSpan w:val="2"/>
          </w:tcPr>
          <w:p>
            <w:pPr>
              <w:ind w:left="280"/>
              <w:spacing w:after="0"/>
              <w:rPr>
                <w:sz w:val="20"/>
                <w:szCs w:val="20"/>
                <w:color w:val="auto"/>
              </w:rPr>
            </w:pPr>
            <w:r>
              <w:rPr>
                <w:rFonts w:ascii="Arial" w:cs="Arial" w:eastAsia="Arial" w:hAnsi="Arial"/>
                <w:sz w:val="14"/>
                <w:szCs w:val="14"/>
                <w:color w:val="auto"/>
              </w:rPr>
              <w:t>30-year agency MBS</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31,833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32,200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49 %</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30,180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net long TBA securities</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6,198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6,290</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11,228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11,408</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38,031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38,490</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41,247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41,588</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0"/>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64,034</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68,521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69,241</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24"/>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Adjustable rate</w:t>
            </w: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642</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24"/>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8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2 %</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8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3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1,570</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1,597</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24"/>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65,164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66,246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70,724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71,516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positions are recorded as derivative instruments in our accompanying consolidated financial statements, with the TBA dollar roll transactions representing a form of off-balance sheet financing. As of March 31, 2015 and December 31, 2014, our TBA position had a net carrying value of $79 million and $192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p>
      <w:pPr>
        <w:ind w:firstLine="432"/>
        <w:spacing w:after="0" w:line="277" w:lineRule="auto"/>
        <w:rPr>
          <w:sz w:val="20"/>
          <w:szCs w:val="20"/>
          <w:color w:val="auto"/>
        </w:rPr>
      </w:pPr>
      <w:r>
        <w:rPr>
          <w:rFonts w:ascii="Arial" w:cs="Arial" w:eastAsia="Arial" w:hAnsi="Arial"/>
          <w:sz w:val="18"/>
          <w:szCs w:val="18"/>
          <w:color w:val="auto"/>
        </w:rPr>
        <w:t>The following tables summarize certain characteristics of our agency MBS fixed rate portfolio, inclusive of our net TBA position as of March 31, 2015 and December 31, 2014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March 31, 2015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jc w:val="right"/>
              <w:ind w:right="2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Fixed Rate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7,373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7,522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7,594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6,533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5,210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25%</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87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23,061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23,821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24,297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63%</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82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8,796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100.6%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15,413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16,169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16,264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106.3%</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37%</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108.7%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6.22%</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36,385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38,031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38,490</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49%</w:t>
            </w: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105.3%</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60,622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63,050</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64,034</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w w:val="99"/>
              </w:rPr>
              <w:t>_______________________</w:t>
            </w: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for 15-year and 30-year securities, as of March 31, 2015.</w:t>
      </w:r>
    </w:p>
    <w:p>
      <w:pPr>
        <w:jc w:val="both"/>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 ≥ 80%. Our HARP securities had a weighted average LTV of 109% and 119% for 15-year and 30-year securities, respectively, as of March 31, 2015. Includes $1.1 billion and $3.0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March 31, 2015.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Fixed Rate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Age (Months)</w:t>
            </w: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7,828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7,972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7,993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5,017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105.0%</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84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26,042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26,381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63%</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79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98.9%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17,970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18,748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18,765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13,551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1,868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36%</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108.9%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6.23%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96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41,247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41,588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105.6%</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66,040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68,521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69,241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$96,000 for 15-year and 30-year securities, respectively, as of December 31, 2014.</w:t>
      </w: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LTVs ≥ 80%. Our HARP securities had a weighted average LTV of 109% and 118% for 15-year and 30-year securities, respectively, as of December 31, 2014. Includes $934 million and $3.1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2014.</w:t>
      </w:r>
    </w:p>
    <w:p>
      <w:pPr>
        <w:spacing w:after="0" w:line="1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2015 and December 31, 2014, the combined weighted average yield of our agency MBS portfolio, inclusive of interest and principal-only strips, was 2.64% and 2.74%, respectively.</w:t>
      </w:r>
    </w:p>
    <w:p>
      <w:pPr>
        <w:spacing w:after="0" w:line="116"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pass-through agency MBS collateralized by adjustable rate mortgage loans ("ARMs") have coupons linked to various indices. As of March 31, 2015 and December 31, 2014, our ARM securities had a weighted average next reset date of 50 months and 51 months, respectively.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the results presented in accordance with GAAP, our results of operations discussed below include certain non-GAAP financial information, including "adjusted net interest expense" (defined as interest expense plus the periodic interest rate costs of our interest rate swaps reported in gain (loss) on derivatives and other securities, net in our consolidated statements of comprehensive income), "net spread and dollar roll income" (defined as interest income, TBA dollar roll income and dividends from REIT equity securities, net of adjusted net interest expense and operating expenses) and "estimated taxable income" and certain financial metrics derived from non-GAAP information, such as "cost of funds" and "net interest rate spread." By providing users of our financial information with such measures in addition to the related GAAP measures, we believe it gives users greater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68" w:right="23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7"/>
          <w:szCs w:val="17"/>
          <w:color w:val="auto"/>
        </w:rPr>
        <w:t>transparency into the information used by our management in its financial and operational decision-making and that it is meaningful information to consider related to: (i) the economic costs of financing our investment portfolio inclusive of interest rate swaps used to economically hedge against fluctuations in our borrowing costs, (ii) in the case of net spread and dollar roll income, our current financial performance without the effects of certain transactions that are not necessarily indicative of our current investment portfolio and operations, and (iii) in the case of estimated taxable income, information that is directly related to the amount of dividends we are required to distribute in order to maintain our REIT qualification status. However, because such measures are incomplete measures of our financial performance and involve differences from results computed in accordance with GAAP, they should be considered as supplementary to, and not as a substitute for, our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Selected Financial Data</w:t>
      </w:r>
    </w:p>
    <w:p>
      <w:pPr>
        <w:spacing w:after="0" w:line="21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March 31, 2015 and December 31, 2014 and our condensed consolidated statements of comprehensive income and key statistics for the three months ended March 31, 2015 and 2014 (in millions, except per share amounts):</w:t>
      </w:r>
    </w:p>
    <w:p>
      <w:pPr>
        <w:spacing w:after="0" w:line="34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in millions, except per share amounts)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Balance Sheet Data</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6"/>
              </w:rPr>
              <w:t>March 31, 2015</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portfolio, at fair value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61,352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56,748</w:t>
            </w:r>
          </w:p>
        </w:tc>
        <w:tc>
          <w:tcPr>
            <w:tcW w:w="0" w:type="dxa"/>
            <w:vAlign w:val="bottom"/>
          </w:tcPr>
          <w:p>
            <w:pPr>
              <w:spacing w:after="0"/>
              <w:rPr>
                <w:sz w:val="1"/>
                <w:szCs w:val="1"/>
                <w:color w:val="auto"/>
              </w:rPr>
            </w:pP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73,105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67,766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and other debt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51,057</w:t>
            </w:r>
          </w:p>
        </w:tc>
        <w:tc>
          <w:tcPr>
            <w:tcW w:w="0" w:type="dxa"/>
            <w:vAlign w:val="bottom"/>
          </w:tcPr>
          <w:p>
            <w:pPr>
              <w:spacing w:after="0"/>
              <w:rPr>
                <w:sz w:val="1"/>
                <w:szCs w:val="1"/>
                <w:color w:val="auto"/>
              </w:rPr>
            </w:pP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Total liabilities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63,749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58,338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9,428</w:t>
            </w:r>
          </w:p>
        </w:tc>
        <w:tc>
          <w:tcPr>
            <w:tcW w:w="0" w:type="dxa"/>
            <w:vAlign w:val="bottom"/>
          </w:tcPr>
          <w:p>
            <w:pPr>
              <w:spacing w:after="0"/>
              <w:rPr>
                <w:sz w:val="1"/>
                <w:szCs w:val="1"/>
                <w:color w:val="auto"/>
              </w:rPr>
            </w:pPr>
          </w:p>
        </w:tc>
      </w:tr>
      <w:tr>
        <w:trPr>
          <w:trHeight w:val="311"/>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25.53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Statement of Comprehensive Income Data (unaudited)</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399</w:t>
            </w:r>
          </w:p>
        </w:tc>
      </w:tr>
      <w:tr>
        <w:trPr>
          <w:trHeight w:val="270"/>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108</w:t>
            </w: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291</w:t>
            </w:r>
          </w:p>
        </w:tc>
      </w:tr>
      <w:tr>
        <w:trPr>
          <w:trHeight w:val="25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 xml:space="preserve">Other loss, net </w:t>
            </w:r>
            <w:r>
              <w:rPr>
                <w:rFonts w:ascii="Arial" w:cs="Arial" w:eastAsia="Arial" w:hAnsi="Arial"/>
                <w:sz w:val="21"/>
                <w:szCs w:val="21"/>
                <w:color w:val="auto"/>
                <w:vertAlign w:val="superscript"/>
              </w:rPr>
              <w:t>2</w:t>
            </w: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(397)</w:t>
            </w:r>
          </w:p>
        </w:tc>
      </w:tr>
      <w:tr>
        <w:trPr>
          <w:trHeight w:val="27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w:t>
            </w:r>
          </w:p>
        </w:tc>
      </w:tr>
      <w:tr>
        <w:trPr>
          <w:trHeight w:val="21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(141)</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on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r>
      <w:tr>
        <w:trPr>
          <w:trHeight w:val="284"/>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loss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(144)</w:t>
            </w:r>
          </w:p>
        </w:tc>
      </w:tr>
      <w:tr>
        <w:trPr>
          <w:trHeight w:val="284"/>
        </w:trPr>
        <w:tc>
          <w:tcPr>
            <w:tcW w:w="7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(141)</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comprehensive income </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564</w:t>
            </w:r>
          </w:p>
        </w:tc>
      </w:tr>
      <w:tr>
        <w:trPr>
          <w:trHeight w:val="21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18"/>
                <w:szCs w:val="18"/>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423</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on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r>
      <w:tr>
        <w:trPr>
          <w:trHeight w:val="284"/>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Comprehensive income available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420</w:t>
            </w:r>
          </w:p>
        </w:tc>
      </w:tr>
      <w:tr>
        <w:trPr>
          <w:trHeight w:val="284"/>
        </w:trPr>
        <w:tc>
          <w:tcPr>
            <w:tcW w:w="7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90"/>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Weighted average number of common shares outstanding - basic and diluted</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352.8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354.8</w:t>
            </w:r>
          </w:p>
        </w:tc>
      </w:tr>
      <w:tr>
        <w:trPr>
          <w:trHeight w:val="237"/>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loss per common share -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(0.41)</w:t>
            </w:r>
          </w:p>
        </w:tc>
      </w:tr>
      <w:tr>
        <w:trPr>
          <w:trHeight w:val="20"/>
        </w:trPr>
        <w:tc>
          <w:tcPr>
            <w:tcW w:w="72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7"/>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Comprehensive income per common share - basic and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0.46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1.18</w:t>
            </w:r>
          </w:p>
        </w:tc>
      </w:tr>
      <w:tr>
        <w:trPr>
          <w:trHeight w:val="237"/>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0.65</w:t>
            </w:r>
          </w:p>
        </w:tc>
      </w:tr>
      <w:tr>
        <w:trPr>
          <w:trHeight w:val="20"/>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r>
      <w:tr>
        <w:trPr>
          <w:trHeight w:val="656"/>
        </w:trPr>
        <w:tc>
          <w:tcPr>
            <w:tcW w:w="7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Other Data (unaudited)</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agency securities - at par</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ind w:right="100"/>
              <w:spacing w:after="0"/>
              <w:rPr>
                <w:sz w:val="20"/>
                <w:szCs w:val="20"/>
                <w:color w:val="auto"/>
              </w:rPr>
            </w:pPr>
            <w:r>
              <w:rPr>
                <w:rFonts w:ascii="Arial" w:cs="Arial" w:eastAsia="Arial" w:hAnsi="Arial"/>
                <w:sz w:val="16"/>
                <w:szCs w:val="16"/>
                <w:color w:val="auto"/>
                <w:w w:val="93"/>
              </w:rPr>
              <w:t>$56,874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89"/>
              </w:rPr>
              <w:t>$60,103</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Average agency securities - at cost</w:t>
            </w:r>
          </w:p>
        </w:tc>
        <w:tc>
          <w:tcPr>
            <w:tcW w:w="180" w:type="dxa"/>
            <w:vAlign w:val="bottom"/>
          </w:tcPr>
          <w:p>
            <w:pPr>
              <w:spacing w:after="0"/>
              <w:rPr>
                <w:sz w:val="20"/>
                <w:szCs w:val="20"/>
                <w:color w:val="auto"/>
              </w:rPr>
            </w:pPr>
          </w:p>
        </w:tc>
        <w:tc>
          <w:tcPr>
            <w:tcW w:w="1000" w:type="dxa"/>
            <w:vAlign w:val="bottom"/>
          </w:tcPr>
          <w:p>
            <w:pPr>
              <w:jc w:val="center"/>
              <w:ind w:right="100"/>
              <w:spacing w:after="0"/>
              <w:rPr>
                <w:sz w:val="20"/>
                <w:szCs w:val="20"/>
                <w:color w:val="auto"/>
              </w:rPr>
            </w:pPr>
            <w:r>
              <w:rPr>
                <w:rFonts w:ascii="Arial" w:cs="Arial" w:eastAsia="Arial" w:hAnsi="Arial"/>
                <w:sz w:val="16"/>
                <w:szCs w:val="16"/>
                <w:color w:val="auto"/>
                <w:w w:val="93"/>
              </w:rPr>
              <w:t>$59,479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color w:val="auto"/>
                <w:w w:val="89"/>
              </w:rPr>
              <w:t>$62,920</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net TBA portfolio - at cost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100"/>
              <w:spacing w:after="0"/>
              <w:rPr>
                <w:sz w:val="20"/>
                <w:szCs w:val="20"/>
                <w:color w:val="auto"/>
              </w:rPr>
            </w:pPr>
            <w:r>
              <w:rPr>
                <w:rFonts w:ascii="Arial" w:cs="Arial" w:eastAsia="Arial" w:hAnsi="Arial"/>
                <w:sz w:val="16"/>
                <w:szCs w:val="16"/>
                <w:color w:val="auto"/>
                <w:w w:val="93"/>
              </w:rPr>
              <w:t>$6,957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89"/>
              </w:rPr>
              <w:t>$4,534</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Average total assets - at fair value</w:t>
            </w:r>
          </w:p>
        </w:tc>
        <w:tc>
          <w:tcPr>
            <w:tcW w:w="180" w:type="dxa"/>
            <w:vAlign w:val="bottom"/>
          </w:tcPr>
          <w:p>
            <w:pPr>
              <w:spacing w:after="0"/>
              <w:rPr>
                <w:sz w:val="20"/>
                <w:szCs w:val="20"/>
                <w:color w:val="auto"/>
              </w:rPr>
            </w:pPr>
          </w:p>
        </w:tc>
        <w:tc>
          <w:tcPr>
            <w:tcW w:w="1000" w:type="dxa"/>
            <w:vAlign w:val="bottom"/>
          </w:tcPr>
          <w:p>
            <w:pPr>
              <w:jc w:val="center"/>
              <w:ind w:right="100"/>
              <w:spacing w:after="0"/>
              <w:rPr>
                <w:sz w:val="20"/>
                <w:szCs w:val="20"/>
                <w:color w:val="auto"/>
              </w:rPr>
            </w:pPr>
            <w:r>
              <w:rPr>
                <w:rFonts w:ascii="Arial" w:cs="Arial" w:eastAsia="Arial" w:hAnsi="Arial"/>
                <w:sz w:val="16"/>
                <w:szCs w:val="16"/>
                <w:color w:val="auto"/>
                <w:w w:val="93"/>
              </w:rPr>
              <w:t>$72,688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color w:val="auto"/>
                <w:w w:val="89"/>
              </w:rPr>
              <w:t>$73,422</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repurchase agreements and other debt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3"/>
              </w:rPr>
              <w:t>$53,963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89"/>
              </w:rPr>
              <w:t>$57,544</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stockholders' equity </w:t>
            </w:r>
            <w:r>
              <w:rPr>
                <w:rFonts w:ascii="Arial" w:cs="Arial" w:eastAsia="Arial" w:hAnsi="Arial"/>
                <w:sz w:val="21"/>
                <w:szCs w:val="21"/>
                <w:color w:val="auto"/>
                <w:vertAlign w:val="superscript"/>
              </w:rPr>
              <w:t>4</w:t>
            </w:r>
          </w:p>
        </w:tc>
        <w:tc>
          <w:tcPr>
            <w:tcW w:w="180" w:type="dxa"/>
            <w:vAlign w:val="bottom"/>
          </w:tcPr>
          <w:p>
            <w:pPr>
              <w:spacing w:after="0"/>
              <w:rPr>
                <w:sz w:val="23"/>
                <w:szCs w:val="23"/>
                <w:color w:val="auto"/>
              </w:rPr>
            </w:pPr>
          </w:p>
        </w:tc>
        <w:tc>
          <w:tcPr>
            <w:tcW w:w="1000" w:type="dxa"/>
            <w:vAlign w:val="bottom"/>
          </w:tcPr>
          <w:p>
            <w:pPr>
              <w:jc w:val="center"/>
              <w:ind w:right="100"/>
              <w:spacing w:after="0"/>
              <w:rPr>
                <w:sz w:val="20"/>
                <w:szCs w:val="20"/>
                <w:color w:val="auto"/>
              </w:rPr>
            </w:pPr>
            <w:r>
              <w:rPr>
                <w:rFonts w:ascii="Arial" w:cs="Arial" w:eastAsia="Arial" w:hAnsi="Arial"/>
                <w:sz w:val="16"/>
                <w:szCs w:val="16"/>
                <w:color w:val="auto"/>
                <w:w w:val="93"/>
              </w:rPr>
              <w:t>$9,401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color w:val="auto"/>
                <w:w w:val="89"/>
              </w:rPr>
              <w:t>$8,975</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coupon - agency securities </w:t>
            </w:r>
            <w:r>
              <w:rPr>
                <w:rFonts w:ascii="Arial" w:cs="Arial" w:eastAsia="Arial" w:hAnsi="Arial"/>
                <w:sz w:val="21"/>
                <w:szCs w:val="21"/>
                <w:color w:val="auto"/>
                <w:vertAlign w:val="superscript"/>
              </w:rPr>
              <w:t>5</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asset yield - agency securities </w:t>
            </w:r>
            <w:r>
              <w:rPr>
                <w:rFonts w:ascii="Arial" w:cs="Arial" w:eastAsia="Arial" w:hAnsi="Arial"/>
                <w:sz w:val="21"/>
                <w:szCs w:val="21"/>
                <w:color w:val="auto"/>
                <w:vertAlign w:val="superscript"/>
              </w:rPr>
              <w:t>6</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2.54 %</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21"/>
                <w:szCs w:val="21"/>
                <w:color w:val="auto"/>
                <w:vertAlign w:val="superscript"/>
              </w:rPr>
              <w:t>7</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Average net interest rate spread</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net interest rate spread, including estimated TBA dollar roll income </w:t>
            </w:r>
            <w:r>
              <w:rPr>
                <w:rFonts w:ascii="Arial" w:cs="Arial" w:eastAsia="Arial" w:hAnsi="Arial"/>
                <w:sz w:val="21"/>
                <w:szCs w:val="21"/>
                <w:color w:val="auto"/>
                <w:vertAlign w:val="superscript"/>
              </w:rPr>
              <w:t>8</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coupon - agency securities </w:t>
            </w:r>
            <w:r>
              <w:rPr>
                <w:rFonts w:ascii="Arial" w:cs="Arial" w:eastAsia="Arial" w:hAnsi="Arial"/>
                <w:sz w:val="16"/>
                <w:szCs w:val="16"/>
                <w:i w:val="1"/>
                <w:iCs w:val="1"/>
                <w:color w:val="auto"/>
              </w:rPr>
              <w:t>(as of period end)</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3.65 %</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asset yield - agency securities </w:t>
            </w:r>
            <w:r>
              <w:rPr>
                <w:rFonts w:ascii="Arial" w:cs="Arial" w:eastAsia="Arial" w:hAnsi="Arial"/>
                <w:sz w:val="16"/>
                <w:szCs w:val="16"/>
                <w:i w:val="1"/>
                <w:iCs w:val="1"/>
                <w:color w:val="auto"/>
              </w:rPr>
              <w:t>(as of period end)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2.72 %</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9</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net interest rate spread </w:t>
            </w:r>
            <w:r>
              <w:rPr>
                <w:rFonts w:ascii="Arial" w:cs="Arial" w:eastAsia="Arial" w:hAnsi="Arial"/>
                <w:sz w:val="16"/>
                <w:szCs w:val="16"/>
                <w:i w:val="1"/>
                <w:iCs w:val="1"/>
                <w:color w:val="auto"/>
              </w:rPr>
              <w:t>(as of period end)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 xml:space="preserve">Net comprehensive income return on average common equity - annualized </w:t>
            </w:r>
            <w:r>
              <w:rPr>
                <w:rFonts w:ascii="Arial" w:cs="Arial" w:eastAsia="Arial" w:hAnsi="Arial"/>
                <w:sz w:val="21"/>
                <w:szCs w:val="21"/>
                <w:color w:val="auto"/>
                <w:vertAlign w:val="superscript"/>
              </w:rPr>
              <w:t>10</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19.4 %</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Economic return on common equity - annualized </w:t>
            </w:r>
            <w:r>
              <w:rPr>
                <w:rFonts w:ascii="Arial" w:cs="Arial" w:eastAsia="Arial" w:hAnsi="Arial"/>
                <w:sz w:val="21"/>
                <w:szCs w:val="21"/>
                <w:color w:val="auto"/>
                <w:vertAlign w:val="superscript"/>
              </w:rPr>
              <w:t>11</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20.5 %</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leverage </w:t>
            </w:r>
            <w:r>
              <w:rPr>
                <w:rFonts w:ascii="Arial" w:cs="Arial" w:eastAsia="Arial" w:hAnsi="Arial"/>
                <w:sz w:val="21"/>
                <w:szCs w:val="21"/>
                <w:color w:val="auto"/>
                <w:vertAlign w:val="superscript"/>
              </w:rPr>
              <w:t>12</w:t>
            </w:r>
          </w:p>
        </w:tc>
        <w:tc>
          <w:tcPr>
            <w:tcW w:w="180" w:type="dxa"/>
            <w:vAlign w:val="bottom"/>
          </w:tcPr>
          <w:p>
            <w:pPr>
              <w:spacing w:after="0"/>
              <w:rPr>
                <w:sz w:val="23"/>
                <w:szCs w:val="23"/>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6.7:1</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"at risk" leverage, inclusive of the net TBA position </w:t>
            </w:r>
            <w:r>
              <w:rPr>
                <w:rFonts w:ascii="Arial" w:cs="Arial" w:eastAsia="Arial" w:hAnsi="Arial"/>
                <w:sz w:val="21"/>
                <w:szCs w:val="21"/>
                <w:color w:val="auto"/>
                <w:vertAlign w:val="superscript"/>
              </w:rPr>
              <w:t>13</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7.2:1</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14</w:t>
            </w:r>
          </w:p>
        </w:tc>
        <w:tc>
          <w:tcPr>
            <w:tcW w:w="180" w:type="dxa"/>
            <w:vAlign w:val="bottom"/>
          </w:tcPr>
          <w:p>
            <w:pPr>
              <w:spacing w:after="0"/>
              <w:rPr>
                <w:sz w:val="23"/>
                <w:szCs w:val="23"/>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5.9:1</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"At risk" leverage, inclusive of net TBA position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15</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7.6:1</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Expenses % of average total assets - annualized</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0.19 %</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Expenses % of average assets, including average net TBA portfolio - annualized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0.18 %</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Expenses % of average stockholders' equity - annualized</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1.58 %</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9740"/>
          </w:cols>
          <w:pgMar w:left="1080" w:top="806" w:right="107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 All percentages are annualized.</w:t>
      </w:r>
    </w:p>
    <w:p>
      <w:pPr>
        <w:spacing w:after="0" w:line="151" w:lineRule="exact"/>
        <w:rPr>
          <w:sz w:val="20"/>
          <w:szCs w:val="20"/>
          <w:color w:val="auto"/>
        </w:rPr>
      </w:pPr>
    </w:p>
    <w:p>
      <w:pPr>
        <w:ind w:left="420" w:hanging="412"/>
        <w:spacing w:after="0" w:line="250"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420" w:hanging="412"/>
        <w:spacing w:after="0" w:line="260" w:lineRule="auto"/>
        <w:tabs>
          <w:tab w:leader="none" w:pos="4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voluntarily discontinued hedge accounting for our interest rate swaps as of September 30, 2011. Please refer to our Interest Expense and Cost of Funds discussion further below and Notes 3 and 6 of our Consolidated Financial Statements in this Quarterly Report on Form 10-Q for additional information regarding our discontinuance of hedge accounting.</w:t>
      </w:r>
    </w:p>
    <w:p>
      <w:pPr>
        <w:ind w:left="420" w:hanging="412"/>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coupon for the period was calculated by dividing our total coupon (or cash) interest income on agency securities by our average agency securities held at par.</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agency securities, adjusted for amortization of premiums and discounts, by our average amortized cost of agency securities held.</w:t>
      </w:r>
    </w:p>
    <w:p>
      <w:pPr>
        <w:jc w:val="both"/>
        <w:ind w:left="420" w:hanging="412"/>
        <w:spacing w:after="0" w:line="260" w:lineRule="auto"/>
        <w:tabs>
          <w:tab w:leader="none" w:pos="4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Average cost of funds includes agency MBS repurchase agreements, debt of consolidated variable interest entities ("VIEs") and interest rate swaps currently in effect, but excludes interest rate swap termination fees, forward starting swaps and costs associated with other supplemental hedges such as interest rate swaptions and short U.S. Treasury or TBA positions. Average cost of funds for the period was calculated by dividing our total cost of funds by our average repurchase agreements and debt of consolidated VIEs outstanding for the period.</w:t>
      </w:r>
    </w:p>
    <w:p>
      <w:pPr>
        <w:ind w:left="420" w:hanging="412"/>
        <w:spacing w:after="0" w:line="24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TBA dollar roll income / (loss) is net of short TBAs used for hedging purposes. Dollar roll income excludes the impact of other supplemental hedges, and is recognized in gain (loss) on derivative instruments and other securities, net.</w:t>
      </w:r>
    </w:p>
    <w:p>
      <w:pPr>
        <w:jc w:val="both"/>
        <w:ind w:left="420" w:hanging="412"/>
        <w:spacing w:after="0" w:line="24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cost of funds as of period end includes agency MBS repurchase agreements and debt of consolidated VIEs outstanding, plus the impact of interest rate swaps in effect as of each period end and forward starting swaps becoming effective, net of swaps expiring, within three months of each period end, but excludes costs associated with other supplemental hedges such as swaptions, U.S. Treasuries and TBA positions.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stockholders by our average stockholders' equity, net of the Series A and Series B Preferred Stock aggregate liquidation preference.</w:t>
      </w:r>
    </w:p>
    <w:p>
      <w:pPr>
        <w:ind w:left="420" w:hanging="412"/>
        <w:spacing w:after="0" w:line="24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Economic return (loss) on common equity represents the sum of the change in our net asset value per common share and our dividends declared on common stock during the period over our beginning net asset value per common share.</w:t>
      </w:r>
    </w:p>
    <w:p>
      <w:pPr>
        <w:ind w:left="420" w:right="20" w:hanging="412"/>
        <w:spacing w:after="0" w:line="260" w:lineRule="auto"/>
        <w:tabs>
          <w:tab w:leader="none" w:pos="4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Average leverage during the period was calculated by dividing our daily weighted average agency MBS repurchase agreements and debt of consolidated VIEs outstanding for the period by the sum of our average stockholders' equity less our average investment in REIT equity securities for the period. Leverage excludes U.S. Treasury repurchase agreements.</w:t>
      </w:r>
    </w:p>
    <w:p>
      <w:pPr>
        <w:ind w:left="420" w:hanging="412"/>
        <w:spacing w:after="0" w:line="24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"at risk" leverage, inclusive of net TBA portfolio, during the period includes the components of "leverage (average during the period)" plus our daily weighted average net TBA dollar position (at cost) during the period.</w:t>
      </w:r>
    </w:p>
    <w:p>
      <w:pPr>
        <w:jc w:val="both"/>
        <w:ind w:left="420" w:hanging="412"/>
        <w:spacing w:after="0" w:line="24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Leverage at period end is calculated by dividing the sum of the amount outstanding under our agency MBS repurchase agreements, net receivable / payable for unsettled agency securities and debt of consolidated VIEs by the sum of our total stockholders' equity less the fair value of investments in REIT equity securities at period end. Leverage excludes U.S. Treasury repurchase agreements.</w:t>
      </w:r>
    </w:p>
    <w:p>
      <w:pPr>
        <w:spacing w:after="0" w:line="1" w:lineRule="exact"/>
        <w:rPr>
          <w:rFonts w:ascii="Arial" w:cs="Arial" w:eastAsia="Arial" w:hAnsi="Arial"/>
          <w:sz w:val="14"/>
          <w:szCs w:val="14"/>
          <w:color w:val="auto"/>
        </w:rPr>
      </w:pPr>
    </w:p>
    <w:p>
      <w:pPr>
        <w:ind w:left="420" w:right="20" w:hanging="412"/>
        <w:spacing w:after="0" w:line="255"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"At risk" leverage at period end, inclusive of net TBA position, includes the components of "leverage (as of period end)" plus our net TBA dollar roll position outstanding as of period end, at cost.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the three months ended March 31, 2015 and 2014 (dollars in millions):</w:t>
      </w:r>
    </w:p>
    <w:p>
      <w:pPr>
        <w:spacing w:after="0" w:line="392"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5"/>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4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r>
      <w:tr>
        <w:trPr>
          <w:trHeight w:val="264"/>
        </w:trPr>
        <w:tc>
          <w:tcPr>
            <w:tcW w:w="4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Yield</w:t>
            </w:r>
          </w:p>
        </w:tc>
      </w:tr>
      <w:tr>
        <w:trPr>
          <w:trHeight w:val="25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3.63 %</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3.60 %</w:t>
            </w:r>
          </w:p>
        </w:tc>
      </w:tr>
      <w:tr>
        <w:trPr>
          <w:trHeight w:val="264"/>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Premium amortization</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2.54 %</w:t>
            </w: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5"/>
        </w:trPr>
        <w:tc>
          <w:tcPr>
            <w:tcW w:w="4560" w:type="dxa"/>
            <w:vAlign w:val="bottom"/>
          </w:tcPr>
          <w:p>
            <w:pPr>
              <w:ind w:left="20"/>
              <w:spacing w:after="0"/>
              <w:rPr>
                <w:sz w:val="20"/>
                <w:szCs w:val="20"/>
                <w:color w:val="auto"/>
              </w:rPr>
            </w:pPr>
            <w:r>
              <w:rPr>
                <w:rFonts w:ascii="Arial" w:cs="Arial" w:eastAsia="Arial" w:hAnsi="Arial"/>
                <w:sz w:val="14"/>
                <w:szCs w:val="14"/>
                <w:color w:val="auto"/>
              </w:rPr>
              <w:t>Actual portfolio CPR</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6"/>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life CPR as of period end</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456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3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interest income are the size of our average agency MBS portfolio and the yield on our investments. The following is a summary of the estimated impact of each of these elements on the decline in interest income between the current and prior year periods ended March 31, 2015 and 2014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3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2015 vs.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3"/>
        </w:trPr>
        <w:tc>
          <w:tcPr>
            <w:tcW w:w="5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8"/>
              </w:rPr>
              <w:t>Net</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760" w:type="dxa"/>
            <w:vAlign w:val="bottom"/>
          </w:tcPr>
          <w:p>
            <w:pPr>
              <w:spacing w:after="0"/>
              <w:rPr>
                <w:sz w:val="13"/>
                <w:szCs w:val="13"/>
                <w:color w:val="auto"/>
              </w:rPr>
            </w:pPr>
          </w:p>
        </w:tc>
        <w:tc>
          <w:tcPr>
            <w:tcW w:w="1080" w:type="dxa"/>
            <w:vAlign w:val="bottom"/>
          </w:tcPr>
          <w:p>
            <w:pPr>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7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Yield</w:t>
            </w:r>
          </w:p>
        </w:tc>
      </w:tr>
      <w:tr>
        <w:trPr>
          <w:trHeight w:val="256"/>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bl>
    <w:p>
      <w:pPr>
        <w:spacing w:after="0" w:line="28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average par value of our agency MBS portfolio decreased by 5% for the three months ended March 31, 2015, compared to the prior year period, reflective of lower "at risk" leverage and a shift from agency MBS repo funded assets to TBA dollar roll funded assets. Because we recognize TBA securities as derivative instruments under GAAP, our reported interest income does not include our TBA dollar roll income, which we report in gain/loss on derivative instruments and other securities, net in our accompanying consolidated financial statements in this Form 10-Q.</w:t>
      </w:r>
    </w:p>
    <w:p>
      <w:pPr>
        <w:spacing w:after="0" w:line="36"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Our average asset yield for the three months ended March 31, 2015 was impacted by changes in our asset composition and fluctuations in "catch-up" premium amortization adjustments recognized due to changes in our projected life CPR forecasts. Excluding "catch-up" premium amortization adjustments, our average asset yield was 2.70% for the three months ended March 31, 2015, unchanged from the prior 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leverage was 5.8x our stockholders' equity as of March 31, 2015, compared to 5.3x and 5.9x as of December 31, 2014 and March 31, 2014, respectively, measured as the sum of our agency MBS repo agreements, net receivable / payable for unsettled agency securities and debt of consolidated VIEs divided by the sum of our total stockholders' equity less the fair value of our investments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due to the highly liquid and temporary nature of these investments.</w:t>
      </w:r>
    </w:p>
    <w:p>
      <w:pPr>
        <w:spacing w:after="0" w:line="13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Inclusive of our net TBA position, our total "at risk" leverage was 6.4x our stockholders' equity as of March 31, 2015, compared to 6.9x and 7.6x as of December 31, 2014 and March 31, 2014, respectively. Since we recognize our TBA commitments as derivatives under GAAP, they are not included in our repo and other debt leverage calculations as measured from our consolidated balance sheets; however, a long TBA position carries similar risks as if we had purchased the underlying MBS assets and funded such purchases with on-balance sheet repo agreements. Similarly, a short TBA position has substantially the same effect as selling the underlying MBS assets and reducing our on-balance sheet repurchase commitments. (Refer to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for further discussion of TBA dollar roll positions). Therefore, we commonly refer to our leverage adjusted for TBA positions as our "at risk" leverage.</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our average and quarter-end repo and other debt balance, net TBA position and leverage ratios for each of the three month periods listed below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86"/>
              </w:rPr>
              <w:t>Agency MBS Repurchase Agreements</w:t>
            </w:r>
          </w:p>
        </w:tc>
        <w:tc>
          <w:tcPr>
            <w:tcW w:w="160" w:type="dxa"/>
            <w:vAlign w:val="bottom"/>
          </w:tcPr>
          <w:p>
            <w:pPr>
              <w:spacing w:after="0"/>
              <w:rPr>
                <w:sz w:val="13"/>
                <w:szCs w:val="13"/>
                <w:color w:val="auto"/>
              </w:rPr>
            </w:pPr>
          </w:p>
        </w:tc>
        <w:tc>
          <w:tcPr>
            <w:tcW w:w="1740" w:type="dxa"/>
            <w:vAlign w:val="bottom"/>
            <w:gridSpan w:val="4"/>
          </w:tcPr>
          <w:p>
            <w:pPr>
              <w:jc w:val="right"/>
              <w:ind w:right="392"/>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Average Total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"At Risk"</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 xml:space="preserve">and Other Debt </w:t>
            </w:r>
            <w:r>
              <w:rPr>
                <w:rFonts w:ascii="Arial" w:cs="Arial" w:eastAsia="Arial" w:hAnsi="Arial"/>
                <w:sz w:val="8"/>
                <w:szCs w:val="8"/>
                <w:b w:val="1"/>
                <w:bCs w:val="1"/>
                <w:color w:val="auto"/>
                <w:w w:val="98"/>
              </w:rPr>
              <w:t>1</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2"/>
              <w:spacing w:after="0" w:line="135"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Leverage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Leverage</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10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Average Daily</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40" w:type="dxa"/>
            <w:vAlign w:val="bottom"/>
          </w:tcPr>
          <w:p>
            <w:pPr>
              <w:jc w:val="right"/>
              <w:ind w:right="192"/>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Period End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Period End</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1,6</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2015</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53,963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58,217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55,056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6,957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4,815</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5.8:1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6.5:1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December 31, 2014</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45,554</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49,170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49,150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3"/>
              <w:spacing w:after="0"/>
              <w:rPr>
                <w:sz w:val="20"/>
                <w:szCs w:val="20"/>
                <w:color w:val="auto"/>
              </w:rPr>
            </w:pPr>
            <w:r>
              <w:rPr>
                <w:rFonts w:ascii="Arial" w:cs="Arial" w:eastAsia="Arial" w:hAnsi="Arial"/>
                <w:sz w:val="14"/>
                <w:szCs w:val="14"/>
                <w:color w:val="auto"/>
              </w:rPr>
              <w:t>18,492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14,576</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4.9:1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6.9:1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5.3:1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2014</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57,544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63,117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50,454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14,127</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6.7:1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5.9:1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7.6:1</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agency repurchase agreements and debt of consolidated VIEs outstanding by the sum of our average month-end stockholders' equity less our average investment in REIT equity securities for the period.</w:t>
      </w:r>
    </w:p>
    <w:p>
      <w:pPr>
        <w:ind w:left="420" w:hanging="412"/>
        <w:spacing w:after="0"/>
        <w:tabs>
          <w:tab w:leader="none" w:pos="4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Average "at risk" leverage during the period includes the components of "</w:t>
      </w:r>
      <w:r>
        <w:rPr>
          <w:rFonts w:ascii="Arial" w:cs="Arial" w:eastAsia="Arial" w:hAnsi="Arial"/>
          <w:sz w:val="13"/>
          <w:szCs w:val="13"/>
          <w:i w:val="1"/>
          <w:iCs w:val="1"/>
          <w:color w:val="auto"/>
        </w:rPr>
        <w:t>average leverage during the period,</w:t>
      </w:r>
      <w:r>
        <w:rPr>
          <w:rFonts w:ascii="Arial" w:cs="Arial" w:eastAsia="Arial" w:hAnsi="Arial"/>
          <w:sz w:val="13"/>
          <w:szCs w:val="13"/>
          <w:color w:val="auto"/>
        </w:rPr>
        <w:t>" plus our daily weighted average net TBA position (at cost) during the period.</w:t>
      </w:r>
    </w:p>
    <w:p>
      <w:pPr>
        <w:spacing w:after="0" w:line="12" w:lineRule="exact"/>
        <w:rPr>
          <w:rFonts w:ascii="Arial" w:cs="Arial" w:eastAsia="Arial" w:hAnsi="Arial"/>
          <w:sz w:val="13"/>
          <w:szCs w:val="13"/>
          <w:color w:val="auto"/>
        </w:rPr>
      </w:pPr>
    </w:p>
    <w:p>
      <w:pPr>
        <w:ind w:left="420" w:hanging="412"/>
        <w:spacing w:after="0" w:line="260" w:lineRule="auto"/>
        <w:tabs>
          <w:tab w:leader="none" w:pos="4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Leverage as of period end was calculated by dividing the sum of the amount outstanding under our agency MBS repurchase agreements, net payables and receivables for unsettled agency MBS securities and debt of consolidated VIEs by the sum of our total stockholders' equity less the fair value of our investment in REIT equity securities at period end.</w:t>
      </w: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w:t>
      </w:r>
      <w:r>
        <w:rPr>
          <w:rFonts w:ascii="Arial" w:cs="Arial" w:eastAsia="Arial" w:hAnsi="Arial"/>
          <w:sz w:val="14"/>
          <w:szCs w:val="14"/>
          <w:i w:val="1"/>
          <w:iCs w:val="1"/>
          <w:color w:val="auto"/>
        </w:rPr>
        <w:t>leverage as of period end,</w:t>
      </w:r>
      <w:r>
        <w:rPr>
          <w:rFonts w:ascii="Arial" w:cs="Arial" w:eastAsia="Arial" w:hAnsi="Arial"/>
          <w:sz w:val="14"/>
          <w:szCs w:val="14"/>
          <w:color w:val="auto"/>
        </w:rPr>
        <w:t>" plus the cost basis (or contract price) of our net TBA position.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1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interest expense is primarily comprised of interest expense on our repurchase agreements and the reclassification of accumulated OCI into interest expense related to previously de-designated interest rate swaps. Upon our election to discontinue hedge accounting under GAAP as of September 30, 2011,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"adjusted net interest expense," also referred to as our "cost of funds" when stated as a percentage of our outstanding repurchase agreements and other debt balance, includes periodic interest costs on our interest rate swaps reported in gain (loss) on derivatives and other securities, net in our consolidated statements of comprehensive income. Our cost of funds does not include swap termination fees, forward starting swaps and costs associated with our other supplemental hedges, such as swaptions and U.S. Treasury positions. Our cost of funds also does not include the implied financing cost/benefit of our net TBA dollar roll position, but does however include interest rate swap hedge costs related to our TBA dollar roll funded assets. Consequently, our cost of funds measured as a percentage of our outstanding repurchase agreement and other debt is higher than if we allocated a portion of our swap hedge costs to our TBA dollar roll funded assets.</w:t>
      </w:r>
    </w:p>
    <w:p>
      <w:pPr>
        <w:spacing w:after="0" w:line="1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table below presents a reconciliation of our interest expense (the most comparable GAAP financial measure) to our adjusted net interest expense and cost of funds (non-GAAP financial measures) for the three months ended March 31, 2015 and 2014 (dollars in millions):</w:t>
      </w:r>
    </w:p>
    <w:p>
      <w:pPr>
        <w:spacing w:after="0" w:line="392" w:lineRule="exact"/>
        <w:rPr>
          <w:sz w:val="20"/>
          <w:szCs w:val="20"/>
          <w:color w:val="auto"/>
        </w:rPr>
      </w:pPr>
    </w:p>
    <w:tbl>
      <w:tblPr>
        <w:tblLayout w:type="fixed"/>
        <w:tblInd w:w="250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4"/>
        </w:trPr>
        <w:tc>
          <w:tcPr>
            <w:tcW w:w="3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r>
      <w:tr>
        <w:trPr>
          <w:trHeight w:val="270"/>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Adjusted Net Interest Expense and Cost of Funds</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33"/>
              <w:spacing w:after="0" w:line="26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2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153"/>
              <w:spacing w:after="0" w:line="269" w:lineRule="exact"/>
              <w:rPr>
                <w:sz w:val="20"/>
                <w:szCs w:val="20"/>
                <w:color w:val="auto"/>
              </w:rPr>
            </w:pPr>
            <w:r>
              <w:rPr>
                <w:rFonts w:ascii="Arial" w:cs="Arial" w:eastAsia="Arial" w:hAnsi="Arial"/>
                <w:sz w:val="28"/>
                <w:szCs w:val="28"/>
                <w:b w:val="1"/>
                <w:bCs w:val="1"/>
                <w:color w:val="auto"/>
                <w:w w:val="82"/>
                <w:vertAlign w:val="subscript"/>
              </w:rPr>
              <w:t>%</w:t>
            </w:r>
            <w:r>
              <w:rPr>
                <w:rFonts w:ascii="Arial" w:cs="Arial" w:eastAsia="Arial" w:hAnsi="Arial"/>
                <w:sz w:val="9"/>
                <w:szCs w:val="9"/>
                <w:b w:val="1"/>
                <w:bCs w:val="1"/>
                <w:color w:val="auto"/>
                <w:w w:val="82"/>
              </w:rPr>
              <w:t xml:space="preserve"> 1</w:t>
            </w:r>
          </w:p>
        </w:tc>
      </w:tr>
      <w:tr>
        <w:trPr>
          <w:trHeight w:val="264"/>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157"/>
        </w:trPr>
        <w:tc>
          <w:tcPr>
            <w:tcW w:w="350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Repurchase agreement and other debt interest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88"/>
        </w:trPr>
        <w:tc>
          <w:tcPr>
            <w:tcW w:w="3500" w:type="dxa"/>
            <w:vAlign w:val="bottom"/>
            <w:gridSpan w:val="2"/>
          </w:tcPr>
          <w:p>
            <w:pPr>
              <w:ind w:left="680"/>
              <w:spacing w:after="0"/>
              <w:rPr>
                <w:sz w:val="20"/>
                <w:szCs w:val="20"/>
                <w:color w:val="auto"/>
              </w:rPr>
            </w:pPr>
            <w:r>
              <w:rPr>
                <w:rFonts w:ascii="Arial" w:cs="Arial" w:eastAsia="Arial" w:hAnsi="Arial"/>
                <w:sz w:val="14"/>
                <w:szCs w:val="14"/>
                <w:color w:val="auto"/>
              </w:rPr>
              <w:t>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0.46%</w:t>
            </w:r>
          </w:p>
        </w:tc>
      </w:tr>
      <w:tr>
        <w:trPr>
          <w:trHeight w:val="163"/>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Periodic interest costs of interest rate swaps</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49"/>
        </w:trPr>
        <w:tc>
          <w:tcPr>
            <w:tcW w:w="35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previously designated as hedges under GAAP,</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94"/>
        </w:trPr>
        <w:tc>
          <w:tcPr>
            <w:tcW w:w="35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net</w:t>
            </w:r>
          </w:p>
        </w:tc>
        <w:tc>
          <w:tcPr>
            <w:tcW w:w="2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0.30%</w:t>
            </w:r>
          </w:p>
        </w:tc>
      </w:tr>
      <w:tr>
        <w:trPr>
          <w:trHeight w:val="244"/>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interest expense</w:t>
            </w:r>
          </w:p>
        </w:tc>
        <w:tc>
          <w:tcPr>
            <w:tcW w:w="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0.76%</w:t>
            </w:r>
          </w:p>
        </w:tc>
      </w:tr>
      <w:tr>
        <w:trPr>
          <w:trHeight w:val="270"/>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Other periodic interest costs of interest rate swaps, net</w:t>
            </w:r>
          </w:p>
        </w:tc>
        <w:tc>
          <w:tcPr>
            <w:tcW w:w="2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0.59%</w:t>
            </w: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Total adjusted net interest expense and cost of funds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 of our average repurchase agreements and other debt outstanding for the period annualized.</w:t>
      </w:r>
    </w:p>
    <w:p>
      <w:pPr>
        <w:spacing w:after="0" w:line="30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principal elements impacting our adjusted net interest expense are the average repurchase agreements and interest rate swaps in effect, or "current pay" interest rate swaps, outstanding during the period as well as our cost of funds. The following is a summary of the estimated impact of these elements on changes in our adjusted net interest expense for the three months ended March 31, 2015 and 2014 (in millions):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2015 vs.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Due to Change in Average</w:t>
            </w:r>
          </w:p>
        </w:tc>
      </w:tr>
      <w:tr>
        <w:trPr>
          <w:trHeight w:val="264"/>
        </w:trPr>
        <w:tc>
          <w:tcPr>
            <w:tcW w:w="65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Decrease</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Repo / Swap Balance</w:t>
            </w:r>
          </w:p>
        </w:tc>
        <w:tc>
          <w:tcPr>
            <w:tcW w:w="1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Repo / Swap Rate</w:t>
            </w:r>
          </w:p>
        </w:tc>
      </w:tr>
      <w:tr>
        <w:trPr>
          <w:trHeight w:val="256"/>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expense</w:t>
            </w:r>
          </w:p>
        </w:tc>
        <w:tc>
          <w:tcPr>
            <w:tcW w:w="1040" w:type="dxa"/>
            <w:vAlign w:val="bottom"/>
            <w:tcBorders>
              <w:top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0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6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55"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9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decline in our adjusted net interest expense was primarily a function of maintaining a smaller portfolio of current pay interest rate swaps (i.e., excluding forward starting swaps) during the three months ended March 31, 2015, in both absolute terms and relative to our average repurchase agreements and other debt outstanding during the period, compared to the prior year period. The table below presents a summary of our average repurchase agreement and other debt outstanding and our average current pay interest rates swaps in effect for the three months ended March 31, 2015 and 2014 (dollars in millions):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7" w:name="page38"/>
    <w:bookmarkEnd w:id="37"/>
    <w:tbl>
      <w:tblPr>
        <w:tblLayout w:type="fixed"/>
        <w:tblInd w:w="44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4"/>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Average Ratio of Current Pay Interest Rate Swaps Outstanding to Repo and Other Debt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r>
      <w:tr>
        <w:trPr>
          <w:trHeight w:val="256"/>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repurchase agreements and other debt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53,963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57,544</w:t>
            </w:r>
          </w:p>
        </w:tc>
      </w:tr>
      <w:tr>
        <w:trPr>
          <w:trHeight w:val="264"/>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current pay interest rate swaps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32,924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37,201</w:t>
            </w:r>
          </w:p>
        </w:tc>
      </w:tr>
      <w:tr>
        <w:trPr>
          <w:trHeight w:val="243"/>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current pay interest rate swaps to repurchase agreements and other debt outstanding</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8"/>
        </w:trPr>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pay rate on current pay interest rate swaps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264"/>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receive rate on current pay interest rate swaps</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r>
      <w:tr>
        <w:trPr>
          <w:trHeight w:val="243"/>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net pay rate on current pay interest rate swaps</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00" w:hanging="328"/>
        <w:spacing w:after="0"/>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forward starting swaps not in effect during the periods presented.</w:t>
      </w:r>
    </w:p>
    <w:p>
      <w:pPr>
        <w:spacing w:after="0" w:line="15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average interest rate swaps outstanding in the table above exclude our forward starting swaps not in effect during the periods presented.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Manager's view of the forward yield curve and the timing of potential changes in short-term interest rates, time to deploy new capital, amount and timing of expirations of our existing interest swap portfolio, current and anticipated swap spreads and our desire to mitigate our exposure to specific sectors of the yield curve.</w:t>
      </w:r>
    </w:p>
    <w:p>
      <w:pPr>
        <w:spacing w:after="0" w:line="10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average ratio of interest rate swaps outstanding, inclusive of forward starting swaps, to our average repurchase agreement, other debt and net TBA position (at cost) was 75% and 69% for the three months ended March 31, 2015 and 2014, respectively.</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4"/>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 Ratio of all Interest Rate Swaps Outstanding to Repo, Other Debt and Net TBA Position</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r>
      <w:tr>
        <w:trPr>
          <w:trHeight w:val="256"/>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repurchase agreements and other debt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53,963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57,544</w:t>
            </w:r>
          </w:p>
        </w:tc>
      </w:tr>
      <w:tr>
        <w:trPr>
          <w:trHeight w:val="264"/>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 at cost</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6,957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4,534</w:t>
            </w:r>
          </w:p>
        </w:tc>
      </w:tr>
      <w:tr>
        <w:trPr>
          <w:trHeight w:val="256"/>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average repurchase agreement, other debt and net TBA position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60,920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62,078</w:t>
            </w:r>
          </w:p>
        </w:tc>
      </w:tr>
      <w:tr>
        <w:trPr>
          <w:trHeight w:val="264"/>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(inclusive of forward starting swaps)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45,880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42,716</w:t>
            </w:r>
          </w:p>
        </w:tc>
      </w:tr>
      <w:tr>
        <w:trPr>
          <w:trHeight w:val="243"/>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repurchase agreements, other debt and net TBA position outstanding</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300" w:top="9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the three months ended March 31, 2015 and 2014 (dollars in millions):</w:t>
      </w:r>
    </w:p>
    <w:p>
      <w:pPr>
        <w:spacing w:after="0" w:line="281"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13335</wp:posOffset>
            </wp:positionV>
            <wp:extent cx="1063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7" w:lineRule="exact"/>
        <w:rPr>
          <w:sz w:val="20"/>
          <w:szCs w:val="20"/>
          <w:color w:val="auto"/>
        </w:rPr>
      </w:pPr>
    </w:p>
    <w:tbl>
      <w:tblPr>
        <w:tblLayout w:type="fixed"/>
        <w:tblInd w:w="1880" w:type="dxa"/>
        <w:tblCellMar>
          <w:top w:w="0" w:type="dxa"/>
          <w:left w:w="0" w:type="dxa"/>
          <w:bottom w:w="0" w:type="dxa"/>
          <w:right w:w="0" w:type="dxa"/>
        </w:tblCellMar>
      </w:tblPr>
      <w:tr>
        <w:trPr>
          <w:trHeight w:val="192"/>
        </w:trPr>
        <w:tc>
          <w:tcPr>
            <w:tcW w:w="6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64"/>
        </w:trPr>
        <w:tc>
          <w:tcPr>
            <w:tcW w:w="600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6"/>
        </w:trPr>
        <w:tc>
          <w:tcPr>
            <w:tcW w:w="6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from REIT equity securities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Operating expenses</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3"/>
        </w:trPr>
        <w:tc>
          <w:tcPr>
            <w:tcW w:w="60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6"/>
              </w:rPr>
              <w:t>Net spread and dollar roll income, excluding "catch-up" premium amortization, available to common</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354.8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10"/>
        </w:trPr>
        <w:tc>
          <w:tcPr>
            <w:tcW w:w="600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 -</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8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Reported in gain (loss) on derivatives and other securities, net in our consolidated statements of comprehensive income</w:t>
      </w:r>
    </w:p>
    <w:p>
      <w:pPr>
        <w:spacing w:after="0" w:line="31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Net spread and dollar roll income, excluding "catch-up" premium amortization cost, for the three months ended March 31, 2015 was largely unchanged at $0.70 per common share, compared to $0.71 per common share for the three months ended March 31, 2014, despite a decline in our average "at risk" leverage. Our smaller investment portfolio was largely offset by the combination of favorable financing in the TBA dollar roll market and a moderate shift from repo funded assets towards dollar roll funded assets and lower swap costs. Our average net interest rate spread and dollar roll income (i.e., the difference between the average yield on our assets and our average cost of funds), excluding catch-up premium amortization cost, was approximately 1.64% for the three months ended March 31, 2015, compared to 1.59% for the three months ended March 31, 2014. Including catch-up premium amortization cost, our net interest rate spread and dollar roll income was 1.53% for the three months ended March 31, 2015, compared to 1.43% for the three months ended March 31, 2014.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Agency Securities, Net</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is a summary of our net gain (loss) on sale of agency MBS for the three months ended March 31, 2015 and 2014 (in millions):</w:t>
      </w:r>
    </w:p>
    <w:p>
      <w:pPr>
        <w:spacing w:after="0" w:line="336" w:lineRule="exact"/>
        <w:rPr>
          <w:sz w:val="20"/>
          <w:szCs w:val="20"/>
          <w:color w:val="auto"/>
        </w:rPr>
      </w:pPr>
    </w:p>
    <w:p>
      <w:pPr>
        <w:jc w:val="center"/>
        <w:ind w:left="398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39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13335</wp:posOffset>
            </wp:positionV>
            <wp:extent cx="12693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87" w:lineRule="exact"/>
        <w:rPr>
          <w:sz w:val="20"/>
          <w:szCs w:val="20"/>
          <w:color w:val="auto"/>
        </w:rPr>
      </w:pPr>
    </w:p>
    <w:tbl>
      <w:tblPr>
        <w:tblLayout w:type="fixed"/>
        <w:tblInd w:w="2740" w:type="dxa"/>
        <w:tblCellMar>
          <w:top w:w="0" w:type="dxa"/>
          <w:left w:w="0" w:type="dxa"/>
          <w:bottom w:w="0" w:type="dxa"/>
          <w:right w:w="0" w:type="dxa"/>
        </w:tblCellMar>
      </w:tblPr>
      <w:tr>
        <w:trPr>
          <w:trHeight w:val="192"/>
        </w:trPr>
        <w:tc>
          <w:tcPr>
            <w:tcW w:w="3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r>
      <w:tr>
        <w:trPr>
          <w:trHeight w:val="25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MBS sold, at cost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(9,711)</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7,768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9,692</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64"/>
        </w:trPr>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gain on sale of agency MBS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loss on sale of agency MBS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-98425</wp:posOffset>
            </wp:positionV>
            <wp:extent cx="12693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84" w:right="239" w:bottom="1440" w:gutter="0" w:footer="0" w:header="0"/>
          <w:type w:val="continuous"/>
        </w:sectPr>
      </w:pPr>
    </w:p>
    <w:bookmarkStart w:id="39" w:name="page40"/>
    <w:bookmarkEnd w:id="39"/>
    <w:p>
      <w:pPr>
        <w:ind w:right="20" w:firstLine="432"/>
        <w:spacing w:after="0" w:line="277" w:lineRule="auto"/>
        <w:rPr>
          <w:sz w:val="20"/>
          <w:szCs w:val="20"/>
          <w:color w:val="auto"/>
        </w:rPr>
      </w:pPr>
      <w:r>
        <w:rPr>
          <w:rFonts w:ascii="Arial" w:cs="Arial" w:eastAsia="Arial" w:hAnsi="Arial"/>
          <w:sz w:val="18"/>
          <w:szCs w:val="18"/>
          <w:color w:val="auto"/>
        </w:rPr>
        <w:t>Asset sales were primarily a function of shifting our portfolio to TBA dollar roll funded assets, reducing leverage and repositioning our investment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gain (loss) on derivative instruments and other securities, net for the three months ended March 31,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(in millions):</w:t>
      </w:r>
    </w:p>
    <w:p>
      <w:pPr>
        <w:spacing w:after="0" w:line="311"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13335</wp:posOffset>
            </wp:positionV>
            <wp:extent cx="12179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87"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6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258"/>
        </w:trPr>
        <w:tc>
          <w:tcPr>
            <w:tcW w:w="6180" w:type="dxa"/>
            <w:vAlign w:val="bottom"/>
          </w:tcPr>
          <w:p>
            <w:pPr>
              <w:ind w:left="4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TBA securities - mark-to-market net gain</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Interest rate swap termination fees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56"/>
        </w:trPr>
        <w:tc>
          <w:tcPr>
            <w:tcW w:w="6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realized gain on derivative instruments and other securities, net</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r>
      <w:tr>
        <w:trPr>
          <w:trHeight w:val="258"/>
        </w:trPr>
        <w:tc>
          <w:tcPr>
            <w:tcW w:w="6180" w:type="dxa"/>
            <w:vAlign w:val="bottom"/>
          </w:tcPr>
          <w:p>
            <w:pPr>
              <w:ind w:left="40"/>
              <w:spacing w:after="0"/>
              <w:rPr>
                <w:sz w:val="20"/>
                <w:szCs w:val="20"/>
                <w:color w:val="auto"/>
              </w:rPr>
            </w:pPr>
            <w:r>
              <w:rPr>
                <w:rFonts w:ascii="Arial" w:cs="Arial" w:eastAsia="Arial" w:hAnsi="Arial"/>
                <w:sz w:val="14"/>
                <w:szCs w:val="14"/>
                <w:color w:val="auto"/>
              </w:rPr>
              <w:t xml:space="preserve">Unrealized gain (loss) on derivative instruments and other securities, net: </w:t>
            </w:r>
            <w:r>
              <w:rPr>
                <w:rFonts w:ascii="Arial" w:cs="Arial" w:eastAsia="Arial" w:hAnsi="Arial"/>
                <w:sz w:val="8"/>
                <w:szCs w:val="8"/>
                <w:color w:val="auto"/>
              </w:rPr>
              <w:t>2</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TBA securities - mark-to-market net loss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Interest and principal-only strips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55</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30</w:t>
            </w:r>
          </w:p>
        </w:tc>
      </w:tr>
      <w:tr>
        <w:trPr>
          <w:trHeight w:val="250"/>
        </w:trPr>
        <w:tc>
          <w:tcPr>
            <w:tcW w:w="6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unrealized loss on derivative instruments and other securities, net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r>
      <w:tr>
        <w:trPr>
          <w:trHeight w:val="244"/>
        </w:trPr>
        <w:tc>
          <w:tcPr>
            <w:tcW w:w="6180" w:type="dxa"/>
            <w:vAlign w:val="bottom"/>
          </w:tcPr>
          <w:p>
            <w:pPr>
              <w:ind w:left="40"/>
              <w:spacing w:after="0"/>
              <w:rPr>
                <w:sz w:val="20"/>
                <w:szCs w:val="20"/>
                <w:color w:val="auto"/>
              </w:rPr>
            </w:pPr>
            <w:r>
              <w:rPr>
                <w:rFonts w:ascii="Arial" w:cs="Arial" w:eastAsia="Arial" w:hAnsi="Arial"/>
                <w:sz w:val="14"/>
                <w:szCs w:val="14"/>
                <w:color w:val="auto"/>
              </w:rPr>
              <w:t>Total loss on derivative instruments and other securities,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0</wp:posOffset>
            </wp:positionV>
            <wp:extent cx="12179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-99695</wp:posOffset>
            </wp:positionV>
            <wp:extent cx="1217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Please refer to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above for additional information regarding other periodic interest costs of interest rate swaps, net.</w:t>
      </w:r>
    </w:p>
    <w:p>
      <w:pPr>
        <w:spacing w:after="0" w:line="1" w:lineRule="exact"/>
        <w:rPr>
          <w:rFonts w:ascii="Arial" w:cs="Arial" w:eastAsia="Arial" w:hAnsi="Arial"/>
          <w:sz w:val="14"/>
          <w:szCs w:val="14"/>
          <w:color w:val="auto"/>
        </w:rPr>
      </w:pPr>
    </w:p>
    <w:p>
      <w:pPr>
        <w:ind w:left="980" w:right="20" w:hanging="648"/>
        <w:spacing w:after="0" w:line="255" w:lineRule="auto"/>
        <w:tabs>
          <w:tab w:leader="none" w:pos="6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Unrealized gain (loss) from derivative instruments and other securities, net includes reversals of prior period amounts for settled, terminated or expired derivative instruments and other securities.</w:t>
      </w:r>
    </w:p>
    <w:p>
      <w:pPr>
        <w:spacing w:after="0" w:line="13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pay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There is no incentive compensation payable to our Manager pursuant to the management agreement. We incurred management fees of $30 million and $29 million for the three months ended March 31, 2015 and 2014, respectively.</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and administrative expenses were $6 million for each of the three months ended March 31, 2015 and 2014. Our general and administrative expenses primarily consisted of prime broker fees, information technology costs, accounting fees, legal fees, Board of Director fees, insurance expense and general overhead expense.</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84" w:right="239" w:bottom="1440" w:gutter="0" w:footer="0" w:header="0"/>
          <w:type w:val="continuous"/>
        </w:sectPr>
      </w:pPr>
    </w:p>
    <w:bookmarkStart w:id="40" w:name="page41"/>
    <w:bookmarkEnd w:id="40"/>
    <w:p>
      <w:pPr>
        <w:jc w:val="both"/>
        <w:ind w:firstLine="432"/>
        <w:spacing w:after="0" w:line="277" w:lineRule="auto"/>
        <w:rPr>
          <w:sz w:val="20"/>
          <w:szCs w:val="20"/>
          <w:color w:val="auto"/>
        </w:rPr>
      </w:pPr>
      <w:r>
        <w:rPr>
          <w:rFonts w:ascii="Arial" w:cs="Arial" w:eastAsia="Arial" w:hAnsi="Arial"/>
          <w:sz w:val="18"/>
          <w:szCs w:val="18"/>
          <w:color w:val="auto"/>
        </w:rPr>
        <w:t>Our total operating expense as a percentage of our average stockholders' equity was 1.55% and 1.58% for the three months ended March 31,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the three months ended March 31, 2015, we had estimated taxable income available to common stockholders of $166 million (or $0.47 per common share), largely unchanged from $167 million (or $0.47 per common share) for the prior year period.</w:t>
      </w:r>
    </w:p>
    <w:p>
      <w:pPr>
        <w:spacing w:after="0" w:line="116"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As a REIT, we are required to distribute annually 90% of our ordinary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w:t>
      </w:r>
    </w:p>
    <w:p>
      <w:pPr>
        <w:spacing w:after="0" w:line="5" w:lineRule="exact"/>
        <w:rPr>
          <w:sz w:val="20"/>
          <w:szCs w:val="20"/>
          <w:color w:val="auto"/>
        </w:rPr>
      </w:pPr>
    </w:p>
    <w:p>
      <w:pPr>
        <w:ind w:right="20" w:firstLine="8"/>
        <w:spacing w:after="0" w:line="261" w:lineRule="auto"/>
        <w:tabs>
          <w:tab w:leader="none" w:pos="3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temporary differences related to the amortization of net premiums paid on investments. Furthermore, our estimated taxable income is subject to potential adjustments up to the time of filing our appropriate tax returns, which occurs after the end of our fiscal year.</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is a reconciliation of our GAAP net income to our estimated taxable income for the three months ended March 31, 2015 and 2014 (dollars in millions):</w:t>
      </w:r>
    </w:p>
    <w:p>
      <w:pPr>
        <w:spacing w:after="0" w:line="270"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13335</wp:posOffset>
            </wp:positionV>
            <wp:extent cx="1252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87"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7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r>
      <w:tr>
        <w:trPr>
          <w:trHeight w:val="25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Realized (gains) losses, net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36</w:t>
            </w: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loss carryforward</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64"/>
        </w:trPr>
        <w:tc>
          <w:tcPr>
            <w:tcW w:w="73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Unrealized losses, net</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w:t>
            </w:r>
          </w:p>
        </w:tc>
      </w:tr>
      <w:tr>
        <w:trPr>
          <w:trHeight w:val="250"/>
        </w:trPr>
        <w:tc>
          <w:tcPr>
            <w:tcW w:w="73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Total book to tax differences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r>
      <w:tr>
        <w:trPr>
          <w:trHeight w:val="250"/>
        </w:trPr>
        <w:tc>
          <w:tcPr>
            <w:tcW w:w="7380" w:type="dxa"/>
            <w:vAlign w:val="bottom"/>
          </w:tcPr>
          <w:p>
            <w:pPr>
              <w:ind w:left="20"/>
              <w:spacing w:after="0"/>
              <w:rPr>
                <w:sz w:val="20"/>
                <w:szCs w:val="20"/>
                <w:color w:val="auto"/>
              </w:rPr>
            </w:pPr>
            <w:r>
              <w:rPr>
                <w:rFonts w:ascii="Arial" w:cs="Arial" w:eastAsia="Arial" w:hAnsi="Arial"/>
                <w:sz w:val="14"/>
                <w:szCs w:val="14"/>
                <w:color w:val="auto"/>
              </w:rPr>
              <w:t>Estimated REIT taxable income</w:t>
            </w: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170</w:t>
            </w:r>
          </w:p>
        </w:tc>
      </w:tr>
      <w:tr>
        <w:trPr>
          <w:trHeight w:val="270"/>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28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w:t>
            </w:r>
          </w:p>
        </w:tc>
      </w:tr>
      <w:tr>
        <w:trPr>
          <w:trHeight w:val="21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352.8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354.8</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0.47</w:t>
            </w:r>
          </w:p>
        </w:tc>
      </w:tr>
      <w:tr>
        <w:trPr>
          <w:trHeight w:val="264"/>
        </w:trPr>
        <w:tc>
          <w:tcPr>
            <w:tcW w:w="7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Beginning cumulative non-deductible capital losses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1,785</w:t>
            </w: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Utilization of capital loss carryforward</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5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cumulative non-deductible capital losses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1,683</w:t>
            </w: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capital losses per common share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4.77</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estimated taxable income for the three months ended March 31, 2015 and 2014 excludes $115 million and $102 million, respectively, of estimated net capital gains, which were applied against our prior year net capital loss carryforward. As of March 31, 2015, we had $648 million (or $1.84 per common share) of remaining net capital loss carryforwards, which can be carried forward and applied against future net capital gains through fiscal year 2018.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p>
      <w:pPr>
        <w:ind w:firstLine="432"/>
        <w:spacing w:after="0" w:line="277" w:lineRule="auto"/>
        <w:rPr>
          <w:sz w:val="20"/>
          <w:szCs w:val="20"/>
          <w:color w:val="auto"/>
        </w:rPr>
      </w:pPr>
      <w:r>
        <w:rPr>
          <w:rFonts w:ascii="Arial" w:cs="Arial" w:eastAsia="Arial" w:hAnsi="Arial"/>
          <w:sz w:val="18"/>
          <w:szCs w:val="18"/>
          <w:color w:val="auto"/>
        </w:rPr>
        <w:t>The following table summarizes dividends declared on our Series A Preferred Stock, depositary shares underlying our Series B Preferred Stock and common stock during the three months ended March 31, 2015 and 2014:</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2014</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bl>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final tax characterization of our fiscal year 2015 dividends will be determined and reported to stockholders on their annual Form 1099-DIV statement after the end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components of our other comprehensive income for the three months ended March 31, 2015 and 2014 (in millions):</w:t>
      </w:r>
    </w:p>
    <w:p>
      <w:pPr>
        <w:spacing w:after="0" w:line="297"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13335</wp:posOffset>
            </wp:positionV>
            <wp:extent cx="1252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87"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74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r>
      <w:tr>
        <w:trPr>
          <w:trHeight w:val="270"/>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available-for-sale securities, net:</w:t>
            </w:r>
          </w:p>
        </w:tc>
        <w:tc>
          <w:tcPr>
            <w:tcW w:w="6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7420" w:type="dxa"/>
            <w:vAlign w:val="bottom"/>
          </w:tcPr>
          <w:p>
            <w:pPr>
              <w:ind w:left="100"/>
              <w:spacing w:after="0"/>
              <w:rPr>
                <w:sz w:val="20"/>
                <w:szCs w:val="20"/>
                <w:color w:val="auto"/>
              </w:rPr>
            </w:pPr>
            <w:r>
              <w:rPr>
                <w:rFonts w:ascii="Arial" w:cs="Arial" w:eastAsia="Arial" w:hAnsi="Arial"/>
                <w:sz w:val="14"/>
                <w:szCs w:val="14"/>
                <w:color w:val="auto"/>
              </w:rPr>
              <w:t>Unrealized gain, net</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w w:val="94"/>
              </w:rPr>
              <w:t>427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502</w:t>
            </w:r>
          </w:p>
        </w:tc>
      </w:tr>
      <w:tr>
        <w:trPr>
          <w:trHeight w:val="270"/>
        </w:trPr>
        <w:tc>
          <w:tcPr>
            <w:tcW w:w="7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6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r>
      <w:tr>
        <w:trPr>
          <w:trHeight w:val="25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gain on available-for-sale securities, net:</w:t>
            </w: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391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521</w:t>
            </w:r>
          </w:p>
        </w:tc>
      </w:tr>
      <w:tr>
        <w:trPr>
          <w:trHeight w:val="270"/>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6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74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r>
      <w:tr>
        <w:trPr>
          <w:trHeight w:val="24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564</w:t>
            </w:r>
          </w:p>
        </w:tc>
      </w:tr>
      <w:tr>
        <w:trPr>
          <w:trHeight w:val="20"/>
        </w:trPr>
        <w:tc>
          <w:tcPr>
            <w:tcW w:w="7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46"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primary sources of funds are borrowings under master repurchase agreements, equity offerings, asset sales and monthly principal and interest payments on our investment portfolio. Because the level of our borrowings can be adjusted on a daily basis, the level of cash and cash equivalents carried on our balance sheet is significantly less important than the potential liquidity available under our borrowing arrangements. 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taxable income. To the extent that we annually distribute all of our taxable income in a timely manner, we will generally not be subject to federal and state income taxes. We currently expect to distribute all of our taxable income in a timely manner so that we are not subject to federal and state income taxes. This distribution requirement limits our ability to retain earnings and thereby replenish or increase capital from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our borrowings under such master repurchase agreements will generally have maturities ranging up to one year, but may have maturities up to five years or longer. Our leverage may vary periodically depending on market conditions and our Manager's assessment of risks and returns. We generally would expect our leverage to be within six to eleven times the amount of our stockholders' equity. However, under certain market conditions, we may operate at leverage levels outside of this range for extended periods of time.</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March 31, 2015, we had $54.3 billion of repurchase agreements outstanding used to fund acquisitions of agency securities and we had an additional $3.8 billion of repurchase agreements outstanding used to fund temporary holdings of U.S. Treasury securities, which we exclude from our leverage measurements due to the highly liquid and temporary nature of these investments. Inclusive of our net TBA position, our "at risk" leverage ratio was 6.4x as of March 31, 2015, compared to 6.9x as of December 31, 2014, measured as the sum of our agency repurchase agreements, net TBA position (at cost), net receivable / payable for unsettled agency securities and debt of consolidated VIEs divided by the sum of our total stockholders' equity less the fair value of our investment in REIT equity securities as of period end. Excluding our net TBA position, our leverage ratio was 5.8x our stockholders' equity as of March 31, 2015, compared to 5.3x as of December 31, 2014.</w:t>
      </w:r>
    </w:p>
    <w:p>
      <w:pPr>
        <w:spacing w:after="0" w:line="162" w:lineRule="exact"/>
        <w:rPr>
          <w:sz w:val="20"/>
          <w:szCs w:val="20"/>
          <w:color w:val="auto"/>
        </w:rPr>
      </w:pPr>
    </w:p>
    <w:p>
      <w:pPr>
        <w:jc w:val="both"/>
        <w:ind w:firstLine="432"/>
        <w:spacing w:after="0" w:line="299" w:lineRule="auto"/>
        <w:rPr>
          <w:sz w:val="20"/>
          <w:szCs w:val="20"/>
          <w:color w:val="auto"/>
        </w:rPr>
      </w:pPr>
      <w:r>
        <w:rPr>
          <w:rFonts w:ascii="Arial" w:cs="Arial" w:eastAsia="Arial" w:hAnsi="Arial"/>
          <w:sz w:val="18"/>
          <w:szCs w:val="18"/>
          <w:color w:val="auto"/>
        </w:rPr>
        <w:t>As of March 31, 2015, our agency repurchase agreements had a weighted average cost of funds of 0.41% and a weighted average remaining days-to-maturity of 164 days, excluding amounts borrowed under U.S. Treasury repurchase agreements, compared 0.41% and 143 days, respectively, as of December 31, 2014</w:t>
      </w:r>
      <w:r>
        <w:rPr>
          <w:rFonts w:ascii="Arial" w:cs="Arial" w:eastAsia="Arial" w:hAnsi="Arial"/>
          <w:sz w:val="21"/>
          <w:szCs w:val="21"/>
          <w:color w:val="auto"/>
        </w:rPr>
        <w:t>.</w:t>
      </w:r>
    </w:p>
    <w:p>
      <w:pPr>
        <w:spacing w:after="0" w:line="1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limit our exposure to counterparty credit risk, we diversify our funding across multiple counterparties and by counterparty region. As of March 31, 2015, we had master repurchase agreements with 34 financial institutions located throughout North America, Europe and Asia. As of March 31, 2015, less than 4% of our stockholders' equity was at risk with any one repo counterparty, with the top five repo counterparties representing approximately 15% of our stockholders' equity. The table below includes a summary of our repurchase agreement funding by number of repo counterparties and counterparty region as of March 31, 2015. For further details regarding our borrowings under repurchase agreements and other debt as of March 31, 2015, please refer to Note 5 to our consolidated financial statements in this Quarterly Report on Form 10-Q.</w:t>
      </w:r>
    </w:p>
    <w:p>
      <w:pPr>
        <w:spacing w:after="0" w:line="346"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3" w:name="page44"/>
    <w:bookmarkEnd w:id="43"/>
    <w:p>
      <w:pPr>
        <w:jc w:val="both"/>
        <w:spacing w:after="0" w:line="279" w:lineRule="auto"/>
        <w:rPr>
          <w:sz w:val="20"/>
          <w:szCs w:val="20"/>
          <w:color w:val="auto"/>
        </w:rPr>
      </w:pPr>
      <w:r>
        <w:rPr>
          <w:rFonts w:ascii="Arial" w:cs="Arial" w:eastAsia="Arial" w:hAnsi="Arial"/>
          <w:sz w:val="17"/>
          <w:szCs w:val="17"/>
          <w:color w:val="auto"/>
        </w:rPr>
        <w:t>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the three months ended March 31, 2015, haircuts on our pledged collateral remained stable and as of March 31, 2015, our weighted average haircut was less than 5% of the value of our collateral.</w:t>
      </w:r>
    </w:p>
    <w:p>
      <w:pPr>
        <w:spacing w:after="0" w:line="11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agency securities securing our repurchase agreements and prepayments on the mortgages securing such agency securities. Similarly, if the estimated fair value of our investment securities increases due to changes in interest rates or other factors, counterparties may release collateral back to us. Our repurchase agreements generally provide that the valuations for the agency MBS securing our repurchase agreements are to be obtained from a generally recognized source agreed to by the parties. However, in certain circumstances under certain of our repurchase agreements our lenders have the sole discretion to determine the value of the agency MBS securing our repurchase agreements.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2015, we had met all of our margin requirements and we had unrestricted cash and cash equivalents of $1.7 billion and unpledged securities of approximately $3.4 billion, including securities pledged to us, available to meet margin calls on our repurchase agreements and derivative instruments and for other corporate purposes.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TBA securities, U.S. Treasury securities, U.S. Treasury futures contracts and other instruments. Please refer to Notes 3 and 6 to our consolidated financial statements in this Quarterly Report on Form 10-Q for further details regarding our use of derivative instruments.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Similar to repurchase agreements, our use of derivatives exposes us to counterparty credit risk relating to potential losses that could be recognized in the event that the counterparties to these instruments fail to perform their obligations under the contracts. We minimize this risk by limiting our counterparties to major financial institutions with acceptable credit ratings and by monitoring positions with individual counterparties.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Excluding centrally cleared interest rate swaps, as of March 31, 2015, our amount at risk with any counterparty related to our interest rate swap and swaption agreements was less than 1% of our stockholders' equity.</w:t>
      </w:r>
    </w:p>
    <w:p>
      <w:pPr>
        <w:spacing w:after="0" w:line="11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4" w:name="page45"/>
    <w:bookmarkEnd w:id="44"/>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3 and 6 in the accompanying consolidated financial statements in this Quarterly Report on Form 10-Q). Inclusive of our net TBA position, as of March 31, 2015, our total "at risk" leverage was 6.4 times our stockholders' equity.</w:t>
      </w:r>
    </w:p>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March 31, 2015, we had a net long TBA position with a market value and a total contract price of $4.9 billion and $4.8 billion, respectively, and a total net carrying value of $79 million recognized in derivative assets/(liabilities), at fair value on our consolidated balance sheets in this Quarterly Report on Form 10-Q.</w:t>
      </w:r>
    </w:p>
    <w:p>
      <w:pPr>
        <w:spacing w:after="0" w:line="17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TBA dollar roll contracts are also subject to margin requirements governed by the Mortgage-Backed Securities Division ("MBSD") of the Fixed Income Clearing Corporation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Home Loan Bank Membership</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April 2015, our wholly-owned captive insurance subsidiary, Old Georgetown Insurance Co., LLC ("AGNC Captive"), was approved as a member of the Federal Home Loan Bank ("FHLB") of Des Moines. The 12 regional FHLBs provide a variety of products and services to their members, including long-term and short-term secured loans, called "advances." FHLB members may use a variety of real estate related assets, including agency MBS, as collateral for such advances. Membership in the FHLB obligates AGNC Captive to purchase membership stock and activity-based stock in the FHLB, the latter dependent upon the aggregate amount of advances obtained from the FHLB.</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FHLB advances collateralized by agency MBS typically require higher effective "haircuts" than those required under our current repurchase agreements as a result of the slightly higher haircuts implemented by the FHLB, coupled with the requirement to acquire activity-based stock in the FHLB concurrent with such borrowings. Consequently, we do not currently anticipate FHLB advances to serve as a primary source of funding for our investment portfolio. In addition, the FHLBs determine the fair value of the securities pledged as collateral and retain the right to adjust collateral haircuts during the term of secured borrowings.</w:t>
      </w:r>
    </w:p>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September 2014, the Federal Housing Financing Authority ("FHFA") issued a Notice of Proposed Rulemaking and Request for Comments Involving Proposed Changes to Regulations Concerning Federal Home Loan Bank Membership Criteria (the "Proposed Rule"). If enacted, the Proposed Rule, among other things, would immediately terminate the membership of captive insurance companies that became members of the FHLB system after publication of the Proposed Rule, which would include AGNC Captive. If AGNC Captive's membership in the FHLB were terminated, the FHLB would have up to five years to redeem the FHLB stock that AGNC Captive purchased and owns as the result of its membership and level of FHLB activity. In addition, if such membership were terminated, AGNC Captive could be required to immediately unwind any outstanding debt advances from the FHLB. It is unclear at this point whether the Proposed Rule will be enacted in its current form. The ultimate content of any rule enacted by FHFA with respect to captive insurance company membership in FHLBs, FHLB advance requirements or standards, or similar matters could have a material impact on AGNC Captive’s ability to procure funding through the FHLB, which could cause us to experience losses and may have a material adverse effect on our business to the extent of our reliance on FHLB advances.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 portfolio of highly liquid agency MBS securities. We may sell our agency MBS securities through the TBA market by delivering securities into TBA contracts for the sale of agency securities, subject to "good delivery" provisions promulgated by the Securities Industry and Financial Markets Association ("SIFMA"). We may alternatively sell agency MBS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MBS securities eligible for TBA delivery enhances our liquidity profile and provides price support for our TBA eligible securities at or above generic TBA prices. As of March 31, 2015, approximately 93% of our fixed rate agency MBS portfolio was eligible for TBA delivery.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we raise additional equity capital through follow-on equity offerings, through our at-the-market offering program or under our dividend reinvestment and direct stock purchase plan, we may use cash proceeds from such transactions to purchase additional investment securities, to make scheduled payments of principal and interest on our repurchase agreements and for other general corporate purposes. There can be no assurance, however, that we will be able to raise additional equity capital at any particular time or on any particular terms.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Repurchase Program</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Our Board of Directors adopted a program that authorizes repurchases of our common stock through December 31, 2015, up to a specified amount.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 During the three months ended March 31, 2015, we did not repurchase any shares of our common stock. As of March 31, 2015, the total remaining amount authorized for repurchases of our common stock was $992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2015,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March 31, 2015, we had not guaranteed any obligations of unconsolidated entities or entered into any commitment or intent to provide funding to any such entities.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agency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may utilize a variety of financial instruments in order to limit the effects of changes in interest rates on our operations. The principal instruments that we use are interest rate swaps and swaptions. We also utilize TBA contracts as well as U.S. Treasury securities and U.S. Treasury futures contracts, primarily through short sales. We may also purchase or write put or call options on TBA securities and we may invest in other types of mortgage derivatives, such as interest and principal-only securities.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Primary measures of an instrument's price sensitivity to interest rate fluctuations are its duration and convexity. The duration of our investment portfolio changes with interest rates and tends to increase when rates rise and decrease when rates fall. This "negative convexity" generally increases the interest rate exposure of our investment portfolio in excess of what is measured by duration alone.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Manager's judgment. These adjustments are intended to, in our Manager's opinion,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net interest income (including periodic interest costs on our interest rate swaps) and the estimated changes in the fair value of our investment portfolio (including derivatives and other securities used for hedging purposes) and in our net asset value as of March 31, 2015 and December 31, 2014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All changes in income and value in the table below are measured as percentage changes from the base interest rate scenario. The base interest rate scenario assumes interest rates and prepayment projections as of March 31, 2015 and December 31, 2014.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6"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w w:val="96"/>
              </w:rPr>
              <w:t>Net Asset Value</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3,5</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March 31, 2015</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-5.7%</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-7.6%</w:t>
            </w:r>
          </w:p>
        </w:tc>
        <w:tc>
          <w:tcPr>
            <w:tcW w:w="0" w:type="dxa"/>
            <w:vAlign w:val="bottom"/>
          </w:tcPr>
          <w:p>
            <w:pPr>
              <w:spacing w:after="0"/>
              <w:rPr>
                <w:sz w:val="1"/>
                <w:szCs w:val="1"/>
                <w:color w:val="auto"/>
              </w:rPr>
            </w:pPr>
          </w:p>
        </w:tc>
      </w:tr>
      <w:tr>
        <w:trPr>
          <w:trHeight w:val="33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-9.6%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14" w:lineRule="exact"/>
        <w:rPr>
          <w:sz w:val="20"/>
          <w:szCs w:val="20"/>
          <w:color w:val="auto"/>
        </w:rPr>
      </w:pPr>
    </w:p>
    <w:p>
      <w:pPr>
        <w:ind w:left="66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 well as by our Manager,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current pay interest rate swaps, but excludes costs associated with our other supplemental hedges, such as swaptions and U.S. Treasury securities. Also excludes costs associated with our TBA position and TBA dollar roll income/loss. Base case scenario assumes interest rates and forecasted CPR of 10% and 9% as of March 31, 2015 and December 31, 2014, respectively. As of March 31, 2015, rate shock scenarios assume a forecasted CPR of 16%, 12%, 8% and 8% for the -100, -50, +50 and +100 basis points scenarios, respectively. As of December 31, 2014, rate shock scenarios assume a forecasted CPR of 14%, 11%, 8% and 7% for such scenarios, respectively. Estimated dollar change in net interest income does not include the one time impact of retroactive "catch-up" premium amortization benefit/cost due to a decrease/increase in the forecasted CPR and does not include dividend income from investments in other REITs. Down rate scenarios assume a floor of 0% for anticipated interest rates.</w:t>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agency MBS increase during periods of falling mortgage interest rates and decrease during periods of rising mortgage interest rates. However, this may not always be the case.</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agency MBS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agency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the market spread widens between the yield on our agency securities and benchmark interest rates, our net book value could decline if the value of our agency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00"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monetary policy actions by the Fed,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net asset value as of March 31, 2015 and December 31, 2014 should spreads widen or tighten by 10 and 25 basis points. The estimated impact of changes in spreads is in addition to our interest rate shock sensitivity included in the interest rate shock table above. The table below assumes a spread duration of 4.6 years and 5.3 years based on interest rates and MBS prices as of March 31, 2015 and December 31, 2014, respectively. However, our portfolio's sensitivity of mortgage spread changes will vary with changes in interest rates and in the size and composition of our investment portfolio. Therefore, actual results could differ materially from our estimates.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of Agency MBS Portfolio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March 31, 2015</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+9.3%</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+3.7%</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-9.3%</w:t>
            </w:r>
          </w:p>
        </w:tc>
        <w:tc>
          <w:tcPr>
            <w:tcW w:w="0" w:type="dxa"/>
            <w:vAlign w:val="bottom"/>
          </w:tcPr>
          <w:p>
            <w:pPr>
              <w:spacing w:after="0"/>
              <w:rPr>
                <w:sz w:val="1"/>
                <w:szCs w:val="1"/>
                <w:color w:val="auto"/>
              </w:rPr>
            </w:pPr>
          </w:p>
        </w:tc>
      </w:tr>
      <w:tr>
        <w:trPr>
          <w:trHeight w:val="330"/>
        </w:trPr>
        <w:tc>
          <w:tcPr>
            <w:tcW w:w="3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+9.8%</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+3.9%</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ind w:left="660" w:right="2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 well as by our Manager, assumes there are no changes in interest rates and assumes a static portfolio. Actual results could differ materially from these estimates.</w:t>
      </w: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primary liquidity risk for us arises from financing long-term assets with shorter-term borrowings through repurchase agreements. Our assets that are pledged to secure repurchase agreements are agency securities, U.S. Treasury securities and cash. As of March 31, 2015, we had unrestricted cash and cash equivalents of $1.7 billion and unpledged securities of approximately $3.4 billion, including securities pledged to us, available to meet margin calls on our repurchase agreements and derivative contracts and for other corporate purposes. However, should the value of our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may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projected weighted-average life and estimated duration (or interest rate sensitivity) of our investments is based on our Manager's assumptions regarding the rate at which the borrowers will prepay the underlying mortgage loans. In general, we use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interest rate 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repurchase agreements.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agency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exposed to counterparty credit risk relating to potential losses that could be recognized in the event that the counterparties to our repurchase agreements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major financial institutions with acceptable credit ratings. However, there is no guarantee our efforts to manage counterparty credit risk will be successful and we could suffer significant losses if unsuccessful.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March 31, 2015. Based on the foregoing, our Chief Executive Officer and Chief Financial Officer concluded that our disclosure controls and procedures were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0" w:name="page51"/>
    <w:bookmarkEnd w:id="50"/>
    <w:p>
      <w:pPr>
        <w:jc w:val="center"/>
        <w:ind w:right="-4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From time to time, we may be involved in various claims and legal actions arising in the ordinary course of business. Neither we, nor any of our consolidated subsidiaries, are currently subject to any material litigation nor, to our knowledge, is any material litigation threatened against us or any consolidated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25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240" w:top="580" w:right="659" w:bottom="1440" w:gutter="0" w:footer="0" w:header="0"/>
        </w:sectPr>
      </w:pPr>
    </w:p>
    <w:bookmarkStart w:id="51" w:name="page52"/>
    <w:bookmarkEnd w:id="51"/>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300" w:right="420" w:hanging="449"/>
        <w:spacing w:after="0" w:line="277" w:lineRule="auto"/>
        <w:rPr>
          <w:sz w:val="20"/>
          <w:szCs w:val="20"/>
          <w:color w:val="auto"/>
        </w:rPr>
      </w:pPr>
      <w:r>
        <w:rPr>
          <w:rFonts w:ascii="Arial" w:cs="Arial" w:eastAsia="Arial" w:hAnsi="Arial"/>
          <w:sz w:val="18"/>
          <w:szCs w:val="18"/>
          <w:color w:val="auto"/>
        </w:rPr>
        <w:t>*3.1 American Capital Agency Corp. Amended and Restated Certificate of Incorporation, as amended, incorporated herein by reference to Exhibit 3.1 of Form 10-Q for the quarter ended March 31, 2012 (File No. 001-34057), filed May 9, 2012.</w:t>
      </w:r>
    </w:p>
    <w:p>
      <w:pPr>
        <w:spacing w:after="0" w:line="130" w:lineRule="exact"/>
        <w:rPr>
          <w:sz w:val="20"/>
          <w:szCs w:val="20"/>
          <w:color w:val="auto"/>
        </w:rPr>
      </w:pPr>
    </w:p>
    <w:p>
      <w:pPr>
        <w:ind w:left="1300" w:right="260" w:hanging="449"/>
        <w:spacing w:after="0" w:line="277" w:lineRule="auto"/>
        <w:rPr>
          <w:sz w:val="20"/>
          <w:szCs w:val="20"/>
          <w:color w:val="auto"/>
        </w:rPr>
      </w:pPr>
      <w:r>
        <w:rPr>
          <w:rFonts w:ascii="Arial" w:cs="Arial" w:eastAsia="Arial" w:hAnsi="Arial"/>
          <w:sz w:val="18"/>
          <w:szCs w:val="18"/>
          <w:color w:val="auto"/>
        </w:rPr>
        <w:t>*3.2 American Capital Agency Corp. Second Amended and Restated Bylaws, as amended, incorporated herein by reference to Exhibit 3.2 of Form 10-K for the year ended December 31, 2011 (File No. 001-34057), filed February 23,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*3.3 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*3.4 Certificate of Designations of 7.750% Series B Cumulative Redeemable Preferred Stock, incorporated herein by reference to Exhibit 3.3 to Form 8-A (File No. 001-34057), filed May 7, 2014.</w:t>
      </w:r>
    </w:p>
    <w:p>
      <w:pPr>
        <w:spacing w:after="0" w:line="130" w:lineRule="exact"/>
        <w:rPr>
          <w:sz w:val="20"/>
          <w:szCs w:val="20"/>
          <w:color w:val="auto"/>
        </w:rPr>
      </w:pPr>
    </w:p>
    <w:p>
      <w:pPr>
        <w:ind w:left="1300" w:right="160" w:hanging="449"/>
        <w:spacing w:after="0" w:line="264" w:lineRule="auto"/>
        <w:rPr>
          <w:sz w:val="20"/>
          <w:szCs w:val="20"/>
          <w:color w:val="auto"/>
        </w:rPr>
      </w:pPr>
      <w:r>
        <w:rPr>
          <w:rFonts w:ascii="Arial" w:cs="Arial" w:eastAsia="Arial" w:hAnsi="Arial"/>
          <w:sz w:val="18"/>
          <w:szCs w:val="18"/>
          <w:color w:val="auto"/>
        </w:rPr>
        <w:t>*4.1 Instruments defining the rights of holders of securities: See Article IV of our Amended and Restated Certificate of Incorporation, as amended, incorporated herein by reference to Exhibit 3.1 of Form 10-Q for the quarter ended March 31, 2012 (File No. 001-34057), filed May 9, 2012.</w:t>
      </w:r>
    </w:p>
    <w:p>
      <w:pPr>
        <w:spacing w:after="0" w:line="141" w:lineRule="exact"/>
        <w:rPr>
          <w:sz w:val="20"/>
          <w:szCs w:val="20"/>
          <w:color w:val="auto"/>
        </w:rPr>
      </w:pPr>
    </w:p>
    <w:p>
      <w:pPr>
        <w:ind w:left="1300" w:right="140" w:hanging="449"/>
        <w:spacing w:after="0" w:line="264" w:lineRule="auto"/>
        <w:rPr>
          <w:sz w:val="20"/>
          <w:szCs w:val="20"/>
          <w:color w:val="auto"/>
        </w:rPr>
      </w:pPr>
      <w:r>
        <w:rPr>
          <w:rFonts w:ascii="Arial" w:cs="Arial" w:eastAsia="Arial" w:hAnsi="Arial"/>
          <w:sz w:val="18"/>
          <w:szCs w:val="18"/>
          <w:color w:val="auto"/>
        </w:rPr>
        <w:t>*4.2 Instruments defining the rights of holders of securities: See Article VI of our Second Amended and Restated Bylaws, as amended, incorporated herein by reference to Exhibit 3.2 of Form 10-K for the year ended December 31, 2011 (File No. 001-34057), filed February 23, 2012.</w:t>
      </w:r>
    </w:p>
    <w:p>
      <w:pPr>
        <w:spacing w:after="0" w:line="141" w:lineRule="exact"/>
        <w:rPr>
          <w:sz w:val="20"/>
          <w:szCs w:val="20"/>
          <w:color w:val="auto"/>
        </w:rPr>
      </w:pPr>
    </w:p>
    <w:p>
      <w:pPr>
        <w:ind w:left="1300" w:right="60" w:hanging="449"/>
        <w:spacing w:after="0" w:line="277" w:lineRule="auto"/>
        <w:rPr>
          <w:sz w:val="20"/>
          <w:szCs w:val="20"/>
          <w:color w:val="auto"/>
        </w:rPr>
      </w:pPr>
      <w:r>
        <w:rPr>
          <w:rFonts w:ascii="Arial" w:cs="Arial" w:eastAsia="Arial" w:hAnsi="Arial"/>
          <w:sz w:val="18"/>
          <w:szCs w:val="18"/>
          <w:color w:val="auto"/>
        </w:rPr>
        <w:t>*4.3 Form of Certificate for Common Stock, incorporated herein by reference to Exhibit 4.1 to Amendment No. 4 to the Registration Statement on Form S-11 (Registration No. 333-149167), filed May 9, 2008.</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*4.4 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*4.5 Specimen 7.750% Series B Cumulative Redeemable Preferred Stock Certificate, incorporated herein by reference to Exhibit 4.1 to Form 8-A (File No. 001-34057), filed May 7, 2014.</w:t>
      </w:r>
    </w:p>
    <w:p>
      <w:pPr>
        <w:spacing w:after="0" w:line="130" w:lineRule="exact"/>
        <w:rPr>
          <w:sz w:val="20"/>
          <w:szCs w:val="20"/>
          <w:color w:val="auto"/>
        </w:rPr>
      </w:pPr>
    </w:p>
    <w:p>
      <w:pPr>
        <w:ind w:left="1300" w:right="100" w:hanging="449"/>
        <w:spacing w:after="0" w:line="342" w:lineRule="auto"/>
        <w:rPr>
          <w:sz w:val="20"/>
          <w:szCs w:val="20"/>
          <w:color w:val="auto"/>
        </w:rPr>
      </w:pPr>
      <w:r>
        <w:rPr>
          <w:rFonts w:ascii="Arial" w:cs="Arial" w:eastAsia="Arial" w:hAnsi="Arial"/>
          <w:sz w:val="16"/>
          <w:szCs w:val="16"/>
          <w:color w:val="auto"/>
        </w:rPr>
        <w:t>*4.6 Deposit Agreement, dated May 8, 2014, among American Capital Agency Corp., Computershare Inc. and Computershare Trust Company, N.A., jointly as depositary, incorporated herein by reference to Exhibit 4.2 to Form 8-K (File No. 001-34067), filed May 8, 2014.</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*4.7  Form of Depositary Receipt, incorporated herein by reference to Exhibit 4.3 to Form 8-K (File No. 001-34067), filed May 8, 2014.</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31.2  Certification of CFO Pursuant to Section 302(a) of the Sarbanes-Oxley Act of 2002.</w:t>
      </w:r>
    </w:p>
    <w:p>
      <w:pPr>
        <w:spacing w:after="0" w:line="185" w:lineRule="exact"/>
        <w:rPr>
          <w:sz w:val="20"/>
          <w:szCs w:val="20"/>
          <w:color w:val="auto"/>
        </w:rPr>
      </w:pPr>
    </w:p>
    <w:p>
      <w:pPr>
        <w:ind w:left="380" w:right="3480" w:firstLine="596"/>
        <w:spacing w:after="0" w:line="45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9" w:lineRule="exact"/>
        <w:rPr>
          <w:sz w:val="20"/>
          <w:szCs w:val="20"/>
          <w:color w:val="auto"/>
        </w:rPr>
      </w:pPr>
    </w:p>
    <w:p>
      <w:pPr>
        <w:ind w:left="660" w:right="160" w:hanging="652"/>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399" w:lineRule="exact"/>
        <w:rPr>
          <w:rFonts w:ascii="Arial" w:cs="Arial" w:eastAsia="Arial" w:hAnsi="Arial"/>
          <w:sz w:val="18"/>
          <w:szCs w:val="18"/>
          <w:color w:val="auto"/>
        </w:rPr>
      </w:pPr>
    </w:p>
    <w:p>
      <w:pPr>
        <w:ind w:left="880" w:hanging="467"/>
        <w:spacing w:after="0"/>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hanging="467"/>
        <w:spacing w:after="0"/>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Additional financial statement schedules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887" w:right="31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A</w:t>
      </w:r>
      <w:r>
        <w:rPr>
          <w:rFonts w:ascii="Arial" w:cs="Arial" w:eastAsia="Arial" w:hAnsi="Arial"/>
          <w:sz w:val="14"/>
          <w:szCs w:val="14"/>
          <w:color w:val="auto"/>
        </w:rPr>
        <w:t>GENCY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786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Malon Wilkus</w:t>
      </w:r>
    </w:p>
    <w:p>
      <w:pPr>
        <w:jc w:val="center"/>
        <w:ind w:left="6180"/>
        <w:spacing w:after="0" w:line="226" w:lineRule="auto"/>
        <w:rPr>
          <w:sz w:val="20"/>
          <w:szCs w:val="20"/>
          <w:color w:val="auto"/>
        </w:rPr>
      </w:pPr>
      <w:r>
        <w:rPr>
          <w:rFonts w:ascii="Arial" w:cs="Arial" w:eastAsia="Arial" w:hAnsi="Arial"/>
          <w:sz w:val="14"/>
          <w:szCs w:val="14"/>
          <w:b w:val="1"/>
          <w:bCs w:val="1"/>
          <w:color w:val="auto"/>
        </w:rPr>
        <w:t>Chair of the Board of Directors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Executive Officer</w:t>
      </w:r>
    </w:p>
    <w:p>
      <w:pPr>
        <w:spacing w:after="0" w:line="4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6,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0" w:right="279" w:bottom="1440" w:gutter="0" w:footer="0" w:header="0"/>
        </w:sectPr>
      </w:pPr>
    </w:p>
    <w:bookmarkStart w:id="53" w:name="page54"/>
    <w:bookmarkEnd w:id="53"/>
    <w:p>
      <w:pPr>
        <w:ind w:left="1046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Malon Wilkus, certify that:</w:t>
      </w:r>
    </w:p>
    <w:p>
      <w:pPr>
        <w:spacing w:after="0" w:line="158" w:lineRule="exact"/>
        <w:rPr>
          <w:sz w:val="20"/>
          <w:szCs w:val="20"/>
          <w:color w:val="auto"/>
        </w:rPr>
      </w:pPr>
    </w:p>
    <w:p>
      <w:pPr>
        <w:ind w:left="860" w:hanging="467"/>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2015</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Malon Wilkus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 of the Board and Chief Executive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60" w:top="580" w:right="239" w:bottom="1440" w:gutter="0" w:footer="0" w:header="0"/>
        </w:sectPr>
      </w:pPr>
    </w:p>
    <w:bookmarkStart w:id="54" w:name="page55"/>
    <w:bookmarkEnd w:id="54"/>
    <w:p>
      <w:pPr>
        <w:ind w:left="1046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John R. Erickson, certify that:</w:t>
      </w:r>
    </w:p>
    <w:p>
      <w:pPr>
        <w:spacing w:after="0" w:line="158" w:lineRule="exact"/>
        <w:rPr>
          <w:sz w:val="20"/>
          <w:szCs w:val="20"/>
          <w:color w:val="auto"/>
        </w:rPr>
      </w:pPr>
    </w:p>
    <w:p>
      <w:pPr>
        <w:ind w:left="860" w:hanging="467"/>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2015</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R.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John R. Erickson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00"/>
          </w:cols>
          <w:pgMar w:left="26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Malon Wilkus, Chief Executive Officer and Chair of the Board of Directors, and John R. Erickson, Executive Vice President and Chief Financial</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Officer of American Capital Agency Corp. (the “Company”), certify pursuant to Section 906 of the Sarbanes-Oxley Act of 2002, 18 U.S.C. Section 1350 that:</w:t>
      </w:r>
    </w:p>
    <w:p>
      <w:pPr>
        <w:spacing w:after="0" w:line="180" w:lineRule="exact"/>
        <w:rPr>
          <w:sz w:val="20"/>
          <w:szCs w:val="20"/>
          <w:color w:val="auto"/>
        </w:rPr>
      </w:pPr>
    </w:p>
    <w:p>
      <w:pPr>
        <w:ind w:left="660" w:right="2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2015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Malon Wilkus</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Chair of the Board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and Chief Executive Officer (Principal Executive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May 6, 2015</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R. E</w:t>
            </w:r>
            <w:r>
              <w:rPr>
                <w:rFonts w:ascii="Arial" w:cs="Arial" w:eastAsia="Arial" w:hAnsi="Arial"/>
                <w:sz w:val="14"/>
                <w:szCs w:val="14"/>
                <w:color w:val="auto"/>
              </w:rPr>
              <w:t>RICKSON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John R. Erickson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(Principal Financial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May 6, 2015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815"/>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2"/>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Roman"/>
      <w:start w:val="3"/>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32"/>
    </w:lvl>
  </w:abstractNum>
  <w:abstractNum w:abstractNumId="36">
    <w:nsid w:val="2463B9EA"/>
    <w:multiLevelType w:val="hybridMultilevel"/>
    <w:lvl w:ilvl="0">
      <w:lvlJc w:val="left"/>
      <w:lvlText w:val="**"/>
      <w:numFmt w:val="bullet"/>
      <w:start w:val="1"/>
    </w:lvl>
    <w:lvl w:ilvl="1">
      <w:lvlJc w:val="left"/>
      <w:lvlText w:val="(%2)"/>
      <w:numFmt w:val="lowerLetter"/>
      <w:start w:val="2"/>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2019-12-29T16:30:47Z</dcterms:created>
  <dcterms:modified xsi:type="dcterms:W3CDTF">2019-12-29T16:30:47Z</dcterms:modified>
</cp:coreProperties>
</file>