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pPr>
      <w:r>
        <w:rPr>
          <w:rFonts w:ascii="Times New Roman;serif" w:hAnsi="Times New Roman;serif"/>
          <w:b w:val="false"/>
          <w:color w:val="000000"/>
          <w:sz w:val="18"/>
        </w:rPr>
        <w:t>__________________________________________________</w:t>
      </w: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8"/>
        </w:rPr>
        <w:t>__________________________________________________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18"/>
        </w:rPr>
        <w:t>CURRENT REPORT</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18"/>
        </w:rPr>
        <w:t>Date of Report (Date of earliest event reported): April 20,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w:t>
      </w:r>
    </w:p>
    <w:p>
      <w:pPr>
        <w:pStyle w:val="TextBody"/>
        <w:bidi w:val="0"/>
        <w:spacing w:before="0" w:after="0"/>
        <w:jc w:val="center"/>
        <w:rPr/>
      </w:pPr>
      <w:r>
        <w:rPr/>
        <w:drawing>
          <wp:inline distT="0" distB="0" distL="0" distR="0">
            <wp:extent cx="20383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191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AGNC INVESTMENT CORP.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w:t>
      </w:r>
    </w:p>
    <w:tbl>
      <w:tblPr>
        <w:tblW w:w="4948" w:type="dxa"/>
        <w:jc w:val="left"/>
        <w:tblInd w:w="0" w:type="dxa"/>
        <w:tblLayout w:type="fixed"/>
        <w:tblCellMar>
          <w:top w:w="28" w:type="dxa"/>
          <w:left w:w="28" w:type="dxa"/>
          <w:bottom w:w="28" w:type="dxa"/>
          <w:right w:w="28" w:type="dxa"/>
        </w:tblCellMar>
      </w:tblPr>
      <w:tblGrid>
        <w:gridCol w:w="730"/>
        <w:gridCol w:w="645"/>
        <w:gridCol w:w="649"/>
        <w:gridCol w:w="557"/>
        <w:gridCol w:w="557"/>
        <w:gridCol w:w="565"/>
        <w:gridCol w:w="364"/>
        <w:gridCol w:w="364"/>
        <w:gridCol w:w="517"/>
      </w:tblGrid>
      <w:tr>
        <w:trPr/>
        <w:tc>
          <w:tcPr>
            <w:tcW w:w="73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001-34057</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26-1701984</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7373 Wisconsin Avenue, 22nd Floor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Bethesda, Maryland 20814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(301) 968-9300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w:t>
      </w:r>
    </w:p>
    <w:p>
      <w:pPr>
        <w:pStyle w:val="TextBody"/>
        <w:bidi w:val="0"/>
        <w:spacing w:lineRule="auto" w:line="288" w:before="160" w:after="283"/>
        <w:jc w:val="left"/>
        <w:rPr/>
      </w:pPr>
      <w:r>
        <w:rPr>
          <w:rFonts w:ascii="Times New Roman;serif" w:hAnsi="Times New Roman;serif"/>
          <w:b w:val="false"/>
          <w:color w:val="000000"/>
          <w:sz w:val="14"/>
        </w:rPr>
        <w:t>Check the appropriate box below if the Form 8-K filing is intended to simultaneously satisfy the filing obligation of the registrant under any of the following provisions:</w:t>
      </w:r>
      <w:r>
        <w:rPr>
          <w:color w:val="000000"/>
        </w:rPr>
        <w:t> </w:t>
      </w:r>
    </w:p>
    <w:tbl>
      <w:tblPr>
        <w:tblW w:w="717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Pre-commencement communications pursuant to Rule 14d-2(b) under the Exchange Act </w:t>
            </w:r>
            <w:r>
              <w:rPr>
                <w:rFonts w:ascii="Times New Roman;serif" w:hAnsi="Times New Roman;serif"/>
                <w:b w:val="false"/>
                <w:i/>
                <w:color w:val="000000"/>
                <w:sz w:val="14"/>
              </w:rPr>
              <w:t>(</w:t>
            </w:r>
            <w:r>
              <w:rPr>
                <w:rFonts w:ascii="Times New Roman;serif" w:hAnsi="Times New Roman;serif"/>
                <w:b w:val="false"/>
                <w:color w:val="000000"/>
                <w:sz w:val="14"/>
              </w:rPr>
              <w:t>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22"/>
        <w:gridCol w:w="1854"/>
        <w:gridCol w:w="1876"/>
        <w:gridCol w:w="109"/>
        <w:gridCol w:w="109"/>
        <w:gridCol w:w="109"/>
        <w:gridCol w:w="405"/>
        <w:gridCol w:w="405"/>
        <w:gridCol w:w="407"/>
        <w:gridCol w:w="109"/>
        <w:gridCol w:w="109"/>
        <w:gridCol w:w="109"/>
        <w:gridCol w:w="723"/>
        <w:gridCol w:w="723"/>
        <w:gridCol w:w="1036"/>
      </w:tblGrid>
      <w:tr>
        <w:trPr/>
        <w:tc>
          <w:tcPr>
            <w:tcW w:w="212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Exchange on Which Registered</w:t>
            </w:r>
          </w:p>
        </w:tc>
      </w:tr>
      <w:tr>
        <w:trPr/>
        <w:tc>
          <w:tcPr>
            <w:tcW w:w="5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Depositary shares of 8.75% Series H Fixed-Rate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bl>
    <w:tbl>
      <w:tblPr>
        <w:tblW w:w="10205" w:type="dxa"/>
        <w:jc w:val="left"/>
        <w:tblInd w:w="0" w:type="dxa"/>
        <w:tblLayout w:type="fixed"/>
        <w:tblCellMar>
          <w:top w:w="28" w:type="dxa"/>
          <w:left w:w="28" w:type="dxa"/>
          <w:bottom w:w="28" w:type="dxa"/>
          <w:right w:w="28" w:type="dxa"/>
        </w:tblCellMar>
      </w:tblPr>
      <w:tblGrid>
        <w:gridCol w:w="1830"/>
        <w:gridCol w:w="1535"/>
        <w:gridCol w:w="1535"/>
        <w:gridCol w:w="1535"/>
        <w:gridCol w:w="1535"/>
        <w:gridCol w:w="2235"/>
      </w:tblGrid>
      <w:tr>
        <w:trPr/>
        <w:tc>
          <w:tcPr>
            <w:tcW w:w="18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Emerging Growth Company </w:t>
            </w:r>
          </w:p>
        </w:tc>
        <w:tc>
          <w:tcPr>
            <w:tcW w:w="5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20, 2026, AGNC Investment Corp. issued a press release announcing its financial results for the quarter ended March 31, 2026. The text of the aforementioned press release is included as exhibit 99.1 to this Form 8-K. The press release included the following financial information for the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comprehensive loss for the first quarter of 2026 of $(0.18) per share of common stock, comprised of $(0.17) net loss per common share and $(0.01) other comprehensive loss (“OCI”) per common share on investments marked-to-market through OCI;</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Tangible net book value of $8.38 per share of common stock as of March 31, 2026, which amount excludes $526 million, or $0.46 per common share, of goodwill as of March 31,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$94.7 billion fair value of its investment portfolio as of March 31, 2026, inclusive of net forward purchases and sales of Agency mortgage-backed securities, in the “to-be-announced” (“TBA”) market;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Tangible net book value “at risk” leverage ratio was 7.4x as of March 31, 2026. Tangible net book value “at risk” leverage represents the ratio of the amount outstanding under its investment securities’ repurchase agreements, debt of consolidated variable interest entities, net TBA position (at cost) and net receivable / payable for unsettled investment securities outstanding to the sum of total stockholders’ equity adjusted to exclude goodwill as of period end (repurchase agreements used to fund U.S. Treasury securities are excluded from the Company’s leverage measurement);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Economic return on tangible common equity of -1.6% for the first quarter, comprised of $0.36 dividend per share of common stock declared during the first quarter and $(0.50) decrease in tangible net book value per common share;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and unencumbered Agency MBS of $7.0 billion as of March 31, 2026;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Issued 38.0 million shares of common equity through At-the-Market Offerings for net proceeds of $401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Securities and Exchange Commission, exhibit 99.1 to this Form 8-K and the information set forth therein, shall be deemed “furnished” and not “filed” for purposes of Section 18 of the Securities Exchange Act of 1934, as amended (the “Exchange Act”), and shall not be deemed to be incorporated by reference in any filing under the Securities Act of 1933, as amended (the “Securities Act”), or the Exchange Act, except as shall be expressly set forth by specific reference in such a filing. Pursuant to the rules and regulations of the SEC, the information provided in this Item 2.02 of this Form 8-K shall be deemed “filed” for purposes of Section 18 of the Exchange Act, and shall be deemed to be incorporated by reference in any filing under the Securities Act, or the Exchange Act, except as shall be expressly set forth by specific reference in such a filing.</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 Exhibits</w:t>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88" w:before="0" w:after="0"/>
        <w:jc w:val="left"/>
        <w:rPr>
          <w:color w:val="000000"/>
        </w:rPr>
      </w:pPr>
      <w:r>
        <w:rPr>
          <w:color w:val="000000"/>
        </w:rPr>
        <w:t> </w:t>
      </w:r>
    </w:p>
    <w:tbl>
      <w:tblPr>
        <w:tblW w:w="8006"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1224"/>
        <w:gridCol w:w="1224"/>
        <w:gridCol w:w="1229"/>
        <w:gridCol w:w="854"/>
        <w:gridCol w:w="854"/>
        <w:gridCol w:w="121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2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agnc8kexhibit99133126.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agnc8kexhibit99133126.htm">
              <w:r>
                <w:rPr>
                  <w:rStyle w:val="InternetLink"/>
                  <w:rFonts w:ascii="Times New Roman;serif" w:hAnsi="Times New Roman;serif"/>
                  <w:b w:val="false"/>
                  <w:color w:val="000000"/>
                  <w:sz w:val="20"/>
                </w:rPr>
                <w:t>Press Release dated</w:t>
              </w:r>
            </w:hyperlink>
          </w:p>
        </w:tc>
        <w:tc>
          <w:tcPr>
            <w:tcW w:w="2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 2026</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180" w:after="283"/>
        <w:jc w:val="left"/>
        <w:rPr>
          <w:color w:val="000000"/>
        </w:rPr>
      </w:pPr>
      <w:r>
        <w:rPr>
          <w:color w:val="000000"/>
        </w:rPr>
        <w:t> </w:t>
      </w:r>
    </w:p>
    <w:tbl>
      <w:tblPr>
        <w:tblW w:w="6792" w:type="dxa"/>
        <w:jc w:val="center"/>
        <w:tblInd w:w="0" w:type="dxa"/>
        <w:tblLayout w:type="fixed"/>
        <w:tblCellMar>
          <w:top w:w="28" w:type="dxa"/>
          <w:left w:w="28" w:type="dxa"/>
          <w:bottom w:w="28" w:type="dxa"/>
          <w:right w:w="28" w:type="dxa"/>
        </w:tblCellMar>
      </w:tblPr>
      <w:tblGrid>
        <w:gridCol w:w="238"/>
        <w:gridCol w:w="210"/>
        <w:gridCol w:w="212"/>
        <w:gridCol w:w="429"/>
        <w:gridCol w:w="429"/>
        <w:gridCol w:w="431"/>
        <w:gridCol w:w="134"/>
        <w:gridCol w:w="134"/>
        <w:gridCol w:w="136"/>
        <w:gridCol w:w="1298"/>
        <w:gridCol w:w="1298"/>
        <w:gridCol w:w="184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AGNC I</w:t>
            </w:r>
            <w:r>
              <w:rPr>
                <w:rFonts w:ascii="Times New Roman;serif" w:hAnsi="Times New Roman;serif"/>
                <w:b/>
                <w:color w:val="000000"/>
                <w:sz w:val="18"/>
              </w:rPr>
              <w:t>NVESTMENT</w:t>
            </w:r>
            <w:r>
              <w:rPr>
                <w:color w:val="000000"/>
              </w:rPr>
              <w:t xml:space="preserve"> </w:t>
            </w:r>
            <w:r>
              <w:rPr>
                <w:rFonts w:ascii="Times New Roman;serif" w:hAnsi="Times New Roman;serif"/>
                <w:b/>
                <w:color w:val="000000"/>
                <w:sz w:val="20"/>
              </w:rPr>
              <w:t>C</w:t>
            </w:r>
            <w:r>
              <w:rPr>
                <w:rFonts w:ascii="Times New Roman;serif" w:hAnsi="Times New Roman;serif"/>
                <w:b/>
                <w:color w:val="000000"/>
                <w:sz w:val="18"/>
              </w:rPr>
              <w:t>ORP</w:t>
            </w:r>
            <w:r>
              <w:rPr>
                <w:rFonts w:ascii="Times New Roman;serif" w:hAnsi="Times New Roman;serif"/>
                <w:b/>
                <w:color w:val="000000"/>
                <w:sz w:val="20"/>
              </w:rPr>
              <w: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99.1</w:t>
      </w:r>
    </w:p>
    <w:p>
      <w:pPr>
        <w:pStyle w:val="TextBody"/>
        <w:bidi w:val="0"/>
        <w:spacing w:lineRule="auto" w:line="288" w:before="0" w:after="0"/>
        <w:jc w:val="left"/>
        <w:rPr/>
      </w:pPr>
      <w:r>
        <w:rPr/>
        <w:drawing>
          <wp:inline distT="0" distB="0" distL="0" distR="0">
            <wp:extent cx="2724150" cy="838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724150" cy="838200"/>
                    </a:xfrm>
                    <a:prstGeom prst="rect">
                      <a:avLst/>
                    </a:prstGeom>
                  </pic:spPr>
                </pic:pic>
              </a:graphicData>
            </a:graphic>
          </wp:inline>
        </w:drawing>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FOR IMMEDIATE RELEASE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April 20,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CONTACT:</w:t>
      </w:r>
    </w:p>
    <w:p>
      <w:pPr>
        <w:pStyle w:val="TextBody"/>
        <w:bidi w:val="0"/>
        <w:spacing w:lineRule="auto" w:line="288" w:before="0" w:after="0"/>
        <w:jc w:val="left"/>
        <w:rPr/>
      </w:pPr>
      <w:r>
        <w:rPr>
          <w:rFonts w:ascii="Arial;sans-serif" w:hAnsi="Arial;sans-serif"/>
          <w:b w:val="false"/>
          <w:color w:val="000000"/>
          <w:sz w:val="24"/>
          <w:u w:val="single"/>
        </w:rPr>
        <w:t>Investors</w:t>
      </w:r>
      <w:r>
        <w:rPr>
          <w:color w:val="000000"/>
        </w:rPr>
        <w:t xml:space="preserve"> </w:t>
      </w:r>
      <w:r>
        <w:rPr>
          <w:rFonts w:ascii="Arial;sans-serif" w:hAnsi="Arial;sans-serif"/>
          <w:b w:val="false"/>
          <w:color w:val="000000"/>
          <w:sz w:val="24"/>
        </w:rPr>
        <w:t>- (301) 968-9300</w:t>
      </w:r>
    </w:p>
    <w:p>
      <w:pPr>
        <w:pStyle w:val="TextBody"/>
        <w:bidi w:val="0"/>
        <w:spacing w:lineRule="auto" w:line="288" w:before="0" w:after="0"/>
        <w:jc w:val="left"/>
        <w:rPr/>
      </w:pPr>
      <w:r>
        <w:rPr>
          <w:rFonts w:ascii="Arial;sans-serif" w:hAnsi="Arial;sans-serif"/>
          <w:b w:val="false"/>
          <w:color w:val="000000"/>
          <w:sz w:val="24"/>
          <w:u w:val="single"/>
        </w:rPr>
        <w:t>Media</w:t>
      </w:r>
      <w:r>
        <w:rPr>
          <w:color w:val="000000"/>
        </w:rPr>
        <w:t xml:space="preserve"> </w:t>
      </w:r>
      <w:r>
        <w:rPr>
          <w:rFonts w:ascii="Arial;sans-serif" w:hAnsi="Arial;sans-serif"/>
          <w:b w:val="false"/>
          <w:color w:val="000000"/>
          <w:sz w:val="24"/>
        </w:rPr>
        <w:t>- (301) 968-9303</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AGNC INVESTMENT CORP.</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ANNOUNCES FIRST QUARTER 2026 FINANCIAL RESULTS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Bethesda, MD - April 20, 2026 - AGNC Investment Corp. (“AGNC” or the “Company”) (Nasdaq: AGNC) today announced financial results for the quarter ended March 31,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FIRST QUARTER 2026 FINANCIAL HIGHLIGHTS </w:t>
      </w:r>
    </w:p>
    <w:p>
      <w:pPr>
        <w:pStyle w:val="TextBody"/>
        <w:bidi w:val="0"/>
        <w:spacing w:lineRule="auto" w:line="288" w:before="180" w:after="283"/>
        <w:ind w:left="0" w:right="0" w:hanging="180"/>
        <w:jc w:val="both"/>
        <w:rPr/>
      </w:pPr>
      <w:r>
        <w:rPr>
          <w:color w:val="000000"/>
        </w:rPr>
        <w:t>•</w:t>
      </w:r>
      <w:r>
        <w:rPr>
          <w:rFonts w:ascii="Arial;sans-serif" w:hAnsi="Arial;sans-serif"/>
          <w:b w:val="false"/>
          <w:color w:val="000000"/>
          <w:sz w:val="24"/>
        </w:rPr>
        <w:t>$(0.18) comprehensive loss per common share, comprised of:</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$(0.17) net loss per common share</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$(0.01) other comprehensive loss (“OCI”) per common share on investments marked-to-market through OCI</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$0.42 net spread and dollar roll income per common share</w:t>
      </w:r>
      <w:r>
        <w:rPr>
          <w:rFonts w:ascii="Arial;sans-serif" w:hAnsi="Arial;sans-serif"/>
          <w:b w:val="false"/>
          <w:color w:val="000000"/>
          <w:sz w:val="16"/>
        </w:rPr>
        <w:t>1</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Excludes less than $0.01 per common share of estimated “catch-up” premium amortization benefit due to change in projected constant prepayment rate (“CPR”) estimates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$8.38 tangible net book value per common share as of March 31, 2026</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Decreased $(0.50) per common share, or -5.6%, from $8.88 per common share as of December 31, 2025</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 xml:space="preserve">$0.36 dividends declared per common share for the first quarter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-1.6% economic return on tangible common equity for the quarter</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Comprised of $0.36 dividends per common share and $(0.50) decrease in tangible net book value per common share</w:t>
      </w:r>
    </w:p>
    <w:p>
      <w:pPr>
        <w:pStyle w:val="TextBody"/>
        <w:bidi w:val="0"/>
        <w:spacing w:lineRule="auto" w:line="288" w:before="180" w:after="283"/>
        <w:jc w:val="both"/>
        <w:rPr>
          <w:rFonts w:ascii="Arial;sans-serif" w:hAnsi="Arial;sans-serif"/>
          <w:b/>
          <w:color w:val="000000"/>
          <w:sz w:val="24"/>
        </w:rPr>
      </w:pPr>
      <w:r>
        <w:rPr>
          <w:rFonts w:ascii="Arial;sans-serif" w:hAnsi="Arial;sans-serif"/>
          <w:b/>
          <w:color w:val="000000"/>
          <w:sz w:val="24"/>
        </w:rPr>
        <w:t xml:space="preserve">OTHER FIRST QUARTER HIGHLIGHTS </w:t>
      </w:r>
    </w:p>
    <w:p>
      <w:pPr>
        <w:pStyle w:val="TextBody"/>
        <w:bidi w:val="0"/>
        <w:spacing w:lineRule="auto" w:line="288" w:before="180" w:after="283"/>
        <w:ind w:left="0" w:right="0" w:hanging="180"/>
        <w:jc w:val="both"/>
        <w:rPr/>
      </w:pPr>
      <w:r>
        <w:rPr>
          <w:color w:val="000000"/>
        </w:rPr>
        <w:t>•</w:t>
      </w:r>
      <w:r>
        <w:rPr>
          <w:rFonts w:ascii="Arial;sans-serif" w:hAnsi="Arial;sans-serif"/>
          <w:b w:val="false"/>
          <w:color w:val="000000"/>
          <w:sz w:val="24"/>
        </w:rPr>
        <w:t>$94.7 billion investment portfolio as of March 31, 2026, comprised of:</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$84.4 billion Agency mortgage-backed securities (“Agency MBS”)</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 xml:space="preserve">$9.5 billion net forward purchases/(sales) of Agency MBS in the “to-be-announced” market (“TBA securities”) </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$0.7 billion credit risk transfer (“CRT”) and non-Agency securities and other mortgage credit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2</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7.4x tangible net book value “at risk” leverage as of March 31, 2026</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7.4x average tangible net book value “at risk” leverage for the quarter</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 xml:space="preserve">Unencumbered cash and Agency MBS totaled $7.0 billion as of March 31, 2026 </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Excludes unencumbered CRT and non-Agency securities</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Represents 60% of the Company’s tangible equity as of March 31, 2026</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10.3% average projected portfolio life CPR as of March 31, 2026</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 xml:space="preserve">13.2% actual portfolio CPR for the quarter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2.06% annualized net interest spread for the quarter</w:t>
      </w:r>
      <w:r>
        <w:rPr>
          <w:rFonts w:ascii="Arial;sans-serif" w:hAnsi="Arial;sans-serif"/>
          <w:b w:val="false"/>
          <w:color w:val="000000"/>
          <w:sz w:val="16"/>
        </w:rPr>
        <w:t>2</w:t>
      </w:r>
      <w:r>
        <w:rPr>
          <w:color w:val="000000"/>
        </w:rPr>
        <w:t xml:space="preserve">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Issued 38.0 million shares of common equity through At-the-Market (“ATM”) Offerings for net proceeds of $401 million</w:t>
      </w:r>
    </w:p>
    <w:p>
      <w:pPr>
        <w:pStyle w:val="TextBody"/>
        <w:bidi w:val="0"/>
        <w:spacing w:lineRule="auto" w:line="288" w:before="120" w:after="283"/>
        <w:ind w:left="0" w:right="0" w:firstLine="90"/>
        <w:jc w:val="both"/>
        <w:rPr>
          <w:rFonts w:ascii="Arial;sans-serif" w:hAnsi="Arial;sans-serif"/>
          <w:b w:val="false"/>
          <w:color w:val="000000"/>
          <w:sz w:val="24"/>
        </w:rPr>
      </w:pPr>
      <w:r>
        <w:rPr>
          <w:rFonts w:ascii="Arial;sans-serif" w:hAnsi="Arial;sans-serif"/>
          <w:b w:val="false"/>
          <w:color w:val="000000"/>
          <w:sz w:val="24"/>
        </w:rPr>
        <w:t>___________</w:t>
      </w:r>
    </w:p>
    <w:p>
      <w:pPr>
        <w:pStyle w:val="TextBody"/>
        <w:bidi w:val="0"/>
        <w:spacing w:lineRule="auto" w:line="288" w:before="0" w:after="0"/>
        <w:ind w:left="0" w:right="0" w:hanging="270"/>
        <w:jc w:val="both"/>
        <w:rPr/>
      </w:pPr>
      <w:r>
        <w:rPr>
          <w:rFonts w:ascii="Arial;sans-serif" w:hAnsi="Arial;sans-serif"/>
          <w:b w:val="false"/>
          <w:color w:val="000000"/>
          <w:sz w:val="18"/>
        </w:rPr>
        <w:t xml:space="preserve">1.Represents a non-GAAP measure. Please refer to the </w:t>
      </w:r>
      <w:r>
        <w:rPr>
          <w:rFonts w:ascii="Arial;sans-serif" w:hAnsi="Arial;sans-serif"/>
          <w:b w:val="false"/>
          <w:i/>
          <w:color w:val="000000"/>
          <w:sz w:val="18"/>
        </w:rPr>
        <w:t>Reconciliation of GAAP Comprehensive Income (Loss) to Net Spread and Dollar Roll Income</w:t>
      </w:r>
      <w:r>
        <w:rPr>
          <w:color w:val="000000"/>
        </w:rPr>
        <w:t xml:space="preserve"> </w:t>
      </w:r>
      <w:r>
        <w:rPr>
          <w:rFonts w:ascii="Arial;sans-serif" w:hAnsi="Arial;sans-serif"/>
          <w:b w:val="false"/>
          <w:color w:val="000000"/>
          <w:sz w:val="18"/>
        </w:rPr>
        <w:t xml:space="preserve">and </w:t>
      </w:r>
      <w:r>
        <w:rPr>
          <w:rFonts w:ascii="Arial;sans-serif" w:hAnsi="Arial;sans-serif"/>
          <w:b w:val="false"/>
          <w:i/>
          <w:color w:val="000000"/>
          <w:sz w:val="18"/>
        </w:rPr>
        <w:t xml:space="preserve">Use of Non-GAAP Financial Information </w:t>
      </w:r>
      <w:r>
        <w:rPr>
          <w:rFonts w:ascii="Arial;sans-serif" w:hAnsi="Arial;sans-serif"/>
          <w:b w:val="false"/>
          <w:color w:val="000000"/>
          <w:sz w:val="18"/>
        </w:rPr>
        <w:t>included in this release for additional information.</w:t>
      </w:r>
    </w:p>
    <w:p>
      <w:pPr>
        <w:pStyle w:val="TextBody"/>
        <w:bidi w:val="0"/>
        <w:spacing w:lineRule="auto" w:line="288" w:before="0" w:after="0"/>
        <w:ind w:left="0" w:right="0" w:hanging="270"/>
        <w:jc w:val="both"/>
        <w:rPr/>
      </w:pPr>
      <w:r>
        <w:rPr>
          <w:rFonts w:ascii="Arial;sans-serif" w:hAnsi="Arial;sans-serif"/>
          <w:b w:val="false"/>
          <w:color w:val="000000"/>
          <w:sz w:val="18"/>
        </w:rPr>
        <w:t xml:space="preserve">2.Please refer to </w:t>
      </w:r>
      <w:r>
        <w:rPr>
          <w:rFonts w:ascii="Arial;sans-serif" w:hAnsi="Arial;sans-serif"/>
          <w:b w:val="false"/>
          <w:i/>
          <w:color w:val="000000"/>
          <w:sz w:val="18"/>
        </w:rPr>
        <w:t>Net Interest Spread Components by Funding Source</w:t>
      </w:r>
      <w:r>
        <w:rPr>
          <w:color w:val="000000"/>
        </w:rPr>
        <w:t xml:space="preserve"> </w:t>
      </w:r>
      <w:r>
        <w:rPr>
          <w:rFonts w:ascii="Arial;sans-serif" w:hAnsi="Arial;sans-serif"/>
          <w:b w:val="false"/>
          <w:color w:val="000000"/>
          <w:sz w:val="18"/>
        </w:rPr>
        <w:t>included in this release for additional information regarding the Company’s annualized net interest spread.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MANAGEMENT REMARKS</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4"/>
        </w:rPr>
        <w:t>Agency MBS performance in the first quarter was driven by two divergent macroeconomic themes,” said Peter Federico, the Company’s President, Chief Executive Officer and Chief Investment Officer. “In January and February, the Administration’s focus on reducing interest rate volatility, maintaining mortgage spread stability, and improving housing affordability drove strong performance across the broader fixed income complex and Agency MBS specifically. This favorable investment environment was, however, quickly eclipsed in March by the war in Iran and the potential for more widespread conflict in the Middle East. The associated increase in volatility and negative shift in investor sentiment caused Agency MBS spreads to benchmark rates to widen, and, as a result, AGNC’s economic return on tangible common equity in the first quarter was negative 1.6%. Despite the quarter-over-quarter spread widening, Agency MBS generated a positive excess return to both US Treasuries and investment grade corporate bonds in the first quarter, again demonstrating the diversification benefit of this high credit quality, fixed income asset class.</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4"/>
        </w:rPr>
        <w:t>We continue to believe that many of the factors we cited at the beginning of the year remain positive catalysts for Agency MBS performance. First, mortgage spreads to benchmark rates widened significantly in March and provide investors with compelling value on both an absolute and relative basis at these levels. Second, supply-demand technicals have improved as a result of higher mortgage rates, increased bond fund inflows, and proposed regulatory capital changes. Third, the higher rate environment also increases the likelihood of actions by the administration to stabilize or reduce mortgage spreads as a means to mitigate housing affordability issues. Finally, although interest rate volatility has increased and the path of future Federal Reserve monetary policy actions has become a bit more uncertain, we believe that, with some form of resolution or easing of tensions in the Middle East, these factors could quickly revert to positive catalysts for Agency MBS. As a result, our longer-term outlook for Agency MBS remains constructive, despite near-term challenges associated with heightened geopolitical and macroeconomic risks. Moreover, AGNC is well-positioned to capitalize on these favorable conditions and build upon our lengthy track-record of generating strong risk-adjusted returns over market cycles for our stockholders.”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3</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4"/>
        </w:rPr>
        <w:t>AGNC’s negative 1.6% economic return on tangible common equity in the first quarter was comprised of $0.36 of dividends per common share and a $0.50 decrease in tangible net book value per common share,” said Bernice Bell, the Company’s Executive Vice President and Chief Financial Officer. “AGNC’s net spread and dollar roll income per common share was $0.42 for the first quarter, an increase of $0.07 per common share from the prior quarter that was driven by a 25 basis point increase in our net interest spread. During the quarter, AGNC issued over $400 million of common stock under our at-the-market issuance program, continuing our active capital management strategy to generate meaningful accretion for our common shareholders. Finally, AGNC concluded the first quarter with tangible ‘at risk’ leverage of 7.4x and a significant liquidity position of $7.0 billion of unencumbered cash and Agency MBS, which constituted 60% of our tangible equity at quarter end.”</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TANGIBLE NET BOOK VALUE PER COMMON SHARE</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March 31, 2026, the Company’s tangible net book value per common share was $8.38 per share, a decrease of -5.6% for the quarter compared to $8.88 per share as of December 31, 2025. The Company’s tangible net book value per common share excludes $526 million, or $0.46 and $0.47 per share, of goodwill as of March 31, 2026 and December 31, 2025,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INVESTMENT PORTFOLIO</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March 31, 2026, the Company’s investment portfolio totaled $94.7 billion, comprised 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4"/>
        </w:rPr>
        <w:t>$94.0 billion of Agency MBS and TBA securities,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$90.0 billion of fixed-rate securities, comprised of: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$80.0 billion 30-year MBS,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$8.9 billion 30-year TBA securities, net,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$1.1 billion 15 and 20-year MBS and TBA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$4.0 billion of collateralized mortgage obligations (“CMOs”), adjustable-rate and other Agency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$0.7 billion of CRT and non-Agency securities and other mortgage credit investments.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March 31, 2026, 30-year fixed-rate Agency MBS and TBA securities represented 94% of the Company’s investment portfolio, compared to 95% as of December 31, 2025.</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March 31, 2026, the Company’s fixed-rate Agency MBS and TBA securities’ weighted average coupon was 4.95%, compared to 5.12% as of December 31, 2025, comprised of the following weighted average coupons: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4"/>
        </w:rPr>
        <w:t>4.96% for 30-year fixed-rate 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4.18% for 15-year fixed-rate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3.75% for 20-year fixed-rate securities.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The Company accounts for TBA securities and other forward settling securities as derivative instruments and recognizes TBA dollar roll income in other gain (loss), net on the Company’s financial statements. As of March 31, 2026, such positions had a fair value of $9.5 billion and a GAAP net carrying value of $(194) million reported in derivative assets/(liabilities) on the Company’s balance sheet, compared to $13.0 billion and $71 million, respectively,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4</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CONSTANT PREPAYMENT RATES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Company’s weighted average projected CPR for the remaining life of its Agency securities held as of March 31, 2026 increased to 10.3% from 9.6% as of December 31, 2025. The Company’s weighted average actual CPR for the first quarter was 13.2%, compared to 9.7% for the prior quarter.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weighted average cost basis of the Company’s investment portfolio was 101.4% of par value as of March 31, 2026. The Company’s investment portfolio generated net premium amortization cost of $(52) million, or $(0.05) per common share, for the first quarter, which includes a “catch-up” premium amortization benefit of $5 million, or less than $0.01 per common share, due to changes in the Company’s CPR projections for certain securities acquired prior to the first quarter. This compares to net premium amortization cost for the prior quarter of $(51) million, or $(0.05) per common share, including a “catch-up” premium amortization cost of $(7) million, or $(0.01) per common share.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ASSET YIELDS, COST OF FUNDS AND NET INTEREST RATE SPREAD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Company’s average asset yield on its investment portfolio, excluding the TBA position, was 4.95% for the first quarter, compared to 4.87% for the prior quarter. Excluding “catch-up” premium amortization, the Company’s average asset yield was 4.93% for the first quarter, compared to 4.90% for the prior quarter. Including the TBA position and excluding “catch-up” premium amortization, the Company’s average asset yield for the first quarter was 4.98%, compared to 4.91% for the prior quarter.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For the first quarter, the weighted average interest rate on the Company’s repurchase agreements was 3.79%, compared to 4.13% for the prior quarter. For the first quarter, the Company’s TBA position had an implied financing cost of 3.45%, compared to 4.03% for the prior quarter. Inclusive of interest rate swaps, the Company’s combined weighted average cost of funds for the first quarter was 2.92%, compared to 3.10% for the prior quarter.</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The Company’s annualized net interest spread, including the TBA position and interest rate swaps and excluding “catch-up” premium amortization, for the first quarter was 2.06%, compared to 1.81% for the prior quarter.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NET SPREAD AND DOLLAR ROLL INCOME</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 recognized net spread and dollar roll income (a non-GAAP financial measure) for the first quarter of $0.42 per common share, compared to $0.35 per common share for the prior quarter. Net spread and dollar roll income excludes less than $0.01 and $(0.01) per common share of estimated “catch-up” premium amortization benefit / (cost) for the first quarter and prior quarter, respectively.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Company’s cost of funds, net interest rate spread and net spread and dollar income excludes the impact of the Company’s U.S. Treasury hedges, option-based hedges, and other supplemental interest rate hedges. For additional information regarding the Company’s U.S. Treasury hedges, please refer to the schedule of Key Statistics included in this release.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5</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 reconciliation of the Company’s total comprehensive income (loss) to net spread and dollar roll income and additional information regarding the Company’s use of non-GAAP measures are included later in this release.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LEVERAGE</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As of March 31, 2026, $75.8 billion of repurchase agreements and $9.7 billion of net TBA dollar roll positions (at cost) were used to fund the Company’s investment portfolio. The remainder, or approximately $11.8 billion, of the Company’s repurchase agreements was used to fund short-term purchases of U.S. Treasury securities (“U.S. Treasury Repo”) and is not included in the Company’s leverage measurements. Inclusive of its net TBA position and net payable/(receivable) for unsettled investment securities, the Company’s tangible net book value “at risk” leverage ratio was 7.4x as of March 31, 2026, compared to 7.2x as of December 31, 2025. The Company’s average “at risk” leverage ratio for the first quarter was 7.4x tangible net book value, unchanged from the prior quarter.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As of March 31, 2026, the Company’s repurchase agreements used to fund its investment portfolio (“Investment Securities Repo”) had a weighted average interest rate of 3.77%, compared to 3.98% as of December 31, 2025, and a weighted average remaining maturity of 20 days, compared to 12 days as of December 31, 2025. As of March 31, 2026, $38.3 billion, or 51%, of the Company’s Investment Securities Repo was funded through the Company’s captive broker-dealer subsidiary, Bethesda Securities, LLC.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HEDGING ACTIVITIES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March 31, 2026, interest rate swaps, U.S. Treasury positions, option-based hedges (swaptions), and other interest rate hedges equaled 75% of the Company’s outstanding balance of Investment Securities Repo, net TBA position, and other debt (collectively, “funding liabilities”), compared to 69% as of December 31, 2025. Excluding option-based hedges, the Company’s hedge portfolio covered 83% of its funding liabilities as of March 31, 2026, compared to 77% as of December 31, 2025.</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As of March 31, 2026, the Company’s pay fixed interest rate swap position totaled $76.5 billion in notional amount, with an average fixed pay rate of 2.67%, an average floating receive rate of 3.68% and an average maturity of 4.1 years, compared to $64.6 billion, 2.57%, 3.86% and 4.7 years, respectively, as of December 31, 2025.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March 31, 2026, the Company had a net long U.S. Treasury position of $5.4 billion and receiver swaptions of $7.0 billion outstanding, compared to a $1.5 billion net short U.S. Treasury position and net receiver swaptions of $7.0 billion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OTHER GAIN (LOSS), NET</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For the first quarter, the Company recorded a net loss of $(433) million in other gain (loss), net, or $(0.39) per common share, compared to a net gain of $789 million, or $0.72 per common share, for the prior quarter. Other gain (loss), net for the first quarter was comprised 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4"/>
        </w:rPr>
        <w:t>$74 million of net realized gains on sales of investment securities;</w:t>
      </w:r>
    </w:p>
    <w:p>
      <w:pPr>
        <w:pStyle w:val="TextBody"/>
        <w:bidi w:val="0"/>
        <w:spacing w:lineRule="auto" w:line="288"/>
        <w:ind w:left="0" w:right="0" w:hanging="360"/>
        <w:jc w:val="both"/>
        <w:rPr/>
      </w:pPr>
      <w:r>
        <w:rPr>
          <w:color w:val="000000"/>
        </w:rPr>
        <w:t>•</w:t>
      </w:r>
      <w:r>
        <w:rPr>
          <w:rFonts w:ascii="Arial;sans-serif" w:hAnsi="Arial;sans-serif"/>
          <w:b w:val="false"/>
          <w:color w:val="000000"/>
          <w:sz w:val="24"/>
        </w:rPr>
        <w:t>$(889) million of net unrealized losses on investment securities measured at fair value through net income;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$182 million of interest rate swap periodic income;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$273 million of net gains on interest rate swaps;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$(6) million of net losses on interest rate swaptions;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$(13) million of net losses on U.S. Treasury positions;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$51 million of TBA dollar roll income;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$(105) million of net mark-to-market losses on TBA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$6 million of other interest income (expense), net;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$(6) million of other miscellaneous 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OTHER COMPREHENSIVE LOSS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During the first quarter, the Company recorded other comprehensive income (loss) of $(8) million, or $(0.01) per common share, consisting of net unrealized losses on its Agency securities recognized through OCI, compared to $66 million, or $0.06 per common share, in the prior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COMMON STOCK DIVIDENDS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During the first quarter, the Company declared dividends of $0.12 per share to common stockholders of record as of January 30, February 27, and March 31, 2026, totaling $0.36 per share for the quarter. Since its May 2008 initial public offering through the first quarter of 2026, the Company has declared a total of $15.9 billion in common stock dividends, or $50.44 per common share.</w:t>
      </w: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FINANCIAL STATEMENTS, OPERATING PERFORMANCE AND PORTFOLIO STATISTICS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The following measures of operating performance include net spread and dollar roll income; economic interest income; economic interest expense; and the related per common share measures and financial metrics derived from such information, which are non-GAAP financial measures. Please refer to “Use of Non-GAAP Financial Information” later in this release for further discussion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7</w:t>
      </w:r>
    </w:p>
    <w:tbl>
      <w:tblPr>
        <w:tblW w:w="10205" w:type="dxa"/>
        <w:jc w:val="left"/>
        <w:tblInd w:w="0" w:type="dxa"/>
        <w:tblLayout w:type="fixed"/>
        <w:tblCellMar>
          <w:top w:w="28" w:type="dxa"/>
          <w:left w:w="28" w:type="dxa"/>
          <w:bottom w:w="28" w:type="dxa"/>
          <w:right w:w="28" w:type="dxa"/>
        </w:tblCellMar>
      </w:tblPr>
      <w:tblGrid>
        <w:gridCol w:w="1631"/>
        <w:gridCol w:w="1279"/>
        <w:gridCol w:w="1301"/>
        <w:gridCol w:w="181"/>
        <w:gridCol w:w="646"/>
        <w:gridCol w:w="109"/>
        <w:gridCol w:w="109"/>
        <w:gridCol w:w="109"/>
        <w:gridCol w:w="109"/>
        <w:gridCol w:w="182"/>
        <w:gridCol w:w="652"/>
        <w:gridCol w:w="109"/>
        <w:gridCol w:w="109"/>
        <w:gridCol w:w="109"/>
        <w:gridCol w:w="109"/>
        <w:gridCol w:w="185"/>
        <w:gridCol w:w="664"/>
        <w:gridCol w:w="112"/>
        <w:gridCol w:w="109"/>
        <w:gridCol w:w="109"/>
        <w:gridCol w:w="109"/>
        <w:gridCol w:w="181"/>
        <w:gridCol w:w="646"/>
        <w:gridCol w:w="109"/>
        <w:gridCol w:w="109"/>
        <w:gridCol w:w="109"/>
        <w:gridCol w:w="109"/>
        <w:gridCol w:w="181"/>
        <w:gridCol w:w="571"/>
        <w:gridCol w:w="158"/>
      </w:tblGrid>
      <w:tr>
        <w:trPr/>
        <w:tc>
          <w:tcPr>
            <w:tcW w:w="163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CONSOLIDATED BALANCE SHEETS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4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4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Agency securities, at fair value (including pledged securities of $77,364, $74,149, $68,821, $67,375 and $63,275, respectively)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70,363 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Agency securities transferred to consolidated variable interest entities, at fair value (pledged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Credit risk transfer securities, at fair value (including pledged securities of $545, $558, $554, $558 and $595,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Non-Agency securities, at fair value, and other mortgage credit investments (including pledged securities of $8, $13, $15, $30 and $173,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U.S. Treasury securities, at fair value (including pledged securities of $12,313, $13,056, $5,431, $3,554 and $3,268,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assets, at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Receivable for investment securities sold (including pledged securities of $0, $149, $1,340, $0 and $908,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Receivable under reverse repurchase agreements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Other assets (including pledged securities of $0, $0, $74, $0 and $0,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95,889 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74,152 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66,138 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Debt of consolidated variable interest entities, at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Payable for investment securities purchased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liabilities, at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Obligation to return securities borrowed under reverse repurchase agreements, at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97,525 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Preferred Stock - aggregate liquidation preference of $2,033, $2,033, $2,033, $1,688 and $1,688,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Common stock - $0.01 par value; 1,147.8, 1,107.6, 1,072.7, 1,041.7 and 949.0 shares issued and outstanding,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deficit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 and stockholders’ equity</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95,889 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Tangible net book value per common share </w:t>
            </w:r>
            <w:r>
              <w:rPr>
                <w:rFonts w:ascii="Arial;sans-serif" w:hAnsi="Arial;sans-serif"/>
                <w:b/>
                <w:color w:val="000000"/>
                <w:sz w:val="9"/>
              </w:rPr>
              <w:t>1</w:t>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8</w:t>
      </w:r>
    </w:p>
    <w:tbl>
      <w:tblPr>
        <w:tblW w:w="10205" w:type="dxa"/>
        <w:jc w:val="left"/>
        <w:tblInd w:w="0" w:type="dxa"/>
        <w:tblLayout w:type="fixed"/>
        <w:tblCellMar>
          <w:top w:w="28" w:type="dxa"/>
          <w:left w:w="28" w:type="dxa"/>
          <w:bottom w:w="28" w:type="dxa"/>
          <w:right w:w="28" w:type="dxa"/>
        </w:tblCellMar>
      </w:tblPr>
      <w:tblGrid>
        <w:gridCol w:w="1881"/>
        <w:gridCol w:w="1474"/>
        <w:gridCol w:w="1480"/>
        <w:gridCol w:w="181"/>
        <w:gridCol w:w="496"/>
        <w:gridCol w:w="109"/>
        <w:gridCol w:w="109"/>
        <w:gridCol w:w="109"/>
        <w:gridCol w:w="109"/>
        <w:gridCol w:w="221"/>
        <w:gridCol w:w="508"/>
        <w:gridCol w:w="133"/>
        <w:gridCol w:w="109"/>
        <w:gridCol w:w="109"/>
        <w:gridCol w:w="109"/>
        <w:gridCol w:w="230"/>
        <w:gridCol w:w="535"/>
        <w:gridCol w:w="139"/>
        <w:gridCol w:w="109"/>
        <w:gridCol w:w="109"/>
        <w:gridCol w:w="109"/>
        <w:gridCol w:w="181"/>
        <w:gridCol w:w="453"/>
        <w:gridCol w:w="109"/>
        <w:gridCol w:w="109"/>
        <w:gridCol w:w="109"/>
        <w:gridCol w:w="109"/>
        <w:gridCol w:w="182"/>
        <w:gridCol w:w="423"/>
        <w:gridCol w:w="162"/>
      </w:tblGrid>
      <w:tr>
        <w:trPr/>
        <w:tc>
          <w:tcPr>
            <w:tcW w:w="188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CONSOLIDATED STATEMENTS OF OPERATIONS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4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4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income: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Net interest income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Other gain (loss), net: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Realized gain (loss) on sale of investment securities,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(loss) gain on investment securities measured at fair value through net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Gain (loss) on derivative instruments and other investments,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Total other (loss) gain, net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Expenses: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Compensation and benefits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operating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operating expense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 on preferred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 available (attributable) to common stockholders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gain (loss) on investment securities measured at fair value through other comprehensive income (loss),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 on preferred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available (attributable) to common stockholders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Weighted average number of common shares outstanding - basic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Weighted average number of common shares outstanding - diluted</w:t>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1,094.6 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921.9</w:t>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 per common share - basic</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0.73 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 per common share - diluted</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0.72 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per common share - basic</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0.89 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0.78 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0.12 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per common share - diluted</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0.89 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0.78 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0.12 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Dividends declared per common share</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9</w:t>
      </w:r>
    </w:p>
    <w:tbl>
      <w:tblPr>
        <w:tblW w:w="10205" w:type="dxa"/>
        <w:jc w:val="left"/>
        <w:tblInd w:w="0" w:type="dxa"/>
        <w:tblLayout w:type="fixed"/>
        <w:tblCellMar>
          <w:top w:w="28" w:type="dxa"/>
          <w:left w:w="28" w:type="dxa"/>
          <w:bottom w:w="28" w:type="dxa"/>
          <w:right w:w="28" w:type="dxa"/>
        </w:tblCellMar>
      </w:tblPr>
      <w:tblGrid>
        <w:gridCol w:w="1405"/>
        <w:gridCol w:w="1208"/>
        <w:gridCol w:w="1211"/>
        <w:gridCol w:w="241"/>
        <w:gridCol w:w="542"/>
        <w:gridCol w:w="140"/>
        <w:gridCol w:w="140"/>
        <w:gridCol w:w="140"/>
        <w:gridCol w:w="140"/>
        <w:gridCol w:w="241"/>
        <w:gridCol w:w="542"/>
        <w:gridCol w:w="140"/>
        <w:gridCol w:w="140"/>
        <w:gridCol w:w="140"/>
        <w:gridCol w:w="140"/>
        <w:gridCol w:w="264"/>
        <w:gridCol w:w="542"/>
        <w:gridCol w:w="140"/>
        <w:gridCol w:w="140"/>
        <w:gridCol w:w="140"/>
        <w:gridCol w:w="140"/>
        <w:gridCol w:w="241"/>
        <w:gridCol w:w="542"/>
        <w:gridCol w:w="140"/>
        <w:gridCol w:w="140"/>
        <w:gridCol w:w="140"/>
        <w:gridCol w:w="140"/>
        <w:gridCol w:w="233"/>
        <w:gridCol w:w="542"/>
        <w:gridCol w:w="211"/>
      </w:tblGrid>
      <w:tr>
        <w:trPr/>
        <w:tc>
          <w:tcPr>
            <w:tcW w:w="140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RECONCILIATION OF GAAP COMPREHENSIVE INCOME (LOSS) TO NET SPREAD AND DOLLAR ROLL INCOME (NON-GAAP MEASURE)</w:t>
            </w:r>
            <w:r>
              <w:rPr>
                <w:color w:val="000000"/>
              </w:rPr>
              <w:t xml:space="preserve"> </w:t>
            </w:r>
            <w:r>
              <w:rPr>
                <w:rFonts w:ascii="Arial;sans-serif" w:hAnsi="Arial;sans-serif"/>
                <w:b w:val="false"/>
                <w:color w:val="000000"/>
                <w:sz w:val="9"/>
              </w:rPr>
              <w:t>2</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available (attributable) to common stockholders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Adjustments to exclude realized and unrealized (gains) losses reported through net income:</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Realized (gain) loss on sale of investment securities, net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(gain) loss on investment securities measured at fair value through net income, net</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(Gain) loss on derivative instruments and other securities, net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Adjustment to exclude unrealized (gain) loss reported through other comprehensive income:</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(gain) loss on available-for-sale securities measure at fair value through other comprehensive income, net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Other adjustments:</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Estimated ”catch up” premium amortization cost (benefit) due to change in CPR forecast </w:t>
            </w:r>
            <w:r>
              <w:rPr>
                <w:rFonts w:ascii="Arial;sans-serif" w:hAnsi="Arial;sans-serif"/>
                <w:b w:val="false"/>
                <w:color w:val="000000"/>
                <w:sz w:val="9"/>
              </w:rPr>
              <w:t>3</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dollar roll income </w:t>
            </w:r>
            <w:r>
              <w:rPr>
                <w:rFonts w:ascii="Arial;sans-serif" w:hAnsi="Arial;sans-serif"/>
                <w:b w:val="false"/>
                <w:color w:val="000000"/>
                <w:sz w:val="9"/>
              </w:rPr>
              <w:t>4,5</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 periodic income, net </w:t>
            </w:r>
            <w:r>
              <w:rPr>
                <w:rFonts w:ascii="Arial;sans-serif" w:hAnsi="Arial;sans-serif"/>
                <w:b w:val="false"/>
                <w:color w:val="000000"/>
                <w:sz w:val="9"/>
              </w:rPr>
              <w:t>4,6</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Other interest income (expense), net </w:t>
            </w:r>
            <w:r>
              <w:rPr>
                <w:rFonts w:ascii="Arial;sans-serif" w:hAnsi="Arial;sans-serif"/>
                <w:b w:val="false"/>
                <w:color w:val="000000"/>
                <w:sz w:val="9"/>
              </w:rPr>
              <w:t>4,7</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spread and dollar roll income available to common stockholders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number of common shares outstanding - basic</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number of common shares outstanding - diluted</w:t>
            </w:r>
          </w:p>
        </w:tc>
        <w:tc>
          <w:tcPr>
            <w:tcW w:w="7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1,127.3 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1,094.6 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1,056.6 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1,019.6 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921.9 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spread and dollar roll income per common share - basic</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0.42 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0.38 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0.44 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spread and dollar roll income per common share - diluted</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0.42 </w:t>
            </w:r>
          </w:p>
        </w:tc>
        <w:tc>
          <w:tcPr>
            <w:tcW w:w="1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0.38 </w:t>
            </w:r>
          </w:p>
        </w:tc>
        <w:tc>
          <w:tcPr>
            <w:tcW w:w="1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0.44 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10</w:t>
      </w:r>
    </w:p>
    <w:tbl>
      <w:tblPr>
        <w:tblW w:w="10205" w:type="dxa"/>
        <w:jc w:val="center"/>
        <w:tblInd w:w="0" w:type="dxa"/>
        <w:tblLayout w:type="fixed"/>
        <w:tblCellMar>
          <w:top w:w="28" w:type="dxa"/>
          <w:left w:w="28" w:type="dxa"/>
          <w:bottom w:w="28" w:type="dxa"/>
          <w:right w:w="28" w:type="dxa"/>
        </w:tblCellMar>
      </w:tblPr>
      <w:tblGrid>
        <w:gridCol w:w="1665"/>
        <w:gridCol w:w="1420"/>
        <w:gridCol w:w="1427"/>
        <w:gridCol w:w="181"/>
        <w:gridCol w:w="496"/>
        <w:gridCol w:w="226"/>
        <w:gridCol w:w="109"/>
        <w:gridCol w:w="109"/>
        <w:gridCol w:w="109"/>
        <w:gridCol w:w="212"/>
        <w:gridCol w:w="440"/>
        <w:gridCol w:w="264"/>
        <w:gridCol w:w="109"/>
        <w:gridCol w:w="109"/>
        <w:gridCol w:w="109"/>
        <w:gridCol w:w="219"/>
        <w:gridCol w:w="457"/>
        <w:gridCol w:w="274"/>
        <w:gridCol w:w="109"/>
        <w:gridCol w:w="109"/>
        <w:gridCol w:w="109"/>
        <w:gridCol w:w="181"/>
        <w:gridCol w:w="376"/>
        <w:gridCol w:w="226"/>
        <w:gridCol w:w="109"/>
        <w:gridCol w:w="109"/>
        <w:gridCol w:w="109"/>
        <w:gridCol w:w="181"/>
        <w:gridCol w:w="376"/>
        <w:gridCol w:w="276"/>
      </w:tblGrid>
      <w:tr>
        <w:trPr/>
        <w:tc>
          <w:tcPr>
            <w:tcW w:w="166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NET INTEREST SPREAD COMPONENTS BY FUNDING SOURCE</w:t>
            </w:r>
            <w:r>
              <w:rPr>
                <w:color w:val="000000"/>
              </w:rPr>
              <w:t xml:space="preserve"> </w:t>
            </w:r>
            <w:r>
              <w:rPr>
                <w:rFonts w:ascii="Arial;sans-serif" w:hAnsi="Arial;sans-serif"/>
                <w:b w:val="false"/>
                <w:color w:val="000000"/>
                <w:sz w:val="9"/>
              </w:rPr>
              <w:t>2</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4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net interest and dollar roll income:</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Economic interest income:</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 GAAP interest income </w:t>
            </w:r>
            <w:r>
              <w:rPr>
                <w:rFonts w:ascii="Arial;sans-serif" w:hAnsi="Arial;sans-serif"/>
                <w:b w:val="false"/>
                <w:color w:val="000000"/>
                <w:sz w:val="9"/>
              </w:rPr>
              <w:t>8</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Estimated “catch-up” premium amortization cost (benefit) due to change in CPR forecast </w:t>
            </w:r>
            <w:r>
              <w:rPr>
                <w:rFonts w:ascii="Arial;sans-serif" w:hAnsi="Arial;sans-serif"/>
                <w:b w:val="false"/>
                <w:color w:val="000000"/>
                <w:sz w:val="9"/>
              </w:rPr>
              <w:t>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dollar roll income - implied interest income </w:t>
            </w:r>
            <w:r>
              <w:rPr>
                <w:rFonts w:ascii="Arial;sans-serif" w:hAnsi="Arial;sans-serif"/>
                <w:b w:val="false"/>
                <w:color w:val="000000"/>
                <w:sz w:val="9"/>
              </w:rPr>
              <w:t>4,9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Economic interest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Economic interest expense:</w:t>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and other debt - GAAP 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dollar roll income - implied interest expense </w:t>
            </w:r>
            <w:r>
              <w:rPr>
                <w:rFonts w:ascii="Arial;sans-serif" w:hAnsi="Arial;sans-serif"/>
                <w:b w:val="false"/>
                <w:color w:val="000000"/>
                <w:sz w:val="9"/>
              </w:rPr>
              <w:t>4,10</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 periodic income, net </w:t>
            </w:r>
            <w:r>
              <w:rPr>
                <w:rFonts w:ascii="Arial;sans-serif" w:hAnsi="Arial;sans-serif"/>
                <w:b w:val="false"/>
                <w:color w:val="000000"/>
                <w:sz w:val="9"/>
              </w:rPr>
              <w:t>4,6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Economic interest expense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(638)</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(622)</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interest and dollar roll income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spread:</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 average asset yield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Estimated “catch-up” premium amortization cost (benefit) due to change in CPR forecast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0.03 </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0.08 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average asset yield, excluding “catch-up” premium amortization</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 average implied asset yield </w:t>
            </w:r>
            <w:r>
              <w:rPr>
                <w:rFonts w:ascii="Arial;sans-serif" w:hAnsi="Arial;sans-serif"/>
                <w:b w:val="false"/>
                <w:color w:val="000000"/>
                <w:sz w:val="9"/>
              </w:rPr>
              <w:t>9</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asset yield </w:t>
            </w:r>
            <w:r>
              <w:rPr>
                <w:rFonts w:ascii="Arial;sans-serif" w:hAnsi="Arial;sans-serif"/>
                <w:b w:val="false"/>
                <w:color w:val="000000"/>
                <w:sz w:val="9"/>
              </w:rPr>
              <w:t>11</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Average total cost of funds:</w:t>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and other debt - average funding cost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 average implied funding cost </w:t>
            </w:r>
            <w:r>
              <w:rPr>
                <w:rFonts w:ascii="Arial;sans-serif" w:hAnsi="Arial;sans-serif"/>
                <w:b w:val="false"/>
                <w:color w:val="000000"/>
                <w:sz w:val="9"/>
              </w:rPr>
              <w:t>10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4.03 </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cost of funds, before interest rate swap periodic income, net </w:t>
            </w:r>
            <w:r>
              <w:rPr>
                <w:rFonts w:ascii="Arial;sans-serif" w:hAnsi="Arial;sans-serif"/>
                <w:b w:val="false"/>
                <w:color w:val="000000"/>
                <w:sz w:val="9"/>
              </w:rPr>
              <w:t>11</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 periodic income, net </w:t>
            </w:r>
            <w:r>
              <w:rPr>
                <w:rFonts w:ascii="Arial;sans-serif" w:hAnsi="Arial;sans-serif"/>
                <w:b w:val="false"/>
                <w:color w:val="000000"/>
                <w:sz w:val="9"/>
              </w:rPr>
              <w:t>12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total cost of funds </w:t>
            </w:r>
            <w:r>
              <w:rPr>
                <w:rFonts w:ascii="Arial;sans-serif" w:hAnsi="Arial;sans-serif"/>
                <w:b w:val="false"/>
                <w:color w:val="000000"/>
                <w:sz w:val="9"/>
              </w:rPr>
              <w:t>13</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net interest spread</w:t>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11</w:t>
      </w:r>
    </w:p>
    <w:tbl>
      <w:tblPr>
        <w:tblW w:w="10205" w:type="dxa"/>
        <w:jc w:val="left"/>
        <w:tblInd w:w="0" w:type="dxa"/>
        <w:tblLayout w:type="fixed"/>
        <w:tblCellMar>
          <w:top w:w="28" w:type="dxa"/>
          <w:left w:w="28" w:type="dxa"/>
          <w:bottom w:w="28" w:type="dxa"/>
          <w:right w:w="28" w:type="dxa"/>
        </w:tblCellMar>
      </w:tblPr>
      <w:tblGrid>
        <w:gridCol w:w="1522"/>
        <w:gridCol w:w="1209"/>
        <w:gridCol w:w="1217"/>
        <w:gridCol w:w="181"/>
        <w:gridCol w:w="571"/>
        <w:gridCol w:w="226"/>
        <w:gridCol w:w="109"/>
        <w:gridCol w:w="109"/>
        <w:gridCol w:w="109"/>
        <w:gridCol w:w="181"/>
        <w:gridCol w:w="571"/>
        <w:gridCol w:w="226"/>
        <w:gridCol w:w="109"/>
        <w:gridCol w:w="109"/>
        <w:gridCol w:w="109"/>
        <w:gridCol w:w="183"/>
        <w:gridCol w:w="578"/>
        <w:gridCol w:w="228"/>
        <w:gridCol w:w="109"/>
        <w:gridCol w:w="109"/>
        <w:gridCol w:w="109"/>
        <w:gridCol w:w="181"/>
        <w:gridCol w:w="571"/>
        <w:gridCol w:w="226"/>
        <w:gridCol w:w="109"/>
        <w:gridCol w:w="109"/>
        <w:gridCol w:w="109"/>
        <w:gridCol w:w="181"/>
        <w:gridCol w:w="571"/>
        <w:gridCol w:w="274"/>
      </w:tblGrid>
      <w:tr>
        <w:trPr/>
        <w:tc>
          <w:tcPr>
            <w:tcW w:w="15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KEY STATISTICS*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Key Balance Sheet Statistics: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8</w:t>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Fixed-rate Agency MBS, at fair value - as of period end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73,283 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68,468 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Agency MBS, at fair value - as of period end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Credit risk transfer securities, at fair value - as of period end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Non-Agency MBS, at fair value - as of period end </w:t>
            </w:r>
            <w:r>
              <w:rPr>
                <w:rFonts w:ascii="Arial;sans-serif" w:hAnsi="Arial;sans-serif"/>
                <w:b w:val="false"/>
                <w:color w:val="000000"/>
                <w:sz w:val="9"/>
              </w:rPr>
              <w:t>14</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 at fair value - as of period end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85,064 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81,719 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73,979 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71,325 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 at cost - as of period end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86,058 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81,817 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73,148 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 at par - as of period end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80,830 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74,572 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72,130 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investment securities, at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74,783 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70,725 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investment securities, at par</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83,659 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69,704 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w:t>
            </w:r>
            <w:r>
              <w:rPr>
                <w:rFonts w:ascii="Arial;sans-serif" w:hAnsi="Arial;sans-serif"/>
                <w:b w:val="false"/>
                <w:color w:val="000000"/>
                <w:sz w:val="9"/>
              </w:rPr>
              <w:t>15</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TBA portfolio - as of period end, at fair value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TBA portfolio - as of period end, at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TBA portfolio - as of period end, carrying value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net TBA portfolio, at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repurchase agreements and other debt </w:t>
            </w:r>
            <w:r>
              <w:rPr>
                <w:rFonts w:ascii="Arial;sans-serif" w:hAnsi="Arial;sans-serif"/>
                <w:b w:val="false"/>
                <w:color w:val="000000"/>
                <w:sz w:val="9"/>
              </w:rPr>
              <w:t>16</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77,120 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66,654 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61,707 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stockholders’ equity </w:t>
            </w:r>
            <w:r>
              <w:rPr>
                <w:rFonts w:ascii="Arial;sans-serif" w:hAnsi="Arial;sans-serif"/>
                <w:b w:val="false"/>
                <w:color w:val="000000"/>
                <w:sz w:val="9"/>
              </w:rPr>
              <w:t>17</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9,935 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net book value per common share </w:t>
            </w:r>
            <w:r>
              <w:rPr>
                <w:rFonts w:ascii="Arial;sans-serif" w:hAnsi="Arial;sans-serif"/>
                <w:b w:val="false"/>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net book value “at risk” leverage - average </w:t>
            </w:r>
            <w:r>
              <w:rPr>
                <w:rFonts w:ascii="Arial;sans-serif" w:hAnsi="Arial;sans-serif"/>
                <w:b w:val="false"/>
                <w:color w:val="000000"/>
                <w:sz w:val="9"/>
              </w:rPr>
              <w:t>18</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7.3:1</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net book value “at risk” leverage - as of period end </w:t>
            </w:r>
            <w:r>
              <w:rPr>
                <w:rFonts w:ascii="Arial;sans-serif" w:hAnsi="Arial;sans-serif"/>
                <w:b w:val="false"/>
                <w:color w:val="000000"/>
                <w:sz w:val="9"/>
              </w:rPr>
              <w:t>19</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7.5:1</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Key Performance Statistics: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8</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coupon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 excluding “catch-up” premium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4.80 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coupon - as of period end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5.12 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 - as of period end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4.94 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actual CPR for securities held during the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forecasted CPR - as of period end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premium amortization benefit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TBA securities: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coupon - as of period end </w:t>
            </w:r>
            <w:r>
              <w:rPr>
                <w:rFonts w:ascii="Arial;sans-serif" w:hAnsi="Arial;sans-serif"/>
                <w:b w:val="false"/>
                <w:color w:val="000000"/>
                <w:sz w:val="9"/>
              </w:rPr>
              <w:t>20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implied asset yield </w:t>
            </w:r>
            <w:r>
              <w:rPr>
                <w:rFonts w:ascii="Arial;sans-serif" w:hAnsi="Arial;sans-serif"/>
                <w:b w:val="false"/>
                <w:color w:val="000000"/>
                <w:sz w:val="9"/>
              </w:rPr>
              <w:t>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Combined investment and TBA securities - average asset yield, excluding “catch-up” premium amortization </w:t>
            </w:r>
            <w:r>
              <w:rPr>
                <w:rFonts w:ascii="Arial;sans-serif" w:hAnsi="Arial;sans-serif"/>
                <w:b w:val="false"/>
                <w:color w:val="000000"/>
                <w:sz w:val="9"/>
              </w:rPr>
              <w:t>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Cost of funds: </w:t>
            </w:r>
            <w:r>
              <w:rPr>
                <w:rFonts w:ascii="Arial;sans-serif" w:hAnsi="Arial;sans-serif"/>
                <w:b w:val="false"/>
                <w:color w:val="000000"/>
                <w:sz w:val="9"/>
              </w:rPr>
              <w:t>13</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 average funding cost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 average implied funding cost </w:t>
            </w:r>
            <w:r>
              <w:rPr>
                <w:rFonts w:ascii="Arial;sans-serif" w:hAnsi="Arial;sans-serif"/>
                <w:b w:val="false"/>
                <w:color w:val="000000"/>
                <w:sz w:val="9"/>
              </w:rPr>
              <w:t>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swaps - average periodic income </w:t>
            </w:r>
            <w:r>
              <w:rPr>
                <w:rFonts w:ascii="Arial;sans-serif" w:hAnsi="Arial;sans-serif"/>
                <w:b w:val="false"/>
                <w:color w:val="000000"/>
                <w:sz w:val="9"/>
              </w:rPr>
              <w:t>12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total cost of funds, inclusive of TBAs and interest rate swap periodic income, net </w:t>
            </w:r>
            <w:r>
              <w:rPr>
                <w:rFonts w:ascii="Arial;sans-serif" w:hAnsi="Arial;sans-serif"/>
                <w:b w:val="false"/>
                <w:color w:val="000000"/>
                <w:sz w:val="9"/>
              </w:rPr>
              <w:t>11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 average funding cost as of period end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swaps - average net pay/(receive) rate as of period end </w:t>
            </w:r>
            <w:r>
              <w:rPr>
                <w:rFonts w:ascii="Arial;sans-serif" w:hAnsi="Arial;sans-serif"/>
                <w:b w:val="false"/>
                <w:color w:val="000000"/>
                <w:sz w:val="9"/>
              </w:rPr>
              <w:t>21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spread:</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Combined investment and TBA securities average net interest spread, excluding “catch-up” premium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Expenses % of average stockholders’ equity - annualized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Economic return (loss) on tangible common equity - unannualized </w:t>
            </w:r>
            <w:r>
              <w:rPr>
                <w:rFonts w:ascii="Arial;sans-serif" w:hAnsi="Arial;sans-serif"/>
                <w:b w:val="false"/>
                <w:color w:val="000000"/>
                <w:sz w:val="9"/>
              </w:rPr>
              <w:t>22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12</w:t>
      </w:r>
    </w:p>
    <w:tbl>
      <w:tblPr>
        <w:tblW w:w="10205" w:type="dxa"/>
        <w:jc w:val="left"/>
        <w:tblInd w:w="0" w:type="dxa"/>
        <w:tblLayout w:type="fixed"/>
        <w:tblCellMar>
          <w:top w:w="28" w:type="dxa"/>
          <w:left w:w="28" w:type="dxa"/>
          <w:bottom w:w="28" w:type="dxa"/>
          <w:right w:w="28" w:type="dxa"/>
        </w:tblCellMar>
      </w:tblPr>
      <w:tblGrid>
        <w:gridCol w:w="1496"/>
        <w:gridCol w:w="1218"/>
        <w:gridCol w:w="1228"/>
        <w:gridCol w:w="181"/>
        <w:gridCol w:w="571"/>
        <w:gridCol w:w="226"/>
        <w:gridCol w:w="109"/>
        <w:gridCol w:w="109"/>
        <w:gridCol w:w="109"/>
        <w:gridCol w:w="181"/>
        <w:gridCol w:w="571"/>
        <w:gridCol w:w="226"/>
        <w:gridCol w:w="109"/>
        <w:gridCol w:w="109"/>
        <w:gridCol w:w="109"/>
        <w:gridCol w:w="184"/>
        <w:gridCol w:w="581"/>
        <w:gridCol w:w="229"/>
        <w:gridCol w:w="109"/>
        <w:gridCol w:w="109"/>
        <w:gridCol w:w="109"/>
        <w:gridCol w:w="181"/>
        <w:gridCol w:w="571"/>
        <w:gridCol w:w="226"/>
        <w:gridCol w:w="109"/>
        <w:gridCol w:w="109"/>
        <w:gridCol w:w="109"/>
        <w:gridCol w:w="181"/>
        <w:gridCol w:w="571"/>
        <w:gridCol w:w="275"/>
      </w:tblGrid>
      <w:tr>
        <w:trPr/>
        <w:tc>
          <w:tcPr>
            <w:tcW w:w="149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Key Interest Rate Hedge Statistics</w:t>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rate swaps:</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Average interest rate swaps, notional amount (excluding forward starting swaps), net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45,656 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44,179 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pay-fixed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receive-floating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Treasury securities:</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short U.S. Treasury securities, at cost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18,677 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short U.S. Treasury securities yield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4.21 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long U.S. Treasury securities, at cost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Average long U.S. Treasury securities yield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Treasury futures: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Average short U.S. Treasury futures, at cost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short U.S. Treasury futures implied yield </w:t>
            </w:r>
            <w:r>
              <w:rPr>
                <w:rFonts w:ascii="Arial;sans-serif" w:hAnsi="Arial;sans-serif"/>
                <w:b w:val="false"/>
                <w:color w:val="000000"/>
                <w:sz w:val="9"/>
              </w:rPr>
              <w:t>23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long U.S. Treasury futures, at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long U.S. Treasury futures implied yield </w:t>
            </w:r>
            <w:r>
              <w:rPr>
                <w:rFonts w:ascii="Arial;sans-serif" w:hAnsi="Arial;sans-serif"/>
                <w:b w:val="false"/>
                <w:color w:val="000000"/>
                <w:sz w:val="9"/>
              </w:rPr>
              <w:t>23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4.21 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reverse repurchase agreement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*Except as noted below, average numbers for each period are weighted based on days on the Company’s books and records. All percentages are annualized, unless otherwise noted.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Numbers in financial tables may not total due to rounding.</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1.Tangible net book value per common share excludes preferred stock liquidation preference and goodwill.</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2.Table includes non-GAAP financial measures and/or amounts derived from non-GAAP measures. Refer to “Use of Non-GAAP Financial Information” for additional discussion of non-GAAP financial measures.</w:t>
      </w:r>
    </w:p>
    <w:p>
      <w:pPr>
        <w:pStyle w:val="TextBody"/>
        <w:bidi w:val="0"/>
        <w:spacing w:lineRule="auto" w:line="288" w:before="0" w:after="0"/>
        <w:ind w:left="0" w:right="0" w:hanging="360"/>
        <w:jc w:val="both"/>
        <w:rPr/>
      </w:pPr>
      <w:r>
        <w:rPr>
          <w:rFonts w:ascii="Arial;sans-serif" w:hAnsi="Arial;sans-serif"/>
          <w:b w:val="false"/>
          <w:color w:val="000000"/>
          <w:sz w:val="18"/>
        </w:rPr>
        <w:t>3.</w:t>
      </w:r>
      <w:r>
        <w:rPr>
          <w:color w:val="000000"/>
        </w:rPr>
        <w:t>“</w:t>
      </w:r>
      <w:r>
        <w:rPr>
          <w:rFonts w:ascii="Arial;sans-serif" w:hAnsi="Arial;sans-serif"/>
          <w:b w:val="false"/>
          <w:color w:val="000000"/>
          <w:sz w:val="18"/>
        </w:rPr>
        <w:t>Catch-up” premium amortization cost/benefit is reported in interest income on the accompanying consolidated statements of operations.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4.Amount reported in gain (loss) on derivatives instruments and other securities, net in the accompanying consolidated statements of operations.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5.Dollar roll income represents the price differential, or “price drop,” between the TBA price for current month settlement versus the TBA price for forward month settlement. Amount includes dollar roll income (loss) on long and short TBA securities. Amount excludes TBA mark-to-market adjustments.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6.Represents periodic interest rate swap settlements. Amount excludes interest rate swap termination fees, mark-to-market adjustments and price alignment interest income (expense) on margin deposits.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7.Other interest income (expense), net includes interest income on cash and cash equivalents, price alignment interest income (expense) on margin deposits, and other miscellaneous interest income (expense).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8.Investment securities include Agency MBS, CRT and non-Agency securities. Amounts exclude TBA and forward settling securities accounted for as derivative instruments in the accompanying consolidated balance sheets and statements of operations.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9.The average implied asset yield and associated gross income for TBA dollar roll transactions is extrapolated by adding the average TBA implied funding cost (Note 10) to the net dollar roll yield. The net dollar roll yield is calculated by dividing dollar roll income (Note 5) by the average net TBA balance (cost basis) outstanding for the period.</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10.The implied funding cost/benefit of TBA dollar roll transactions is determined using the “price drop” (Note 5) and market-based assumptions regarding the “cheapest-to-deliver” collateral that can be delivered to satisfy the TBA contract, such as the anticipated collateral’s weighted average coupon, weighted average maturity and projected 1-month CPR. The average implied funding cost/benefit for TBA transactions represents the Company’s long TBA position only, weighted based on the Company’s daily average long TBA position outstanding for the period.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11.Amount calculated on a weighted average basis based on average balances outstanding during the period and their respective asset yield/funding cost.</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12.Represents interest rate swap periodic cost/income measured as a percent of total mortgage funding (Investment Securities Repo, other debt and net TBA securities (at cost)).</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13.Cost of funds excludes U.S. Treasury, option-based, and other supplemental hedges used to hedge a portion of the Company’s interest rate risk and U.S. Treasury Repo.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14.Non-Agency MBS, at fair value, excludes $69 million, $70 million, $69 million, $66 million and $63 million of other mortgage credit investments held as of March 31, 2026 and December 31, September 30, June 30 and March 31, 2025, respectively.</w:t>
      </w:r>
    </w:p>
    <w:p>
      <w:pPr>
        <w:pStyle w:val="TextBody"/>
        <w:bidi w:val="0"/>
        <w:spacing w:lineRule="auto" w:line="288"/>
        <w:ind w:left="0" w:right="0" w:hanging="360"/>
        <w:jc w:val="both"/>
        <w:rPr>
          <w:rFonts w:ascii="Arial;sans-serif" w:hAnsi="Arial;sans-serif"/>
          <w:b w:val="false"/>
          <w:color w:val="000000"/>
          <w:sz w:val="18"/>
        </w:rPr>
      </w:pPr>
      <w:r>
        <w:rPr>
          <w:rFonts w:ascii="Arial;sans-serif" w:hAnsi="Arial;sans-serif"/>
          <w:b w:val="false"/>
          <w:color w:val="000000"/>
          <w:sz w:val="18"/>
        </w:rPr>
        <w:t>15.Includes TBA dollar roll position and, if applicable, forward settling securities accounted for as derivative instruments in the accompanying consolidated balance sheets and statements of operations. Amount is net of short TBA securities.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13</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16.Average repurchase agreements and other debt excludes U.S. Treasury Repo.</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17.Average stockholders’ equity calculated as the average month-ended stockholders’ equity during the quarter.</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18.Average tangible net book value “at risk” leverage during the period was calculated by dividing the sum of the daily weighted average Investment Securities Repo, other debt, and TBA and forward settling securities (at cost) outstanding for the period by the sum of average stockholders’ equity adjusted to exclude goodwill. Leverage excludes U.S. Treasury Repo.</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19.Tangible net book value “at risk” leverage as of period end was calculated by dividing the sum of the amount outstanding under Investment Securities Repo, other debt, net TBA position and forward settling securities (at cost), and net receivable / payable for unsettled investment securities outstanding by the sum of total stockholders’ equity adjusted to exclude goodwill. Leverage excludes U.S. Treasury Repo.</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20.Average TBA coupon is for the long TBA position only.</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21.Includes forward starting swaps not yet in effect as of reported period-end.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22.Economic return (loss) on tangible common equity represents the sum of the change in tangible net book value per common share and dividends declared on common stock during the period over the beginning tangible net book value per common share.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23.The implied yields for Treasury futures are calculated based on the “cheapest-to-deliver” security that can be delivered to satisfy the futures contract identified at the time the futures contract was initiated using data sourced from a third-party model.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STOCKHOLDER CALL</w:t>
      </w:r>
    </w:p>
    <w:p>
      <w:pPr>
        <w:pStyle w:val="TextBody"/>
        <w:bidi w:val="0"/>
        <w:spacing w:lineRule="auto" w:line="288" w:before="180" w:after="283"/>
        <w:jc w:val="both"/>
        <w:rPr/>
      </w:pPr>
      <w:r>
        <w:rPr>
          <w:rFonts w:ascii="Arial;sans-serif" w:hAnsi="Arial;sans-serif"/>
          <w:b w:val="false"/>
          <w:color w:val="000000"/>
          <w:sz w:val="24"/>
        </w:rPr>
        <w:t xml:space="preserve">AGNC invites stockholders, prospective stockholders and analysts to attend the AGNC stockholder call on April 21, 2026 at 8:30 am ET. Interested persons who do not plan on asking a question and have internet access are encouraged to utilize the webcast at </w:t>
      </w:r>
      <w:r>
        <w:rPr>
          <w:rFonts w:ascii="Arial;sans-serif" w:hAnsi="Arial;sans-serif"/>
          <w:b w:val="false"/>
          <w:color w:val="0563C1"/>
          <w:sz w:val="24"/>
          <w:u w:val="single"/>
        </w:rPr>
        <w:t>www.AGNC.com</w:t>
      </w:r>
      <w:r>
        <w:rPr>
          <w:rFonts w:ascii="Arial;sans-serif" w:hAnsi="Arial;sans-serif"/>
          <w:b w:val="false"/>
          <w:color w:val="000000"/>
          <w:sz w:val="24"/>
        </w:rPr>
        <w:t xml:space="preserve">. Those who plan on participating in the Q&amp;A or do not have internet available may access the call by dialing (877) 300-5922 (U.S. domestic) or (412) 902-6621 (international). Please advise the operator you are dialing in for the AGNC Investment Corp. stockholder call. </w:t>
      </w:r>
    </w:p>
    <w:p>
      <w:pPr>
        <w:pStyle w:val="TextBody"/>
        <w:bidi w:val="0"/>
        <w:spacing w:lineRule="auto" w:line="288" w:before="180" w:after="283"/>
        <w:jc w:val="both"/>
        <w:rPr/>
      </w:pPr>
      <w:r>
        <w:rPr>
          <w:rFonts w:ascii="Arial;sans-serif" w:hAnsi="Arial;sans-serif"/>
          <w:b w:val="false"/>
          <w:color w:val="000000"/>
          <w:sz w:val="24"/>
        </w:rPr>
        <w:t xml:space="preserve">A slide presentation will accompany the call and will be available in the Investors section of the Company’s website at </w:t>
      </w:r>
      <w:r>
        <w:rPr>
          <w:rFonts w:ascii="Arial;sans-serif" w:hAnsi="Arial;sans-serif"/>
          <w:b w:val="false"/>
          <w:color w:val="0563C1"/>
          <w:sz w:val="24"/>
          <w:u w:val="single"/>
        </w:rPr>
        <w:t>www.AGNC.com</w:t>
      </w:r>
      <w:r>
        <w:rPr>
          <w:rFonts w:ascii="Arial;sans-serif" w:hAnsi="Arial;sans-serif"/>
          <w:b w:val="false"/>
          <w:color w:val="000000"/>
          <w:sz w:val="24"/>
        </w:rPr>
        <w:t>. Select the Q1 2026 Stockholder Presentation link to download the presentation in advance of the stockholder call.</w:t>
      </w:r>
    </w:p>
    <w:p>
      <w:pPr>
        <w:pStyle w:val="TextBody"/>
        <w:bidi w:val="0"/>
        <w:spacing w:lineRule="auto" w:line="288" w:before="180" w:after="283"/>
        <w:jc w:val="both"/>
        <w:rPr/>
      </w:pPr>
      <w:r>
        <w:rPr>
          <w:rFonts w:ascii="Arial;sans-serif" w:hAnsi="Arial;sans-serif"/>
          <w:b w:val="false"/>
          <w:color w:val="000000"/>
          <w:sz w:val="24"/>
        </w:rPr>
        <w:t>An archived audio of the stockholder call combined with the slide presentation will be available on the AGNC website after the call on April 21, 2026. In addition, there will be a phone recording available one hour after the call on April 21, 2026 through May 5, 2026. Those who are interested in hearing the recording of the presentation, can access it by dialing (855) 669-9658 (U.S. domestic) or (412) 317-0088 (international), passcode 2273022</w:t>
      </w:r>
      <w:r>
        <w:rPr>
          <w:rFonts w:ascii="Arial;sans-serif" w:hAnsi="Arial;sans-serif"/>
          <w:b/>
          <w:color w:val="000000"/>
          <w:sz w:val="24"/>
        </w:rPr>
        <w:t>.</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For further information, please contact Investor Relations at (301) 968-9300 or IR@AGNC.com.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ABOUT AGNC INVESTMENT CORP.</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Founded in 2008, AGNC Investment Corp. (Nasdaq: AGNC) is a leading investor in Agency residential mortgage-backed securities (Agency MBS), which benefit from a guarantee against credit losses by Fannie Mae, Freddie Mac, or Ginnie Mae. We invest on a leveraged basis, financing our Agency MBS assets primarily through repurchase agreements, and utilize dynamic risk management strategies intended to protect the value of our portfolio from interest rate and other market risks.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AGNC has a track record of providing favorable long-term returns for our stockholders through substantial monthly dividend income, with over $15 billion of common stock dividends paid since inception. Our business is a significant source of private capital for the U.S. residential housing market, and our team has extensive experience managing mortgage assets across market cycles.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14</w:t>
      </w:r>
    </w:p>
    <w:p>
      <w:pPr>
        <w:pStyle w:val="TextBody"/>
        <w:bidi w:val="0"/>
        <w:spacing w:lineRule="auto" w:line="288" w:before="180" w:after="283"/>
        <w:jc w:val="both"/>
        <w:rPr/>
      </w:pPr>
      <w:r>
        <w:rPr>
          <w:rFonts w:ascii="Arial;sans-serif" w:hAnsi="Arial;sans-serif"/>
          <w:b w:val="false"/>
          <w:color w:val="000000"/>
          <w:sz w:val="24"/>
        </w:rPr>
        <w:t xml:space="preserve">We use our website (www.AGNC.com) and AGNC’s LinkedIn and X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document or any report filed with the SEC. To learn more about </w:t>
      </w:r>
      <w:r>
        <w:rPr>
          <w:rFonts w:ascii="Arial;sans-serif" w:hAnsi="Arial;sans-serif"/>
          <w:b/>
          <w:color w:val="000000"/>
          <w:sz w:val="24"/>
        </w:rPr>
        <w:t>The Premier Agency Residential Mortgage REIT</w:t>
      </w:r>
      <w:r>
        <w:rPr>
          <w:rFonts w:ascii="Arial;sans-serif" w:hAnsi="Arial;sans-serif"/>
          <w:b w:val="false"/>
          <w:color w:val="000000"/>
          <w:sz w:val="24"/>
        </w:rPr>
        <w:t xml:space="preserve">, please visit </w:t>
      </w:r>
      <w:r>
        <w:rPr>
          <w:rFonts w:ascii="Arial;sans-serif" w:hAnsi="Arial;sans-serif"/>
          <w:b w:val="false"/>
          <w:color w:val="0563C1"/>
          <w:sz w:val="24"/>
          <w:u w:val="single"/>
        </w:rPr>
        <w:t>www.AGNC.com</w:t>
      </w:r>
      <w:r>
        <w:rPr>
          <w:rFonts w:ascii="Arial;sans-serif" w:hAnsi="Arial;sans-serif"/>
          <w:b w:val="false"/>
          <w:color w:val="000000"/>
          <w:sz w:val="24"/>
        </w:rPr>
        <w:t>, follow us on LinkedIn and X, and sign up for Investor Alerts.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FORWARD LOOKING STATEMENTS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This press release contains forward-looking statements within the meaning of the Private Securities Litigation Reform Act. Forward-looking statements are based on estimates, projections, beliefs and assumptions of management of the Company at the time of such statements and are not guarantees of future performance. Forward-looking statements involve risks and uncertainties in predicting future results and conditions. Actual results could differ materially from those projected in these forward-looking statements or from our historic performance due to a variety of important factors, including, without limitation, changes in monetary policy and other factors that affect interest rates, MBS spreads to benchmark interest rates, the forward yield curve, or prepayment rates; the availability and terms of financing; changes in the market value of the Company’s assets; general economic or geopolitical conditions; liquidity and other conditions in Agency MBS and other financial markets; and legislative and regulatory changes that could adversely affect the business of the Company. Certain factors that could cause actual results to differ materially from those contained in the forward-looking statements are included in the Company’s periodic reports filed with the Securities and Exchange Commission (“SEC”). Copies are available on the SEC’s website, www.sec.gov. The Company disclaims any obligation to update or revise any forward-looking statements based on the occurrence of future events, the receipt of new information,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USE OF NON-GAAP FINANCIAL INFORMATION</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In addition to the results presented in accordance with GAAP, the Company’s results of operations discussed in this release include certain non-GAAP financial information, including “net spread and dollar roll income”; “economic interest income” and “economic interest expense”; and the related per common share measures and certain financial metrics derived from such non-GAAP information, such as “cost of funds” and “net interest spread.”</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Net spread and dollar roll income available to common stockholders is measured as comprehensive income (loss) available (attributable) to common stockholders (GAAP measure) adjusted to: (i) exclude gains/losses on investment securities recognized through net income or other comprehensive income and gains/losses on derivative instruments and other securities (GAAP measures), (ii) exclude retrospective “catch-up” adjustments to premium amortization cost due to changes in projected CPR estimates and (iii) include interest rate swap periodic income/cost, TBA dollar roll income and other miscellaneous interest income/expense. As defined, net spread and dollar roll income available to common stockholders represents net interest income/expense (GAAP measure) adjusted to exclude retrospective “catch-up” adjustments to premium amortization cost due to changes in projected CPR estimates and to include TBA dollar roll income, interest rate swap periodic income/cost and other miscellaneous interest income/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April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15</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expense, less total operating expense (GAAP measure) and dividends on preferred stock (GAAP measure).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By providing users of the Company’s financial information with such measures in addition to the related GAAP measures, the Company believes users have greater transparency into the information used by the Company’s management in its financial and operational decision-making. The Company also believes that it is important for users of its financial information to consider information related to the Company’s current financial performance without the effects of certain transactions that are not necessarily indicative of its current investment portfolio performance and operations.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Specifically, the Company believes the inclusion of TBA dollar roll income in its non-GAAP measures is meaningful as TBAs are economically equivalent to holding and financing generic Agency MBS using short-term repurchase agreements but are recognized under GAAP in gain/loss on derivative instruments in the Company’s statement of operations. Similarly, the Company believes that the inclusion of periodic interest rate swap settlements in such measures, which are recognized under GAAP in gain/loss on derivative instruments, is meaningful as interest rate swaps are the primary instrument the Company uses to economically hedge against fluctuations in the Company’s borrowing costs and inclusion of periodic interest rate swap settlements is more indicative of the Company’s total cost of funds than interest expense alone. Finally, the Company believes the exclusion of “catch-up” adjustments to premium amortization cost is meaningful as it excludes the cumulative effect from prior reporting periods due to current changes in future prepayment expectations and, therefore, exclusion of such “catch-up” cost or benefit is more indicative of the current earnings potential of the Company’s investment portfolio.</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However, because such measures are incomplete measures of the Company’s financial performance and involve differences from results computed in accordance with GAAP, they should be considered as supplementary to, and not as a substitute for, results computed in accordance with GAAP. In addition, because not all companies use identical calculations, the Company’s presentation of such non-GAAP measures may not be comparable to other similarly-titled measures of other companies.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 reconciliation of GAAP comprehensive income (loss) to non-GAAP “net spread and dollar roll income” is included in this release.</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7938</Words>
  <Characters>42404</Characters>
  <CharactersWithSpaces>49409</CharactersWithSpaces>
  <Paragraphs>1623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