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74" w:lineRule="exact"/>
        <w:rPr>
          <w:sz w:val="24"/>
          <w:szCs w:val="24"/>
          <w:color w:val="auto"/>
        </w:rPr>
      </w:pPr>
    </w:p>
    <w:p>
      <w:pPr>
        <w:jc w:val="center"/>
        <w:ind w:right="-115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SECURITIES AND EXCHANGE COMMISSION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ind w:left="431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WASHINGTON, D.C. 20549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jc w:val="center"/>
        <w:ind w:right="-115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SCHEDULE 14A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jc w:val="center"/>
        <w:ind w:right="-115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(Rule 14a-101)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jc w:val="center"/>
        <w:ind w:right="-115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INFORMATION REQUIRED IN PROXY STATEMENT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center"/>
        <w:ind w:right="-115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SCHEDULE 14A INFORMATION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center"/>
        <w:ind w:right="-115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Proxy Statement Pursuant to Section 14(a) of the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center"/>
        <w:ind w:right="-115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Securities Exchange Act of 1934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33"/>
        <w:spacing w:after="0" w:line="207" w:lineRule="exact"/>
        <w:tabs>
          <w:tab w:leader="none" w:pos="413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Filed by the Registrant  </w:t>
      </w:r>
      <w:r>
        <w:rPr>
          <w:rFonts w:ascii="MS PGothic" w:cs="MS PGothic" w:eastAsia="MS PGothic" w:hAnsi="MS PGothic"/>
          <w:sz w:val="18"/>
          <w:szCs w:val="18"/>
          <w:color w:val="auto"/>
        </w:rPr>
        <w:t>☒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 xml:space="preserve">Filed by a Party other than the Registrant  </w:t>
      </w:r>
      <w:r>
        <w:rPr>
          <w:rFonts w:ascii="MS PGothic" w:cs="MS PGothic" w:eastAsia="MS PGothic" w:hAnsi="MS PGothic"/>
          <w:sz w:val="17"/>
          <w:szCs w:val="17"/>
          <w:color w:val="auto"/>
        </w:rPr>
        <w:t>☐</w:t>
      </w: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3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Check the appropriate box: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553" w:hanging="343"/>
        <w:spacing w:after="0"/>
        <w:tabs>
          <w:tab w:leader="none" w:pos="553" w:val="left"/>
        </w:tabs>
        <w:numPr>
          <w:ilvl w:val="0"/>
          <w:numId w:val="1"/>
        </w:numPr>
        <w:rPr>
          <w:rFonts w:ascii="MS PGothic" w:cs="MS PGothic" w:eastAsia="MS PGothic" w:hAnsi="MS PGothic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Preliminary Proxy Statement</w:t>
      </w:r>
    </w:p>
    <w:p>
      <w:pPr>
        <w:spacing w:after="0" w:line="86" w:lineRule="exact"/>
        <w:rPr>
          <w:rFonts w:ascii="MS PGothic" w:cs="MS PGothic" w:eastAsia="MS PGothic" w:hAnsi="MS PGothic"/>
          <w:sz w:val="18"/>
          <w:szCs w:val="18"/>
          <w:color w:val="auto"/>
        </w:rPr>
      </w:pPr>
    </w:p>
    <w:p>
      <w:pPr>
        <w:ind w:left="553" w:hanging="343"/>
        <w:spacing w:after="0"/>
        <w:tabs>
          <w:tab w:leader="none" w:pos="553" w:val="left"/>
        </w:tabs>
        <w:numPr>
          <w:ilvl w:val="0"/>
          <w:numId w:val="1"/>
        </w:numPr>
        <w:rPr>
          <w:rFonts w:ascii="MS PGothic" w:cs="MS PGothic" w:eastAsia="MS PGothic" w:hAnsi="MS PGothic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Confidential, for Use of the Commission Only (as permitted by Rule 14a-6(e)(2))</w:t>
      </w:r>
    </w:p>
    <w:p>
      <w:pPr>
        <w:spacing w:after="0" w:line="94" w:lineRule="exact"/>
        <w:rPr>
          <w:rFonts w:ascii="MS PGothic" w:cs="MS PGothic" w:eastAsia="MS PGothic" w:hAnsi="MS PGothic"/>
          <w:sz w:val="18"/>
          <w:szCs w:val="18"/>
          <w:color w:val="auto"/>
        </w:rPr>
      </w:pPr>
    </w:p>
    <w:p>
      <w:pPr>
        <w:ind w:left="553" w:hanging="343"/>
        <w:spacing w:after="0"/>
        <w:tabs>
          <w:tab w:leader="none" w:pos="553" w:val="left"/>
        </w:tabs>
        <w:numPr>
          <w:ilvl w:val="0"/>
          <w:numId w:val="1"/>
        </w:numPr>
        <w:rPr>
          <w:rFonts w:ascii="MS PGothic" w:cs="MS PGothic" w:eastAsia="MS PGothic" w:hAnsi="MS PGothic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Definitive Proxy Statement</w:t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ind w:left="553" w:hanging="343"/>
        <w:spacing w:after="0"/>
        <w:tabs>
          <w:tab w:leader="none" w:pos="553" w:val="left"/>
        </w:tabs>
        <w:numPr>
          <w:ilvl w:val="0"/>
          <w:numId w:val="2"/>
        </w:numPr>
        <w:rPr>
          <w:rFonts w:ascii="MS PGothic" w:cs="MS PGothic" w:eastAsia="MS PGothic" w:hAnsi="MS PGothic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Definitive Additional Materials</w:t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ind w:left="553" w:hanging="343"/>
        <w:spacing w:after="0"/>
        <w:tabs>
          <w:tab w:leader="none" w:pos="553" w:val="left"/>
        </w:tabs>
        <w:numPr>
          <w:ilvl w:val="0"/>
          <w:numId w:val="3"/>
        </w:numPr>
        <w:rPr>
          <w:rFonts w:ascii="MS PGothic" w:cs="MS PGothic" w:eastAsia="MS PGothic" w:hAnsi="MS PGothic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Soliciting Material Pursuant to §240.14a-12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jc w:val="center"/>
        <w:ind w:right="-115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AGNC Investment Corp.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ind w:left="363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(Name of Registrant as Specified in its Charter)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39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Payment of Filing Fee (Check the appropriate box):</w:t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ind w:left="393" w:hanging="393"/>
        <w:spacing w:after="0"/>
        <w:tabs>
          <w:tab w:leader="none" w:pos="393" w:val="left"/>
        </w:tabs>
        <w:numPr>
          <w:ilvl w:val="0"/>
          <w:numId w:val="4"/>
        </w:numPr>
        <w:rPr>
          <w:rFonts w:ascii="MS PGothic" w:cs="MS PGothic" w:eastAsia="MS PGothic" w:hAnsi="MS PGothic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No fee required</w:t>
      </w:r>
    </w:p>
    <w:p>
      <w:pPr>
        <w:spacing w:after="0" w:line="90" w:lineRule="exact"/>
        <w:rPr>
          <w:rFonts w:ascii="MS PGothic" w:cs="MS PGothic" w:eastAsia="MS PGothic" w:hAnsi="MS PGothic"/>
          <w:sz w:val="18"/>
          <w:szCs w:val="18"/>
          <w:color w:val="auto"/>
        </w:rPr>
      </w:pPr>
    </w:p>
    <w:p>
      <w:pPr>
        <w:ind w:left="393" w:hanging="379"/>
        <w:spacing w:after="0"/>
        <w:tabs>
          <w:tab w:leader="none" w:pos="393" w:val="left"/>
        </w:tabs>
        <w:numPr>
          <w:ilvl w:val="1"/>
          <w:numId w:val="4"/>
        </w:numPr>
        <w:rPr>
          <w:rFonts w:ascii="MS PGothic" w:cs="MS PGothic" w:eastAsia="MS PGothic" w:hAnsi="MS PGothic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Fee paid previously with preliminary materials</w:t>
      </w:r>
    </w:p>
    <w:p>
      <w:pPr>
        <w:spacing w:after="0" w:line="76" w:lineRule="exact"/>
        <w:rPr>
          <w:rFonts w:ascii="MS PGothic" w:cs="MS PGothic" w:eastAsia="MS PGothic" w:hAnsi="MS PGothic"/>
          <w:sz w:val="18"/>
          <w:szCs w:val="18"/>
          <w:color w:val="auto"/>
        </w:rPr>
      </w:pPr>
    </w:p>
    <w:p>
      <w:pPr>
        <w:ind w:left="393" w:hanging="379"/>
        <w:spacing w:after="0"/>
        <w:tabs>
          <w:tab w:leader="none" w:pos="393" w:val="left"/>
        </w:tabs>
        <w:numPr>
          <w:ilvl w:val="1"/>
          <w:numId w:val="4"/>
        </w:numPr>
        <w:rPr>
          <w:rFonts w:ascii="MS PGothic" w:cs="MS PGothic" w:eastAsia="MS PGothic" w:hAnsi="MS PGothic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Fee computed on table in exhibit required by Item 25(b) per Exchange Act Rules 14a-6(i)(1) and 0-11</w:t>
      </w:r>
    </w:p>
    <w:p>
      <w:pPr>
        <w:sectPr>
          <w:pgSz w:w="11900" w:h="16838" w:orient="portrait"/>
          <w:cols w:equalWidth="0" w:num="1">
            <w:col w:w="10172"/>
          </w:cols>
          <w:pgMar w:left="287" w:top="1440" w:right="1440" w:bottom="1440" w:gutter="0" w:footer="0" w:header="0"/>
        </w:sectPr>
      </w:pPr>
    </w:p>
    <w:bookmarkStart w:id="1" w:name="page2"/>
    <w:bookmarkEnd w:id="1"/>
    <w:p>
      <w:pPr>
        <w:spacing w:after="0"/>
        <w:tabs>
          <w:tab w:leader="none" w:pos="393" w:val="left"/>
        </w:tabs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1099820</wp:posOffset>
            </wp:positionH>
            <wp:positionV relativeFrom="page">
              <wp:posOffset>1203325</wp:posOffset>
            </wp:positionV>
            <wp:extent cx="5349240" cy="69176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691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tabs>
          <w:tab w:leader="none" w:pos="393" w:val="left"/>
        </w:tabs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1099820</wp:posOffset>
            </wp:positionH>
            <wp:positionV relativeFrom="page">
              <wp:posOffset>980440</wp:posOffset>
            </wp:positionV>
            <wp:extent cx="5349240" cy="69176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691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☐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☒"/>
      <w:numFmt w:val="bullet"/>
      <w:start w:val="1"/>
    </w:lvl>
  </w:abstractNum>
  <w:abstractNum w:abstractNumId="2">
    <w:nsid w:val="2AE8944A"/>
    <w:multiLevelType w:val="hybridMultilevel"/>
    <w:lvl w:ilvl="0">
      <w:lvlJc w:val="left"/>
      <w:lvlText w:val="☐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☒"/>
      <w:numFmt w:val="bullet"/>
      <w:start w:val="1"/>
    </w:lvl>
    <w:lvl w:ilvl="1">
      <w:lvlJc w:val="left"/>
      <w:lvlText w:val="☐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2023-03-10T15:12:34Z</dcterms:created>
  <dcterms:modified xsi:type="dcterms:W3CDTF">2023-03-10T15:12:34Z</dcterms:modified>
</cp:coreProperties>
</file>