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234950</wp:posOffset>
            </wp:positionH>
            <wp:positionV relativeFrom="page">
              <wp:posOffset>243205</wp:posOffset>
            </wp:positionV>
            <wp:extent cx="71005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057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82550</wp:posOffset>
            </wp:positionH>
            <wp:positionV relativeFrom="paragraph">
              <wp:posOffset>-220345</wp:posOffset>
            </wp:positionV>
            <wp:extent cx="71005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3440"/>
        <w:spacing w:after="0"/>
        <w:rPr>
          <w:sz w:val="20"/>
          <w:szCs w:val="20"/>
          <w:color w:val="auto"/>
        </w:rPr>
      </w:pPr>
      <w:r>
        <w:rPr>
          <w:rFonts w:ascii="Times New Roman" w:cs="Times New Roman" w:eastAsia="Times New Roman" w:hAnsi="Times New Roman"/>
          <w:sz w:val="18"/>
          <w:szCs w:val="18"/>
          <w:color w:val="auto"/>
        </w:rPr>
        <w:t>__________________________________________________</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color w:val="auto"/>
        </w:rPr>
        <w:t>__________________________________________________</w:t>
      </w:r>
    </w:p>
    <w:p>
      <w:pPr>
        <w:spacing w:after="0" w:line="138" w:lineRule="exact"/>
        <w:rPr>
          <w:sz w:val="24"/>
          <w:szCs w:val="24"/>
          <w:color w:val="auto"/>
        </w:rPr>
      </w:pPr>
    </w:p>
    <w:p>
      <w:pPr>
        <w:ind w:left="800" w:hanging="765"/>
        <w:spacing w:after="0"/>
        <w:tabs>
          <w:tab w:leader="none" w:pos="80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QUARTERLY REPORT PURSUANT TO SECTION 13 OR 15(D) OF THE SECURITIES EXCHANGE ACT OF</w:t>
      </w:r>
    </w:p>
    <w:p>
      <w:pPr>
        <w:spacing w:after="0" w:line="29" w:lineRule="exact"/>
        <w:rPr>
          <w:rFonts w:ascii="MS PGothic" w:cs="MS PGothic" w:eastAsia="MS PGothic" w:hAnsi="MS PGothic"/>
          <w:sz w:val="21"/>
          <w:szCs w:val="21"/>
          <w:color w:val="auto"/>
        </w:rPr>
      </w:pPr>
    </w:p>
    <w:p>
      <w:pPr>
        <w:ind w:left="5840"/>
        <w:spacing w:after="0"/>
        <w:rPr>
          <w:rFonts w:ascii="MS PGothic" w:cs="MS PGothic" w:eastAsia="MS PGothic" w:hAnsi="MS PGothic"/>
          <w:sz w:val="21"/>
          <w:szCs w:val="21"/>
          <w:color w:val="auto"/>
        </w:rPr>
      </w:pPr>
      <w:r>
        <w:rPr>
          <w:rFonts w:ascii="Times New Roman" w:cs="Times New Roman" w:eastAsia="Times New Roman" w:hAnsi="Times New Roman"/>
          <w:sz w:val="22"/>
          <w:szCs w:val="22"/>
          <w:b w:val="1"/>
          <w:bCs w:val="1"/>
          <w:color w:val="auto"/>
        </w:rPr>
        <w:t>1934</w:t>
      </w:r>
    </w:p>
    <w:p>
      <w:pPr>
        <w:spacing w:after="0" w:line="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For the quarterly period ended June 30, 2017</w:t>
      </w:r>
    </w:p>
    <w:p>
      <w:pPr>
        <w:spacing w:after="0" w:line="6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63" w:lineRule="exact"/>
        <w:rPr>
          <w:sz w:val="24"/>
          <w:szCs w:val="24"/>
          <w:color w:val="auto"/>
        </w:rPr>
      </w:pPr>
    </w:p>
    <w:p>
      <w:pPr>
        <w:ind w:left="780" w:hanging="745"/>
        <w:spacing w:after="0"/>
        <w:tabs>
          <w:tab w:leader="none" w:pos="78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w:t>
      </w:r>
    </w:p>
    <w:p>
      <w:pPr>
        <w:spacing w:after="0" w:line="29" w:lineRule="exact"/>
        <w:rPr>
          <w:rFonts w:ascii="MS PGothic" w:cs="MS PGothic" w:eastAsia="MS PGothic" w:hAnsi="MS PGothic"/>
          <w:sz w:val="21"/>
          <w:szCs w:val="21"/>
          <w:color w:val="auto"/>
        </w:rPr>
      </w:pPr>
    </w:p>
    <w:p>
      <w:pPr>
        <w:ind w:left="5840"/>
        <w:spacing w:after="0"/>
        <w:rPr>
          <w:rFonts w:ascii="MS PGothic" w:cs="MS PGothic" w:eastAsia="MS PGothic" w:hAnsi="MS PGothic"/>
          <w:sz w:val="21"/>
          <w:szCs w:val="21"/>
          <w:color w:val="auto"/>
        </w:rPr>
      </w:pPr>
      <w:r>
        <w:rPr>
          <w:rFonts w:ascii="Times New Roman" w:cs="Times New Roman" w:eastAsia="Times New Roman" w:hAnsi="Times New Roman"/>
          <w:sz w:val="22"/>
          <w:szCs w:val="22"/>
          <w:b w:val="1"/>
          <w:bCs w:val="1"/>
          <w:color w:val="auto"/>
        </w:rPr>
        <w:t>1934</w:t>
      </w:r>
    </w:p>
    <w:p>
      <w:pPr>
        <w:spacing w:after="0" w:line="1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Commission file number 001-34057</w:t>
      </w:r>
    </w:p>
    <w:p>
      <w:pPr>
        <w:spacing w:after="0" w:line="31"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color w:val="auto"/>
        </w:rPr>
        <w:t>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2406650</wp:posOffset>
            </wp:positionH>
            <wp:positionV relativeFrom="paragraph">
              <wp:posOffset>109855</wp:posOffset>
            </wp:positionV>
            <wp:extent cx="2452370" cy="7543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52370" cy="7543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AGNC INVESTMENT CORP.</w:t>
      </w:r>
    </w:p>
    <w:p>
      <w:pPr>
        <w:spacing w:after="0" w:line="5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9"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color w:val="auto"/>
        </w:rPr>
        <w:t>__________________________________________________</w:t>
      </w:r>
    </w:p>
    <w:p>
      <w:pPr>
        <w:sectPr>
          <w:pgSz w:w="11900" w:h="16838" w:orient="portrait"/>
          <w:cols w:equalWidth="0" w:num="1">
            <w:col w:w="11400"/>
          </w:cols>
          <w:pgMar w:left="240" w:top="497" w:right="259" w:bottom="1440" w:gutter="0" w:footer="0" w:header="0"/>
        </w:sectPr>
      </w:pPr>
    </w:p>
    <w:p>
      <w:pPr>
        <w:spacing w:after="0" w:line="151"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26-1701984</w:t>
      </w:r>
    </w:p>
    <w:p>
      <w:pPr>
        <w:spacing w:after="0" w:line="61" w:lineRule="exact"/>
        <w:rPr>
          <w:sz w:val="24"/>
          <w:szCs w:val="24"/>
          <w:color w:val="auto"/>
        </w:rPr>
      </w:pPr>
    </w:p>
    <w:p>
      <w:pPr>
        <w:sectPr>
          <w:pgSz w:w="11900" w:h="16838" w:orient="portrait"/>
          <w:cols w:equalWidth="0" w:num="2">
            <w:col w:w="7640" w:space="720"/>
            <w:col w:w="3040"/>
          </w:cols>
          <w:pgMar w:left="240" w:top="497" w:right="259" w:bottom="1440" w:gutter="0" w:footer="0" w:header="0"/>
          <w:type w:val="continuous"/>
        </w:sectPr>
      </w:pPr>
    </w:p>
    <w:p>
      <w:pPr>
        <w:ind w:left="18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6"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63" w:lineRule="exact"/>
        <w:rPr>
          <w:sz w:val="24"/>
          <w:szCs w:val="24"/>
          <w:color w:val="auto"/>
        </w:rPr>
      </w:pPr>
    </w:p>
    <w:p>
      <w:pPr>
        <w:sectPr>
          <w:pgSz w:w="11900" w:h="16838" w:orient="portrait"/>
          <w:cols w:equalWidth="0" w:num="2">
            <w:col w:w="7520" w:space="720"/>
            <w:col w:w="3160"/>
          </w:cols>
          <w:pgMar w:left="240" w:top="497" w:right="2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2 Bethesda Metro Center, 12th Floor</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Bethesda, Maryland 20814</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(301) 968-9315</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9"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color w:val="auto"/>
        </w:rPr>
        <w:t>__________________________________________________</w:t>
      </w:r>
    </w:p>
    <w:p>
      <w:pPr>
        <w:sectPr>
          <w:pgSz w:w="11900" w:h="16838" w:orient="portrait"/>
          <w:cols w:equalWidth="0" w:num="1">
            <w:col w:w="11400"/>
          </w:cols>
          <w:pgMar w:left="240" w:top="497" w:right="259" w:bottom="1440" w:gutter="0" w:footer="0" w:header="0"/>
          <w:type w:val="continuous"/>
        </w:sectPr>
      </w:pP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Indicate by check mark whether the registrant (1) has filed all reports to be filed by Section 13 or 15(d) of the Securities Exchange Act of 1934 during the</w:t>
      </w:r>
    </w:p>
    <w:p>
      <w:pPr>
        <w:spacing w:after="0" w:line="25" w:lineRule="exact"/>
        <w:rPr>
          <w:sz w:val="24"/>
          <w:szCs w:val="24"/>
          <w:color w:val="auto"/>
        </w:rPr>
      </w:pPr>
    </w:p>
    <w:p>
      <w:pPr>
        <w:spacing w:after="0" w:line="212" w:lineRule="exact"/>
        <w:rPr>
          <w:sz w:val="20"/>
          <w:szCs w:val="20"/>
          <w:color w:val="auto"/>
        </w:rPr>
      </w:pPr>
      <w:r>
        <w:rPr>
          <w:rFonts w:ascii="Times New Roman" w:cs="Times New Roman" w:eastAsia="Times New Roman" w:hAnsi="Times New Roman"/>
          <w:sz w:val="17"/>
          <w:szCs w:val="17"/>
          <w:color w:val="auto"/>
        </w:rPr>
        <w:t xml:space="preserve">preceding 12 months (or for such shorter earlier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8" w:lineRule="exact"/>
        <w:rPr>
          <w:sz w:val="24"/>
          <w:szCs w:val="24"/>
          <w:color w:val="auto"/>
        </w:rPr>
      </w:pPr>
    </w:p>
    <w:p>
      <w:pPr>
        <w:ind w:right="180" w:firstLine="432"/>
        <w:spacing w:after="0" w:line="21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7" w:lineRule="exact"/>
        <w:rPr>
          <w:sz w:val="24"/>
          <w:szCs w:val="24"/>
          <w:color w:val="auto"/>
        </w:rPr>
      </w:pPr>
    </w:p>
    <w:p>
      <w:pPr>
        <w:ind w:right="540" w:firstLine="432"/>
        <w:spacing w:after="0" w:line="281"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149" w:lineRule="exact"/>
        <w:rPr>
          <w:sz w:val="24"/>
          <w:szCs w:val="24"/>
          <w:color w:val="auto"/>
        </w:rPr>
      </w:pPr>
    </w:p>
    <w:tbl>
      <w:tblPr>
        <w:tblLayout w:type="fixed"/>
        <w:tblInd w:w="40" w:type="dxa"/>
        <w:tblCellMar>
          <w:top w:w="0" w:type="dxa"/>
          <w:left w:w="0" w:type="dxa"/>
          <w:bottom w:w="0" w:type="dxa"/>
          <w:right w:w="0" w:type="dxa"/>
        </w:tblCellMar>
      </w:tblPr>
      <w:tr>
        <w:trPr>
          <w:trHeight w:val="269"/>
        </w:trPr>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4620" w:type="dxa"/>
            <w:vAlign w:val="bottom"/>
          </w:tcPr>
          <w:p>
            <w:pPr>
              <w:ind w:left="400"/>
              <w:spacing w:after="0" w:line="171" w:lineRule="exact"/>
              <w:rPr>
                <w:sz w:val="20"/>
                <w:szCs w:val="20"/>
                <w:color w:val="auto"/>
              </w:rPr>
            </w:pPr>
            <w:r>
              <w:rPr>
                <w:rFonts w:ascii="MS PGothic" w:cs="MS PGothic" w:eastAsia="MS PGothic" w:hAnsi="MS PGothic"/>
                <w:sz w:val="17"/>
                <w:szCs w:val="17"/>
                <w:color w:val="auto"/>
              </w:rPr>
              <w:t>☒</w:t>
            </w:r>
          </w:p>
        </w:tc>
        <w:tc>
          <w:tcPr>
            <w:tcW w:w="332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Accelerated filer</w:t>
            </w:r>
          </w:p>
        </w:tc>
        <w:tc>
          <w:tcPr>
            <w:tcW w:w="780" w:type="dxa"/>
            <w:vAlign w:val="bottom"/>
          </w:tcPr>
          <w:p>
            <w:pPr>
              <w:ind w:left="64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446"/>
        </w:trPr>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4620" w:type="dxa"/>
            <w:vAlign w:val="bottom"/>
          </w:tcPr>
          <w:p>
            <w:pPr>
              <w:ind w:left="40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(Do not check if a smaller reporting company)</w:t>
            </w:r>
          </w:p>
        </w:tc>
        <w:tc>
          <w:tcPr>
            <w:tcW w:w="332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780" w:type="dxa"/>
            <w:vAlign w:val="bottom"/>
          </w:tcPr>
          <w:p>
            <w:pPr>
              <w:ind w:left="64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446"/>
        </w:trPr>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Emerging growth company</w:t>
            </w:r>
          </w:p>
        </w:tc>
        <w:tc>
          <w:tcPr>
            <w:tcW w:w="4620" w:type="dxa"/>
            <w:vAlign w:val="bottom"/>
          </w:tcPr>
          <w:p>
            <w:pPr>
              <w:ind w:left="400"/>
              <w:spacing w:after="0" w:line="171" w:lineRule="exact"/>
              <w:rPr>
                <w:sz w:val="20"/>
                <w:szCs w:val="20"/>
                <w:color w:val="auto"/>
              </w:rPr>
            </w:pPr>
            <w:r>
              <w:rPr>
                <w:rFonts w:ascii="MS PGothic" w:cs="MS PGothic" w:eastAsia="MS PGothic" w:hAnsi="MS PGothic"/>
                <w:sz w:val="17"/>
                <w:szCs w:val="17"/>
                <w:color w:val="auto"/>
              </w:rPr>
              <w:t>☐</w:t>
            </w:r>
          </w:p>
        </w:tc>
        <w:tc>
          <w:tcPr>
            <w:tcW w:w="33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43" w:lineRule="exact"/>
        <w:rPr>
          <w:sz w:val="24"/>
          <w:szCs w:val="24"/>
          <w:color w:val="auto"/>
        </w:rPr>
      </w:pPr>
    </w:p>
    <w:p>
      <w:pPr>
        <w:ind w:right="520" w:firstLine="432"/>
        <w:spacing w:after="0" w:line="221"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ind w:left="340" w:right="1920" w:firstLine="108"/>
        <w:spacing w:after="0" w:line="22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The number of shares of the issuer's common stock, $0.01 par value, outstanding as of July 31, 2017 was 355,550,574.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82550</wp:posOffset>
            </wp:positionH>
            <wp:positionV relativeFrom="paragraph">
              <wp:posOffset>173355</wp:posOffset>
            </wp:positionV>
            <wp:extent cx="71005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0570" cy="88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87630</wp:posOffset>
            </wp:positionV>
            <wp:extent cx="71005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ectPr>
          <w:pgSz w:w="11900" w:h="16838" w:orient="portrait"/>
          <w:cols w:equalWidth="0" w:num="1">
            <w:col w:w="11400"/>
          </w:cols>
          <w:pgMar w:left="240" w:top="497" w:right="259" w:bottom="1440" w:gutter="0" w:footer="0" w:header="0"/>
          <w:type w:val="continuous"/>
        </w:sectPr>
      </w:pPr>
    </w:p>
    <w:bookmarkStart w:id="1" w:name="page2"/>
    <w:bookmarkEnd w:id="1"/>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90"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40" w:type="dxa"/>
            <w:vAlign w:val="bottom"/>
            <w:gridSpan w:val="6"/>
          </w:tcPr>
          <w:p>
            <w:pPr>
              <w:spacing w:after="0"/>
              <w:rPr>
                <w:rFonts w:ascii="Times New Roman" w:cs="Times New Roman" w:eastAsia="Times New Roman" w:hAnsi="Times New Roman"/>
                <w:sz w:val="16"/>
                <w:szCs w:val="16"/>
                <w:b w:val="1"/>
                <w:bCs w:val="1"/>
                <w:color w:val="0000EE"/>
              </w:rPr>
            </w:pPr>
            <w:hyperlink w:anchor="page3">
              <w:r>
                <w:rPr>
                  <w:rFonts w:ascii="Times New Roman" w:cs="Times New Roman" w:eastAsia="Times New Roman" w:hAnsi="Times New Roman"/>
                  <w:sz w:val="16"/>
                  <w:szCs w:val="16"/>
                  <w:b w:val="1"/>
                  <w:bCs w:val="1"/>
                  <w:color w:val="0000EE"/>
                </w:rPr>
                <w:t>PART I.</w:t>
              </w:r>
            </w:hyperlink>
          </w:p>
        </w:tc>
        <w:tc>
          <w:tcPr>
            <w:tcW w:w="7660" w:type="dxa"/>
            <w:vAlign w:val="bottom"/>
            <w:gridSpan w:val="13"/>
          </w:tcPr>
          <w:p>
            <w:pPr>
              <w:spacing w:after="0"/>
              <w:rPr>
                <w:rFonts w:ascii="Times New Roman" w:cs="Times New Roman" w:eastAsia="Times New Roman" w:hAnsi="Times New Roman"/>
                <w:sz w:val="16"/>
                <w:szCs w:val="16"/>
                <w:b w:val="1"/>
                <w:bCs w:val="1"/>
                <w:color w:val="0000EE"/>
              </w:rPr>
            </w:pPr>
            <w:hyperlink w:anchor="page3">
              <w:r>
                <w:rPr>
                  <w:rFonts w:ascii="Times New Roman" w:cs="Times New Roman" w:eastAsia="Times New Roman" w:hAnsi="Times New Roman"/>
                  <w:sz w:val="16"/>
                  <w:szCs w:val="16"/>
                  <w:b w:val="1"/>
                  <w:bCs w:val="1"/>
                  <w:color w:val="0000EE"/>
                </w:rPr>
                <w:t>FINANCIAL INFORMATION</w:t>
              </w:r>
            </w:hyperlink>
          </w:p>
        </w:tc>
        <w:tc>
          <w:tcPr>
            <w:tcW w:w="1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561"/>
        </w:trPr>
        <w:tc>
          <w:tcPr>
            <w:tcW w:w="460" w:type="dxa"/>
            <w:vAlign w:val="bottom"/>
            <w:tcBorders>
              <w:top w:val="single" w:sz="8" w:color="0000EE"/>
            </w:tcBorders>
          </w:tcPr>
          <w:p>
            <w:pPr>
              <w:spacing w:after="0"/>
              <w:rPr>
                <w:rFonts w:ascii="Times New Roman" w:cs="Times New Roman" w:eastAsia="Times New Roman" w:hAnsi="Times New Roman"/>
                <w:sz w:val="16"/>
                <w:szCs w:val="16"/>
                <w:color w:val="0000EE"/>
                <w:w w:val="92"/>
              </w:rPr>
            </w:pPr>
            <w:hyperlink w:anchor="page3">
              <w:r>
                <w:rPr>
                  <w:rFonts w:ascii="Times New Roman" w:cs="Times New Roman" w:eastAsia="Times New Roman" w:hAnsi="Times New Roman"/>
                  <w:sz w:val="16"/>
                  <w:szCs w:val="16"/>
                  <w:color w:val="0000EE"/>
                  <w:w w:val="92"/>
                </w:rPr>
                <w:t>Item 1.</w:t>
              </w:r>
            </w:hyperlink>
          </w:p>
        </w:tc>
        <w:tc>
          <w:tcPr>
            <w:tcW w:w="100" w:type="dxa"/>
            <w:vAlign w:val="bottom"/>
            <w:tcBorders>
              <w:top w:val="single" w:sz="8" w:color="0000EE"/>
            </w:tcBorders>
          </w:tcPr>
          <w:p>
            <w:pPr>
              <w:spacing w:after="0"/>
              <w:rPr>
                <w:sz w:val="24"/>
                <w:szCs w:val="24"/>
                <w:color w:val="auto"/>
              </w:rPr>
            </w:pPr>
          </w:p>
        </w:tc>
        <w:tc>
          <w:tcPr>
            <w:tcW w:w="480" w:type="dxa"/>
            <w:vAlign w:val="bottom"/>
            <w:gridSpan w:val="4"/>
          </w:tcPr>
          <w:p>
            <w:pPr>
              <w:spacing w:after="0"/>
              <w:rPr>
                <w:sz w:val="24"/>
                <w:szCs w:val="24"/>
                <w:color w:val="auto"/>
              </w:rPr>
            </w:pPr>
          </w:p>
        </w:tc>
        <w:tc>
          <w:tcPr>
            <w:tcW w:w="2140" w:type="dxa"/>
            <w:vAlign w:val="bottom"/>
            <w:tcBorders>
              <w:top w:val="single" w:sz="8" w:color="0000EE"/>
            </w:tcBorders>
            <w:gridSpan w:val="9"/>
          </w:tcPr>
          <w:p>
            <w:pPr>
              <w:spacing w:after="0"/>
              <w:rPr>
                <w:rFonts w:ascii="Times New Roman" w:cs="Times New Roman" w:eastAsia="Times New Roman" w:hAnsi="Times New Roman"/>
                <w:sz w:val="16"/>
                <w:szCs w:val="16"/>
                <w:color w:val="0000EE"/>
              </w:rPr>
            </w:pPr>
            <w:hyperlink w:anchor="page3">
              <w:r>
                <w:rPr>
                  <w:rFonts w:ascii="Times New Roman" w:cs="Times New Roman" w:eastAsia="Times New Roman" w:hAnsi="Times New Roman"/>
                  <w:sz w:val="16"/>
                  <w:szCs w:val="16"/>
                  <w:color w:val="0000EE"/>
                </w:rPr>
                <w:t>Financial Statements</w:t>
              </w:r>
            </w:hyperlink>
          </w:p>
        </w:tc>
        <w:tc>
          <w:tcPr>
            <w:tcW w:w="5520" w:type="dxa"/>
            <w:vAlign w:val="bottom"/>
            <w:gridSpan w:val="4"/>
          </w:tcPr>
          <w:p>
            <w:pPr>
              <w:spacing w:after="0"/>
              <w:rPr>
                <w:sz w:val="24"/>
                <w:szCs w:val="24"/>
                <w:color w:val="auto"/>
              </w:rPr>
            </w:pPr>
          </w:p>
        </w:tc>
        <w:tc>
          <w:tcPr>
            <w:tcW w:w="2020" w:type="dxa"/>
            <w:vAlign w:val="bottom"/>
            <w:gridSpan w:val="3"/>
          </w:tcPr>
          <w:p>
            <w:pPr>
              <w:jc w:val="center"/>
              <w:ind w:left="1777"/>
              <w:spacing w:after="0"/>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2</w:t>
              </w:r>
            </w:hyperlink>
          </w:p>
        </w:tc>
      </w:tr>
      <w:tr>
        <w:trPr>
          <w:trHeight w:val="20"/>
        </w:trPr>
        <w:tc>
          <w:tcPr>
            <w:tcW w:w="4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60" w:type="dxa"/>
            <w:vAlign w:val="bottom"/>
            <w:tcBorders>
              <w:bottom w:val="single" w:sz="8" w:color="0000EE"/>
            </w:tcBorders>
          </w:tcPr>
          <w:p>
            <w:pPr>
              <w:spacing w:after="0"/>
              <w:rPr>
                <w:rFonts w:ascii="Times New Roman" w:cs="Times New Roman" w:eastAsia="Times New Roman" w:hAnsi="Times New Roman"/>
                <w:sz w:val="16"/>
                <w:szCs w:val="16"/>
                <w:color w:val="0000EE"/>
                <w:w w:val="92"/>
              </w:rPr>
            </w:pPr>
            <w:hyperlink w:anchor="page29">
              <w:r>
                <w:rPr>
                  <w:rFonts w:ascii="Times New Roman" w:cs="Times New Roman" w:eastAsia="Times New Roman" w:hAnsi="Times New Roman"/>
                  <w:sz w:val="16"/>
                  <w:szCs w:val="16"/>
                  <w:color w:val="0000EE"/>
                  <w:w w:val="92"/>
                </w:rPr>
                <w:t>Item 2.</w:t>
              </w:r>
            </w:hyperlink>
          </w:p>
        </w:tc>
        <w:tc>
          <w:tcPr>
            <w:tcW w:w="580" w:type="dxa"/>
            <w:vAlign w:val="bottom"/>
            <w:gridSpan w:val="5"/>
          </w:tcPr>
          <w:p>
            <w:pPr>
              <w:spacing w:after="0"/>
              <w:rPr>
                <w:sz w:val="20"/>
                <w:szCs w:val="20"/>
                <w:color w:val="auto"/>
              </w:rPr>
            </w:pPr>
          </w:p>
        </w:tc>
        <w:tc>
          <w:tcPr>
            <w:tcW w:w="5800" w:type="dxa"/>
            <w:vAlign w:val="bottom"/>
            <w:tcBorders>
              <w:bottom w:val="single" w:sz="8" w:color="0000EE"/>
            </w:tcBorders>
            <w:gridSpan w:val="12"/>
          </w:tcPr>
          <w:p>
            <w:pPr>
              <w:spacing w:after="0"/>
              <w:rPr>
                <w:rFonts w:ascii="Times New Roman" w:cs="Times New Roman" w:eastAsia="Times New Roman" w:hAnsi="Times New Roman"/>
                <w:sz w:val="16"/>
                <w:szCs w:val="16"/>
                <w:color w:val="0000EE"/>
              </w:rPr>
            </w:pPr>
            <w:hyperlink w:anchor="page29">
              <w:r>
                <w:rPr>
                  <w:rFonts w:ascii="Times New Roman" w:cs="Times New Roman" w:eastAsia="Times New Roman" w:hAnsi="Times New Roman"/>
                  <w:sz w:val="16"/>
                  <w:szCs w:val="16"/>
                  <w:color w:val="0000EE"/>
                </w:rPr>
                <w:t>Management's Discussion and Analysis of Financial Condition and Results of Operations</w:t>
              </w:r>
            </w:hyperlink>
          </w:p>
        </w:tc>
        <w:tc>
          <w:tcPr>
            <w:tcW w:w="18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Borders>
              <w:bottom w:val="single" w:sz="8" w:color="0000EE"/>
            </w:tcBorders>
            <w:gridSpan w:val="2"/>
          </w:tcPr>
          <w:p>
            <w:pPr>
              <w:jc w:val="center"/>
              <w:spacing w:after="0"/>
              <w:rPr>
                <w:rFonts w:ascii="Times New Roman" w:cs="Times New Roman" w:eastAsia="Times New Roman" w:hAnsi="Times New Roman"/>
                <w:sz w:val="16"/>
                <w:szCs w:val="16"/>
                <w:color w:val="0000EE"/>
                <w:w w:val="74"/>
              </w:rPr>
            </w:pPr>
            <w:hyperlink w:anchor="page29">
              <w:r>
                <w:rPr>
                  <w:rFonts w:ascii="Times New Roman" w:cs="Times New Roman" w:eastAsia="Times New Roman" w:hAnsi="Times New Roman"/>
                  <w:sz w:val="16"/>
                  <w:szCs w:val="16"/>
                  <w:color w:val="0000EE"/>
                  <w:w w:val="74"/>
                </w:rPr>
                <w:t>28</w:t>
              </w:r>
            </w:hyperlink>
          </w:p>
        </w:tc>
      </w:tr>
      <w:tr>
        <w:trPr>
          <w:trHeight w:val="237"/>
        </w:trPr>
        <w:tc>
          <w:tcPr>
            <w:tcW w:w="460" w:type="dxa"/>
            <w:vAlign w:val="bottom"/>
            <w:tcBorders>
              <w:bottom w:val="single" w:sz="8" w:color="0000EE"/>
            </w:tcBorders>
          </w:tcPr>
          <w:p>
            <w:pPr>
              <w:spacing w:after="0"/>
              <w:rPr>
                <w:rFonts w:ascii="Times New Roman" w:cs="Times New Roman" w:eastAsia="Times New Roman" w:hAnsi="Times New Roman"/>
                <w:sz w:val="16"/>
                <w:szCs w:val="16"/>
                <w:color w:val="0000EE"/>
                <w:w w:val="92"/>
              </w:rPr>
            </w:pPr>
            <w:hyperlink w:anchor="page54">
              <w:r>
                <w:rPr>
                  <w:rFonts w:ascii="Times New Roman" w:cs="Times New Roman" w:eastAsia="Times New Roman" w:hAnsi="Times New Roman"/>
                  <w:sz w:val="16"/>
                  <w:szCs w:val="16"/>
                  <w:color w:val="0000EE"/>
                  <w:w w:val="92"/>
                </w:rPr>
                <w:t>Item 3.</w:t>
              </w:r>
            </w:hyperlink>
          </w:p>
        </w:tc>
        <w:tc>
          <w:tcPr>
            <w:tcW w:w="580" w:type="dxa"/>
            <w:vAlign w:val="bottom"/>
            <w:gridSpan w:val="5"/>
          </w:tcPr>
          <w:p>
            <w:pPr>
              <w:spacing w:after="0"/>
              <w:rPr>
                <w:sz w:val="20"/>
                <w:szCs w:val="20"/>
                <w:color w:val="auto"/>
              </w:rPr>
            </w:pPr>
          </w:p>
        </w:tc>
        <w:tc>
          <w:tcPr>
            <w:tcW w:w="3940" w:type="dxa"/>
            <w:vAlign w:val="bottom"/>
            <w:tcBorders>
              <w:bottom w:val="single" w:sz="8" w:color="0000EE"/>
            </w:tcBorders>
            <w:gridSpan w:val="11"/>
          </w:tcPr>
          <w:p>
            <w:pPr>
              <w:spacing w:after="0"/>
              <w:rPr>
                <w:rFonts w:ascii="Times New Roman" w:cs="Times New Roman" w:eastAsia="Times New Roman" w:hAnsi="Times New Roman"/>
                <w:sz w:val="16"/>
                <w:szCs w:val="16"/>
                <w:color w:val="0000EE"/>
              </w:rPr>
            </w:pPr>
            <w:hyperlink w:anchor="page50">
              <w:r>
                <w:rPr>
                  <w:rFonts w:ascii="Times New Roman" w:cs="Times New Roman" w:eastAsia="Times New Roman" w:hAnsi="Times New Roman"/>
                  <w:sz w:val="16"/>
                  <w:szCs w:val="16"/>
                  <w:color w:val="0000EE"/>
                </w:rPr>
                <w:t>Quantitative and Qualitative Disclosures About Market Risk</w:t>
              </w:r>
            </w:hyperlink>
          </w:p>
        </w:tc>
        <w:tc>
          <w:tcPr>
            <w:tcW w:w="3720" w:type="dxa"/>
            <w:vAlign w:val="bottom"/>
            <w:gridSpan w:val="2"/>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Borders>
              <w:bottom w:val="single" w:sz="8" w:color="0000EE"/>
            </w:tcBorders>
            <w:gridSpan w:val="2"/>
          </w:tcPr>
          <w:p>
            <w:pPr>
              <w:jc w:val="center"/>
              <w:spacing w:after="0"/>
              <w:rPr>
                <w:rFonts w:ascii="Times New Roman" w:cs="Times New Roman" w:eastAsia="Times New Roman" w:hAnsi="Times New Roman"/>
                <w:sz w:val="16"/>
                <w:szCs w:val="16"/>
                <w:color w:val="0000EE"/>
                <w:w w:val="74"/>
              </w:rPr>
            </w:pPr>
            <w:hyperlink w:anchor="page50">
              <w:r>
                <w:rPr>
                  <w:rFonts w:ascii="Times New Roman" w:cs="Times New Roman" w:eastAsia="Times New Roman" w:hAnsi="Times New Roman"/>
                  <w:sz w:val="16"/>
                  <w:szCs w:val="16"/>
                  <w:color w:val="0000EE"/>
                  <w:w w:val="74"/>
                </w:rPr>
                <w:t>49</w:t>
              </w:r>
            </w:hyperlink>
          </w:p>
        </w:tc>
      </w:tr>
      <w:tr>
        <w:trPr>
          <w:trHeight w:val="237"/>
        </w:trPr>
        <w:tc>
          <w:tcPr>
            <w:tcW w:w="460" w:type="dxa"/>
            <w:vAlign w:val="bottom"/>
          </w:tcPr>
          <w:p>
            <w:pPr>
              <w:spacing w:after="0"/>
              <w:rPr>
                <w:rFonts w:ascii="Times New Roman" w:cs="Times New Roman" w:eastAsia="Times New Roman" w:hAnsi="Times New Roman"/>
                <w:sz w:val="16"/>
                <w:szCs w:val="16"/>
                <w:color w:val="0000EE"/>
                <w:w w:val="92"/>
              </w:rPr>
            </w:pPr>
            <w:hyperlink w:anchor="page54">
              <w:r>
                <w:rPr>
                  <w:rFonts w:ascii="Times New Roman" w:cs="Times New Roman" w:eastAsia="Times New Roman" w:hAnsi="Times New Roman"/>
                  <w:sz w:val="16"/>
                  <w:szCs w:val="16"/>
                  <w:color w:val="0000EE"/>
                  <w:w w:val="92"/>
                </w:rPr>
                <w:t>Item 4.</w:t>
              </w:r>
            </w:hyperlink>
          </w:p>
        </w:tc>
        <w:tc>
          <w:tcPr>
            <w:tcW w:w="580" w:type="dxa"/>
            <w:vAlign w:val="bottom"/>
            <w:gridSpan w:val="5"/>
          </w:tcPr>
          <w:p>
            <w:pPr>
              <w:spacing w:after="0"/>
              <w:rPr>
                <w:sz w:val="20"/>
                <w:szCs w:val="20"/>
                <w:color w:val="auto"/>
              </w:rPr>
            </w:pPr>
          </w:p>
        </w:tc>
        <w:tc>
          <w:tcPr>
            <w:tcW w:w="7660" w:type="dxa"/>
            <w:vAlign w:val="bottom"/>
            <w:gridSpan w:val="13"/>
          </w:tcPr>
          <w:p>
            <w:pPr>
              <w:spacing w:after="0"/>
              <w:rPr>
                <w:rFonts w:ascii="Times New Roman" w:cs="Times New Roman" w:eastAsia="Times New Roman" w:hAnsi="Times New Roman"/>
                <w:sz w:val="16"/>
                <w:szCs w:val="16"/>
                <w:color w:val="0000EE"/>
              </w:rPr>
            </w:pPr>
            <w:hyperlink w:anchor="page54">
              <w:r>
                <w:rPr>
                  <w:rFonts w:ascii="Times New Roman" w:cs="Times New Roman" w:eastAsia="Times New Roman" w:hAnsi="Times New Roman"/>
                  <w:sz w:val="16"/>
                  <w:szCs w:val="16"/>
                  <w:color w:val="0000EE"/>
                </w:rPr>
                <w:t>Controls and Procedures</w:t>
              </w:r>
            </w:hyperlink>
          </w:p>
        </w:tc>
        <w:tc>
          <w:tcPr>
            <w:tcW w:w="2020" w:type="dxa"/>
            <w:vAlign w:val="bottom"/>
            <w:gridSpan w:val="3"/>
          </w:tcPr>
          <w:p>
            <w:pPr>
              <w:jc w:val="center"/>
              <w:ind w:left="1777"/>
              <w:spacing w:after="0"/>
              <w:rPr>
                <w:rFonts w:ascii="Times New Roman" w:cs="Times New Roman" w:eastAsia="Times New Roman" w:hAnsi="Times New Roman"/>
                <w:sz w:val="16"/>
                <w:szCs w:val="16"/>
                <w:color w:val="0000EE"/>
                <w:w w:val="99"/>
              </w:rPr>
            </w:pPr>
            <w:hyperlink w:anchor="page54">
              <w:r>
                <w:rPr>
                  <w:rFonts w:ascii="Times New Roman" w:cs="Times New Roman" w:eastAsia="Times New Roman" w:hAnsi="Times New Roman"/>
                  <w:sz w:val="16"/>
                  <w:szCs w:val="16"/>
                  <w:color w:val="0000EE"/>
                  <w:w w:val="99"/>
                </w:rPr>
                <w:t>53</w:t>
              </w:r>
            </w:hyperlink>
          </w:p>
        </w:tc>
      </w:tr>
      <w:tr>
        <w:trPr>
          <w:trHeight w:val="20"/>
        </w:trPr>
        <w:tc>
          <w:tcPr>
            <w:tcW w:w="4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19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r>
        <w:trPr>
          <w:trHeight w:val="547"/>
        </w:trPr>
        <w:tc>
          <w:tcPr>
            <w:tcW w:w="1040" w:type="dxa"/>
            <w:vAlign w:val="bottom"/>
            <w:gridSpan w:val="6"/>
          </w:tcPr>
          <w:p>
            <w:pPr>
              <w:spacing w:after="0"/>
              <w:rPr>
                <w:rFonts w:ascii="Times New Roman" w:cs="Times New Roman" w:eastAsia="Times New Roman" w:hAnsi="Times New Roman"/>
                <w:sz w:val="16"/>
                <w:szCs w:val="16"/>
                <w:b w:val="1"/>
                <w:bCs w:val="1"/>
                <w:color w:val="0000EE"/>
              </w:rPr>
            </w:pPr>
            <w:hyperlink w:anchor="page54">
              <w:r>
                <w:rPr>
                  <w:rFonts w:ascii="Times New Roman" w:cs="Times New Roman" w:eastAsia="Times New Roman" w:hAnsi="Times New Roman"/>
                  <w:sz w:val="16"/>
                  <w:szCs w:val="16"/>
                  <w:b w:val="1"/>
                  <w:bCs w:val="1"/>
                  <w:color w:val="0000EE"/>
                </w:rPr>
                <w:t>PART II.</w:t>
              </w:r>
            </w:hyperlink>
          </w:p>
        </w:tc>
        <w:tc>
          <w:tcPr>
            <w:tcW w:w="7660" w:type="dxa"/>
            <w:vAlign w:val="bottom"/>
            <w:gridSpan w:val="13"/>
          </w:tcPr>
          <w:p>
            <w:pPr>
              <w:spacing w:after="0"/>
              <w:rPr>
                <w:rFonts w:ascii="Times New Roman" w:cs="Times New Roman" w:eastAsia="Times New Roman" w:hAnsi="Times New Roman"/>
                <w:sz w:val="16"/>
                <w:szCs w:val="16"/>
                <w:b w:val="1"/>
                <w:bCs w:val="1"/>
                <w:color w:val="0000EE"/>
              </w:rPr>
            </w:pPr>
            <w:hyperlink w:anchor="page54">
              <w:r>
                <w:rPr>
                  <w:rFonts w:ascii="Times New Roman" w:cs="Times New Roman" w:eastAsia="Times New Roman" w:hAnsi="Times New Roman"/>
                  <w:sz w:val="16"/>
                  <w:szCs w:val="16"/>
                  <w:b w:val="1"/>
                  <w:bCs w:val="1"/>
                  <w:color w:val="0000EE"/>
                </w:rPr>
                <w:t>OTHER INFORMATION</w:t>
              </w:r>
            </w:hyperlink>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96"/>
        </w:trPr>
        <w:tc>
          <w:tcPr>
            <w:tcW w:w="460" w:type="dxa"/>
            <w:vAlign w:val="bottom"/>
            <w:tcBorders>
              <w:top w:val="single" w:sz="8" w:color="0000EE"/>
              <w:bottom w:val="single" w:sz="8" w:color="0000EE"/>
            </w:tcBorders>
          </w:tcPr>
          <w:p>
            <w:pPr>
              <w:spacing w:after="0"/>
              <w:rPr>
                <w:rFonts w:ascii="Times New Roman" w:cs="Times New Roman" w:eastAsia="Times New Roman" w:hAnsi="Times New Roman"/>
                <w:sz w:val="16"/>
                <w:szCs w:val="16"/>
                <w:color w:val="0000EE"/>
                <w:w w:val="92"/>
              </w:rPr>
            </w:pPr>
            <w:hyperlink w:anchor="page54">
              <w:r>
                <w:rPr>
                  <w:rFonts w:ascii="Times New Roman" w:cs="Times New Roman" w:eastAsia="Times New Roman" w:hAnsi="Times New Roman"/>
                  <w:sz w:val="16"/>
                  <w:szCs w:val="16"/>
                  <w:color w:val="0000EE"/>
                  <w:w w:val="92"/>
                </w:rPr>
                <w:t>Item 1.</w:t>
              </w:r>
            </w:hyperlink>
          </w:p>
        </w:tc>
        <w:tc>
          <w:tcPr>
            <w:tcW w:w="160" w:type="dxa"/>
            <w:vAlign w:val="bottom"/>
            <w:tcBorders>
              <w:top w:val="single" w:sz="8" w:color="0000EE"/>
            </w:tcBorders>
            <w:gridSpan w:val="3"/>
          </w:tcPr>
          <w:p>
            <w:pPr>
              <w:spacing w:after="0"/>
              <w:rPr>
                <w:sz w:val="24"/>
                <w:szCs w:val="24"/>
                <w:color w:val="auto"/>
              </w:rPr>
            </w:pPr>
          </w:p>
        </w:tc>
        <w:tc>
          <w:tcPr>
            <w:tcW w:w="420" w:type="dxa"/>
            <w:vAlign w:val="bottom"/>
            <w:gridSpan w:val="2"/>
          </w:tcPr>
          <w:p>
            <w:pPr>
              <w:spacing w:after="0"/>
              <w:rPr>
                <w:sz w:val="24"/>
                <w:szCs w:val="24"/>
                <w:color w:val="auto"/>
              </w:rPr>
            </w:pPr>
          </w:p>
        </w:tc>
        <w:tc>
          <w:tcPr>
            <w:tcW w:w="120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6"/>
                <w:szCs w:val="16"/>
                <w:color w:val="0000EE"/>
                <w:w w:val="99"/>
              </w:rPr>
            </w:pPr>
            <w:hyperlink w:anchor="page54">
              <w:r>
                <w:rPr>
                  <w:rFonts w:ascii="Times New Roman" w:cs="Times New Roman" w:eastAsia="Times New Roman" w:hAnsi="Times New Roman"/>
                  <w:sz w:val="16"/>
                  <w:szCs w:val="16"/>
                  <w:color w:val="0000EE"/>
                  <w:w w:val="99"/>
                </w:rPr>
                <w:t>Legal Proceedings</w:t>
              </w:r>
            </w:hyperlink>
          </w:p>
        </w:tc>
        <w:tc>
          <w:tcPr>
            <w:tcW w:w="620" w:type="dxa"/>
            <w:vAlign w:val="bottom"/>
            <w:tcBorders>
              <w:top w:val="single" w:sz="8" w:color="0000EE"/>
            </w:tcBorders>
            <w:gridSpan w:val="3"/>
          </w:tcPr>
          <w:p>
            <w:pPr>
              <w:spacing w:after="0"/>
              <w:rPr>
                <w:sz w:val="24"/>
                <w:szCs w:val="24"/>
                <w:color w:val="auto"/>
              </w:rPr>
            </w:pPr>
          </w:p>
        </w:tc>
        <w:tc>
          <w:tcPr>
            <w:tcW w:w="5840" w:type="dxa"/>
            <w:vAlign w:val="bottom"/>
            <w:gridSpan w:val="6"/>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Borders>
              <w:bottom w:val="single" w:sz="8" w:color="0000EE"/>
            </w:tcBorders>
            <w:gridSpan w:val="2"/>
          </w:tcPr>
          <w:p>
            <w:pPr>
              <w:jc w:val="center"/>
              <w:spacing w:after="0"/>
              <w:rPr>
                <w:rFonts w:ascii="Times New Roman" w:cs="Times New Roman" w:eastAsia="Times New Roman" w:hAnsi="Times New Roman"/>
                <w:sz w:val="16"/>
                <w:szCs w:val="16"/>
                <w:color w:val="0000EE"/>
                <w:w w:val="74"/>
              </w:rPr>
            </w:pPr>
            <w:hyperlink w:anchor="page54">
              <w:r>
                <w:rPr>
                  <w:rFonts w:ascii="Times New Roman" w:cs="Times New Roman" w:eastAsia="Times New Roman" w:hAnsi="Times New Roman"/>
                  <w:sz w:val="16"/>
                  <w:szCs w:val="16"/>
                  <w:color w:val="0000EE"/>
                  <w:w w:val="74"/>
                </w:rPr>
                <w:t>53</w:t>
              </w:r>
            </w:hyperlink>
          </w:p>
        </w:tc>
      </w:tr>
      <w:tr>
        <w:trPr>
          <w:trHeight w:val="237"/>
        </w:trPr>
        <w:tc>
          <w:tcPr>
            <w:tcW w:w="580" w:type="dxa"/>
            <w:vAlign w:val="bottom"/>
            <w:gridSpan w:val="3"/>
          </w:tcPr>
          <w:p>
            <w:pPr>
              <w:spacing w:after="0"/>
              <w:rPr>
                <w:rFonts w:ascii="Times New Roman" w:cs="Times New Roman" w:eastAsia="Times New Roman" w:hAnsi="Times New Roman"/>
                <w:sz w:val="16"/>
                <w:szCs w:val="16"/>
                <w:color w:val="0000EE"/>
                <w:w w:val="98"/>
              </w:rPr>
            </w:pPr>
            <w:hyperlink w:anchor="page54">
              <w:r>
                <w:rPr>
                  <w:rFonts w:ascii="Times New Roman" w:cs="Times New Roman" w:eastAsia="Times New Roman" w:hAnsi="Times New Roman"/>
                  <w:sz w:val="16"/>
                  <w:szCs w:val="16"/>
                  <w:color w:val="0000EE"/>
                  <w:w w:val="98"/>
                </w:rPr>
                <w:t>Item 1A.</w:t>
              </w:r>
            </w:hyperlink>
          </w:p>
        </w:tc>
        <w:tc>
          <w:tcPr>
            <w:tcW w:w="460" w:type="dxa"/>
            <w:vAlign w:val="bottom"/>
            <w:gridSpan w:val="3"/>
          </w:tcPr>
          <w:p>
            <w:pPr>
              <w:spacing w:after="0"/>
              <w:rPr>
                <w:sz w:val="20"/>
                <w:szCs w:val="20"/>
                <w:color w:val="auto"/>
              </w:rPr>
            </w:pPr>
          </w:p>
        </w:tc>
        <w:tc>
          <w:tcPr>
            <w:tcW w:w="7660" w:type="dxa"/>
            <w:vAlign w:val="bottom"/>
            <w:gridSpan w:val="13"/>
          </w:tcPr>
          <w:p>
            <w:pPr>
              <w:spacing w:after="0"/>
              <w:rPr>
                <w:rFonts w:ascii="Times New Roman" w:cs="Times New Roman" w:eastAsia="Times New Roman" w:hAnsi="Times New Roman"/>
                <w:sz w:val="16"/>
                <w:szCs w:val="16"/>
                <w:color w:val="0000EE"/>
              </w:rPr>
            </w:pPr>
            <w:hyperlink w:anchor="page54">
              <w:r>
                <w:rPr>
                  <w:rFonts w:ascii="Times New Roman" w:cs="Times New Roman" w:eastAsia="Times New Roman" w:hAnsi="Times New Roman"/>
                  <w:sz w:val="16"/>
                  <w:szCs w:val="16"/>
                  <w:color w:val="0000EE"/>
                </w:rPr>
                <w:t>Risk Factors</w:t>
              </w:r>
            </w:hyperlink>
          </w:p>
        </w:tc>
        <w:tc>
          <w:tcPr>
            <w:tcW w:w="2020" w:type="dxa"/>
            <w:vAlign w:val="bottom"/>
            <w:gridSpan w:val="3"/>
          </w:tcPr>
          <w:p>
            <w:pPr>
              <w:jc w:val="center"/>
              <w:ind w:left="1777"/>
              <w:spacing w:after="0"/>
              <w:rPr>
                <w:rFonts w:ascii="Times New Roman" w:cs="Times New Roman" w:eastAsia="Times New Roman" w:hAnsi="Times New Roman"/>
                <w:sz w:val="16"/>
                <w:szCs w:val="16"/>
                <w:color w:val="0000EE"/>
                <w:w w:val="99"/>
              </w:rPr>
            </w:pPr>
            <w:hyperlink w:anchor="page54">
              <w:r>
                <w:rPr>
                  <w:rFonts w:ascii="Times New Roman" w:cs="Times New Roman" w:eastAsia="Times New Roman" w:hAnsi="Times New Roman"/>
                  <w:sz w:val="16"/>
                  <w:szCs w:val="16"/>
                  <w:color w:val="0000EE"/>
                  <w:w w:val="99"/>
                </w:rPr>
                <w:t>53</w:t>
              </w:r>
            </w:hyperlink>
          </w:p>
        </w:tc>
      </w:tr>
      <w:tr>
        <w:trPr>
          <w:trHeight w:val="20"/>
        </w:trPr>
        <w:tc>
          <w:tcPr>
            <w:tcW w:w="580" w:type="dxa"/>
            <w:vAlign w:val="bottom"/>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190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r>
      <w:tr>
        <w:trPr>
          <w:trHeight w:val="237"/>
        </w:trPr>
        <w:tc>
          <w:tcPr>
            <w:tcW w:w="460" w:type="dxa"/>
            <w:vAlign w:val="bottom"/>
            <w:tcBorders>
              <w:bottom w:val="single" w:sz="8" w:color="0000EE"/>
            </w:tcBorders>
          </w:tcPr>
          <w:p>
            <w:pPr>
              <w:spacing w:after="0"/>
              <w:rPr>
                <w:rFonts w:ascii="Times New Roman" w:cs="Times New Roman" w:eastAsia="Times New Roman" w:hAnsi="Times New Roman"/>
                <w:sz w:val="16"/>
                <w:szCs w:val="16"/>
                <w:color w:val="0000EE"/>
                <w:w w:val="92"/>
              </w:rPr>
            </w:pPr>
            <w:hyperlink w:anchor="page54">
              <w:r>
                <w:rPr>
                  <w:rFonts w:ascii="Times New Roman" w:cs="Times New Roman" w:eastAsia="Times New Roman" w:hAnsi="Times New Roman"/>
                  <w:sz w:val="16"/>
                  <w:szCs w:val="16"/>
                  <w:color w:val="0000EE"/>
                  <w:w w:val="92"/>
                </w:rPr>
                <w:t>Item 2.</w:t>
              </w:r>
            </w:hyperlink>
          </w:p>
        </w:tc>
        <w:tc>
          <w:tcPr>
            <w:tcW w:w="120" w:type="dxa"/>
            <w:vAlign w:val="bottom"/>
            <w:gridSpan w:val="2"/>
          </w:tcPr>
          <w:p>
            <w:pPr>
              <w:spacing w:after="0"/>
              <w:rPr>
                <w:sz w:val="20"/>
                <w:szCs w:val="20"/>
                <w:color w:val="auto"/>
              </w:rPr>
            </w:pPr>
          </w:p>
        </w:tc>
        <w:tc>
          <w:tcPr>
            <w:tcW w:w="460" w:type="dxa"/>
            <w:vAlign w:val="bottom"/>
            <w:gridSpan w:val="3"/>
          </w:tcPr>
          <w:p>
            <w:pPr>
              <w:spacing w:after="0"/>
              <w:rPr>
                <w:sz w:val="20"/>
                <w:szCs w:val="20"/>
                <w:color w:val="auto"/>
              </w:rPr>
            </w:pPr>
          </w:p>
        </w:tc>
        <w:tc>
          <w:tcPr>
            <w:tcW w:w="3920" w:type="dxa"/>
            <w:vAlign w:val="bottom"/>
            <w:tcBorders>
              <w:bottom w:val="single" w:sz="8" w:color="0000EE"/>
            </w:tcBorders>
            <w:gridSpan w:val="10"/>
          </w:tcPr>
          <w:p>
            <w:pPr>
              <w:spacing w:after="0"/>
              <w:rPr>
                <w:rFonts w:ascii="Times New Roman" w:cs="Times New Roman" w:eastAsia="Times New Roman" w:hAnsi="Times New Roman"/>
                <w:sz w:val="16"/>
                <w:szCs w:val="16"/>
                <w:color w:val="0000EE"/>
              </w:rPr>
            </w:pPr>
            <w:hyperlink w:anchor="page54">
              <w:r>
                <w:rPr>
                  <w:rFonts w:ascii="Times New Roman" w:cs="Times New Roman" w:eastAsia="Times New Roman" w:hAnsi="Times New Roman"/>
                  <w:sz w:val="16"/>
                  <w:szCs w:val="16"/>
                  <w:color w:val="0000EE"/>
                </w:rPr>
                <w:t>Unregistered Sales of Equity Securities and Use of Proceeds</w:t>
              </w:r>
            </w:hyperlink>
          </w:p>
        </w:tc>
        <w:tc>
          <w:tcPr>
            <w:tcW w:w="3740" w:type="dxa"/>
            <w:vAlign w:val="bottom"/>
            <w:gridSpan w:val="3"/>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Borders>
              <w:bottom w:val="single" w:sz="8" w:color="0000EE"/>
            </w:tcBorders>
            <w:gridSpan w:val="2"/>
          </w:tcPr>
          <w:p>
            <w:pPr>
              <w:jc w:val="center"/>
              <w:spacing w:after="0"/>
              <w:rPr>
                <w:rFonts w:ascii="Times New Roman" w:cs="Times New Roman" w:eastAsia="Times New Roman" w:hAnsi="Times New Roman"/>
                <w:sz w:val="16"/>
                <w:szCs w:val="16"/>
                <w:color w:val="0000EE"/>
                <w:w w:val="74"/>
              </w:rPr>
            </w:pPr>
            <w:hyperlink w:anchor="page54">
              <w:r>
                <w:rPr>
                  <w:rFonts w:ascii="Times New Roman" w:cs="Times New Roman" w:eastAsia="Times New Roman" w:hAnsi="Times New Roman"/>
                  <w:sz w:val="16"/>
                  <w:szCs w:val="16"/>
                  <w:color w:val="0000EE"/>
                  <w:w w:val="74"/>
                </w:rPr>
                <w:t>53</w:t>
              </w:r>
            </w:hyperlink>
          </w:p>
        </w:tc>
      </w:tr>
      <w:tr>
        <w:trPr>
          <w:trHeight w:val="237"/>
        </w:trPr>
        <w:tc>
          <w:tcPr>
            <w:tcW w:w="460" w:type="dxa"/>
            <w:vAlign w:val="bottom"/>
            <w:tcBorders>
              <w:bottom w:val="single" w:sz="8" w:color="0000EE"/>
            </w:tcBorders>
          </w:tcPr>
          <w:p>
            <w:pPr>
              <w:spacing w:after="0"/>
              <w:rPr>
                <w:rFonts w:ascii="Times New Roman" w:cs="Times New Roman" w:eastAsia="Times New Roman" w:hAnsi="Times New Roman"/>
                <w:sz w:val="16"/>
                <w:szCs w:val="16"/>
                <w:color w:val="0000EE"/>
                <w:w w:val="92"/>
              </w:rPr>
            </w:pPr>
            <w:hyperlink w:anchor="page54">
              <w:r>
                <w:rPr>
                  <w:rFonts w:ascii="Times New Roman" w:cs="Times New Roman" w:eastAsia="Times New Roman" w:hAnsi="Times New Roman"/>
                  <w:sz w:val="16"/>
                  <w:szCs w:val="16"/>
                  <w:color w:val="0000EE"/>
                  <w:w w:val="92"/>
                </w:rPr>
                <w:t>Item 3.</w:t>
              </w:r>
            </w:hyperlink>
          </w:p>
        </w:tc>
        <w:tc>
          <w:tcPr>
            <w:tcW w:w="580" w:type="dxa"/>
            <w:vAlign w:val="bottom"/>
            <w:gridSpan w:val="5"/>
          </w:tcPr>
          <w:p>
            <w:pPr>
              <w:spacing w:after="0"/>
              <w:rPr>
                <w:sz w:val="20"/>
                <w:szCs w:val="20"/>
                <w:color w:val="auto"/>
              </w:rPr>
            </w:pPr>
          </w:p>
        </w:tc>
        <w:tc>
          <w:tcPr>
            <w:tcW w:w="2060" w:type="dxa"/>
            <w:vAlign w:val="bottom"/>
            <w:tcBorders>
              <w:bottom w:val="single" w:sz="8" w:color="0000EE"/>
            </w:tcBorders>
            <w:gridSpan w:val="8"/>
          </w:tcPr>
          <w:p>
            <w:pPr>
              <w:spacing w:after="0"/>
              <w:rPr>
                <w:rFonts w:ascii="Times New Roman" w:cs="Times New Roman" w:eastAsia="Times New Roman" w:hAnsi="Times New Roman"/>
                <w:sz w:val="16"/>
                <w:szCs w:val="16"/>
                <w:color w:val="0000EE"/>
              </w:rPr>
            </w:pPr>
            <w:hyperlink w:anchor="page54">
              <w:r>
                <w:rPr>
                  <w:rFonts w:ascii="Times New Roman" w:cs="Times New Roman" w:eastAsia="Times New Roman" w:hAnsi="Times New Roman"/>
                  <w:sz w:val="16"/>
                  <w:szCs w:val="16"/>
                  <w:color w:val="0000EE"/>
                </w:rPr>
                <w:t>Defaults upon Senior Securities</w:t>
              </w:r>
            </w:hyperlink>
          </w:p>
        </w:tc>
        <w:tc>
          <w:tcPr>
            <w:tcW w:w="5600" w:type="dxa"/>
            <w:vAlign w:val="bottom"/>
            <w:gridSpan w:val="5"/>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Borders>
              <w:bottom w:val="single" w:sz="8" w:color="0000EE"/>
            </w:tcBorders>
            <w:gridSpan w:val="2"/>
          </w:tcPr>
          <w:p>
            <w:pPr>
              <w:jc w:val="center"/>
              <w:spacing w:after="0"/>
              <w:rPr>
                <w:rFonts w:ascii="Times New Roman" w:cs="Times New Roman" w:eastAsia="Times New Roman" w:hAnsi="Times New Roman"/>
                <w:sz w:val="16"/>
                <w:szCs w:val="16"/>
                <w:color w:val="0000EE"/>
                <w:w w:val="74"/>
              </w:rPr>
            </w:pPr>
            <w:hyperlink w:anchor="page54">
              <w:r>
                <w:rPr>
                  <w:rFonts w:ascii="Times New Roman" w:cs="Times New Roman" w:eastAsia="Times New Roman" w:hAnsi="Times New Roman"/>
                  <w:sz w:val="16"/>
                  <w:szCs w:val="16"/>
                  <w:color w:val="0000EE"/>
                  <w:w w:val="74"/>
                </w:rPr>
                <w:t>53</w:t>
              </w:r>
            </w:hyperlink>
          </w:p>
        </w:tc>
      </w:tr>
      <w:tr>
        <w:trPr>
          <w:trHeight w:val="237"/>
        </w:trPr>
        <w:tc>
          <w:tcPr>
            <w:tcW w:w="460" w:type="dxa"/>
            <w:vAlign w:val="bottom"/>
          </w:tcPr>
          <w:p>
            <w:pPr>
              <w:spacing w:after="0"/>
              <w:rPr>
                <w:rFonts w:ascii="Times New Roman" w:cs="Times New Roman" w:eastAsia="Times New Roman" w:hAnsi="Times New Roman"/>
                <w:sz w:val="16"/>
                <w:szCs w:val="16"/>
                <w:color w:val="0000EE"/>
                <w:w w:val="92"/>
              </w:rPr>
            </w:pPr>
            <w:hyperlink w:anchor="page54">
              <w:r>
                <w:rPr>
                  <w:rFonts w:ascii="Times New Roman" w:cs="Times New Roman" w:eastAsia="Times New Roman" w:hAnsi="Times New Roman"/>
                  <w:sz w:val="16"/>
                  <w:szCs w:val="16"/>
                  <w:color w:val="0000EE"/>
                  <w:w w:val="92"/>
                </w:rPr>
                <w:t>Item 4.</w:t>
              </w:r>
            </w:hyperlink>
          </w:p>
        </w:tc>
        <w:tc>
          <w:tcPr>
            <w:tcW w:w="580" w:type="dxa"/>
            <w:vAlign w:val="bottom"/>
            <w:gridSpan w:val="5"/>
          </w:tcPr>
          <w:p>
            <w:pPr>
              <w:spacing w:after="0"/>
              <w:rPr>
                <w:sz w:val="20"/>
                <w:szCs w:val="20"/>
                <w:color w:val="auto"/>
              </w:rPr>
            </w:pPr>
          </w:p>
        </w:tc>
        <w:tc>
          <w:tcPr>
            <w:tcW w:w="7660" w:type="dxa"/>
            <w:vAlign w:val="bottom"/>
            <w:gridSpan w:val="13"/>
          </w:tcPr>
          <w:p>
            <w:pPr>
              <w:spacing w:after="0"/>
              <w:rPr>
                <w:rFonts w:ascii="Times New Roman" w:cs="Times New Roman" w:eastAsia="Times New Roman" w:hAnsi="Times New Roman"/>
                <w:sz w:val="16"/>
                <w:szCs w:val="16"/>
                <w:color w:val="0000EE"/>
              </w:rPr>
            </w:pPr>
            <w:hyperlink w:anchor="page54">
              <w:r>
                <w:rPr>
                  <w:rFonts w:ascii="Times New Roman" w:cs="Times New Roman" w:eastAsia="Times New Roman" w:hAnsi="Times New Roman"/>
                  <w:sz w:val="16"/>
                  <w:szCs w:val="16"/>
                  <w:color w:val="0000EE"/>
                </w:rPr>
                <w:t>Mine Safety Disclosures</w:t>
              </w:r>
            </w:hyperlink>
          </w:p>
        </w:tc>
        <w:tc>
          <w:tcPr>
            <w:tcW w:w="2020" w:type="dxa"/>
            <w:vAlign w:val="bottom"/>
            <w:gridSpan w:val="3"/>
          </w:tcPr>
          <w:p>
            <w:pPr>
              <w:jc w:val="center"/>
              <w:ind w:left="1777"/>
              <w:spacing w:after="0"/>
              <w:rPr>
                <w:rFonts w:ascii="Times New Roman" w:cs="Times New Roman" w:eastAsia="Times New Roman" w:hAnsi="Times New Roman"/>
                <w:sz w:val="16"/>
                <w:szCs w:val="16"/>
                <w:color w:val="0000EE"/>
                <w:w w:val="99"/>
              </w:rPr>
            </w:pPr>
            <w:hyperlink w:anchor="page54">
              <w:r>
                <w:rPr>
                  <w:rFonts w:ascii="Times New Roman" w:cs="Times New Roman" w:eastAsia="Times New Roman" w:hAnsi="Times New Roman"/>
                  <w:sz w:val="16"/>
                  <w:szCs w:val="16"/>
                  <w:color w:val="0000EE"/>
                  <w:w w:val="99"/>
                </w:rPr>
                <w:t>53</w:t>
              </w:r>
            </w:hyperlink>
          </w:p>
        </w:tc>
      </w:tr>
      <w:tr>
        <w:trPr>
          <w:trHeight w:val="237"/>
        </w:trPr>
        <w:tc>
          <w:tcPr>
            <w:tcW w:w="460" w:type="dxa"/>
            <w:vAlign w:val="bottom"/>
            <w:tcBorders>
              <w:top w:val="single" w:sz="8" w:color="0000EE"/>
              <w:bottom w:val="single" w:sz="8" w:color="0000EE"/>
            </w:tcBorders>
          </w:tcPr>
          <w:p>
            <w:pPr>
              <w:spacing w:after="0"/>
              <w:rPr>
                <w:rFonts w:ascii="Times New Roman" w:cs="Times New Roman" w:eastAsia="Times New Roman" w:hAnsi="Times New Roman"/>
                <w:sz w:val="16"/>
                <w:szCs w:val="16"/>
                <w:color w:val="0000EE"/>
                <w:w w:val="92"/>
              </w:rPr>
            </w:pPr>
            <w:hyperlink w:anchor="page54">
              <w:r>
                <w:rPr>
                  <w:rFonts w:ascii="Times New Roman" w:cs="Times New Roman" w:eastAsia="Times New Roman" w:hAnsi="Times New Roman"/>
                  <w:sz w:val="16"/>
                  <w:szCs w:val="16"/>
                  <w:color w:val="0000EE"/>
                  <w:w w:val="92"/>
                </w:rPr>
                <w:t>Item 5.</w:t>
              </w:r>
            </w:hyperlink>
          </w:p>
        </w:tc>
        <w:tc>
          <w:tcPr>
            <w:tcW w:w="580" w:type="dxa"/>
            <w:vAlign w:val="bottom"/>
            <w:gridSpan w:val="5"/>
          </w:tcPr>
          <w:p>
            <w:pPr>
              <w:spacing w:after="0"/>
              <w:rPr>
                <w:sz w:val="20"/>
                <w:szCs w:val="20"/>
                <w:color w:val="auto"/>
              </w:rPr>
            </w:pPr>
          </w:p>
        </w:tc>
        <w:tc>
          <w:tcPr>
            <w:tcW w:w="118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6"/>
                <w:szCs w:val="16"/>
                <w:color w:val="0000EE"/>
                <w:w w:val="99"/>
              </w:rPr>
              <w:t>Other Information</w:t>
            </w:r>
          </w:p>
        </w:tc>
        <w:tc>
          <w:tcPr>
            <w:tcW w:w="400" w:type="dxa"/>
            <w:vAlign w:val="bottom"/>
            <w:tcBorders>
              <w:top w:val="single" w:sz="8" w:color="0000EE"/>
            </w:tcBorders>
            <w:gridSpan w:val="3"/>
          </w:tcPr>
          <w:p>
            <w:pPr>
              <w:spacing w:after="0"/>
              <w:rPr>
                <w:sz w:val="20"/>
                <w:szCs w:val="20"/>
                <w:color w:val="auto"/>
              </w:rPr>
            </w:pPr>
          </w:p>
        </w:tc>
        <w:tc>
          <w:tcPr>
            <w:tcW w:w="6080" w:type="dxa"/>
            <w:vAlign w:val="bottom"/>
            <w:gridSpan w:val="7"/>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Borders>
              <w:top w:val="single" w:sz="8" w:color="0000EE"/>
              <w:bottom w:val="single" w:sz="8" w:color="0000EE"/>
            </w:tcBorders>
            <w:gridSpan w:val="2"/>
          </w:tcPr>
          <w:p>
            <w:pPr>
              <w:jc w:val="center"/>
              <w:spacing w:after="0"/>
              <w:rPr>
                <w:rFonts w:ascii="Times New Roman" w:cs="Times New Roman" w:eastAsia="Times New Roman" w:hAnsi="Times New Roman"/>
                <w:sz w:val="16"/>
                <w:szCs w:val="16"/>
                <w:color w:val="0000EE"/>
                <w:w w:val="74"/>
              </w:rPr>
            </w:pPr>
            <w:hyperlink w:anchor="page54">
              <w:r>
                <w:rPr>
                  <w:rFonts w:ascii="Times New Roman" w:cs="Times New Roman" w:eastAsia="Times New Roman" w:hAnsi="Times New Roman"/>
                  <w:sz w:val="16"/>
                  <w:szCs w:val="16"/>
                  <w:color w:val="0000EE"/>
                  <w:w w:val="74"/>
                </w:rPr>
                <w:t>53</w:t>
              </w:r>
            </w:hyperlink>
          </w:p>
        </w:tc>
      </w:tr>
      <w:tr>
        <w:trPr>
          <w:trHeight w:val="237"/>
        </w:trPr>
        <w:tc>
          <w:tcPr>
            <w:tcW w:w="460" w:type="dxa"/>
            <w:vAlign w:val="bottom"/>
            <w:tcBorders>
              <w:bottom w:val="single" w:sz="8" w:color="0000EE"/>
            </w:tcBorders>
          </w:tcPr>
          <w:p>
            <w:pPr>
              <w:spacing w:after="0"/>
              <w:rPr>
                <w:rFonts w:ascii="Times New Roman" w:cs="Times New Roman" w:eastAsia="Times New Roman" w:hAnsi="Times New Roman"/>
                <w:sz w:val="16"/>
                <w:szCs w:val="16"/>
                <w:color w:val="0000EE"/>
                <w:w w:val="92"/>
              </w:rPr>
            </w:pPr>
            <w:hyperlink w:anchor="page54">
              <w:r>
                <w:rPr>
                  <w:rFonts w:ascii="Times New Roman" w:cs="Times New Roman" w:eastAsia="Times New Roman" w:hAnsi="Times New Roman"/>
                  <w:sz w:val="16"/>
                  <w:szCs w:val="16"/>
                  <w:color w:val="0000EE"/>
                  <w:w w:val="92"/>
                </w:rPr>
                <w:t>Item 6.</w:t>
              </w:r>
            </w:hyperlink>
          </w:p>
        </w:tc>
        <w:tc>
          <w:tcPr>
            <w:tcW w:w="580" w:type="dxa"/>
            <w:vAlign w:val="bottom"/>
            <w:gridSpan w:val="5"/>
          </w:tcPr>
          <w:p>
            <w:pPr>
              <w:spacing w:after="0"/>
              <w:rPr>
                <w:sz w:val="20"/>
                <w:szCs w:val="20"/>
                <w:color w:val="auto"/>
              </w:rPr>
            </w:pPr>
          </w:p>
        </w:tc>
        <w:tc>
          <w:tcPr>
            <w:tcW w:w="540" w:type="dxa"/>
            <w:vAlign w:val="bottom"/>
            <w:tcBorders>
              <w:bottom w:val="single" w:sz="8" w:color="0000EE"/>
            </w:tcBorders>
          </w:tcPr>
          <w:p>
            <w:pPr>
              <w:spacing w:after="0"/>
              <w:rPr>
                <w:rFonts w:ascii="Times New Roman" w:cs="Times New Roman" w:eastAsia="Times New Roman" w:hAnsi="Times New Roman"/>
                <w:sz w:val="16"/>
                <w:szCs w:val="16"/>
                <w:color w:val="0000EE"/>
                <w:w w:val="97"/>
              </w:rPr>
            </w:pPr>
            <w:hyperlink w:anchor="page54">
              <w:r>
                <w:rPr>
                  <w:rFonts w:ascii="Times New Roman" w:cs="Times New Roman" w:eastAsia="Times New Roman" w:hAnsi="Times New Roman"/>
                  <w:sz w:val="16"/>
                  <w:szCs w:val="16"/>
                  <w:color w:val="0000EE"/>
                  <w:w w:val="97"/>
                </w:rPr>
                <w:t>Exhibits</w:t>
              </w:r>
            </w:hyperlink>
          </w:p>
        </w:tc>
        <w:tc>
          <w:tcPr>
            <w:tcW w:w="7120" w:type="dxa"/>
            <w:vAlign w:val="bottom"/>
            <w:gridSpan w:val="12"/>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Borders>
              <w:bottom w:val="single" w:sz="8" w:color="0000EE"/>
            </w:tcBorders>
            <w:gridSpan w:val="2"/>
          </w:tcPr>
          <w:p>
            <w:pPr>
              <w:jc w:val="center"/>
              <w:spacing w:after="0"/>
              <w:rPr>
                <w:rFonts w:ascii="Times New Roman" w:cs="Times New Roman" w:eastAsia="Times New Roman" w:hAnsi="Times New Roman"/>
                <w:sz w:val="16"/>
                <w:szCs w:val="16"/>
                <w:color w:val="0000EE"/>
                <w:w w:val="74"/>
              </w:rPr>
            </w:pPr>
            <w:hyperlink w:anchor="page54">
              <w:r>
                <w:rPr>
                  <w:rFonts w:ascii="Times New Roman" w:cs="Times New Roman" w:eastAsia="Times New Roman" w:hAnsi="Times New Roman"/>
                  <w:sz w:val="16"/>
                  <w:szCs w:val="16"/>
                  <w:color w:val="0000EE"/>
                  <w:w w:val="74"/>
                </w:rPr>
                <w:t>53</w:t>
              </w:r>
            </w:hyperlink>
          </w:p>
        </w:tc>
      </w:tr>
      <w:tr>
        <w:trPr>
          <w:trHeight w:val="534"/>
        </w:trPr>
        <w:tc>
          <w:tcPr>
            <w:tcW w:w="6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6"/>
                <w:szCs w:val="16"/>
                <w:color w:val="0000EE"/>
                <w:w w:val="97"/>
              </w:rPr>
              <w:t>Signatures</w:t>
            </w: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Borders>
              <w:bottom w:val="single" w:sz="8" w:color="0000EE"/>
            </w:tcBorders>
            <w:gridSpan w:val="2"/>
          </w:tcPr>
          <w:p>
            <w:pPr>
              <w:jc w:val="center"/>
              <w:spacing w:after="0"/>
              <w:rPr>
                <w:rFonts w:ascii="Times New Roman" w:cs="Times New Roman" w:eastAsia="Times New Roman" w:hAnsi="Times New Roman"/>
                <w:sz w:val="16"/>
                <w:szCs w:val="16"/>
                <w:color w:val="0000EE"/>
                <w:w w:val="74"/>
              </w:rPr>
            </w:pPr>
            <w:hyperlink w:anchor="page57">
              <w:r>
                <w:rPr>
                  <w:rFonts w:ascii="Times New Roman" w:cs="Times New Roman" w:eastAsia="Times New Roman" w:hAnsi="Times New Roman"/>
                  <w:sz w:val="16"/>
                  <w:szCs w:val="16"/>
                  <w:color w:val="0000EE"/>
                  <w:w w:val="74"/>
                </w:rPr>
                <w:t>56</w:t>
              </w:r>
            </w:hyperlink>
          </w:p>
        </w:tc>
      </w:tr>
    </w:tbl>
    <w:p>
      <w:pPr>
        <w:spacing w:after="0" w:line="200" w:lineRule="exact"/>
        <w:rPr>
          <w:sz w:val="20"/>
          <w:szCs w:val="20"/>
          <w:color w:val="auto"/>
        </w:rPr>
      </w:pPr>
    </w:p>
    <w:p>
      <w:pPr>
        <w:spacing w:after="0" w:line="29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720"/>
          </w:cols>
          <w:pgMar w:left="280" w:top="576" w:right="8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0" w:type="dxa"/>
            <w:vAlign w:val="bottom"/>
          </w:tcPr>
          <w:p>
            <w:pPr>
              <w:spacing w:after="0"/>
              <w:rPr>
                <w:sz w:val="1"/>
                <w:szCs w:val="1"/>
                <w:color w:val="auto"/>
              </w:rPr>
            </w:pPr>
          </w:p>
        </w:tc>
      </w:tr>
      <w:tr>
        <w:trPr>
          <w:trHeight w:val="236"/>
        </w:trPr>
        <w:tc>
          <w:tcPr>
            <w:tcW w:w="7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Agency securities, at fair value (including pledged securities of $41,263 and $43,943, respectively)</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45,226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45,393</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Agency securities transferred to consolidated variable interest entities, at fair value (pledged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818</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Credit risk transfer securities, at fair value</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164</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Non-Agency securities, at fair value (including pledged securities of $0 and $90, respectively)</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U.S. Treasury securities, at fair value (including pledged securities of $0 and $173, respectively)</w:t>
            </w:r>
          </w:p>
        </w:tc>
        <w:tc>
          <w:tcPr>
            <w:tcW w:w="280" w:type="dxa"/>
            <w:vAlign w:val="bottom"/>
          </w:tcPr>
          <w:p>
            <w:pPr>
              <w:spacing w:after="0"/>
              <w:rPr>
                <w:sz w:val="20"/>
                <w:szCs w:val="20"/>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182</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REIT equity securities, at fair value</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1,208</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Restricted cash and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Derivative assets, at fair value</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355</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Receivable for securities sold (including pledged securities of $348 and $21, respectively)</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Receivable under reverse repurchase agreements</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7,489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7,716</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Goodwill and other intangible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554</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271</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56,711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56,880</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9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Repurchase agreements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39,058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37,858</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Federal Home Loan Bank advances</w:t>
            </w:r>
          </w:p>
        </w:tc>
        <w:tc>
          <w:tcPr>
            <w:tcW w:w="280" w:type="dxa"/>
            <w:vAlign w:val="bottom"/>
          </w:tcPr>
          <w:p>
            <w:pPr>
              <w:spacing w:after="0"/>
              <w:rPr>
                <w:sz w:val="20"/>
                <w:szCs w:val="20"/>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3,037</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Debt of consolidated variable interest entities, at fair value</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460</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Payable for securities purchased</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2,005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Derivative liabilities, at fair value</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256</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Dividends payable</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Obligation to return securities borrowed under reverse repurchase agreements, at</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fair value</w:t>
            </w:r>
          </w:p>
        </w:tc>
        <w:tc>
          <w:tcPr>
            <w:tcW w:w="2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7,221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7,636</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211</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48,966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49,524</w:t>
            </w:r>
          </w:p>
        </w:tc>
        <w:tc>
          <w:tcPr>
            <w:tcW w:w="0" w:type="dxa"/>
            <w:vAlign w:val="bottom"/>
          </w:tcPr>
          <w:p>
            <w:pPr>
              <w:spacing w:after="0"/>
              <w:rPr>
                <w:sz w:val="1"/>
                <w:szCs w:val="1"/>
                <w:color w:val="auto"/>
              </w:rPr>
            </w:pPr>
          </w:p>
        </w:tc>
      </w:tr>
      <w:tr>
        <w:trPr>
          <w:trHeight w:val="231"/>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Preferred stock - $0.01 par value; 10.0 shares authorized:</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Redeemable Preferred Stock; $0.01 par value; 6.9 shares issued and outstanding (aggregate liquidation</w:t>
            </w: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0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preference of $348)</w:t>
            </w:r>
          </w:p>
        </w:tc>
        <w:tc>
          <w:tcPr>
            <w:tcW w:w="28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336</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Common stock - $0.01 par value; 600 shares authorized;</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355.6 and 331.0 shares issued and outstanding, respectively</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10,435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9,932</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Retained deficit</w:t>
            </w:r>
          </w:p>
        </w:tc>
        <w:tc>
          <w:tcPr>
            <w:tcW w:w="2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(2,518)</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0" w:type="dxa"/>
            <w:vAlign w:val="bottom"/>
          </w:tcPr>
          <w:p>
            <w:pPr>
              <w:spacing w:after="0"/>
              <w:rPr>
                <w:sz w:val="1"/>
                <w:szCs w:val="1"/>
                <w:color w:val="auto"/>
              </w:rPr>
            </w:pPr>
          </w:p>
        </w:tc>
      </w:tr>
      <w:tr>
        <w:trPr>
          <w:trHeight w:val="217"/>
        </w:trPr>
        <w:tc>
          <w:tcPr>
            <w:tcW w:w="79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7,745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7,356</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56,711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56,880</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420"/>
          </w:cols>
          <w:pgMar w:left="240" w:top="57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576" w:right="2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80" w:type="dxa"/>
            <w:vAlign w:val="bottom"/>
          </w:tcPr>
          <w:p>
            <w:pPr>
              <w:spacing w:after="0"/>
              <w:rPr>
                <w:sz w:val="18"/>
                <w:szCs w:val="18"/>
                <w:color w:val="auto"/>
              </w:rPr>
            </w:pPr>
          </w:p>
        </w:tc>
        <w:tc>
          <w:tcPr>
            <w:tcW w:w="228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40" w:type="dxa"/>
            <w:vAlign w:val="bottom"/>
          </w:tcPr>
          <w:p>
            <w:pPr>
              <w:spacing w:after="0"/>
              <w:rPr>
                <w:sz w:val="18"/>
                <w:szCs w:val="18"/>
                <w:color w:val="auto"/>
              </w:rPr>
            </w:pPr>
          </w:p>
        </w:tc>
        <w:tc>
          <w:tcPr>
            <w:tcW w:w="2020" w:type="dxa"/>
            <w:vAlign w:val="bottom"/>
            <w:gridSpan w:val="4"/>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33"/>
        </w:trPr>
        <w:tc>
          <w:tcPr>
            <w:tcW w:w="6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6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613</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r>
      <w:tr>
        <w:trPr>
          <w:trHeight w:val="237"/>
        </w:trPr>
        <w:tc>
          <w:tcPr>
            <w:tcW w:w="6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interest income</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413</w:t>
            </w: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gain (loss), net: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Gain (loss) on sale of investment securities, net</w:t>
            </w: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Unrealized gain on investment securities measured at fair value through net income, net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6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on derivative instruments and other securities, net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Management fee income</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other loss, net:</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w:t>
            </w: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Management fee expense</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69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w:t>
            </w:r>
          </w:p>
        </w:tc>
      </w:tr>
      <w:tr>
        <w:trPr>
          <w:trHeight w:val="237"/>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Dividend on preferred stock</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r>
      <w:tr>
        <w:trPr>
          <w:trHeight w:val="297"/>
        </w:trPr>
        <w:tc>
          <w:tcPr>
            <w:tcW w:w="69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(loss) available (attributable) to common stockholders</w:t>
            </w:r>
          </w:p>
        </w:tc>
        <w:tc>
          <w:tcPr>
            <w:tcW w:w="2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w:t>
            </w:r>
          </w:p>
        </w:tc>
      </w:tr>
      <w:tr>
        <w:trPr>
          <w:trHeight w:val="311"/>
        </w:trPr>
        <w:tc>
          <w:tcPr>
            <w:tcW w:w="69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Unrealized gain on available-for-sale securities, net</w:t>
            </w: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1,135</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Unrealized gain on derivative instruments, net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r>
      <w:tr>
        <w:trPr>
          <w:trHeight w:val="237"/>
        </w:trPr>
        <w:tc>
          <w:tcPr>
            <w:tcW w:w="6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1,166</w:t>
            </w: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259</w:t>
            </w:r>
          </w:p>
        </w:tc>
      </w:tr>
      <w:tr>
        <w:trPr>
          <w:trHeight w:val="243"/>
        </w:trPr>
        <w:tc>
          <w:tcPr>
            <w:tcW w:w="6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Dividend on preferred stock</w:t>
            </w: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 available to common stockholders</w:t>
            </w: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w:t>
            </w: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311"/>
        </w:trPr>
        <w:tc>
          <w:tcPr>
            <w:tcW w:w="6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64"/>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 - basic</w:t>
            </w:r>
          </w:p>
        </w:tc>
        <w:tc>
          <w:tcPr>
            <w:tcW w:w="2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346.4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331.0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338.8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332.7</w:t>
            </w: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91"/>
        </w:trPr>
        <w:tc>
          <w:tcPr>
            <w:tcW w:w="69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 - diluted</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346.5</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331.0</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338.9</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332.7</w:t>
            </w:r>
          </w:p>
        </w:tc>
      </w:tr>
      <w:tr>
        <w:trPr>
          <w:trHeight w:val="251"/>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(loss) per common share - basic and diluted</w:t>
            </w: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51"/>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Dividends declared per common share</w:t>
            </w:r>
          </w:p>
        </w:tc>
        <w:tc>
          <w:tcPr>
            <w:tcW w:w="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1.20</w:t>
            </w: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576" w:right="2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EQUITY</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1420" w:type="dxa"/>
            <w:vAlign w:val="bottom"/>
            <w:gridSpan w:val="4"/>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20" w:type="dxa"/>
            <w:vAlign w:val="bottom"/>
            <w:vMerge w:val="restart"/>
          </w:tcPr>
          <w:p>
            <w:pPr>
              <w:spacing w:after="0"/>
              <w:rPr>
                <w:sz w:val="13"/>
                <w:szCs w:val="13"/>
                <w:color w:val="auto"/>
              </w:rPr>
            </w:pPr>
          </w:p>
        </w:tc>
        <w:tc>
          <w:tcPr>
            <w:tcW w:w="1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660" w:type="dxa"/>
            <w:vAlign w:val="bottom"/>
          </w:tcPr>
          <w:p>
            <w:pPr>
              <w:spacing w:after="0"/>
              <w:rPr>
                <w:sz w:val="13"/>
                <w:szCs w:val="13"/>
                <w:color w:val="auto"/>
              </w:rPr>
            </w:pPr>
          </w:p>
        </w:tc>
        <w:tc>
          <w:tcPr>
            <w:tcW w:w="142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300" w:type="dxa"/>
            <w:vAlign w:val="bottom"/>
            <w:tcBorders>
              <w:bottom w:val="single" w:sz="8" w:color="auto"/>
            </w:tcBorders>
            <w:gridSpan w:val="3"/>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660" w:type="dxa"/>
            <w:vAlign w:val="bottom"/>
          </w:tcPr>
          <w:p>
            <w:pPr>
              <w:spacing w:after="0"/>
              <w:rPr>
                <w:sz w:val="10"/>
                <w:szCs w:val="10"/>
                <w:color w:val="auto"/>
              </w:rPr>
            </w:pPr>
          </w:p>
        </w:tc>
        <w:tc>
          <w:tcPr>
            <w:tcW w:w="7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0"/>
                <w:szCs w:val="10"/>
                <w:color w:val="auto"/>
              </w:rPr>
            </w:pPr>
          </w:p>
        </w:tc>
        <w:tc>
          <w:tcPr>
            <w:tcW w:w="88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tcPr>
          <w:p>
            <w:pPr>
              <w:spacing w:after="0"/>
              <w:rPr>
                <w:sz w:val="10"/>
                <w:szCs w:val="10"/>
                <w:color w:val="auto"/>
              </w:rPr>
            </w:pPr>
          </w:p>
        </w:tc>
        <w:tc>
          <w:tcPr>
            <w:tcW w:w="88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0"/>
                <w:szCs w:val="10"/>
                <w:color w:val="auto"/>
              </w:rPr>
            </w:pPr>
          </w:p>
        </w:tc>
        <w:tc>
          <w:tcPr>
            <w:tcW w:w="122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260" w:type="dxa"/>
            <w:vAlign w:val="bottom"/>
          </w:tcPr>
          <w:p>
            <w:pPr>
              <w:spacing w:after="0"/>
              <w:rPr>
                <w:sz w:val="10"/>
                <w:szCs w:val="10"/>
                <w:color w:val="auto"/>
              </w:rPr>
            </w:pPr>
          </w:p>
        </w:tc>
        <w:tc>
          <w:tcPr>
            <w:tcW w:w="86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66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December 31, 2015</w:t>
            </w:r>
          </w:p>
        </w:tc>
        <w:tc>
          <w:tcPr>
            <w:tcW w:w="5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10,048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7,971</w:t>
            </w:r>
          </w:p>
        </w:tc>
        <w:tc>
          <w:tcPr>
            <w:tcW w:w="0" w:type="dxa"/>
            <w:vAlign w:val="bottom"/>
          </w:tcPr>
          <w:p>
            <w:pPr>
              <w:spacing w:after="0"/>
              <w:rPr>
                <w:sz w:val="1"/>
                <w:szCs w:val="1"/>
                <w:color w:val="auto"/>
              </w:rPr>
            </w:pPr>
          </w:p>
        </w:tc>
      </w:tr>
      <w:tr>
        <w:trPr>
          <w:trHeight w:val="243"/>
        </w:trPr>
        <w:tc>
          <w:tcPr>
            <w:tcW w:w="3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5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Unrealized gain on available-for-sale</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securities, net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1,135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1,135</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Unrealized gain on derivative instruments,</w:t>
            </w: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43"/>
        </w:trPr>
        <w:tc>
          <w:tcPr>
            <w:tcW w:w="36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Preferred dividends declared</w:t>
            </w:r>
          </w:p>
        </w:tc>
        <w:tc>
          <w:tcPr>
            <w:tcW w:w="5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3"/>
        </w:trPr>
        <w:tc>
          <w:tcPr>
            <w:tcW w:w="36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Common dividends declared</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June 30, 2016</w:t>
            </w:r>
          </w:p>
        </w:tc>
        <w:tc>
          <w:tcPr>
            <w:tcW w:w="5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331.0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9,932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7,702</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December 31, 2016</w:t>
            </w:r>
          </w:p>
        </w:tc>
        <w:tc>
          <w:tcPr>
            <w:tcW w:w="5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331.0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9,932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7,356</w:t>
            </w:r>
          </w:p>
        </w:tc>
        <w:tc>
          <w:tcPr>
            <w:tcW w:w="0" w:type="dxa"/>
            <w:vAlign w:val="bottom"/>
          </w:tcPr>
          <w:p>
            <w:pPr>
              <w:spacing w:after="0"/>
              <w:rPr>
                <w:sz w:val="1"/>
                <w:szCs w:val="1"/>
                <w:color w:val="auto"/>
              </w:rPr>
            </w:pPr>
          </w:p>
        </w:tc>
      </w:tr>
      <w:tr>
        <w:trPr>
          <w:trHeight w:val="243"/>
        </w:trPr>
        <w:tc>
          <w:tcPr>
            <w:tcW w:w="3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5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Unrealized gain on available-for-sale</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securities, net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Stock-based compensation</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36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Issuance of common stock</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Preferred dividends declared</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3"/>
        </w:trPr>
        <w:tc>
          <w:tcPr>
            <w:tcW w:w="36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Common dividends declared</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June 30, 2017</w:t>
            </w:r>
          </w:p>
        </w:tc>
        <w:tc>
          <w:tcPr>
            <w:tcW w:w="5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355.6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10,435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7,745</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may not foot due to rounding.</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360" w:right="25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4"/>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33"/>
        </w:trPr>
        <w:tc>
          <w:tcPr>
            <w:tcW w:w="8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1"/>
        </w:trPr>
        <w:tc>
          <w:tcPr>
            <w:tcW w:w="8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8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r>
      <w:tr>
        <w:trPr>
          <w:trHeight w:val="260"/>
        </w:trPr>
        <w:tc>
          <w:tcPr>
            <w:tcW w:w="8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22"/>
                <w:szCs w:val="22"/>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w:t>
            </w:r>
          </w:p>
        </w:tc>
      </w:tr>
      <w:tr>
        <w:trPr>
          <w:trHeight w:val="28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operating activities:</w:t>
            </w: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60"/>
        </w:trPr>
        <w:tc>
          <w:tcPr>
            <w:tcW w:w="83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Amortization of premiums and discounts on mortgage-backed securities, net</w:t>
            </w:r>
          </w:p>
        </w:tc>
        <w:tc>
          <w:tcPr>
            <w:tcW w:w="140" w:type="dxa"/>
            <w:vAlign w:val="bottom"/>
          </w:tcPr>
          <w:p>
            <w:pPr>
              <w:spacing w:after="0"/>
              <w:rPr>
                <w:sz w:val="22"/>
                <w:szCs w:val="22"/>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284</w:t>
            </w:r>
          </w:p>
        </w:tc>
      </w:tr>
      <w:tr>
        <w:trPr>
          <w:trHeight w:val="280"/>
        </w:trPr>
        <w:tc>
          <w:tcPr>
            <w:tcW w:w="83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Amortization of accumulated other comprehensive loss on interest rate swaps de-designated as qualifying hedges</w:t>
            </w:r>
          </w:p>
        </w:tc>
        <w:tc>
          <w:tcPr>
            <w:tcW w:w="1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31</w:t>
            </w:r>
          </w:p>
        </w:tc>
      </w:tr>
      <w:tr>
        <w:trPr>
          <w:trHeight w:val="260"/>
        </w:trPr>
        <w:tc>
          <w:tcPr>
            <w:tcW w:w="83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40" w:type="dxa"/>
            <w:vAlign w:val="bottom"/>
          </w:tcPr>
          <w:p>
            <w:pPr>
              <w:spacing w:after="0"/>
              <w:rPr>
                <w:sz w:val="22"/>
                <w:szCs w:val="22"/>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r>
      <w:tr>
        <w:trPr>
          <w:trHeight w:val="280"/>
        </w:trPr>
        <w:tc>
          <w:tcPr>
            <w:tcW w:w="83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Stock based compensation</w:t>
            </w: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r>
      <w:tr>
        <w:trPr>
          <w:trHeight w:val="260"/>
        </w:trPr>
        <w:tc>
          <w:tcPr>
            <w:tcW w:w="83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(Gain) loss on sale of investment securities, net</w:t>
            </w:r>
          </w:p>
        </w:tc>
        <w:tc>
          <w:tcPr>
            <w:tcW w:w="140" w:type="dxa"/>
            <w:vAlign w:val="bottom"/>
          </w:tcPr>
          <w:p>
            <w:pPr>
              <w:spacing w:after="0"/>
              <w:rPr>
                <w:sz w:val="22"/>
                <w:szCs w:val="22"/>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80"/>
        </w:trPr>
        <w:tc>
          <w:tcPr>
            <w:tcW w:w="83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Unrealized gain on investment securities measured at fair value through net income, net</w:t>
            </w: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60"/>
        </w:trPr>
        <w:tc>
          <w:tcPr>
            <w:tcW w:w="83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Loss on derivative instruments and other securities, net</w:t>
            </w:r>
          </w:p>
        </w:tc>
        <w:tc>
          <w:tcPr>
            <w:tcW w:w="140" w:type="dxa"/>
            <w:vAlign w:val="bottom"/>
          </w:tcPr>
          <w:p>
            <w:pPr>
              <w:spacing w:after="0"/>
              <w:rPr>
                <w:sz w:val="22"/>
                <w:szCs w:val="22"/>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1,311</w:t>
            </w:r>
          </w:p>
        </w:tc>
      </w:tr>
      <w:tr>
        <w:trPr>
          <w:trHeight w:val="280"/>
        </w:trPr>
        <w:tc>
          <w:tcPr>
            <w:tcW w:w="83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Decrease in other assets</w:t>
            </w: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24</w:t>
            </w:r>
          </w:p>
        </w:tc>
      </w:tr>
      <w:tr>
        <w:trPr>
          <w:trHeight w:val="264"/>
        </w:trPr>
        <w:tc>
          <w:tcPr>
            <w:tcW w:w="838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Increase in accounts payable and other accrued liabilities</w:t>
            </w: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9</w:t>
            </w:r>
          </w:p>
        </w:tc>
      </w:tr>
      <w:tr>
        <w:trPr>
          <w:trHeight w:val="257"/>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679</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688</w:t>
            </w:r>
          </w:p>
        </w:tc>
      </w:tr>
      <w:tr>
        <w:trPr>
          <w:trHeight w:val="254"/>
        </w:trPr>
        <w:tc>
          <w:tcPr>
            <w:tcW w:w="8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80"/>
        </w:trPr>
        <w:tc>
          <w:tcPr>
            <w:tcW w:w="83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Purchases of Agency mortgage-backed securities</w:t>
            </w: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(13,453)</w:t>
            </w:r>
          </w:p>
        </w:tc>
      </w:tr>
      <w:tr>
        <w:trPr>
          <w:trHeight w:val="260"/>
        </w:trPr>
        <w:tc>
          <w:tcPr>
            <w:tcW w:w="83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Purchases of credit risk transfer and non-Agency securities</w:t>
            </w: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r>
      <w:tr>
        <w:trPr>
          <w:trHeight w:val="280"/>
        </w:trPr>
        <w:tc>
          <w:tcPr>
            <w:tcW w:w="83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Proceeds from sale of Agency mortgage-backed securities</w:t>
            </w: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7,636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11,076</w:t>
            </w:r>
          </w:p>
        </w:tc>
      </w:tr>
      <w:tr>
        <w:trPr>
          <w:trHeight w:val="260"/>
        </w:trPr>
        <w:tc>
          <w:tcPr>
            <w:tcW w:w="83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Proceeds from sale of credit risk transfer and non-Agency securities</w:t>
            </w:r>
          </w:p>
        </w:tc>
        <w:tc>
          <w:tcPr>
            <w:tcW w:w="140" w:type="dxa"/>
            <w:vAlign w:val="bottom"/>
          </w:tcPr>
          <w:p>
            <w:pPr>
              <w:spacing w:after="0"/>
              <w:rPr>
                <w:sz w:val="22"/>
                <w:szCs w:val="22"/>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r>
      <w:tr>
        <w:trPr>
          <w:trHeight w:val="280"/>
        </w:trPr>
        <w:tc>
          <w:tcPr>
            <w:tcW w:w="83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Principal collections on Agency mortgage-backed securities</w:t>
            </w: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3,262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3,681</w:t>
            </w:r>
          </w:p>
        </w:tc>
      </w:tr>
      <w:tr>
        <w:trPr>
          <w:trHeight w:val="260"/>
        </w:trPr>
        <w:tc>
          <w:tcPr>
            <w:tcW w:w="83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Principal collections on credit risk transfer and non-Agency securities</w:t>
            </w:r>
          </w:p>
        </w:tc>
        <w:tc>
          <w:tcPr>
            <w:tcW w:w="140" w:type="dxa"/>
            <w:vAlign w:val="bottom"/>
          </w:tcPr>
          <w:p>
            <w:pPr>
              <w:spacing w:after="0"/>
              <w:rPr>
                <w:sz w:val="22"/>
                <w:szCs w:val="22"/>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9</w:t>
            </w:r>
          </w:p>
        </w:tc>
      </w:tr>
      <w:tr>
        <w:trPr>
          <w:trHeight w:val="280"/>
        </w:trPr>
        <w:tc>
          <w:tcPr>
            <w:tcW w:w="83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Purchases of U.S. Treasury securities</w:t>
            </w: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(1,819)</w:t>
            </w:r>
          </w:p>
        </w:tc>
      </w:tr>
      <w:tr>
        <w:trPr>
          <w:trHeight w:val="260"/>
        </w:trPr>
        <w:tc>
          <w:tcPr>
            <w:tcW w:w="83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Proceeds from sale of U.S. Treasury securities</w:t>
            </w:r>
          </w:p>
        </w:tc>
        <w:tc>
          <w:tcPr>
            <w:tcW w:w="140" w:type="dxa"/>
            <w:vAlign w:val="bottom"/>
          </w:tcPr>
          <w:p>
            <w:pPr>
              <w:spacing w:after="0"/>
              <w:rPr>
                <w:sz w:val="22"/>
                <w:szCs w:val="22"/>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6,873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2,947</w:t>
            </w:r>
          </w:p>
        </w:tc>
      </w:tr>
      <w:tr>
        <w:trPr>
          <w:trHeight w:val="280"/>
        </w:trPr>
        <w:tc>
          <w:tcPr>
            <w:tcW w:w="83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Net proceeds from (payments on) reverse repurchase agreements</w:t>
            </w: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w:t>
            </w:r>
          </w:p>
        </w:tc>
      </w:tr>
      <w:tr>
        <w:trPr>
          <w:trHeight w:val="260"/>
        </w:trPr>
        <w:tc>
          <w:tcPr>
            <w:tcW w:w="83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payments on derivative instruments</w:t>
            </w: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w:t>
            </w:r>
          </w:p>
        </w:tc>
      </w:tr>
      <w:tr>
        <w:trPr>
          <w:trHeight w:val="280"/>
        </w:trPr>
        <w:tc>
          <w:tcPr>
            <w:tcW w:w="83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Purchases of REIT equity securities</w:t>
            </w: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r>
      <w:tr>
        <w:trPr>
          <w:trHeight w:val="260"/>
        </w:trPr>
        <w:tc>
          <w:tcPr>
            <w:tcW w:w="83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Proceeds from sale of REIT equity securities</w:t>
            </w:r>
          </w:p>
        </w:tc>
        <w:tc>
          <w:tcPr>
            <w:tcW w:w="14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2"/>
                <w:szCs w:val="22"/>
                <w:color w:val="auto"/>
              </w:rPr>
            </w:pPr>
          </w:p>
        </w:tc>
        <w:tc>
          <w:tcPr>
            <w:tcW w:w="8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w:t>
            </w:r>
          </w:p>
        </w:tc>
      </w:tr>
      <w:tr>
        <w:trPr>
          <w:trHeight w:val="280"/>
        </w:trPr>
        <w:tc>
          <w:tcPr>
            <w:tcW w:w="83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Increase in restricted cash and cash equivalents</w:t>
            </w:r>
          </w:p>
        </w:tc>
        <w:tc>
          <w:tcPr>
            <w:tcW w:w="1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r>
      <w:tr>
        <w:trPr>
          <w:trHeight w:val="264"/>
        </w:trPr>
        <w:tc>
          <w:tcPr>
            <w:tcW w:w="838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Other investing cash flows, net</w:t>
            </w: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r>
      <w:tr>
        <w:trPr>
          <w:trHeight w:val="257"/>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1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958</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426</w:t>
            </w:r>
          </w:p>
        </w:tc>
      </w:tr>
      <w:tr>
        <w:trPr>
          <w:trHeight w:val="254"/>
        </w:trPr>
        <w:tc>
          <w:tcPr>
            <w:tcW w:w="8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80"/>
        </w:trPr>
        <w:tc>
          <w:tcPr>
            <w:tcW w:w="83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Proceeds from repurchase arrangements</w:t>
            </w: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164,939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134,605</w:t>
            </w:r>
          </w:p>
        </w:tc>
      </w:tr>
      <w:tr>
        <w:trPr>
          <w:trHeight w:val="260"/>
        </w:trPr>
        <w:tc>
          <w:tcPr>
            <w:tcW w:w="83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Payments on repurchase agreements</w:t>
            </w: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(163,696)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(134,389)</w:t>
            </w:r>
          </w:p>
        </w:tc>
      </w:tr>
      <w:tr>
        <w:trPr>
          <w:trHeight w:val="280"/>
        </w:trPr>
        <w:tc>
          <w:tcPr>
            <w:tcW w:w="83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Proceeds from Federal Home Loan Bank advances</w:t>
            </w:r>
          </w:p>
        </w:tc>
        <w:tc>
          <w:tcPr>
            <w:tcW w:w="1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2,098</w:t>
            </w:r>
          </w:p>
        </w:tc>
      </w:tr>
      <w:tr>
        <w:trPr>
          <w:trHeight w:val="260"/>
        </w:trPr>
        <w:tc>
          <w:tcPr>
            <w:tcW w:w="83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Payments on Federal Home Loan Bank advances</w:t>
            </w: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(2,814)</w:t>
            </w:r>
          </w:p>
        </w:tc>
      </w:tr>
      <w:tr>
        <w:trPr>
          <w:trHeight w:val="280"/>
        </w:trPr>
        <w:tc>
          <w:tcPr>
            <w:tcW w:w="83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Payments on debt of consolidated variable interest entities</w:t>
            </w: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60"/>
        </w:trPr>
        <w:tc>
          <w:tcPr>
            <w:tcW w:w="83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proceeds from common stock issuances</w:t>
            </w:r>
          </w:p>
        </w:tc>
        <w:tc>
          <w:tcPr>
            <w:tcW w:w="140" w:type="dxa"/>
            <w:vAlign w:val="bottom"/>
          </w:tcPr>
          <w:p>
            <w:pPr>
              <w:spacing w:after="0"/>
              <w:rPr>
                <w:sz w:val="22"/>
                <w:szCs w:val="22"/>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503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r>
      <w:tr>
        <w:trPr>
          <w:trHeight w:val="280"/>
        </w:trPr>
        <w:tc>
          <w:tcPr>
            <w:tcW w:w="83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Payments for common stock repurchases</w:t>
            </w:r>
          </w:p>
        </w:tc>
        <w:tc>
          <w:tcPr>
            <w:tcW w:w="1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r>
      <w:tr>
        <w:trPr>
          <w:trHeight w:val="264"/>
        </w:trPr>
        <w:tc>
          <w:tcPr>
            <w:tcW w:w="838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Cash dividends paid</w:t>
            </w: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w:t>
            </w:r>
          </w:p>
        </w:tc>
      </w:tr>
      <w:tr>
        <w:trPr>
          <w:trHeight w:val="25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(1,723)</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w:t>
            </w:r>
          </w:p>
        </w:tc>
      </w:tr>
      <w:tr>
        <w:trPr>
          <w:trHeight w:val="247"/>
        </w:trPr>
        <w:tc>
          <w:tcPr>
            <w:tcW w:w="8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21</w:t>
            </w:r>
          </w:p>
        </w:tc>
      </w:tr>
      <w:tr>
        <w:trPr>
          <w:trHeight w:val="27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1,208</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1,110</w:t>
            </w:r>
          </w:p>
        </w:tc>
      </w:tr>
      <w:tr>
        <w:trPr>
          <w:trHeight w:val="237"/>
        </w:trPr>
        <w:tc>
          <w:tcPr>
            <w:tcW w:w="8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1,122</w:t>
            </w:r>
          </w:p>
        </w:tc>
        <w:tc>
          <w:tcPr>
            <w:tcW w:w="120" w:type="dxa"/>
            <w:vAlign w:val="bottom"/>
          </w:tcPr>
          <w:p>
            <w:pPr>
              <w:spacing w:after="0"/>
              <w:rPr>
                <w:sz w:val="20"/>
                <w:szCs w:val="20"/>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1,131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5321300</wp:posOffset>
            </wp:positionH>
            <wp:positionV relativeFrom="paragraph">
              <wp:posOffset>3810</wp:posOffset>
            </wp:positionV>
            <wp:extent cx="14065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5321300</wp:posOffset>
            </wp:positionH>
            <wp:positionV relativeFrom="paragraph">
              <wp:posOffset>-127635</wp:posOffset>
            </wp:positionV>
            <wp:extent cx="14065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ectPr>
          <w:pgSz w:w="11900" w:h="16838" w:orient="portrait"/>
          <w:cols w:equalWidth="0" w:num="1">
            <w:col w:w="10600"/>
          </w:cols>
          <w:pgMar w:left="660" w:top="576" w:right="639" w:bottom="1440" w:gutter="0" w:footer="0" w:header="0"/>
        </w:sectPr>
      </w:pP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600"/>
          </w:cols>
          <w:pgMar w:left="660" w:top="576" w:right="6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Unaudited Interim Consolidated Financial Statements</w:t>
      </w:r>
    </w:p>
    <w:p>
      <w:pPr>
        <w:spacing w:after="0" w:line="9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unaudited interim consolidated financial statements of AGNC Investment Corp. (referred throughout this report as the "Company", "we", "us" and "our") are prepared in accordance with U.S. generally accepted accounting principles ("GAAP") for interim financial information and pursuant to the requirements for reporting on Form 10-Q and Article 10 of Regulation S-X.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income and expenses during the reporting period. Actual results could differ from those estimates.</w:t>
      </w:r>
    </w:p>
    <w:p>
      <w:pPr>
        <w:spacing w:after="0" w:line="13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Our unaudited interim consolidated financial statements include the accounts of all of our wholly-owned subsidiaries and variable interest entities for which we are the primary beneficiary. Significant intercompany accounts and transactions have been eliminated. In the opinion of management, all adjustments, consisting solely of normal recurring accruals, necessary for the fair presentation of financial statements for the interim period have been included. The current period’s results of operations are not necessarily indicative of results that ultimately may be achieved for the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Organization</w:t>
      </w:r>
    </w:p>
    <w:p>
      <w:pPr>
        <w:spacing w:after="0" w:line="175"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We were organized in Delaware on January 7, 2008, and commenced operations on May 20, 2008 following the completion of our initial public offering ("IPO"). Our common stock is traded on The NASDAQ Global Select Market under the symbol "AGNC."</w:t>
      </w:r>
    </w:p>
    <w:p>
      <w:pPr>
        <w:spacing w:after="0" w:line="10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operate so as to qualify to be taxed as a real estate investment trust ("REIT") under the Internal Revenue Code of 1986, as amended (the "Internal Revenue Code"). As a REIT, we are required to distribute annually 90% of our taxable net income. As long as we continue to qualify as a REIT, we will generally not be subject to U.S. federal or state corporate taxes on our taxable net income to the extent that we distribute our annual taxable net income to our stockholders on a timely basis. It is our intention to distribute 100% of our taxable net income, after application of available tax attributes, within the limits prescribed by the Internal Revenue Code, which may extend into the subsequent tax year.</w:t>
      </w:r>
    </w:p>
    <w:p>
      <w:pPr>
        <w:spacing w:after="0" w:line="13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earn income primarily from investing in residential mortgage-backed securities for which the principal and interest payments are guaranteed by a U.S. Government-sponsored enterprise or a U.S. Government agency ("Agency RMBS") on a leveraged basis. We may also invest in other types of mortgage and mortgage-related securities, such as credit risk transfer ("CRT") securities and non-Agency residential and commercial mortgage-backed securities ("non-Agency RMBS" and "CMBS," respectively), where repayment of principal and interest is not guaranteed by a U.S. Government-sponsored enterprise or U.S. Government agency (see Note 3 for further details).</w:t>
      </w:r>
    </w:p>
    <w:p>
      <w:pPr>
        <w:spacing w:after="0" w:line="13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principal objective is to provide our stockholders with attractive risk-adjusted returns through a combination of monthly dividends and net asset value (also referred to as "net book value" or "NAV") accretion. We generate income from the interest earned on our investment assets, net of associated borrowing and hedging activities, and net realized gains and losses on our investments and hedging activities. We fund our investments primarily through borrowings structured as repurchase agreements.</w:t>
      </w:r>
    </w:p>
    <w:p>
      <w:pPr>
        <w:spacing w:after="0" w:line="12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Prior to July 1, 2016, we were externally managed by AGNC Management, LLC (our "Manager"). On July 1, 2016, we completed the acquisition of all of the outstanding membership interests of AGNC Mortgage Management, LLC ("AMM"), the parent company of our Manager, from American Capital Asset Management, LLC ("ACAM"), a wholly owned portfolio company of American Capital, Ltd. ("ACAS"). AMM is also the parent company of MTGE Management, LLC, the external manager of MTGE Investment Corp. ("MTGE") (NASDAQ: MTGE). Following the closing of the acquisition of AMM, we became internally managed and are no longer affiliated with ACAS.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Agency RMBS in which we invest consist of residential mortgage pass-through securities and collateralized mortgage obligations ("CMOs") guaranteed by the Federal National Mortgage Association ("Fannie Mae"), Federal Home Loan Mortgage Corporation ("Freddie Mac") or the Government National Mortgage Association ("Ginnie Mae") (collectively referred to as "GSEs").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576" w:right="239" w:bottom="1440" w:gutter="0" w:footer="0" w:header="0"/>
        </w:sectPr>
      </w:pPr>
    </w:p>
    <w:bookmarkStart w:id="7" w:name="page8"/>
    <w:bookmarkEnd w:id="7"/>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CRT securities are risk sharing instruments issued by the GSEs, and similarly structured transactions issued by third party market participants, that transfer a portion of the risk associated with credit losses within pools of conventional residential mortgage loans from the GSEs and/or third parties to private investors. Unlike Agency RMBS, full repayment of the original principal balance of CRT securities is not guaranteed by a GSE or other government agency; rather, "credit risk transfer" is achieved by writing down the outstanding principal balance of the CRT securities if credit losses on a related pool of loans exceed certain thresholds. By reducing the amount that they are obligated to repay to holders of CRT securities, the GSEs and/or other third parties are able to offset credit losses on the related loans.</w:t>
      </w:r>
    </w:p>
    <w:p>
      <w:pPr>
        <w:spacing w:after="0" w:line="13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Non-Agency RMBS and CMBS (together, "Non-Agency MBS") are backed by residential and commercial mortgage loans, respectively, packaged and securitized by a private institution, such as a commercial bank. Non-Agency MBS typically benefit from credit enhancements derived from structural elements, such as subordination, overcollateralization or insurance, but nonetheless carry a higher level of credit exposure than Agency RMBS.</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Mortgage-related securities may also include investments in the common stock of other publicly traded mortgage REITs, including MTGE, which invest in Agency and non-Agency securities and/or other real estate related assets. As of June 30, 2017, our investments in REIT equity securities consisted of MTGE common stock.</w:t>
      </w:r>
    </w:p>
    <w:p>
      <w:pPr>
        <w:spacing w:after="0" w:line="120"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 xml:space="preserve">Accounting Standards Codification ("ASC") Topic 320, </w:t>
      </w:r>
      <w:r>
        <w:rPr>
          <w:rFonts w:ascii="Times New Roman" w:cs="Times New Roman" w:eastAsia="Times New Roman" w:hAnsi="Times New Roman"/>
          <w:sz w:val="18"/>
          <w:szCs w:val="18"/>
          <w:i w:val="1"/>
          <w:iCs w:val="1"/>
          <w:color w:val="auto"/>
        </w:rPr>
        <w:t>Investments—Debt and Equity Securities</w:t>
      </w:r>
      <w:r>
        <w:rPr>
          <w:rFonts w:ascii="Times New Roman" w:cs="Times New Roman" w:eastAsia="Times New Roman" w:hAnsi="Times New Roman"/>
          <w:sz w:val="18"/>
          <w:szCs w:val="18"/>
          <w:color w:val="auto"/>
        </w:rPr>
        <w:t xml:space="preserve">, requires that at the time of purchase, we designate a security as held-to-maturity, available-for-sale or trading, depending on our ability and intent to hold such security to maturity. Alternatively, we may elect the fair value option of accounting for such securities pursuant to ASC Topic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All of our securities are reported at fair value as they have either been designated as available-for-sale or trading or we have elected the fair value option of accounting. Unrealized gains and losses on securities classified as available-for-sale are reported in accumulated other comprehensive income (loss) ("OCI"). Unrealized gains and losses on securities classified as trading or for which we elected the fair value option are reflected in net income through other gain (loss) during the period in which they occur. Upon the sale of a security designated as available-for-sale, we determine the cost of the security and the amount of unrealized gains or losses to reclassify out of accumulated OCI into earnings based on the specific identification method.</w:t>
      </w:r>
    </w:p>
    <w:p>
      <w:pPr>
        <w:spacing w:after="0" w:line="133"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Prior to fiscal year 2017, we primarily designated our investment securities as available-for-sale. During fiscal year 2017, we elected the fair value option of accounting for all investment securities acquired after fiscal year 2016. In our view, this election simplifies the accounting for investment securities and more appropriately reflects the results of our operations for a particular reporting period, as the fair value changes for these assets are presented in a manner consistent with the presentation and timing of the fair value changes of our hedging instruments. We are not permitted to change the designation of securities acquired prior to January 1, 2017, accordingly, such securities will continue to be classified as available-for-sale securities until such time as we receive full repayment of principal or we dispose of the security.</w:t>
      </w:r>
    </w:p>
    <w:p>
      <w:pPr>
        <w:spacing w:after="0" w:line="13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estimate the fair value of our investment securities based on a market approach using "Level 2" inputs from third-party pricing services and non-binding dealer quotes derived from common market pricing methods. Such methods incorporate, but are not limited to, reported trades and executable bid and asked prices for similar securities, benchmark interest rate curves, such as the spread to the U.S. Treasury rate and interest rate swap curves, convexity, duration and the underlying characteristics of the particular security, including coupon, periodic and life caps, rate reset period, issuer, additional credit support and expected life of the security. Refer to Note 8 for further discussion of fair value measurements.</w:t>
      </w:r>
    </w:p>
    <w:p>
      <w:pPr>
        <w:spacing w:after="0" w:line="130"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8"/>
          <w:szCs w:val="18"/>
          <w:color w:val="auto"/>
        </w:rPr>
        <w:t>We evaluate our investments designated as available-for-sale for other-than-temporary impairment ("OTTI") on at least a quarterly basis. The determination of whether a security is other-than-temporarily impaired may involve judgments and assumptions based on subjective and objective factors. When a security is impaired, an OTTI is considered to have occurred if any one of the following three conditions exists as of the financial reporting date:</w:t>
      </w:r>
    </w:p>
    <w:p>
      <w:pPr>
        <w:spacing w:after="0" w:line="2" w:lineRule="exact"/>
        <w:rPr>
          <w:sz w:val="20"/>
          <w:szCs w:val="20"/>
          <w:color w:val="auto"/>
        </w:rPr>
      </w:pPr>
    </w:p>
    <w:p>
      <w:pPr>
        <w:jc w:val="both"/>
        <w:ind w:firstLine="8"/>
        <w:spacing w:after="0" w:line="254" w:lineRule="auto"/>
        <w:tabs>
          <w:tab w:leader="none" w:pos="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sell the security (that is, a decision has been made to sell the security), (ii) it is more likely than not that we will be required to sell the security before recovery of its amortized cost basis or (iii) we do not expect to recover the security's amortized cost basis, even if we do not intend to sell the security and it is not more likely than not that we will be required to sell the security. A general allowance for unidentified impairments in a portfolio of securities is not permitted.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7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 xml:space="preserve">Interest income is accrued based on the outstanding principal amount of the investment securities and their contractual terms. Premiums or discounts associated with the purchase of Agency RMBS and non-Agency MBS of high credit quality are amortized or accreted into interest income, respectively, over the projected lives of the securities, including contractual payments and estimated prepayments using the effective interest method in accordance with ASC Subtopic 310-20, </w:t>
      </w:r>
      <w:r>
        <w:rPr>
          <w:rFonts w:ascii="Times New Roman" w:cs="Times New Roman" w:eastAsia="Times New Roman" w:hAnsi="Times New Roman"/>
          <w:sz w:val="18"/>
          <w:szCs w:val="18"/>
          <w:i w:val="1"/>
          <w:iCs w:val="1"/>
          <w:color w:val="auto"/>
        </w:rPr>
        <w:t>Receivables—Nonrefundable Fees and Other Costs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742" w:right="239" w:bottom="1440" w:gutter="0" w:footer="0" w:header="0"/>
        </w:sectPr>
      </w:pPr>
    </w:p>
    <w:bookmarkStart w:id="8" w:name="page9"/>
    <w:bookmarkEnd w:id="8"/>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estimate long-term prepayment speeds of our mortgage securities using a third-party service and market data. Actual and anticipated prepayment experience is reviewed quarterly and effective yields are recalculated when differences arise between (i) our previously estimated future prepayments and (ii) the actual prepayments to date plus our currently estimated future prepayments. If the actual and estimated future prepayment experience differs from our prior estimate of prepayments, we are required to record an adjustment in the current period to the amortization or accretion of premiums and discounts for the cumulative difference in the effective yield through the reporting date.</w:t>
      </w:r>
    </w:p>
    <w:p>
      <w:pPr>
        <w:spacing w:after="0" w:line="18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At the time we purchase CRT securities and non-Agency MBS that are not of high credit quality, we determine an effective yield based on our estimate of the timing and amount of future cash flows and our cost basis. Our initial cash flow estimates for these investments are based on our observations of current information and events and include assumptions related to interest rates, prepayment rates and the impact of default and severity rates on the timing and amount of credit losses. On at least a quarterly basis, we review the estimated cash flows and make appropriate adjustments, based on inputs and analysis received from external sources, internal models, and our judgment regarding such inputs and other factors. Any resulting changes in effective yield are recognized prospectively based on the current amortized cost of the investment as adjusted for credit impairment, if any.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 Agreements</w:t>
      </w:r>
    </w:p>
    <w:p>
      <w:pPr>
        <w:spacing w:after="0" w:line="18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We finance the acquisition of securities for our investment portfolio primarily through repurchase transactions under master repurchase agreements. Pursuant to ASC Topic 860, </w:t>
      </w:r>
      <w:r>
        <w:rPr>
          <w:rFonts w:ascii="Times New Roman" w:cs="Times New Roman" w:eastAsia="Times New Roman" w:hAnsi="Times New Roman"/>
          <w:sz w:val="18"/>
          <w:szCs w:val="18"/>
          <w:i w:val="1"/>
          <w:iCs w:val="1"/>
          <w:color w:val="auto"/>
        </w:rPr>
        <w:t>Transfers and Servicing</w:t>
      </w:r>
      <w:r>
        <w:rPr>
          <w:rFonts w:ascii="Times New Roman" w:cs="Times New Roman" w:eastAsia="Times New Roman" w:hAnsi="Times New Roman"/>
          <w:sz w:val="18"/>
          <w:szCs w:val="18"/>
          <w:color w:val="auto"/>
        </w:rPr>
        <w:t xml:space="preserve"> ("ASC 860"), we account for repurchase transactions as collateralized financing transactions, which are carried at their contractual amounts (cost), plus accrued interest, as specified in the respective transactions. Our repurchase agreements typically have maturities of less than one year, but may extend up to five years or more. Interest rates under our repurchase agreements generally correspond to one, three or six month LIBOR plus or minus a fixed spread. The fair value of our repurchase agreements is assumed to equal cost as the interest rates are considered to be at market.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Repurchase Agreements and Obligation to Return Securities Borrowed under Reverse Repurchase Agreements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We borrow securities to cover short sales of U.S. Treasury securities through reverse repurchase transactions under our master repurchase agreements (see </w:t>
      </w:r>
      <w:r>
        <w:rPr>
          <w:rFonts w:ascii="Times New Roman" w:cs="Times New Roman" w:eastAsia="Times New Roman" w:hAnsi="Times New Roman"/>
          <w:sz w:val="18"/>
          <w:szCs w:val="18"/>
          <w:i w:val="1"/>
          <w:iCs w:val="1"/>
          <w:color w:val="auto"/>
        </w:rPr>
        <w:t>Derivatives Instruments</w:t>
      </w:r>
      <w:r>
        <w:rPr>
          <w:rFonts w:ascii="Times New Roman" w:cs="Times New Roman" w:eastAsia="Times New Roman" w:hAnsi="Times New Roman"/>
          <w:sz w:val="18"/>
          <w:szCs w:val="18"/>
          <w:color w:val="auto"/>
        </w:rPr>
        <w:t xml:space="preserve"> below). We account for these as securities borrowing transactions and recognize an obligation to return the borrowed securities at fair value on the balance sheet based on the value of the underlying borrowed securities as of the reporting date. Our reverse repurchase agreements generally mature daily. The fair value of our reverse repurchase agreements is assumed to equal cost as the interest rates are generally reset daily.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use a variety of derivative instruments to hedge a portion of our exposure to market risks, including interest rate, prepayment, extension and liquidity risks. The objective of our risk management strategy is to reduce fluctuations in net book value over a range of interest rate scenarios. In particular, we attempt to mitigate the risk of the cost of our variable rate liabilities increasing during a period of rising interest rates. The principal instruments that we use are interest rate swaps and options to enter into interest rate swaps ("swaptions"). We also utilize U.S. Treasury securities and U.S. Treasury futures contracts, primarily through short sales, and forward contracts for the purchase or sale of Agency RMBS in the "to-be-announced" market ("TBA securities"). We may also purchase or write put or call options on TBA securities and utilize other types of derivative instruments to hedge a portion of our risk.</w:t>
      </w:r>
    </w:p>
    <w:p>
      <w:pPr>
        <w:spacing w:after="0" w:line="134"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We enter into TBA contracts as a means of investing in and financing Agency securities (thereby increasing our "at risk" leverage) or as a means of disposing of or reducing our exposure to Agency securities (thereby reducing our "at risk" leverage). Under TBA contracts, we agree to purchase or sell, for future delivery, Agency securities with certain principal and interest terms and certain types of collateral, but the particular Agency securities to be delivered are not identified until shortly before the TBA settlement date. We may also choose, prior to settlement, to move the settlement of these securities out to a later date by entering into an offsetting position (referred to as a "pair off"), net settling the paired off positions for cash, and simultaneously purchasing or selling a similar TBA contract for a later settlement date. This transaction is commonly referred to as a "dollar roll." The Agency securities purchased or sold for a forward settlement date are typically priced at a discount to Agency securities for settlement in the current month. This difference (or discount) is referred to as the "price drop." The price drop is the economic equivalent of net interest carry income on the underlying Agency securities over the roll period (interest income less implied financing cost) and is commonly referred to as "dollar roll income/loss." Consequently, forward purchases of Agency securities and dollar roll transactions represent a form of off-balance sheet financing.</w:t>
      </w:r>
    </w:p>
    <w:p>
      <w:pPr>
        <w:spacing w:after="0" w:line="130" w:lineRule="exact"/>
        <w:rPr>
          <w:sz w:val="20"/>
          <w:szCs w:val="20"/>
          <w:color w:val="auto"/>
        </w:rPr>
      </w:pPr>
    </w:p>
    <w:p>
      <w:pPr>
        <w:jc w:val="both"/>
        <w:ind w:firstLine="432"/>
        <w:spacing w:after="0" w:line="284" w:lineRule="auto"/>
        <w:rPr>
          <w:sz w:val="20"/>
          <w:szCs w:val="20"/>
          <w:color w:val="auto"/>
        </w:rPr>
      </w:pPr>
      <w:r>
        <w:rPr>
          <w:rFonts w:ascii="Times New Roman" w:cs="Times New Roman" w:eastAsia="Times New Roman" w:hAnsi="Times New Roman"/>
          <w:sz w:val="18"/>
          <w:szCs w:val="18"/>
          <w:color w:val="auto"/>
        </w:rPr>
        <w:t xml:space="preserve">We account for derivative instruments in accordance with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ASC 815 requires an entity to recognize all derivatives as either assets or liabilities in our accompanying consolidated balance sheets and to measure those instruments at fair value.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742" w:right="239" w:bottom="1440" w:gutter="0" w:footer="0" w:header="0"/>
        </w:sectPr>
      </w:pPr>
    </w:p>
    <w:bookmarkStart w:id="9" w:name="page10"/>
    <w:bookmarkEnd w:id="9"/>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derivative agreements generally contain provisions that allow for netting or setting off derivative assets and liabilities with the counterparty; however, we report related assets and liabilities on a gross basis in our consolidated balance sheets. Derivative instruments in a gain position are reported as derivative assets at fair value and derivative instruments in a loss position are reported as derivative liabilities at fair value in our consolidated balance sheets. Changes in fair value of derivative instruments and periodic settlements related to our derivative instruments are recorded in gain (loss) on derivative instruments and other securities, net in our consolidated statements of comprehensive income. Cash receipts and payments related to derivative instruments are classified in our consolidated statements of cash flows according to the underlying nature or purpose of the derivative transaction, generally in the investing section.</w:t>
      </w:r>
    </w:p>
    <w:p>
      <w:pPr>
        <w:spacing w:after="0" w:line="13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use of derivative instruments creates exposure to credit risk relating to potential losses that could be recognized if the counterparties to these instruments fail to perform their obligations under the contracts. Our derivative agreements require that we post or receive collateral on such agreements to mitigate such risk. We also attempt to minimize our risk of loss by limiting our counterparties to major financial institutions with acceptable credit ratings, monitoring positions with individual counterparties and adjusting posted collateral as required.</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Discontinuation of hedge accounting for interest rate swap agreements</w:t>
      </w:r>
    </w:p>
    <w:p>
      <w:pPr>
        <w:spacing w:after="0" w:line="173"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Prior to fiscal year 2011, we entered into interest rate swap agreements typically with the intention of qualifying for hedge accounting under ASC 815. However, during fiscal year 2011, we elected to discontinue hedge accounting for our interest rate swaps. Upon discontinuation of hedge accounting, the net deferred loss related to our de-designated interest rate swaps remained in accumulated OCI and was reclassified from accumulated OCI into interest expense on a straight-line basis over the remaining term of each interest rate swap through December 2016.</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Interest rate swap agreements</w:t>
      </w:r>
    </w:p>
    <w:p>
      <w:pPr>
        <w:spacing w:after="0" w:line="173"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use interest rate swaps to hedge the variable cash flows associated with our borrowings made under repurchase agreement facilities. Under our interest rate swap agreements, we typically pay a fixed rate and receive a floating rate based on one, three or six-month LIBOR ("payer swaps") with terms up to 20 years. The floating rate we receive under our swap agreements has the effect of offsetting the repricing characteristics of our repurchase agreements and cash flows on such liabilities. Our swap agreements are privately negotiated in the over−the−counter ("OTC") market. Swap agreements entered into after May 2013 are centrally cleared through the Chicago Mercantile Exchange ("CME"), a registered commodities exchange.</w:t>
      </w:r>
    </w:p>
    <w:p>
      <w:pPr>
        <w:spacing w:after="0" w:line="13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estimate the fair value of our centrally cleared interest rate swaps using the daily settlement price determined by the respective exchange. Centrally cleared swaps are valued by the exchange using a pricing model that references the underlying rates including the overnight index swap rate and LIBOR forward rate to produce the daily settlement price.</w:t>
      </w:r>
    </w:p>
    <w:p>
      <w:pPr>
        <w:spacing w:after="0" w:line="122"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Our centrally cleared swaps require that we post an “initial margin” to our counterparties for an amount determined by the CME, which is generally intended to be set at a level sufficient to protect the CME from the maximum estimated single-day price movement in that market participant’s contracts. We exchange cash “variation margin” with our counterparties on our centrally cleared swaps based upon daily changes in the fair value as measured by the CME. Beginning in 2017, as a result of a CME amendment to its rule book governing its central clearing activities, the daily exchange of variation margin associated with a CME centrally cleared derivative instrument is characterized as the daily settlement of the derivative instrument itself, as opposed to a pledge of collateral. Accordingly, beginning in 2017, we account for the daily receipt or payment of variation margin associated with our centrally cleared interest rate swaps as a direct reduction to the carrying value of the interest rate swap asset or liability. Thus, the carrying amount of centrally cleared interest rate swaps reflected in our consolidated balance sheets is equal to the unsettled fair value of such instruments.</w:t>
      </w:r>
    </w:p>
    <w:p>
      <w:pPr>
        <w:spacing w:after="0" w:line="131"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estimate the fair value of our non-centrally cleared swaps using a combination of inputs from counterparty and third-party pricing models to estimate the net present value of the future cash flows using the forward interest rate yield curve in effect as of the end of the measurement period. We also incorporate both our own and our counterparties' nonperformance risk in estimating the fair value of our interest rate swaps. In considering the effect of nonperformance risk, we consider the impact of netting and credit enhancements, such as collateral postings and guarantees, and have concluded that our own and our counterparty risk is not significant to the overall valuation of these agreements.</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Interest rate swaptions</w:t>
      </w:r>
    </w:p>
    <w:p>
      <w:pPr>
        <w:spacing w:after="0" w:line="173"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purchase interest rate swaptions generally to help mitigate the potential impact of larger, more rapid changes in interest rates on the performance of our investment portfolio. Interest rate swaptions provide us the option to enter into an interest rate swap agreement for a predetermined notional amount, stated term and pay and receive interest rates in the future. Our swaption agreements typically provide us the option to enter into a pay-fixed rate interest rate swap, which we refer as "payer swaptions." We may also enter into swaption agreements that provide us the option to enter into a receive-fixed interest rate swap, which we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742" w:right="239" w:bottom="1440" w:gutter="0" w:footer="0" w:header="0"/>
        </w:sectPr>
      </w:pPr>
    </w:p>
    <w:bookmarkStart w:id="10" w:name="page11"/>
    <w:bookmarkEnd w:id="10"/>
    <w:p>
      <w:pPr>
        <w:jc w:val="both"/>
        <w:spacing w:after="0" w:line="256" w:lineRule="auto"/>
        <w:rPr>
          <w:sz w:val="20"/>
          <w:szCs w:val="20"/>
          <w:color w:val="auto"/>
        </w:rPr>
      </w:pPr>
      <w:r>
        <w:rPr>
          <w:rFonts w:ascii="Times New Roman" w:cs="Times New Roman" w:eastAsia="Times New Roman" w:hAnsi="Times New Roman"/>
          <w:sz w:val="18"/>
          <w:szCs w:val="18"/>
          <w:color w:val="auto"/>
        </w:rPr>
        <w:t>refer to as "receiver swaptions." The premium paid for interest rate swaptions is reported as an asset in our consolidated balance sheets. The premium is valued at an amount equal to the fair value of the swaption that would have the effect of closing the position adjusted for nonperformance risk, if any. The difference between the premium and the fair value of the swaption is reported in gain (loss) on derivative instruments and other securities, net in our consolidated statements of comprehensive income. If a swaption expires unexercised, the realized loss on the swaption would be equal to the premium paid. If we sell or exercise a swaption, the realized gain or loss on the swaption would be equal to the difference between the cash or the fair value of the underlying interest rate swap received and the premium paid.</w:t>
      </w:r>
    </w:p>
    <w:p>
      <w:pPr>
        <w:spacing w:after="0" w:line="13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Our interest rate swaption agreements are privately negotiated in the OTC market and are not subject to central clearing. We estimate the fair value of interest rate swaptions using a combination of inputs from counterparty and third-party pricing models based on the fair value of the future interest rate swap that we have the option to enter into as well as the remaining length of time that we have to exercise the option, adjusted for non-performance risk, if any.</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TBA securities</w:t>
      </w:r>
    </w:p>
    <w:p>
      <w:pPr>
        <w:spacing w:after="0" w:line="173"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A TBA security is a forward contract for the purchase ("long position") or sale ("short position") of Agency RMBS at a predetermined price, face amount, issuer, coupon and stated maturity on an agreed-upon future date. The specific Agency RMBS delivered into the contract upon the settlement date, published each month by the Securities Industry and Financial Markets Association, are not known at the time of the transaction. We enter into TBA contracts primarily as a means of acquiring or disposing of Agency securities and utilize TBA dollar roll transactions to finance Agency RMBS purchases.</w:t>
      </w:r>
    </w:p>
    <w:p>
      <w:pPr>
        <w:spacing w:after="0" w:line="126"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account for TBA contracts as derivative instruments since either the TBA contracts do not settle in the shortest period of time possible or we cannot assert that it is probable at inception and throughout the term of the TBA contract that we will take physical delivery of the Agency security upon settlement of the contract. We account for TBA dollar roll transactions as a series of derivative transactions. Gains, losses and dollar roll income associated with our TBA contracts and dollar roll transactions are recognized in our consolidated statements of comprehensive income in gain (loss) on derivative instruments and other securities, net. We estimate the fair value of TBA securities based on similar methods used to value our Agency RMBS securities.</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U.S. Treasury securities</w:t>
      </w:r>
    </w:p>
    <w:p>
      <w:pPr>
        <w:spacing w:after="0" w:line="173"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We purchase and sell short U.S. Treasury securities and U.S. Treasury futures contracts to help mitigate the potential impact of changes in interest rates on the performance of our portfolio. We borrow securities to cover short sales of U.S. Treasury securities under reverse repurchase agreements. We account for these as securities borrowing transactions and recognize an obligation to return the borrowed securities at fair value on our accompanying consolidated balance sheets based on the value of the underlying borrowed securities as of the reporting date. Gains and losses associated with purchases and short sales of U.S. Treasury securities and U.S. Treasury futures contracts are recognized in gain (loss) on derivative instruments and other securities, net in our consolidated statements of comprehensive income.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Contingencies</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We evaluate the existence of any pending or threatened litigation or other potential claims against the Company in accordance with ASC Topic 450, </w:t>
      </w:r>
      <w:r>
        <w:rPr>
          <w:rFonts w:ascii="Times New Roman" w:cs="Times New Roman" w:eastAsia="Times New Roman" w:hAnsi="Times New Roman"/>
          <w:sz w:val="18"/>
          <w:szCs w:val="18"/>
          <w:i w:val="1"/>
          <w:iCs w:val="1"/>
          <w:color w:val="auto"/>
        </w:rPr>
        <w:t xml:space="preserve">Contingencies, </w:t>
      </w:r>
      <w:r>
        <w:rPr>
          <w:rFonts w:ascii="Times New Roman" w:cs="Times New Roman" w:eastAsia="Times New Roman" w:hAnsi="Times New Roman"/>
          <w:sz w:val="18"/>
          <w:szCs w:val="18"/>
          <w:color w:val="auto"/>
        </w:rPr>
        <w:t>which requires that we assess the likelihood and range of potential outcomes of any such matters. We are the defendant in two stockholder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derivative lawsuits alleging that certain of our current and former directors and officers breached fiduciary duties and wasted corporate assets in connection with past renewals of the management agreement with our former external Manager and the internalization of our management, which occurred on July 1, 2016. Although the outcomes of these cases cannot be predicted with certainty, we do not believe that these cases have merit or will result in a material liability and, as of June 30, 2017, we did not accrue a loss contingency related to these matters.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7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consider the applicability and impact of all Accounting Standards Updates (“ASUs”) issued by the Financial Accounting Standards Board. ASUs not listed below were determined to be either not applicable, are not expected to have a significant impact on our consolidated financial statements when adopted, or did not have a significant impact on our consolidated financial statements upon adoption.</w:t>
      </w:r>
    </w:p>
    <w:p>
      <w:pPr>
        <w:spacing w:after="0" w:line="120"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ASU 2014-09, Revenue from Contracts with Customers (Topic 606): </w:t>
      </w:r>
      <w:r>
        <w:rPr>
          <w:rFonts w:ascii="Times New Roman" w:cs="Times New Roman" w:eastAsia="Times New Roman" w:hAnsi="Times New Roman"/>
          <w:sz w:val="18"/>
          <w:szCs w:val="18"/>
          <w:color w:val="auto"/>
        </w:rPr>
        <w:t>ASU 2014-09 is a comprehensive revenue recognition standard that supersedes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virtually all existing revenue guidance under U.S. GAAP. The standard’s core principle is that an entity will recognize revenue when it transfers promised goods or services to customers in an amount that reflects the consideration to which the entity expects to be entitled in exchange for those goods and services. Revenue recognition with respect to financial instruments is not within the scope of ASU 2014-09 and our review of each of our revenue streams indicates that it will not have a significant impact on our consolidated financial statements. ASU 2014-09 is effective on January 1, 2018.</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742" w:right="239" w:bottom="1440" w:gutter="0" w:footer="0" w:header="0"/>
        </w:sectPr>
      </w:pPr>
    </w:p>
    <w:bookmarkStart w:id="11" w:name="page12"/>
    <w:bookmarkEnd w:id="11"/>
    <w:p>
      <w:pPr>
        <w:jc w:val="both"/>
        <w:ind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ASU 2016-13, Financial Instruments - Credit Losses (Topic 606): </w:t>
      </w:r>
      <w:r>
        <w:rPr>
          <w:rFonts w:ascii="Times New Roman" w:cs="Times New Roman" w:eastAsia="Times New Roman" w:hAnsi="Times New Roman"/>
          <w:sz w:val="18"/>
          <w:szCs w:val="18"/>
          <w:color w:val="auto"/>
        </w:rPr>
        <w:t>ASU 2016-13 changes the impairment model for most financial assets and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instruments. Allowances for credit losses on available-for-sale debt securities will be recognized, rather than direct reductions in the amortized cost of the investments. The new model also requires the estimation of lifetime expected credit losses and corresponding recognition of allowance for losses on trade and other receivables, held-to-maturity debt securities, loans, and other instruments held at amortized cost. The ASU requires certain recurring disclosures and is effective for annual periods, and interim periods within those annual periods, beginning on or after December 15, 2019, with early adoption permitted for annual periods, and interim periods within those annual periods, beginning on or after December 15, 2018. ASU 2016-13 is not expected to have a significant impact on our consolidated financial statements.</w:t>
      </w:r>
    </w:p>
    <w:p>
      <w:pPr>
        <w:spacing w:after="0" w:line="129"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ASU 2016-18, Statement of Cash Flows (Topic 230) - Restricted Cash: </w:t>
      </w:r>
      <w:r>
        <w:rPr>
          <w:rFonts w:ascii="Times New Roman" w:cs="Times New Roman" w:eastAsia="Times New Roman" w:hAnsi="Times New Roman"/>
          <w:sz w:val="18"/>
          <w:szCs w:val="18"/>
          <w:color w:val="auto"/>
        </w:rPr>
        <w:t>ASU 2016-18 requires that a statement of cash flows explain the change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ASU 2016-18 will be effective on January 1, 2018 and is not expected to have a significant impact on our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Investment Securities</w:t>
      </w:r>
    </w:p>
    <w:p>
      <w:pPr>
        <w:spacing w:after="0" w:line="175"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As of June 30, 2017 and December 31, 2016, our investment portfolio consisted of $46.6 billion and $46.5 billion of investment securities, at fair value, respectively, and $17.3 billion and $11.2 billion of TBA securities, at fair value, respectively. Our TBA position is reported at its net carrying value of $(12) million and $(147) million as of June 30, 2017 and December 31, 2016, respectively, in derivative assets/(liabilities) on our accompanying consolidated balance sheets. The net carrying value of our TBA position represents the difference between the fair value of the underlying Agency security in the TBA contract and the cost basis or the forward price to be paid or received for the underlying Agency security.</w:t>
      </w:r>
    </w:p>
    <w:p>
      <w:pPr>
        <w:spacing w:after="0" w:line="13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As of June 30, 2017 and December 31, 2016, our investment securities had a net unamortized premium balance of $2.2 billion and $2.1 billion, respectively, including interest and principal-only securities.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summarize our investment securities as of June 30, 2017 and December 31, 2016, excluding TBA securities, (dollars in millions).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6 contains details of our TBA securities as of June 30, 2017 and December 31, 2016.</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0" w:type="dxa"/>
            <w:vAlign w:val="bottom"/>
          </w:tcPr>
          <w:p>
            <w:pPr>
              <w:spacing w:after="0"/>
              <w:rPr>
                <w:sz w:val="1"/>
                <w:szCs w:val="1"/>
                <w:color w:val="auto"/>
              </w:rPr>
            </w:pPr>
          </w:p>
        </w:tc>
      </w:tr>
      <w:tr>
        <w:trPr>
          <w:trHeight w:val="149"/>
        </w:trPr>
        <w:tc>
          <w:tcPr>
            <w:tcW w:w="55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Investment Securities</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380" w:type="dxa"/>
            <w:vAlign w:val="bottom"/>
          </w:tcPr>
          <w:p>
            <w:pPr>
              <w:spacing w:after="0"/>
              <w:rPr>
                <w:sz w:val="12"/>
                <w:szCs w:val="12"/>
                <w:color w:val="auto"/>
              </w:rPr>
            </w:pPr>
          </w:p>
        </w:tc>
        <w:tc>
          <w:tcPr>
            <w:tcW w:w="100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2"/>
                <w:szCs w:val="12"/>
                <w:color w:val="auto"/>
              </w:rPr>
            </w:pPr>
          </w:p>
        </w:tc>
        <w:tc>
          <w:tcPr>
            <w:tcW w:w="112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5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5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Agency RMBS:</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Fixed rate</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44,883</w:t>
            </w:r>
          </w:p>
        </w:tc>
        <w:tc>
          <w:tcPr>
            <w:tcW w:w="120" w:type="dxa"/>
            <w:vAlign w:val="bottom"/>
          </w:tcPr>
          <w:p>
            <w:pPr>
              <w:spacing w:after="0"/>
              <w:rPr>
                <w:sz w:val="23"/>
                <w:szCs w:val="23"/>
                <w:color w:val="auto"/>
              </w:rPr>
            </w:pP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44,643</w:t>
            </w:r>
          </w:p>
        </w:tc>
        <w:tc>
          <w:tcPr>
            <w:tcW w:w="120" w:type="dxa"/>
            <w:vAlign w:val="bottom"/>
          </w:tcPr>
          <w:p>
            <w:pPr>
              <w:spacing w:after="0"/>
              <w:rPr>
                <w:sz w:val="23"/>
                <w:szCs w:val="23"/>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45,145</w:t>
            </w:r>
          </w:p>
        </w:tc>
        <w:tc>
          <w:tcPr>
            <w:tcW w:w="10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44,736</w:t>
            </w:r>
          </w:p>
        </w:tc>
        <w:tc>
          <w:tcPr>
            <w:tcW w:w="0" w:type="dxa"/>
            <w:vAlign w:val="bottom"/>
          </w:tcPr>
          <w:p>
            <w:pPr>
              <w:spacing w:after="0"/>
              <w:rPr>
                <w:sz w:val="1"/>
                <w:szCs w:val="1"/>
                <w:color w:val="auto"/>
              </w:rPr>
            </w:pPr>
          </w:p>
        </w:tc>
      </w:tr>
      <w:tr>
        <w:trPr>
          <w:trHeight w:val="275"/>
        </w:trPr>
        <w:tc>
          <w:tcPr>
            <w:tcW w:w="5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Adjustable rate</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327</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379</w:t>
            </w:r>
          </w:p>
        </w:tc>
        <w:tc>
          <w:tcPr>
            <w:tcW w:w="0" w:type="dxa"/>
            <w:vAlign w:val="bottom"/>
          </w:tcPr>
          <w:p>
            <w:pPr>
              <w:spacing w:after="0"/>
              <w:rPr>
                <w:sz w:val="1"/>
                <w:szCs w:val="1"/>
                <w:color w:val="auto"/>
              </w:rPr>
            </w:pPr>
          </w:p>
        </w:tc>
      </w:tr>
      <w:tr>
        <w:trPr>
          <w:trHeight w:val="265"/>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CMO</w:t>
            </w:r>
          </w:p>
        </w:tc>
        <w:tc>
          <w:tcPr>
            <w:tcW w:w="2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714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722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796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801</w:t>
            </w:r>
          </w:p>
        </w:tc>
        <w:tc>
          <w:tcPr>
            <w:tcW w:w="0" w:type="dxa"/>
            <w:vAlign w:val="bottom"/>
          </w:tcPr>
          <w:p>
            <w:pPr>
              <w:spacing w:after="0"/>
              <w:rPr>
                <w:sz w:val="1"/>
                <w:szCs w:val="1"/>
                <w:color w:val="auto"/>
              </w:rPr>
            </w:pPr>
          </w:p>
        </w:tc>
      </w:tr>
      <w:tr>
        <w:trPr>
          <w:trHeight w:val="270"/>
        </w:trPr>
        <w:tc>
          <w:tcPr>
            <w:tcW w:w="5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Interest-only and principal-only strips</w:t>
            </w: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240</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264</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295</w:t>
            </w:r>
          </w:p>
        </w:tc>
        <w:tc>
          <w:tcPr>
            <w:tcW w:w="0" w:type="dxa"/>
            <w:vAlign w:val="bottom"/>
          </w:tcPr>
          <w:p>
            <w:pPr>
              <w:spacing w:after="0"/>
              <w:rPr>
                <w:sz w:val="1"/>
                <w:szCs w:val="1"/>
                <w:color w:val="auto"/>
              </w:rPr>
            </w:pPr>
          </w:p>
        </w:tc>
      </w:tr>
      <w:tr>
        <w:trPr>
          <w:trHeight w:val="25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Total Agency RMBS</w:t>
            </w:r>
          </w:p>
        </w:tc>
        <w:tc>
          <w:tcPr>
            <w:tcW w:w="22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46,164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45,963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46,580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46,211</w:t>
            </w:r>
          </w:p>
        </w:tc>
        <w:tc>
          <w:tcPr>
            <w:tcW w:w="0" w:type="dxa"/>
            <w:vAlign w:val="bottom"/>
          </w:tcPr>
          <w:p>
            <w:pPr>
              <w:spacing w:after="0"/>
              <w:rPr>
                <w:sz w:val="1"/>
                <w:szCs w:val="1"/>
                <w:color w:val="auto"/>
              </w:rPr>
            </w:pPr>
          </w:p>
        </w:tc>
      </w:tr>
      <w:tr>
        <w:trPr>
          <w:trHeight w:val="275"/>
        </w:trPr>
        <w:tc>
          <w:tcPr>
            <w:tcW w:w="5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Non-Agency RMBS</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265"/>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CMBS</w:t>
            </w:r>
          </w:p>
        </w:tc>
        <w:tc>
          <w:tcPr>
            <w:tcW w:w="2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70"/>
        </w:trPr>
        <w:tc>
          <w:tcPr>
            <w:tcW w:w="5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CRT securities</w:t>
            </w: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549</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572</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164</w:t>
            </w:r>
          </w:p>
        </w:tc>
        <w:tc>
          <w:tcPr>
            <w:tcW w:w="0" w:type="dxa"/>
            <w:vAlign w:val="bottom"/>
          </w:tcPr>
          <w:p>
            <w:pPr>
              <w:spacing w:after="0"/>
              <w:rPr>
                <w:sz w:val="1"/>
                <w:szCs w:val="1"/>
                <w:color w:val="auto"/>
              </w:rPr>
            </w:pPr>
          </w:p>
        </w:tc>
      </w:tr>
      <w:tr>
        <w:trPr>
          <w:trHeight w:val="242"/>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Total investment securities</w:t>
            </w: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46,744</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46,566</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46,866</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46,499</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740"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95"/>
        </w:trPr>
        <w:tc>
          <w:tcPr>
            <w:tcW w:w="4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Agency RMBS</w:t>
            </w: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4"/>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Non-Agency</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41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Investment Securities</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Fannie Mae</w:t>
            </w:r>
          </w:p>
        </w:tc>
        <w:tc>
          <w:tcPr>
            <w:tcW w:w="120" w:type="dxa"/>
            <w:vAlign w:val="bottom"/>
            <w:vMerge w:val="restart"/>
          </w:tcPr>
          <w:p>
            <w:pPr>
              <w:spacing w:after="0"/>
              <w:rPr>
                <w:sz w:val="12"/>
                <w:szCs w:val="12"/>
                <w:color w:val="auto"/>
              </w:rPr>
            </w:pPr>
          </w:p>
        </w:tc>
        <w:tc>
          <w:tcPr>
            <w:tcW w:w="920" w:type="dxa"/>
            <w:vAlign w:val="bottom"/>
            <w:gridSpan w:val="2"/>
            <w:vMerge w:val="restart"/>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Freddie Mac</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Ginnie</w:t>
            </w:r>
          </w:p>
        </w:tc>
        <w:tc>
          <w:tcPr>
            <w:tcW w:w="180" w:type="dxa"/>
            <w:vAlign w:val="bottom"/>
          </w:tcPr>
          <w:p>
            <w:pPr>
              <w:spacing w:after="0"/>
              <w:rPr>
                <w:sz w:val="12"/>
                <w:szCs w:val="12"/>
                <w:color w:val="auto"/>
              </w:rPr>
            </w:pPr>
          </w:p>
        </w:tc>
        <w:tc>
          <w:tcPr>
            <w:tcW w:w="74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RMBS</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CMBS</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CRT</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1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Mae</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42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Available-for-sale securities:</w:t>
            </w: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3"/>
                <w:szCs w:val="13"/>
                <w:color w:val="auto"/>
              </w:rPr>
              <w:t>Par value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26,924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8,610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35,581</w:t>
            </w:r>
          </w:p>
        </w:tc>
        <w:tc>
          <w:tcPr>
            <w:tcW w:w="0" w:type="dxa"/>
            <w:vAlign w:val="bottom"/>
          </w:tcPr>
          <w:p>
            <w:pPr>
              <w:spacing w:after="0"/>
              <w:rPr>
                <w:sz w:val="1"/>
                <w:szCs w:val="1"/>
                <w:color w:val="auto"/>
              </w:rPr>
            </w:pPr>
          </w:p>
        </w:tc>
      </w:tr>
      <w:tr>
        <w:trPr>
          <w:trHeight w:val="262"/>
        </w:trPr>
        <w:tc>
          <w:tcPr>
            <w:tcW w:w="4280" w:type="dxa"/>
            <w:vAlign w:val="bottom"/>
            <w:gridSpan w:val="2"/>
          </w:tcPr>
          <w:p>
            <w:pPr>
              <w:ind w:left="1200"/>
              <w:spacing w:after="0"/>
              <w:rPr>
                <w:sz w:val="20"/>
                <w:szCs w:val="20"/>
                <w:color w:val="auto"/>
              </w:rPr>
            </w:pPr>
            <w:r>
              <w:rPr>
                <w:rFonts w:ascii="Times New Roman" w:cs="Times New Roman" w:eastAsia="Times New Roman" w:hAnsi="Times New Roman"/>
                <w:sz w:val="13"/>
                <w:szCs w:val="13"/>
                <w:color w:val="auto"/>
              </w:rPr>
              <w:t>Unamortized discount</w:t>
            </w:r>
          </w:p>
        </w:tc>
        <w:tc>
          <w:tcPr>
            <w:tcW w:w="100" w:type="dxa"/>
            <w:vAlign w:val="bottom"/>
          </w:tcPr>
          <w:p>
            <w:pPr>
              <w:spacing w:after="0"/>
              <w:rPr>
                <w:sz w:val="22"/>
                <w:szCs w:val="22"/>
                <w:color w:val="auto"/>
              </w:rPr>
            </w:pP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2"/>
                <w:szCs w:val="22"/>
                <w:color w:val="auto"/>
              </w:rPr>
            </w:pPr>
          </w:p>
        </w:tc>
        <w:tc>
          <w:tcPr>
            <w:tcW w:w="7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272"/>
        </w:trPr>
        <w:tc>
          <w:tcPr>
            <w:tcW w:w="428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3"/>
                <w:szCs w:val="13"/>
                <w:color w:val="auto"/>
              </w:rPr>
              <w:t>Unamortized premium</w:t>
            </w:r>
          </w:p>
        </w:tc>
        <w:tc>
          <w:tcPr>
            <w:tcW w:w="1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1,242</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467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1,709</w:t>
            </w:r>
          </w:p>
        </w:tc>
        <w:tc>
          <w:tcPr>
            <w:tcW w:w="0" w:type="dxa"/>
            <w:vAlign w:val="bottom"/>
          </w:tcPr>
          <w:p>
            <w:pPr>
              <w:spacing w:after="0"/>
              <w:rPr>
                <w:sz w:val="1"/>
                <w:szCs w:val="1"/>
                <w:color w:val="auto"/>
              </w:rPr>
            </w:pPr>
          </w:p>
        </w:tc>
      </w:tr>
      <w:tr>
        <w:trPr>
          <w:trHeight w:val="249"/>
        </w:trPr>
        <w:tc>
          <w:tcPr>
            <w:tcW w:w="4280" w:type="dxa"/>
            <w:vAlign w:val="bottom"/>
            <w:gridSpan w:val="2"/>
          </w:tcPr>
          <w:p>
            <w:pPr>
              <w:ind w:left="1200"/>
              <w:spacing w:after="0"/>
              <w:rPr>
                <w:sz w:val="20"/>
                <w:szCs w:val="20"/>
                <w:color w:val="auto"/>
              </w:rPr>
            </w:pPr>
            <w:r>
              <w:rPr>
                <w:rFonts w:ascii="Times New Roman" w:cs="Times New Roman" w:eastAsia="Times New Roman" w:hAnsi="Times New Roman"/>
                <w:sz w:val="13"/>
                <w:szCs w:val="13"/>
                <w:color w:val="auto"/>
              </w:rPr>
              <w:t>Amortized cost</w:t>
            </w:r>
          </w:p>
        </w:tc>
        <w:tc>
          <w:tcPr>
            <w:tcW w:w="100" w:type="dxa"/>
            <w:vAlign w:val="bottom"/>
          </w:tcPr>
          <w:p>
            <w:pPr>
              <w:spacing w:after="0"/>
              <w:rPr>
                <w:sz w:val="21"/>
                <w:szCs w:val="21"/>
                <w:color w:val="auto"/>
              </w:rPr>
            </w:pPr>
          </w:p>
        </w:tc>
        <w:tc>
          <w:tcPr>
            <w:tcW w:w="8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28,139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9,074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1"/>
                <w:szCs w:val="21"/>
                <w:color w:val="auto"/>
              </w:rPr>
            </w:pPr>
          </w:p>
        </w:tc>
        <w:tc>
          <w:tcPr>
            <w:tcW w:w="7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37,260</w:t>
            </w: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3"/>
                <w:szCs w:val="13"/>
                <w:color w:val="auto"/>
              </w:rPr>
              <w:t>Gross unrealized gains</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164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45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210</w:t>
            </w: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gridSpan w:val="2"/>
          </w:tcPr>
          <w:p>
            <w:pPr>
              <w:ind w:left="1200"/>
              <w:spacing w:after="0"/>
              <w:rPr>
                <w:sz w:val="20"/>
                <w:szCs w:val="20"/>
                <w:color w:val="auto"/>
              </w:rPr>
            </w:pPr>
            <w:r>
              <w:rPr>
                <w:rFonts w:ascii="Times New Roman" w:cs="Times New Roman" w:eastAsia="Times New Roman" w:hAnsi="Times New Roman"/>
                <w:sz w:val="13"/>
                <w:szCs w:val="13"/>
                <w:color w:val="auto"/>
              </w:rPr>
              <w:t>Gross unrealized losses</w:t>
            </w: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(305)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(135)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(440)</w:t>
            </w:r>
          </w:p>
        </w:tc>
        <w:tc>
          <w:tcPr>
            <w:tcW w:w="0" w:type="dxa"/>
            <w:vAlign w:val="bottom"/>
          </w:tcPr>
          <w:p>
            <w:pPr>
              <w:spacing w:after="0"/>
              <w:rPr>
                <w:sz w:val="1"/>
                <w:szCs w:val="1"/>
                <w:color w:val="auto"/>
              </w:rPr>
            </w:pPr>
          </w:p>
        </w:tc>
      </w:tr>
      <w:tr>
        <w:trPr>
          <w:trHeight w:val="257"/>
        </w:trPr>
        <w:tc>
          <w:tcPr>
            <w:tcW w:w="4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Total available-for-sale securities, at fair value</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27,998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8,984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37,030</w:t>
            </w:r>
          </w:p>
        </w:tc>
        <w:tc>
          <w:tcPr>
            <w:tcW w:w="0" w:type="dxa"/>
            <w:vAlign w:val="bottom"/>
          </w:tcPr>
          <w:p>
            <w:pPr>
              <w:spacing w:after="0"/>
              <w:rPr>
                <w:sz w:val="1"/>
                <w:szCs w:val="1"/>
                <w:color w:val="auto"/>
              </w:rPr>
            </w:pPr>
          </w:p>
        </w:tc>
      </w:tr>
      <w:tr>
        <w:trPr>
          <w:trHeight w:val="256"/>
        </w:trPr>
        <w:tc>
          <w:tcPr>
            <w:tcW w:w="42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Securities remeasured at fair value through earnings:</w:t>
            </w:r>
          </w:p>
        </w:tc>
        <w:tc>
          <w:tcPr>
            <w:tcW w:w="10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Par value</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7,648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811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529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9,012</w:t>
            </w:r>
          </w:p>
        </w:tc>
        <w:tc>
          <w:tcPr>
            <w:tcW w:w="0" w:type="dxa"/>
            <w:vAlign w:val="bottom"/>
          </w:tcPr>
          <w:p>
            <w:pPr>
              <w:spacing w:after="0"/>
              <w:rPr>
                <w:sz w:val="1"/>
                <w:szCs w:val="1"/>
                <w:color w:val="auto"/>
              </w:rPr>
            </w:pPr>
          </w:p>
        </w:tc>
      </w:tr>
      <w:tr>
        <w:trPr>
          <w:trHeight w:val="262"/>
        </w:trPr>
        <w:tc>
          <w:tcPr>
            <w:tcW w:w="4280" w:type="dxa"/>
            <w:vAlign w:val="bottom"/>
            <w:gridSpan w:val="2"/>
          </w:tcPr>
          <w:p>
            <w:pPr>
              <w:ind w:left="1200"/>
              <w:spacing w:after="0"/>
              <w:rPr>
                <w:sz w:val="20"/>
                <w:szCs w:val="20"/>
                <w:color w:val="auto"/>
              </w:rPr>
            </w:pPr>
            <w:r>
              <w:rPr>
                <w:rFonts w:ascii="Times New Roman" w:cs="Times New Roman" w:eastAsia="Times New Roman" w:hAnsi="Times New Roman"/>
                <w:sz w:val="13"/>
                <w:szCs w:val="13"/>
                <w:color w:val="auto"/>
              </w:rPr>
              <w:t>Unamortized discount</w:t>
            </w:r>
          </w:p>
        </w:tc>
        <w:tc>
          <w:tcPr>
            <w:tcW w:w="100" w:type="dxa"/>
            <w:vAlign w:val="bottom"/>
          </w:tcPr>
          <w:p>
            <w:pPr>
              <w:spacing w:after="0"/>
              <w:rPr>
                <w:sz w:val="22"/>
                <w:szCs w:val="22"/>
                <w:color w:val="auto"/>
              </w:rPr>
            </w:pP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2"/>
                <w:szCs w:val="22"/>
                <w:color w:val="auto"/>
              </w:rPr>
            </w:pPr>
          </w:p>
        </w:tc>
        <w:tc>
          <w:tcPr>
            <w:tcW w:w="7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2"/>
                <w:szCs w:val="22"/>
                <w:color w:val="auto"/>
              </w:rPr>
            </w:pPr>
          </w:p>
        </w:tc>
        <w:tc>
          <w:tcPr>
            <w:tcW w:w="7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(39)</w:t>
            </w:r>
          </w:p>
        </w:tc>
        <w:tc>
          <w:tcPr>
            <w:tcW w:w="0" w:type="dxa"/>
            <w:vAlign w:val="bottom"/>
          </w:tcPr>
          <w:p>
            <w:pPr>
              <w:spacing w:after="0"/>
              <w:rPr>
                <w:sz w:val="1"/>
                <w:szCs w:val="1"/>
                <w:color w:val="auto"/>
              </w:rPr>
            </w:pPr>
          </w:p>
        </w:tc>
      </w:tr>
      <w:tr>
        <w:trPr>
          <w:trHeight w:val="272"/>
        </w:trPr>
        <w:tc>
          <w:tcPr>
            <w:tcW w:w="428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3"/>
                <w:szCs w:val="13"/>
                <w:color w:val="auto"/>
              </w:rPr>
              <w:t>Unamortized premium</w:t>
            </w:r>
          </w:p>
        </w:tc>
        <w:tc>
          <w:tcPr>
            <w:tcW w:w="1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432</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59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511</w:t>
            </w:r>
          </w:p>
        </w:tc>
        <w:tc>
          <w:tcPr>
            <w:tcW w:w="0" w:type="dxa"/>
            <w:vAlign w:val="bottom"/>
          </w:tcPr>
          <w:p>
            <w:pPr>
              <w:spacing w:after="0"/>
              <w:rPr>
                <w:sz w:val="1"/>
                <w:szCs w:val="1"/>
                <w:color w:val="auto"/>
              </w:rPr>
            </w:pPr>
          </w:p>
        </w:tc>
      </w:tr>
      <w:tr>
        <w:trPr>
          <w:trHeight w:val="249"/>
        </w:trPr>
        <w:tc>
          <w:tcPr>
            <w:tcW w:w="42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Amortized cost</w:t>
            </w:r>
          </w:p>
        </w:tc>
        <w:tc>
          <w:tcPr>
            <w:tcW w:w="100" w:type="dxa"/>
            <w:vAlign w:val="bottom"/>
          </w:tcPr>
          <w:p>
            <w:pPr>
              <w:spacing w:after="0"/>
              <w:rPr>
                <w:sz w:val="21"/>
                <w:szCs w:val="21"/>
                <w:color w:val="auto"/>
              </w:rPr>
            </w:pPr>
          </w:p>
        </w:tc>
        <w:tc>
          <w:tcPr>
            <w:tcW w:w="8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8,042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870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1"/>
                <w:szCs w:val="21"/>
                <w:color w:val="auto"/>
              </w:rPr>
            </w:pPr>
          </w:p>
        </w:tc>
        <w:tc>
          <w:tcPr>
            <w:tcW w:w="7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549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9,484</w:t>
            </w: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3"/>
                <w:szCs w:val="13"/>
                <w:color w:val="auto"/>
              </w:rPr>
              <w:t>Gross unrealized gains</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68</w:t>
            </w: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gridSpan w:val="2"/>
          </w:tcPr>
          <w:p>
            <w:pPr>
              <w:ind w:left="1200"/>
              <w:spacing w:after="0"/>
              <w:rPr>
                <w:sz w:val="20"/>
                <w:szCs w:val="20"/>
                <w:color w:val="auto"/>
              </w:rPr>
            </w:pPr>
            <w:r>
              <w:rPr>
                <w:rFonts w:ascii="Times New Roman" w:cs="Times New Roman" w:eastAsia="Times New Roman" w:hAnsi="Times New Roman"/>
                <w:sz w:val="13"/>
                <w:szCs w:val="13"/>
                <w:color w:val="auto"/>
              </w:rPr>
              <w:t>Gross unrealized losses</w:t>
            </w: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(13)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250"/>
        </w:trPr>
        <w:tc>
          <w:tcPr>
            <w:tcW w:w="4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Total securities remeasured at fair value through earnings</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8,071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870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572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9,536</w:t>
            </w:r>
          </w:p>
        </w:tc>
        <w:tc>
          <w:tcPr>
            <w:tcW w:w="0" w:type="dxa"/>
            <w:vAlign w:val="bottom"/>
          </w:tcPr>
          <w:p>
            <w:pPr>
              <w:spacing w:after="0"/>
              <w:rPr>
                <w:sz w:val="1"/>
                <w:szCs w:val="1"/>
                <w:color w:val="auto"/>
              </w:rPr>
            </w:pPr>
          </w:p>
        </w:tc>
      </w:tr>
      <w:tr>
        <w:trPr>
          <w:trHeight w:val="282"/>
        </w:trPr>
        <w:tc>
          <w:tcPr>
            <w:tcW w:w="42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3"/>
                <w:szCs w:val="13"/>
                <w:color w:val="auto"/>
              </w:rPr>
              <w:t>Total securities, at fair value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36,069</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9,854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572</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46,566</w:t>
            </w:r>
          </w:p>
        </w:tc>
        <w:tc>
          <w:tcPr>
            <w:tcW w:w="0" w:type="dxa"/>
            <w:vAlign w:val="bottom"/>
          </w:tcPr>
          <w:p>
            <w:pPr>
              <w:spacing w:after="0"/>
              <w:rPr>
                <w:sz w:val="1"/>
                <w:szCs w:val="1"/>
                <w:color w:val="auto"/>
              </w:rPr>
            </w:pPr>
          </w:p>
        </w:tc>
      </w:tr>
      <w:tr>
        <w:trPr>
          <w:trHeight w:val="225"/>
        </w:trPr>
        <w:tc>
          <w:tcPr>
            <w:tcW w:w="4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Weighted average coupon as of June 30, 2017</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w:t>
            </w:r>
          </w:p>
        </w:tc>
        <w:tc>
          <w:tcPr>
            <w:tcW w:w="0" w:type="dxa"/>
            <w:vAlign w:val="bottom"/>
          </w:tcPr>
          <w:p>
            <w:pPr>
              <w:spacing w:after="0"/>
              <w:rPr>
                <w:sz w:val="1"/>
                <w:szCs w:val="1"/>
                <w:color w:val="auto"/>
              </w:rPr>
            </w:pPr>
          </w:p>
        </w:tc>
      </w:tr>
      <w:tr>
        <w:trPr>
          <w:trHeight w:val="247"/>
        </w:trPr>
        <w:tc>
          <w:tcPr>
            <w:tcW w:w="42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 xml:space="preserve">Weighted average yield as of June 30, 2017 </w:t>
            </w:r>
            <w:r>
              <w:rPr>
                <w:rFonts w:ascii="Times New Roman" w:cs="Times New Roman" w:eastAsia="Times New Roman" w:hAnsi="Times New Roman"/>
                <w:sz w:val="8"/>
                <w:szCs w:val="8"/>
                <w:color w:val="auto"/>
              </w:rPr>
              <w:t>1</w:t>
            </w: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w:t>
            </w:r>
          </w:p>
        </w:tc>
        <w:tc>
          <w:tcPr>
            <w:tcW w:w="0" w:type="dxa"/>
            <w:vAlign w:val="bottom"/>
          </w:tcPr>
          <w:p>
            <w:pPr>
              <w:spacing w:after="0"/>
              <w:rPr>
                <w:sz w:val="1"/>
                <w:szCs w:val="1"/>
                <w:color w:val="auto"/>
              </w:rPr>
            </w:pPr>
          </w:p>
        </w:tc>
      </w:tr>
      <w:tr>
        <w:trPr>
          <w:trHeight w:val="178"/>
        </w:trPr>
        <w:tc>
          <w:tcPr>
            <w:tcW w:w="4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________________________</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Incorporates a weighted average future constant prepayment rate assumption of 9% based on forward rates as of June 30, 2017.</w:t>
      </w:r>
    </w:p>
    <w:p>
      <w:pPr>
        <w:spacing w:after="0" w:line="375"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Agency RMBS</w:t>
            </w: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5"/>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Non-Agency</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Securities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Fannie</w:t>
            </w:r>
          </w:p>
        </w:tc>
        <w:tc>
          <w:tcPr>
            <w:tcW w:w="920" w:type="dxa"/>
            <w:vAlign w:val="bottom"/>
            <w:gridSpan w:val="2"/>
            <w:vMerge w:val="restart"/>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Freddie Mac</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176"/>
              <w:spacing w:after="0" w:line="149" w:lineRule="exact"/>
              <w:rPr>
                <w:sz w:val="20"/>
                <w:szCs w:val="20"/>
                <w:color w:val="auto"/>
              </w:rPr>
            </w:pPr>
            <w:r>
              <w:rPr>
                <w:rFonts w:ascii="Times New Roman" w:cs="Times New Roman" w:eastAsia="Times New Roman" w:hAnsi="Times New Roman"/>
                <w:sz w:val="14"/>
                <w:szCs w:val="14"/>
                <w:b w:val="1"/>
                <w:bCs w:val="1"/>
                <w:color w:val="auto"/>
              </w:rPr>
              <w:t>Ginnie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RMBS</w:t>
            </w:r>
          </w:p>
        </w:tc>
        <w:tc>
          <w:tcPr>
            <w:tcW w:w="10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CMBS</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CRT</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1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Mae</w:t>
            </w:r>
          </w:p>
        </w:tc>
        <w:tc>
          <w:tcPr>
            <w:tcW w:w="100" w:type="dxa"/>
            <w:vAlign w:val="bottom"/>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Mae</w:t>
            </w: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Available-for-sale securities:</w:t>
            </w: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3"/>
                <w:szCs w:val="13"/>
                <w:color w:val="auto"/>
              </w:rPr>
              <w:t>Par value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34,244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10,008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44</w:t>
            </w:r>
          </w:p>
        </w:tc>
        <w:tc>
          <w:tcPr>
            <w:tcW w:w="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101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44,397</w:t>
            </w:r>
          </w:p>
        </w:tc>
        <w:tc>
          <w:tcPr>
            <w:tcW w:w="0" w:type="dxa"/>
            <w:vAlign w:val="bottom"/>
          </w:tcPr>
          <w:p>
            <w:pPr>
              <w:spacing w:after="0"/>
              <w:rPr>
                <w:sz w:val="1"/>
                <w:szCs w:val="1"/>
                <w:color w:val="auto"/>
              </w:rPr>
            </w:pPr>
          </w:p>
        </w:tc>
      </w:tr>
      <w:tr>
        <w:trPr>
          <w:trHeight w:val="262"/>
        </w:trPr>
        <w:tc>
          <w:tcPr>
            <w:tcW w:w="4280" w:type="dxa"/>
            <w:vAlign w:val="bottom"/>
            <w:gridSpan w:val="2"/>
          </w:tcPr>
          <w:p>
            <w:pPr>
              <w:ind w:left="1200"/>
              <w:spacing w:after="0"/>
              <w:rPr>
                <w:sz w:val="20"/>
                <w:szCs w:val="20"/>
                <w:color w:val="auto"/>
              </w:rPr>
            </w:pPr>
            <w:r>
              <w:rPr>
                <w:rFonts w:ascii="Times New Roman" w:cs="Times New Roman" w:eastAsia="Times New Roman" w:hAnsi="Times New Roman"/>
                <w:sz w:val="13"/>
                <w:szCs w:val="13"/>
                <w:color w:val="auto"/>
              </w:rPr>
              <w:t>Unamortized discount</w:t>
            </w:r>
          </w:p>
        </w:tc>
        <w:tc>
          <w:tcPr>
            <w:tcW w:w="140" w:type="dxa"/>
            <w:vAlign w:val="bottom"/>
          </w:tcPr>
          <w:p>
            <w:pPr>
              <w:spacing w:after="0"/>
              <w:rPr>
                <w:sz w:val="22"/>
                <w:szCs w:val="22"/>
                <w:color w:val="auto"/>
              </w:rPr>
            </w:pPr>
          </w:p>
        </w:tc>
        <w:tc>
          <w:tcPr>
            <w:tcW w:w="7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2"/>
                <w:szCs w:val="22"/>
                <w:color w:val="auto"/>
              </w:rPr>
            </w:pPr>
          </w:p>
        </w:tc>
        <w:tc>
          <w:tcPr>
            <w:tcW w:w="7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(46)</w:t>
            </w:r>
          </w:p>
        </w:tc>
        <w:tc>
          <w:tcPr>
            <w:tcW w:w="0" w:type="dxa"/>
            <w:vAlign w:val="bottom"/>
          </w:tcPr>
          <w:p>
            <w:pPr>
              <w:spacing w:after="0"/>
              <w:rPr>
                <w:sz w:val="1"/>
                <w:szCs w:val="1"/>
                <w:color w:val="auto"/>
              </w:rPr>
            </w:pPr>
          </w:p>
        </w:tc>
      </w:tr>
      <w:tr>
        <w:trPr>
          <w:trHeight w:val="272"/>
        </w:trPr>
        <w:tc>
          <w:tcPr>
            <w:tcW w:w="428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3"/>
                <w:szCs w:val="13"/>
                <w:color w:val="auto"/>
              </w:rPr>
              <w:t>Unamortized premium</w:t>
            </w: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1,518</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544</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2,063</w:t>
            </w:r>
          </w:p>
        </w:tc>
        <w:tc>
          <w:tcPr>
            <w:tcW w:w="0" w:type="dxa"/>
            <w:vAlign w:val="bottom"/>
          </w:tcPr>
          <w:p>
            <w:pPr>
              <w:spacing w:after="0"/>
              <w:rPr>
                <w:sz w:val="1"/>
                <w:szCs w:val="1"/>
                <w:color w:val="auto"/>
              </w:rPr>
            </w:pPr>
          </w:p>
        </w:tc>
      </w:tr>
      <w:tr>
        <w:trPr>
          <w:trHeight w:val="249"/>
        </w:trPr>
        <w:tc>
          <w:tcPr>
            <w:tcW w:w="42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Amortized cost</w:t>
            </w:r>
          </w:p>
        </w:tc>
        <w:tc>
          <w:tcPr>
            <w:tcW w:w="140" w:type="dxa"/>
            <w:vAlign w:val="bottom"/>
          </w:tcPr>
          <w:p>
            <w:pPr>
              <w:spacing w:after="0"/>
              <w:rPr>
                <w:sz w:val="21"/>
                <w:szCs w:val="21"/>
                <w:color w:val="auto"/>
              </w:rPr>
            </w:pPr>
          </w:p>
        </w:tc>
        <w:tc>
          <w:tcPr>
            <w:tcW w:w="7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35,719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10,549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44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102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1"/>
                <w:szCs w:val="21"/>
                <w:color w:val="auto"/>
              </w:rPr>
            </w:pPr>
          </w:p>
        </w:tc>
        <w:tc>
          <w:tcPr>
            <w:tcW w:w="7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46,414</w:t>
            </w: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3"/>
                <w:szCs w:val="13"/>
                <w:color w:val="auto"/>
              </w:rPr>
              <w:t>Gross unrealized gains</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176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225</w:t>
            </w: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gridSpan w:val="2"/>
          </w:tcPr>
          <w:p>
            <w:pPr>
              <w:ind w:left="1200"/>
              <w:spacing w:after="0"/>
              <w:rPr>
                <w:sz w:val="20"/>
                <w:szCs w:val="20"/>
                <w:color w:val="auto"/>
              </w:rPr>
            </w:pPr>
            <w:r>
              <w:rPr>
                <w:rFonts w:ascii="Times New Roman" w:cs="Times New Roman" w:eastAsia="Times New Roman" w:hAnsi="Times New Roman"/>
                <w:sz w:val="13"/>
                <w:szCs w:val="13"/>
                <w:color w:val="auto"/>
              </w:rPr>
              <w:t>Gross unrealized losses</w:t>
            </w: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(442)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(179)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(622)</w:t>
            </w:r>
          </w:p>
        </w:tc>
        <w:tc>
          <w:tcPr>
            <w:tcW w:w="0" w:type="dxa"/>
            <w:vAlign w:val="bottom"/>
          </w:tcPr>
          <w:p>
            <w:pPr>
              <w:spacing w:after="0"/>
              <w:rPr>
                <w:sz w:val="1"/>
                <w:szCs w:val="1"/>
                <w:color w:val="auto"/>
              </w:rPr>
            </w:pPr>
          </w:p>
        </w:tc>
      </w:tr>
      <w:tr>
        <w:trPr>
          <w:trHeight w:val="257"/>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available-for-sale securities, at fair value</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35,453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10,418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45</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101</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46,017</w:t>
            </w:r>
          </w:p>
        </w:tc>
        <w:tc>
          <w:tcPr>
            <w:tcW w:w="0" w:type="dxa"/>
            <w:vAlign w:val="bottom"/>
          </w:tcPr>
          <w:p>
            <w:pPr>
              <w:spacing w:after="0"/>
              <w:rPr>
                <w:sz w:val="1"/>
                <w:szCs w:val="1"/>
                <w:color w:val="auto"/>
              </w:rPr>
            </w:pPr>
          </w:p>
        </w:tc>
      </w:tr>
      <w:tr>
        <w:trPr>
          <w:trHeight w:val="256"/>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Securities remeasured at fair value through earnings:</w:t>
            </w:r>
          </w:p>
        </w:tc>
        <w:tc>
          <w:tcPr>
            <w:tcW w:w="1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Par value</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171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157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352</w:t>
            </w:r>
          </w:p>
        </w:tc>
        <w:tc>
          <w:tcPr>
            <w:tcW w:w="0" w:type="dxa"/>
            <w:vAlign w:val="bottom"/>
          </w:tcPr>
          <w:p>
            <w:pPr>
              <w:spacing w:after="0"/>
              <w:rPr>
                <w:sz w:val="1"/>
                <w:szCs w:val="1"/>
                <w:color w:val="auto"/>
              </w:rPr>
            </w:pPr>
          </w:p>
        </w:tc>
      </w:tr>
      <w:tr>
        <w:trPr>
          <w:trHeight w:val="262"/>
        </w:trPr>
        <w:tc>
          <w:tcPr>
            <w:tcW w:w="42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Unamortized discount</w:t>
            </w:r>
          </w:p>
        </w:tc>
        <w:tc>
          <w:tcPr>
            <w:tcW w:w="140" w:type="dxa"/>
            <w:vAlign w:val="bottom"/>
          </w:tcPr>
          <w:p>
            <w:pPr>
              <w:spacing w:after="0"/>
              <w:rPr>
                <w:sz w:val="22"/>
                <w:szCs w:val="22"/>
                <w:color w:val="auto"/>
              </w:rPr>
            </w:pPr>
          </w:p>
        </w:tc>
        <w:tc>
          <w:tcPr>
            <w:tcW w:w="7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2"/>
                <w:szCs w:val="22"/>
                <w:color w:val="auto"/>
              </w:rPr>
            </w:pPr>
          </w:p>
        </w:tc>
        <w:tc>
          <w:tcPr>
            <w:tcW w:w="7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7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2"/>
                <w:szCs w:val="22"/>
                <w:color w:val="auto"/>
              </w:rPr>
            </w:pPr>
          </w:p>
        </w:tc>
        <w:tc>
          <w:tcPr>
            <w:tcW w:w="7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(36)</w:t>
            </w:r>
          </w:p>
        </w:tc>
        <w:tc>
          <w:tcPr>
            <w:tcW w:w="0" w:type="dxa"/>
            <w:vAlign w:val="bottom"/>
          </w:tcPr>
          <w:p>
            <w:pPr>
              <w:spacing w:after="0"/>
              <w:rPr>
                <w:sz w:val="1"/>
                <w:szCs w:val="1"/>
                <w:color w:val="auto"/>
              </w:rPr>
            </w:pPr>
          </w:p>
        </w:tc>
      </w:tr>
      <w:tr>
        <w:trPr>
          <w:trHeight w:val="272"/>
        </w:trPr>
        <w:tc>
          <w:tcPr>
            <w:tcW w:w="42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Unamortized premium</w:t>
            </w: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118</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136</w:t>
            </w:r>
          </w:p>
        </w:tc>
        <w:tc>
          <w:tcPr>
            <w:tcW w:w="0" w:type="dxa"/>
            <w:vAlign w:val="bottom"/>
          </w:tcPr>
          <w:p>
            <w:pPr>
              <w:spacing w:after="0"/>
              <w:rPr>
                <w:sz w:val="1"/>
                <w:szCs w:val="1"/>
                <w:color w:val="auto"/>
              </w:rPr>
            </w:pPr>
          </w:p>
        </w:tc>
      </w:tr>
      <w:tr>
        <w:trPr>
          <w:trHeight w:val="249"/>
        </w:trPr>
        <w:tc>
          <w:tcPr>
            <w:tcW w:w="42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Amortized cost</w:t>
            </w:r>
          </w:p>
        </w:tc>
        <w:tc>
          <w:tcPr>
            <w:tcW w:w="140" w:type="dxa"/>
            <w:vAlign w:val="bottom"/>
          </w:tcPr>
          <w:p>
            <w:pPr>
              <w:spacing w:after="0"/>
              <w:rPr>
                <w:sz w:val="21"/>
                <w:szCs w:val="21"/>
                <w:color w:val="auto"/>
              </w:rPr>
            </w:pPr>
          </w:p>
        </w:tc>
        <w:tc>
          <w:tcPr>
            <w:tcW w:w="7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254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1"/>
                <w:szCs w:val="21"/>
                <w:color w:val="auto"/>
              </w:rPr>
            </w:pPr>
          </w:p>
        </w:tc>
        <w:tc>
          <w:tcPr>
            <w:tcW w:w="7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452</w:t>
            </w: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Gross unrealized gains</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34</w:t>
            </w: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3"/>
                <w:szCs w:val="13"/>
                <w:color w:val="auto"/>
              </w:rPr>
              <w:t>Gross unrealized losses</w:t>
            </w: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250"/>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securities remeasured at fair value through earnings</w:t>
            </w:r>
          </w:p>
        </w:tc>
        <w:tc>
          <w:tcPr>
            <w:tcW w:w="1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279</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164</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482</w:t>
            </w:r>
          </w:p>
        </w:tc>
        <w:tc>
          <w:tcPr>
            <w:tcW w:w="0" w:type="dxa"/>
            <w:vAlign w:val="bottom"/>
          </w:tcPr>
          <w:p>
            <w:pPr>
              <w:spacing w:after="0"/>
              <w:rPr>
                <w:sz w:val="1"/>
                <w:szCs w:val="1"/>
                <w:color w:val="auto"/>
              </w:rPr>
            </w:pPr>
          </w:p>
        </w:tc>
      </w:tr>
      <w:tr>
        <w:trPr>
          <w:trHeight w:val="282"/>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Total securities, at fair value</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35,732</w:t>
            </w:r>
          </w:p>
        </w:tc>
        <w:tc>
          <w:tcPr>
            <w:tcW w:w="10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10,434</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45</w:t>
            </w: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Pr>
          <w:p>
            <w:pPr>
              <w:spacing w:after="0"/>
              <w:rPr>
                <w:sz w:val="24"/>
                <w:szCs w:val="24"/>
                <w:color w:val="auto"/>
              </w:rPr>
            </w:pP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164</w:t>
            </w:r>
          </w:p>
        </w:tc>
        <w:tc>
          <w:tcPr>
            <w:tcW w:w="120" w:type="dxa"/>
            <w:vAlign w:val="bottom"/>
          </w:tcPr>
          <w:p>
            <w:pPr>
              <w:spacing w:after="0"/>
              <w:rPr>
                <w:sz w:val="24"/>
                <w:szCs w:val="24"/>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46,499</w:t>
            </w:r>
          </w:p>
        </w:tc>
        <w:tc>
          <w:tcPr>
            <w:tcW w:w="0" w:type="dxa"/>
            <w:vAlign w:val="bottom"/>
          </w:tcPr>
          <w:p>
            <w:pPr>
              <w:spacing w:after="0"/>
              <w:rPr>
                <w:sz w:val="1"/>
                <w:szCs w:val="1"/>
                <w:color w:val="auto"/>
              </w:rPr>
            </w:pPr>
          </w:p>
        </w:tc>
      </w:tr>
      <w:tr>
        <w:trPr>
          <w:trHeight w:val="225"/>
        </w:trPr>
        <w:tc>
          <w:tcPr>
            <w:tcW w:w="42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Weighted average coupon as of December 31, 2016</w:t>
            </w:r>
          </w:p>
        </w:tc>
        <w:tc>
          <w:tcPr>
            <w:tcW w:w="1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w:t>
            </w:r>
          </w:p>
        </w:tc>
        <w:tc>
          <w:tcPr>
            <w:tcW w:w="0" w:type="dxa"/>
            <w:vAlign w:val="bottom"/>
          </w:tcPr>
          <w:p>
            <w:pPr>
              <w:spacing w:after="0"/>
              <w:rPr>
                <w:sz w:val="1"/>
                <w:szCs w:val="1"/>
                <w:color w:val="auto"/>
              </w:rPr>
            </w:pPr>
          </w:p>
        </w:tc>
      </w:tr>
      <w:tr>
        <w:trPr>
          <w:trHeight w:val="247"/>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 xml:space="preserve">Weighted average yield as of December 31, 2016 </w:t>
            </w:r>
            <w:r>
              <w:rPr>
                <w:rFonts w:ascii="Times New Roman" w:cs="Times New Roman" w:eastAsia="Times New Roman" w:hAnsi="Times New Roman"/>
                <w:sz w:val="8"/>
                <w:szCs w:val="8"/>
                <w:color w:val="auto"/>
              </w:rPr>
              <w:t>1</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w:t>
            </w:r>
          </w:p>
        </w:tc>
        <w:tc>
          <w:tcPr>
            <w:tcW w:w="0" w:type="dxa"/>
            <w:vAlign w:val="bottom"/>
          </w:tcPr>
          <w:p>
            <w:pPr>
              <w:spacing w:after="0"/>
              <w:rPr>
                <w:sz w:val="1"/>
                <w:szCs w:val="1"/>
                <w:color w:val="auto"/>
              </w:rPr>
            </w:pPr>
          </w:p>
        </w:tc>
      </w:tr>
      <w:tr>
        <w:trPr>
          <w:trHeight w:val="178"/>
        </w:trPr>
        <w:tc>
          <w:tcPr>
            <w:tcW w:w="416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________________________</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Incorporates a weighted average future constant prepayment rate assumption of 8% based on forward rates as of December 31, 2016.</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885" w:right="259" w:bottom="1440" w:gutter="0" w:footer="0" w:header="0"/>
        </w:sectPr>
      </w:pPr>
    </w:p>
    <w:bookmarkStart w:id="13" w:name="page14"/>
    <w:bookmarkEnd w:id="13"/>
    <w:p>
      <w:pPr>
        <w:ind w:left="440"/>
        <w:spacing w:after="0"/>
        <w:rPr>
          <w:sz w:val="20"/>
          <w:szCs w:val="20"/>
          <w:color w:val="auto"/>
        </w:rPr>
      </w:pPr>
      <w:r>
        <w:rPr>
          <w:rFonts w:ascii="Times New Roman" w:cs="Times New Roman" w:eastAsia="Times New Roman" w:hAnsi="Times New Roman"/>
          <w:sz w:val="18"/>
          <w:szCs w:val="18"/>
          <w:color w:val="auto"/>
        </w:rPr>
        <w:t>As of June 30, 2017 and December 31, 2016, our investments in CRT and non-Agency securities had the following credit ratings: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CRT and Non-Agency Security Credit Ratings </w:t>
            </w:r>
            <w:r>
              <w:rPr>
                <w:rFonts w:ascii="Times New Roman" w:cs="Times New Roman" w:eastAsia="Times New Roman" w:hAnsi="Times New Roman"/>
                <w:sz w:val="8"/>
                <w:szCs w:val="8"/>
                <w:b w:val="1"/>
                <w:bCs w:val="1"/>
                <w:color w:val="auto"/>
              </w:rPr>
              <w:t>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CRT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RMBS</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CMBS</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CRT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RMBS</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CMBS</w:t>
            </w:r>
          </w:p>
        </w:tc>
        <w:tc>
          <w:tcPr>
            <w:tcW w:w="0" w:type="dxa"/>
            <w:vAlign w:val="bottom"/>
          </w:tcPr>
          <w:p>
            <w:pPr>
              <w:spacing w:after="0"/>
              <w:rPr>
                <w:sz w:val="1"/>
                <w:szCs w:val="1"/>
                <w:color w:val="auto"/>
              </w:rPr>
            </w:pPr>
          </w:p>
        </w:tc>
      </w:tr>
      <w:tr>
        <w:trPr>
          <w:trHeight w:val="255"/>
        </w:trPr>
        <w:tc>
          <w:tcPr>
            <w:tcW w:w="4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AAA</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40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BBB</w:t>
            </w:r>
          </w:p>
        </w:tc>
        <w:tc>
          <w:tcPr>
            <w:tcW w:w="2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92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75"/>
        </w:trPr>
        <w:tc>
          <w:tcPr>
            <w:tcW w:w="4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BB</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40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B</w:t>
            </w: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490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4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Not Rated</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2"/>
        </w:trPr>
        <w:tc>
          <w:tcPr>
            <w:tcW w:w="40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572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164</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0"/>
        </w:trPr>
        <w:tc>
          <w:tcPr>
            <w:tcW w:w="39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________________________</w:t>
            </w:r>
          </w:p>
        </w:tc>
        <w:tc>
          <w:tcPr>
            <w:tcW w:w="120" w:type="dxa"/>
            <w:vAlign w:val="bottom"/>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90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lowest of Standard and Poor's ("S&amp;P"), Moody's and Fitch credit ratings, stated in terms of the S&amp;P equivalent rating as of each date.</w:t>
      </w:r>
    </w:p>
    <w:p>
      <w:pPr>
        <w:spacing w:after="0" w:line="15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Our CRT securities reference the performance of loans underlying Agency RMBS issued by Fannie Mae or Freddie Mac, which were subject to their underwriting standards. As of June 30, 2017, our CRT securities had floating rate coupons ranging from 3.8% to 7.6%, referenced to loans originated between 2012 and 2016 with weighted average coupons ranging from 3.6% to 4.2%. As of December 31, 2016, our CRT securities had floating rate coupons ranging from 4.6% to 7.1%, referenced to loans originated between 2015 and 2016 with weighted average coupons ranging from 4.0% to 4.2%.</w:t>
      </w:r>
    </w:p>
    <w:p>
      <w:pPr>
        <w:spacing w:after="0" w:line="18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actual maturities of our investment securities are generally shorter than their stated contractual maturities. Actual maturities are affected by the contractual lives of the underlying mortgages, periodic contractual principal payments and principal prepayments. As of June 30, 2017 and December 31, 2016, the weighted average expected constant prepayment rate ("CPR") over the remaining life of our aggregate investment portfolio was 9% and 8%, respectively. Our estimates differ materially for different types of securities and thus individual holdings have a wide range of projected CPRs.</w:t>
      </w:r>
    </w:p>
    <w:p>
      <w:pPr>
        <w:spacing w:after="0" w:line="180"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investments as of June 30, 2017 and December 31, 2016 according to their estimated weighted average life classification (dollars in millions):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Estimated Weighted Average Life of</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1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7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95"/>
        </w:trPr>
        <w:tc>
          <w:tcPr>
            <w:tcW w:w="2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Investment Securities</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Yield</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Yield</w:t>
            </w:r>
          </w:p>
        </w:tc>
        <w:tc>
          <w:tcPr>
            <w:tcW w:w="0" w:type="dxa"/>
            <w:vAlign w:val="bottom"/>
          </w:tcPr>
          <w:p>
            <w:pPr>
              <w:spacing w:after="0"/>
              <w:rPr>
                <w:sz w:val="1"/>
                <w:szCs w:val="1"/>
                <w:color w:val="auto"/>
              </w:rPr>
            </w:pPr>
          </w:p>
        </w:tc>
      </w:tr>
      <w:tr>
        <w:trPr>
          <w:trHeight w:val="255"/>
        </w:trPr>
        <w:tc>
          <w:tcPr>
            <w:tcW w:w="2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1 year and ≤ 3 years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1,450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1,427</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3.96%</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2.61%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416</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4.33%</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2.27%</w:t>
            </w:r>
          </w:p>
        </w:tc>
        <w:tc>
          <w:tcPr>
            <w:tcW w:w="0" w:type="dxa"/>
            <w:vAlign w:val="bottom"/>
          </w:tcPr>
          <w:p>
            <w:pPr>
              <w:spacing w:after="0"/>
              <w:rPr>
                <w:sz w:val="1"/>
                <w:szCs w:val="1"/>
                <w:color w:val="auto"/>
              </w:rPr>
            </w:pPr>
          </w:p>
        </w:tc>
      </w:tr>
      <w:tr>
        <w:trPr>
          <w:trHeight w:val="265"/>
        </w:trPr>
        <w:tc>
          <w:tcPr>
            <w:tcW w:w="28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&gt; 3 years and ≤ 5 years</w:t>
            </w:r>
          </w:p>
        </w:tc>
        <w:tc>
          <w:tcPr>
            <w:tcW w:w="1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10,297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10,218</w:t>
            </w:r>
          </w:p>
        </w:tc>
        <w:tc>
          <w:tcPr>
            <w:tcW w:w="12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3.41%</w:t>
            </w:r>
          </w:p>
        </w:tc>
        <w:tc>
          <w:tcPr>
            <w:tcW w:w="10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2.47%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13,601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13,509</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3.38%</w:t>
            </w:r>
          </w:p>
        </w:tc>
        <w:tc>
          <w:tcPr>
            <w:tcW w:w="12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2.44%</w:t>
            </w:r>
          </w:p>
        </w:tc>
        <w:tc>
          <w:tcPr>
            <w:tcW w:w="0" w:type="dxa"/>
            <w:vAlign w:val="bottom"/>
          </w:tcPr>
          <w:p>
            <w:pPr>
              <w:spacing w:after="0"/>
              <w:rPr>
                <w:sz w:val="1"/>
                <w:szCs w:val="1"/>
                <w:color w:val="auto"/>
              </w:rPr>
            </w:pPr>
          </w:p>
        </w:tc>
      </w:tr>
      <w:tr>
        <w:trPr>
          <w:trHeight w:val="275"/>
        </w:trPr>
        <w:tc>
          <w:tcPr>
            <w:tcW w:w="2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&gt; 5 years and ≤10 years</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33,326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33,634</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3.77%</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2.92%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30,513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30,979</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3.74%</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2.89%</w:t>
            </w:r>
          </w:p>
        </w:tc>
        <w:tc>
          <w:tcPr>
            <w:tcW w:w="0" w:type="dxa"/>
            <w:vAlign w:val="bottom"/>
          </w:tcPr>
          <w:p>
            <w:pPr>
              <w:spacing w:after="0"/>
              <w:rPr>
                <w:sz w:val="1"/>
                <w:szCs w:val="1"/>
                <w:color w:val="auto"/>
              </w:rPr>
            </w:pPr>
          </w:p>
        </w:tc>
      </w:tr>
      <w:tr>
        <w:trPr>
          <w:trHeight w:val="265"/>
        </w:trPr>
        <w:tc>
          <w:tcPr>
            <w:tcW w:w="28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color w:val="auto"/>
              </w:rPr>
              <w:t>&gt; 10 years</w:t>
            </w:r>
          </w:p>
        </w:tc>
        <w:tc>
          <w:tcPr>
            <w:tcW w:w="1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1,493</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1,465</w:t>
            </w:r>
          </w:p>
        </w:tc>
        <w:tc>
          <w:tcPr>
            <w:tcW w:w="120" w:type="dxa"/>
            <w:vAlign w:val="bottom"/>
            <w:tcBorders>
              <w:bottom w:val="single" w:sz="8" w:color="CCEEFF"/>
            </w:tcBorders>
          </w:tcPr>
          <w:p>
            <w:pPr>
              <w:spacing w:after="0"/>
              <w:rPr>
                <w:sz w:val="23"/>
                <w:szCs w:val="23"/>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3.89%</w:t>
            </w:r>
          </w:p>
        </w:tc>
        <w:tc>
          <w:tcPr>
            <w:tcW w:w="100" w:type="dxa"/>
            <w:vAlign w:val="bottom"/>
            <w:tcBorders>
              <w:bottom w:val="single" w:sz="8" w:color="CCEEFF"/>
            </w:tcBorders>
          </w:tcPr>
          <w:p>
            <w:pPr>
              <w:spacing w:after="0"/>
              <w:rPr>
                <w:sz w:val="23"/>
                <w:szCs w:val="23"/>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3.91%</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1,966</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1,962</w:t>
            </w:r>
          </w:p>
        </w:tc>
        <w:tc>
          <w:tcPr>
            <w:tcW w:w="100" w:type="dxa"/>
            <w:vAlign w:val="bottom"/>
            <w:tcBorders>
              <w:bottom w:val="single" w:sz="8" w:color="CCEEFF"/>
            </w:tcBorders>
          </w:tcPr>
          <w:p>
            <w:pPr>
              <w:spacing w:after="0"/>
              <w:rPr>
                <w:sz w:val="23"/>
                <w:szCs w:val="2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3.17%</w:t>
            </w:r>
          </w:p>
        </w:tc>
        <w:tc>
          <w:tcPr>
            <w:tcW w:w="12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3.27%</w:t>
            </w:r>
          </w:p>
        </w:tc>
        <w:tc>
          <w:tcPr>
            <w:tcW w:w="0" w:type="dxa"/>
            <w:vAlign w:val="bottom"/>
          </w:tcPr>
          <w:p>
            <w:pPr>
              <w:spacing w:after="0"/>
              <w:rPr>
                <w:sz w:val="1"/>
                <w:szCs w:val="1"/>
                <w:color w:val="auto"/>
              </w:rPr>
            </w:pPr>
          </w:p>
        </w:tc>
      </w:tr>
      <w:tr>
        <w:trPr>
          <w:trHeight w:val="242"/>
        </w:trPr>
        <w:tc>
          <w:tcPr>
            <w:tcW w:w="288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46,566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46,744</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3.70%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46,499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46,866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3.61%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2.77%</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gross unrealized loss and fair values of securities classified as available-for-sale by length of time that such securities have been in a continuous unrealized loss position as of June 30, 2017 and December 31, 2016 (in millions):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Unrealized Loss Position For</w:t>
            </w: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gridSpan w:val="4"/>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1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39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Securities Classified as Available-for-Sale</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Estimated Fair</w:t>
            </w:r>
          </w:p>
        </w:tc>
        <w:tc>
          <w:tcPr>
            <w:tcW w:w="180" w:type="dxa"/>
            <w:vAlign w:val="bottom"/>
          </w:tcPr>
          <w:p>
            <w:pPr>
              <w:spacing w:after="0"/>
              <w:rPr>
                <w:sz w:val="12"/>
                <w:szCs w:val="12"/>
                <w:color w:val="auto"/>
              </w:rPr>
            </w:pPr>
          </w:p>
        </w:tc>
        <w:tc>
          <w:tcPr>
            <w:tcW w:w="11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2"/>
                <w:szCs w:val="12"/>
                <w:color w:val="auto"/>
              </w:rPr>
            </w:pPr>
          </w:p>
        </w:tc>
        <w:tc>
          <w:tcPr>
            <w:tcW w:w="10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60" w:type="dxa"/>
            <w:vAlign w:val="bottom"/>
          </w:tcPr>
          <w:p>
            <w:pPr>
              <w:spacing w:after="0"/>
              <w:rPr>
                <w:sz w:val="12"/>
                <w:szCs w:val="12"/>
                <w:color w:val="auto"/>
              </w:rPr>
            </w:pPr>
          </w:p>
        </w:tc>
        <w:tc>
          <w:tcPr>
            <w:tcW w:w="10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Estimated Fair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5"/>
        </w:trPr>
        <w:tc>
          <w:tcPr>
            <w:tcW w:w="3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55"/>
        </w:trPr>
        <w:tc>
          <w:tcPr>
            <w:tcW w:w="4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June 30, 2017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21,606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1,813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23,419</w:t>
            </w:r>
          </w:p>
        </w:tc>
        <w:tc>
          <w:tcPr>
            <w:tcW w:w="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0" w:type="dxa"/>
            <w:vAlign w:val="bottom"/>
          </w:tcPr>
          <w:p>
            <w:pPr>
              <w:spacing w:after="0"/>
              <w:rPr>
                <w:sz w:val="1"/>
                <w:szCs w:val="1"/>
                <w:color w:val="auto"/>
              </w:rPr>
            </w:pPr>
          </w:p>
        </w:tc>
      </w:tr>
      <w:tr>
        <w:trPr>
          <w:trHeight w:val="260"/>
        </w:trPr>
        <w:tc>
          <w:tcPr>
            <w:tcW w:w="40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December 31, 2016</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28,397</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1,719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30,116</w:t>
            </w: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did not recognize any OTTI charges on our investment securities for the six months ended June 30, 2017 and 2016. As of the end of each respective reporting period, a decision had not been made to sell any of our securities in an unrealized loss position and we did not believe it was more likely than not that we would be required to sell such securities before recovery of their amortized cost basis. The unrealized losses on our securities were not due to credit losses given the GSE guarantees, but rather were due to changes in interest rates and prepayment expectations. However, as we continue to actively manage our portfolio, we may recognize additional realized losses on our investment securities upon selecting specific securities to sell.</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580"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Gains and Losses on Sale of Investment Securities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is a summary of our net gain (loss) from the sale of investment securities for the three and six months ended June 30, 2017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2016 by investment classification of accounting (see Note 3) (in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0"/>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10"/>
              <w:spacing w:after="0" w:line="141" w:lineRule="exact"/>
              <w:rPr>
                <w:sz w:val="20"/>
                <w:szCs w:val="20"/>
                <w:color w:val="auto"/>
              </w:rPr>
            </w:pPr>
            <w:r>
              <w:rPr>
                <w:rFonts w:ascii="Times New Roman" w:cs="Times New Roman" w:eastAsia="Times New Roman" w:hAnsi="Times New Roman"/>
                <w:sz w:val="13"/>
                <w:szCs w:val="13"/>
                <w:b w:val="1"/>
                <w:bCs w:val="1"/>
                <w:color w:val="auto"/>
                <w:w w:val="94"/>
              </w:rPr>
              <w:t>Available-for-Sale</w:t>
            </w:r>
          </w:p>
        </w:tc>
        <w:tc>
          <w:tcPr>
            <w:tcW w:w="116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b w:val="1"/>
                <w:bCs w:val="1"/>
                <w:color w:val="auto"/>
                <w:w w:val="94"/>
              </w:rPr>
              <w:t>Fair Value Option</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b w:val="1"/>
                <w:bCs w:val="1"/>
                <w:color w:val="auto"/>
                <w:w w:val="94"/>
              </w:rPr>
              <w:t>Available-for-Sale</w:t>
            </w:r>
          </w:p>
        </w:tc>
        <w:tc>
          <w:tcPr>
            <w:tcW w:w="112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b w:val="1"/>
                <w:bCs w:val="1"/>
                <w:color w:val="auto"/>
                <w:w w:val="94"/>
              </w:rPr>
              <w:t>Fair Value Option</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Investment Securities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7"/>
              </w:rPr>
              <w:t xml:space="preserve">Securities </w:t>
            </w:r>
            <w:r>
              <w:rPr>
                <w:rFonts w:ascii="Times New Roman" w:cs="Times New Roman" w:eastAsia="Times New Roman" w:hAnsi="Times New Roman"/>
                <w:sz w:val="8"/>
                <w:szCs w:val="8"/>
                <w:b w:val="1"/>
                <w:bCs w:val="1"/>
                <w:color w:val="auto"/>
                <w:w w:val="97"/>
              </w:rPr>
              <w:t>2</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3"/>
                <w:szCs w:val="13"/>
                <w:b w:val="1"/>
                <w:bCs w:val="1"/>
                <w:color w:val="auto"/>
                <w:w w:val="95"/>
              </w:rPr>
              <w:t>Securities</w:t>
            </w: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w w:val="97"/>
              </w:rPr>
              <w:t xml:space="preserve">Securities </w:t>
            </w:r>
            <w:r>
              <w:rPr>
                <w:rFonts w:ascii="Times New Roman" w:cs="Times New Roman" w:eastAsia="Times New Roman" w:hAnsi="Times New Roman"/>
                <w:sz w:val="8"/>
                <w:szCs w:val="8"/>
                <w:b w:val="1"/>
                <w:bCs w:val="1"/>
                <w:color w:val="auto"/>
                <w:w w:val="97"/>
              </w:rPr>
              <w:t>2</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3"/>
                <w:szCs w:val="13"/>
                <w:b w:val="1"/>
                <w:bCs w:val="1"/>
                <w:color w:val="auto"/>
                <w:w w:val="95"/>
              </w:rPr>
              <w:t>Securities</w:t>
            </w: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52"/>
        </w:trPr>
        <w:tc>
          <w:tcPr>
            <w:tcW w:w="44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Investment securities sold, at cost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(2,401)</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(2,987)</w:t>
            </w:r>
          </w:p>
        </w:tc>
        <w:tc>
          <w:tcPr>
            <w:tcW w:w="120" w:type="dxa"/>
            <w:vAlign w:val="bottom"/>
          </w:tcPr>
          <w:p>
            <w:pPr>
              <w:spacing w:after="0"/>
              <w:rPr>
                <w:sz w:val="21"/>
                <w:szCs w:val="21"/>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(7,508)</w:t>
            </w:r>
          </w:p>
        </w:tc>
        <w:tc>
          <w:tcPr>
            <w:tcW w:w="0" w:type="dxa"/>
            <w:vAlign w:val="bottom"/>
          </w:tcPr>
          <w:p>
            <w:pPr>
              <w:spacing w:after="0"/>
              <w:rPr>
                <w:sz w:val="1"/>
                <w:szCs w:val="1"/>
                <w:color w:val="auto"/>
              </w:rPr>
            </w:pPr>
          </w:p>
        </w:tc>
      </w:tr>
      <w:tr>
        <w:trPr>
          <w:trHeight w:val="270"/>
        </w:trPr>
        <w:tc>
          <w:tcPr>
            <w:tcW w:w="4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Proceeds from investment securities sold </w:t>
            </w:r>
            <w:r>
              <w:rPr>
                <w:rFonts w:ascii="Times New Roman" w:cs="Times New Roman" w:eastAsia="Times New Roman" w:hAnsi="Times New Roman"/>
                <w:sz w:val="8"/>
                <w:szCs w:val="8"/>
                <w:color w:val="auto"/>
              </w:rPr>
              <w:t>1</w:t>
            </w:r>
          </w:p>
        </w:tc>
        <w:tc>
          <w:tcPr>
            <w:tcW w:w="1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582</w:t>
            </w: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2,420</w:t>
            </w:r>
          </w:p>
        </w:tc>
        <w:tc>
          <w:tcPr>
            <w:tcW w:w="1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3,002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7,563</w:t>
            </w: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7,563</w:t>
            </w:r>
          </w:p>
        </w:tc>
        <w:tc>
          <w:tcPr>
            <w:tcW w:w="0" w:type="dxa"/>
            <w:vAlign w:val="bottom"/>
          </w:tcPr>
          <w:p>
            <w:pPr>
              <w:spacing w:after="0"/>
              <w:rPr>
                <w:sz w:val="1"/>
                <w:szCs w:val="1"/>
                <w:color w:val="auto"/>
              </w:rPr>
            </w:pPr>
          </w:p>
        </w:tc>
      </w:tr>
      <w:tr>
        <w:trPr>
          <w:trHeight w:val="282"/>
        </w:trPr>
        <w:tc>
          <w:tcPr>
            <w:tcW w:w="44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color w:val="auto"/>
              </w:rPr>
              <w:t>Net gain (loss) on sale of investment securities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55</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264"/>
        </w:trPr>
        <w:tc>
          <w:tcPr>
            <w:tcW w:w="4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4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Gross gain on sale of investment securities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19</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23"/>
                <w:szCs w:val="23"/>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270"/>
        </w:trPr>
        <w:tc>
          <w:tcPr>
            <w:tcW w:w="4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Gross loss on sale of investment securities</w:t>
            </w:r>
          </w:p>
        </w:tc>
        <w:tc>
          <w:tcPr>
            <w:tcW w:w="1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2"/>
        </w:trPr>
        <w:tc>
          <w:tcPr>
            <w:tcW w:w="44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Net gain (loss) on sale of investment securities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12</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55</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0"/>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10"/>
              <w:spacing w:after="0" w:line="141" w:lineRule="exact"/>
              <w:rPr>
                <w:sz w:val="20"/>
                <w:szCs w:val="20"/>
                <w:color w:val="auto"/>
              </w:rPr>
            </w:pPr>
            <w:r>
              <w:rPr>
                <w:rFonts w:ascii="Times New Roman" w:cs="Times New Roman" w:eastAsia="Times New Roman" w:hAnsi="Times New Roman"/>
                <w:sz w:val="13"/>
                <w:szCs w:val="13"/>
                <w:b w:val="1"/>
                <w:bCs w:val="1"/>
                <w:color w:val="auto"/>
                <w:w w:val="94"/>
              </w:rPr>
              <w:t>Available-for-Sale</w:t>
            </w:r>
          </w:p>
        </w:tc>
        <w:tc>
          <w:tcPr>
            <w:tcW w:w="116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b w:val="1"/>
                <w:bCs w:val="1"/>
                <w:color w:val="auto"/>
                <w:w w:val="94"/>
              </w:rPr>
              <w:t>Fair Value Option</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b w:val="1"/>
                <w:bCs w:val="1"/>
                <w:color w:val="auto"/>
                <w:w w:val="94"/>
              </w:rPr>
              <w:t>Available-for-Sale</w:t>
            </w:r>
          </w:p>
        </w:tc>
        <w:tc>
          <w:tcPr>
            <w:tcW w:w="112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b w:val="1"/>
                <w:bCs w:val="1"/>
                <w:color w:val="auto"/>
                <w:w w:val="94"/>
              </w:rPr>
              <w:t>Fair Value Option</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Investment Securities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7"/>
              </w:rPr>
              <w:t xml:space="preserve">Securities </w:t>
            </w:r>
            <w:r>
              <w:rPr>
                <w:rFonts w:ascii="Times New Roman" w:cs="Times New Roman" w:eastAsia="Times New Roman" w:hAnsi="Times New Roman"/>
                <w:sz w:val="8"/>
                <w:szCs w:val="8"/>
                <w:b w:val="1"/>
                <w:bCs w:val="1"/>
                <w:color w:val="auto"/>
                <w:w w:val="97"/>
              </w:rPr>
              <w:t>2</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3"/>
                <w:szCs w:val="13"/>
                <w:b w:val="1"/>
                <w:bCs w:val="1"/>
                <w:color w:val="auto"/>
                <w:w w:val="95"/>
              </w:rPr>
              <w:t>Securities</w:t>
            </w: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w w:val="97"/>
              </w:rPr>
              <w:t xml:space="preserve">Securities </w:t>
            </w:r>
            <w:r>
              <w:rPr>
                <w:rFonts w:ascii="Times New Roman" w:cs="Times New Roman" w:eastAsia="Times New Roman" w:hAnsi="Times New Roman"/>
                <w:sz w:val="8"/>
                <w:szCs w:val="8"/>
                <w:b w:val="1"/>
                <w:bCs w:val="1"/>
                <w:color w:val="auto"/>
                <w:w w:val="97"/>
              </w:rPr>
              <w:t>2</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3"/>
                <w:szCs w:val="13"/>
                <w:b w:val="1"/>
                <w:bCs w:val="1"/>
                <w:color w:val="auto"/>
                <w:w w:val="95"/>
              </w:rPr>
              <w:t>Securities</w:t>
            </w: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52"/>
        </w:trPr>
        <w:tc>
          <w:tcPr>
            <w:tcW w:w="44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Investment securities sold, at cost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(2,620)</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(8,355)</w:t>
            </w:r>
          </w:p>
        </w:tc>
        <w:tc>
          <w:tcPr>
            <w:tcW w:w="120" w:type="dxa"/>
            <w:vAlign w:val="bottom"/>
          </w:tcPr>
          <w:p>
            <w:pPr>
              <w:spacing w:after="0"/>
              <w:rPr>
                <w:sz w:val="21"/>
                <w:szCs w:val="21"/>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(11,023)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(11,023)</w:t>
            </w:r>
          </w:p>
        </w:tc>
        <w:tc>
          <w:tcPr>
            <w:tcW w:w="0" w:type="dxa"/>
            <w:vAlign w:val="bottom"/>
          </w:tcPr>
          <w:p>
            <w:pPr>
              <w:spacing w:after="0"/>
              <w:rPr>
                <w:sz w:val="1"/>
                <w:szCs w:val="1"/>
                <w:color w:val="auto"/>
              </w:rPr>
            </w:pPr>
          </w:p>
        </w:tc>
      </w:tr>
      <w:tr>
        <w:trPr>
          <w:trHeight w:val="270"/>
        </w:trPr>
        <w:tc>
          <w:tcPr>
            <w:tcW w:w="4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Proceeds from investment securities sold </w:t>
            </w:r>
            <w:r>
              <w:rPr>
                <w:rFonts w:ascii="Times New Roman" w:cs="Times New Roman" w:eastAsia="Times New Roman" w:hAnsi="Times New Roman"/>
                <w:sz w:val="8"/>
                <w:szCs w:val="8"/>
                <w:color w:val="auto"/>
              </w:rPr>
              <w:t>1</w:t>
            </w:r>
          </w:p>
        </w:tc>
        <w:tc>
          <w:tcPr>
            <w:tcW w:w="1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5,647</w:t>
            </w: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2,639</w:t>
            </w:r>
          </w:p>
        </w:tc>
        <w:tc>
          <w:tcPr>
            <w:tcW w:w="1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8,286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11,076</w:t>
            </w: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11,076</w:t>
            </w:r>
          </w:p>
        </w:tc>
        <w:tc>
          <w:tcPr>
            <w:tcW w:w="0" w:type="dxa"/>
            <w:vAlign w:val="bottom"/>
          </w:tcPr>
          <w:p>
            <w:pPr>
              <w:spacing w:after="0"/>
              <w:rPr>
                <w:sz w:val="1"/>
                <w:szCs w:val="1"/>
                <w:color w:val="auto"/>
              </w:rPr>
            </w:pPr>
          </w:p>
        </w:tc>
      </w:tr>
      <w:tr>
        <w:trPr>
          <w:trHeight w:val="282"/>
        </w:trPr>
        <w:tc>
          <w:tcPr>
            <w:tcW w:w="44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color w:val="auto"/>
              </w:rPr>
              <w:t>Net gain (loss) on sale of investment securities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53</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264"/>
        </w:trPr>
        <w:tc>
          <w:tcPr>
            <w:tcW w:w="4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4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Gross gain on sale of investment securities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Pr>
          <w:p>
            <w:pPr>
              <w:spacing w:after="0"/>
              <w:rPr>
                <w:sz w:val="23"/>
                <w:szCs w:val="23"/>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270"/>
        </w:trPr>
        <w:tc>
          <w:tcPr>
            <w:tcW w:w="4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Gross loss on sale of investment securities</w:t>
            </w:r>
          </w:p>
        </w:tc>
        <w:tc>
          <w:tcPr>
            <w:tcW w:w="1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42"/>
        </w:trPr>
        <w:tc>
          <w:tcPr>
            <w:tcW w:w="44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Net gain (loss) on sale of investment securities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53</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20"/>
        </w:trPr>
        <w:tc>
          <w:tcPr>
            <w:tcW w:w="43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________________________</w:t>
            </w: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3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Proceeds include cash received during the period, plus receivable for investment securities sold during the period as of period end.</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10 for a summary of changes in accumulated OCI.</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Securitizations and Variable Interest Entities</w:t>
      </w:r>
    </w:p>
    <w:p>
      <w:pPr>
        <w:spacing w:after="0" w:line="9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As of June 30, 2017 and December 31, 2016, we held investments in CMO trusts, which are variable interest entities ("VIEs"). We have consolidated certain of these CMO trusts in our consolidated financial statements where we have determined we are the primary beneficiary of the trusts. All of our CMO securities are backed by fixed or adjustable-rate Agency RMBS. Fannie Mae or Freddie Mac guarantees the payment of interest and principal and acts as the trustee and administrator of their respective securitization trusts. Accordingly, we are not required to provide the beneficial interest holders of the CMO securities any financial or other support. Our maximum exposure to loss related to our involvement with CMO trusts is the fair value of the CMO securities and interest and principal-only securities held by us, less principal amounts guaranteed by Fannie Mae and Freddie Mac.</w:t>
      </w:r>
    </w:p>
    <w:p>
      <w:pPr>
        <w:spacing w:after="0" w:line="13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In connection with our consolidated CMO trusts, we recognized Agency securities with a total fair value and approximate unpaid principal balance of $0.7 billion as of June 30, 2017 and $0.8 billion as of December 31, 2016 and debt with a total fair value and approximate unpaid principal balance of $0.4 billion as of June 30, 2017 and $0.5 billion as of December 31, 2016 in our accompanying consolidated balance sheets. We re-measure our consolidated debt at fair value through earnings in gain (loss) on derivative instruments and other securities, net in our consolidated statements of comprehensive income. Our involvement with the consolidated trusts is limited to the Agency securities transferred by us upon the formation of the trusts and the CMO securities subsequently held by us. There are no arrangements that could require us to provide financial support to the trusts.</w:t>
      </w:r>
    </w:p>
    <w:p>
      <w:pPr>
        <w:spacing w:after="0" w:line="53"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As of June 30, 2017 and December 31, 2016, the fair value of our CMO securities and interest and principal-only securities was $1.0 billion and $1.1 billion, respectively, excluding the consolidated CMO trusts discussed above, or $1.3 billion and $1.5 billion, respectively, including the net asset value of our consolidated CMO trusts. Our maximum exposure to loss related to our CMO securities and interest and principal-only securities, including our consolidated CMO trusts, was $160 million and $182 million as of June 30, 2017 and December 31, 2016,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Repurchase Agreements and Other Secured Borrowings</w:t>
      </w:r>
    </w:p>
    <w:p>
      <w:pPr>
        <w:spacing w:after="0" w:line="175"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We pledge certain of our securities as collateral under our borrowing agreements with financial institutions. Interest rates on our borrowings are generally based on LIBOR plus or minus a margin and amounts available to be borrowed are dependent</w:t>
      </w:r>
    </w:p>
    <w:p>
      <w:pPr>
        <w:sectPr>
          <w:pgSz w:w="11900" w:h="16838" w:orient="portrait"/>
          <w:cols w:equalWidth="0" w:num="1">
            <w:col w:w="11420"/>
          </w:cols>
          <w:pgMar w:left="240" w:top="819"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819" w:right="239" w:bottom="1440" w:gutter="0" w:footer="0" w:header="0"/>
          <w:type w:val="continuous"/>
        </w:sectPr>
      </w:pPr>
    </w:p>
    <w:bookmarkStart w:id="15" w:name="page16"/>
    <w:bookmarkEnd w:id="15"/>
    <w:p>
      <w:pPr>
        <w:jc w:val="both"/>
        <w:spacing w:after="0" w:line="258" w:lineRule="auto"/>
        <w:rPr>
          <w:sz w:val="20"/>
          <w:szCs w:val="20"/>
          <w:color w:val="auto"/>
        </w:rPr>
      </w:pPr>
      <w:r>
        <w:rPr>
          <w:rFonts w:ascii="Times New Roman" w:cs="Times New Roman" w:eastAsia="Times New Roman" w:hAnsi="Times New Roman"/>
          <w:sz w:val="18"/>
          <w:szCs w:val="18"/>
          <w:color w:val="auto"/>
        </w:rPr>
        <w:t>upon the fair value of the securities pledged as collateral, which fluctuates with changes in interest rates, type of security and liquidity conditions within the banking, mortgage finance and real estate industries. If the fair value of our pledged securities declines, lenders will typically require us to post additional collateral or pay down borrowings to re-establish agreed upon collateral requirements, referred to as "margin calls." Similarly, if the fair value of our pledged securities increases, lenders may release collateral back to us. As of June 30, 2017, we had met all margin call requirements. For additional information regarding our pledged assets, please refer to Note 7.</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 Agreements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of June 30, 2017 and December 31, 2016, we had $39.1 billion and $37.9 billion, respectively, of repurchase agreements outstanding. The terms and conditions of our repurchase agreements are typically negotiated on a transaction-by-transaction basis. Our repurchase agreements with original maturities greater than 90 days have floating interest rates based on an index plus or minus a fixed spread. Substantially all of our repurchase agreements were used to fund purchases of Agency securities ("Agency repo"). The remainder of our repurchase agreements were used to fund temporary holdings of U.S. Treasury securities ("U.S. Treasury repo").</w:t>
      </w:r>
    </w:p>
    <w:p>
      <w:pPr>
        <w:spacing w:after="0" w:line="130"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borrowings under repurchase agreements by their remaining maturities as of June 30, 2017 and December 31, 2016 (dollars in millions):</w:t>
      </w:r>
    </w:p>
    <w:p>
      <w:pPr>
        <w:spacing w:after="0" w:line="331"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2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22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66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Repurchase</w:t>
            </w:r>
          </w:p>
        </w:tc>
        <w:tc>
          <w:tcPr>
            <w:tcW w:w="14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Repurchase</w:t>
            </w:r>
          </w:p>
        </w:tc>
        <w:tc>
          <w:tcPr>
            <w:tcW w:w="14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Remaining Maturity</w:t>
            </w:r>
          </w:p>
        </w:tc>
        <w:tc>
          <w:tcPr>
            <w:tcW w:w="44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6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Average Days</w:t>
            </w: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 Days</w:t>
            </w:r>
          </w:p>
        </w:tc>
        <w:tc>
          <w:tcPr>
            <w:tcW w:w="0" w:type="dxa"/>
            <w:vAlign w:val="bottom"/>
          </w:tcPr>
          <w:p>
            <w:pPr>
              <w:spacing w:after="0"/>
              <w:rPr>
                <w:sz w:val="1"/>
                <w:szCs w:val="1"/>
                <w:color w:val="auto"/>
              </w:rPr>
            </w:pPr>
          </w:p>
        </w:tc>
      </w:tr>
      <w:tr>
        <w:trPr>
          <w:trHeight w:val="195"/>
        </w:trPr>
        <w:tc>
          <w:tcPr>
            <w:tcW w:w="246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 Maturity</w:t>
            </w:r>
          </w:p>
        </w:tc>
        <w:tc>
          <w:tcPr>
            <w:tcW w:w="4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Rate</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 Maturity</w:t>
            </w:r>
          </w:p>
        </w:tc>
        <w:tc>
          <w:tcPr>
            <w:tcW w:w="0" w:type="dxa"/>
            <w:vAlign w:val="bottom"/>
          </w:tcPr>
          <w:p>
            <w:pPr>
              <w:spacing w:after="0"/>
              <w:rPr>
                <w:sz w:val="1"/>
                <w:szCs w:val="1"/>
                <w:color w:val="auto"/>
              </w:rPr>
            </w:pPr>
          </w:p>
        </w:tc>
      </w:tr>
      <w:tr>
        <w:trPr>
          <w:trHeight w:val="249"/>
        </w:trPr>
        <w:tc>
          <w:tcPr>
            <w:tcW w:w="2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Agency repo:</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 1 month</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18,710</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12</w:t>
            </w:r>
          </w:p>
        </w:tc>
        <w:tc>
          <w:tcPr>
            <w:tcW w:w="4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17,481</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0.90 %</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&gt; 1 to ≤ 3 months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8,495</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55</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10,011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0.93 %</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37"/>
        </w:trPr>
        <w:tc>
          <w:tcPr>
            <w:tcW w:w="2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&gt; 3 to ≤ 6 months</w:t>
            </w: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5,023</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134</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2,030</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1.02 %</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&gt; 6 to ≤ 9 months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1,617</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203</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1,270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0.98 %</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214</w:t>
            </w:r>
          </w:p>
        </w:tc>
        <w:tc>
          <w:tcPr>
            <w:tcW w:w="0" w:type="dxa"/>
            <w:vAlign w:val="bottom"/>
          </w:tcPr>
          <w:p>
            <w:pPr>
              <w:spacing w:after="0"/>
              <w:rPr>
                <w:sz w:val="1"/>
                <w:szCs w:val="1"/>
                <w:color w:val="auto"/>
              </w:rPr>
            </w:pPr>
          </w:p>
        </w:tc>
      </w:tr>
      <w:tr>
        <w:trPr>
          <w:trHeight w:val="237"/>
        </w:trPr>
        <w:tc>
          <w:tcPr>
            <w:tcW w:w="2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&gt; 9 to ≤ 12 months</w:t>
            </w: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541</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296</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1,566</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1.08 %</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299</w:t>
            </w: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&gt; 12 to ≤ 24 months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1,447</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562</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1,203</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1.28 %</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538</w:t>
            </w:r>
          </w:p>
        </w:tc>
        <w:tc>
          <w:tcPr>
            <w:tcW w:w="0" w:type="dxa"/>
            <w:vAlign w:val="bottom"/>
          </w:tcPr>
          <w:p>
            <w:pPr>
              <w:spacing w:after="0"/>
              <w:rPr>
                <w:sz w:val="1"/>
                <w:szCs w:val="1"/>
                <w:color w:val="auto"/>
              </w:rPr>
            </w:pPr>
          </w:p>
        </w:tc>
      </w:tr>
      <w:tr>
        <w:trPr>
          <w:trHeight w:val="237"/>
        </w:trPr>
        <w:tc>
          <w:tcPr>
            <w:tcW w:w="2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&gt; 24 to ≤ 36 months</w:t>
            </w: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2,300</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927</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1,300</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1.36 %</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865</w:t>
            </w: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&gt; 36 to ≤ 48 months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925</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1,286</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2,200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1.32 %</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1,168</w:t>
            </w:r>
          </w:p>
        </w:tc>
        <w:tc>
          <w:tcPr>
            <w:tcW w:w="0" w:type="dxa"/>
            <w:vAlign w:val="bottom"/>
          </w:tcPr>
          <w:p>
            <w:pPr>
              <w:spacing w:after="0"/>
              <w:rPr>
                <w:sz w:val="1"/>
                <w:szCs w:val="1"/>
                <w:color w:val="auto"/>
              </w:rPr>
            </w:pPr>
          </w:p>
        </w:tc>
      </w:tr>
      <w:tr>
        <w:trPr>
          <w:trHeight w:val="237"/>
        </w:trPr>
        <w:tc>
          <w:tcPr>
            <w:tcW w:w="2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&gt; 48 to &lt; 60 months</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625</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1.38 %</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1,506</w:t>
            </w:r>
          </w:p>
        </w:tc>
        <w:tc>
          <w:tcPr>
            <w:tcW w:w="0" w:type="dxa"/>
            <w:vAlign w:val="bottom"/>
          </w:tcPr>
          <w:p>
            <w:pPr>
              <w:spacing w:after="0"/>
              <w:rPr>
                <w:sz w:val="1"/>
                <w:szCs w:val="1"/>
                <w:color w:val="auto"/>
              </w:rPr>
            </w:pPr>
          </w:p>
        </w:tc>
      </w:tr>
      <w:tr>
        <w:trPr>
          <w:trHeight w:val="33"/>
        </w:trPr>
        <w:tc>
          <w:tcPr>
            <w:tcW w:w="24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9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Agency repo</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39,058</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154</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37,686</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0.98 %</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187</w:t>
            </w:r>
          </w:p>
        </w:tc>
        <w:tc>
          <w:tcPr>
            <w:tcW w:w="0" w:type="dxa"/>
            <w:vAlign w:val="bottom"/>
          </w:tcPr>
          <w:p>
            <w:pPr>
              <w:spacing w:after="0"/>
              <w:rPr>
                <w:sz w:val="1"/>
                <w:szCs w:val="1"/>
                <w:color w:val="auto"/>
              </w:rPr>
            </w:pPr>
          </w:p>
        </w:tc>
      </w:tr>
      <w:tr>
        <w:trPr>
          <w:trHeight w:val="231"/>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 Treasury repo:</w:t>
            </w: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&gt; 1 day to ≤ 1 month</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bottom w:val="single" w:sz="8" w:color="CCEEFF"/>
            </w:tcBorders>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(0.30)%</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44"/>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39,058</w:t>
            </w:r>
          </w:p>
        </w:tc>
        <w:tc>
          <w:tcPr>
            <w:tcW w:w="100" w:type="dxa"/>
            <w:vAlign w:val="bottom"/>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20" w:type="dxa"/>
            <w:vAlign w:val="bottom"/>
          </w:tcPr>
          <w:p>
            <w:pPr>
              <w:spacing w:after="0"/>
              <w:rPr>
                <w:sz w:val="21"/>
                <w:szCs w:val="21"/>
                <w:color w:val="auto"/>
              </w:rPr>
            </w:pPr>
          </w:p>
        </w:tc>
        <w:tc>
          <w:tcPr>
            <w:tcW w:w="1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154</w:t>
            </w:r>
          </w:p>
        </w:tc>
        <w:tc>
          <w:tcPr>
            <w:tcW w:w="44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37,858</w:t>
            </w:r>
          </w:p>
        </w:tc>
        <w:tc>
          <w:tcPr>
            <w:tcW w:w="10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0.98 %</w:t>
            </w:r>
          </w:p>
        </w:tc>
        <w:tc>
          <w:tcPr>
            <w:tcW w:w="120" w:type="dxa"/>
            <w:vAlign w:val="bottom"/>
          </w:tcPr>
          <w:p>
            <w:pPr>
              <w:spacing w:after="0"/>
              <w:rPr>
                <w:sz w:val="21"/>
                <w:szCs w:val="21"/>
                <w:color w:val="auto"/>
              </w:rPr>
            </w:pPr>
          </w:p>
        </w:tc>
        <w:tc>
          <w:tcPr>
            <w:tcW w:w="1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186</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As of June 30, 2017 and December 31, 2016, $450 million and $150 million, respectively, of our Agency repurchase agreements matured overnight and none of our repurchase agreements were due on demand.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Home Loan Bank Advances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of December 31, 2016, we had $3.0 billion of outstanding secured Federal Home Loan Bank ("FHLB") advances, with a weighted average borrowing rate of 0.73%. Our FHLB advances matured in February 2017, coinciding with the termination of our wholly-owned captive insurance subsidiary's FHLB membership in February 2017 pursuant to the Federal Housing Finance Agency's ("FHFA") final rule on FHLB membership released in January 2016. As a result, we had no outstanding secured FHLB advances as of June 30, 2017.</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742"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Debt of Consolidated Variable Interest Entities</w:t>
      </w:r>
    </w:p>
    <w:p>
      <w:pPr>
        <w:spacing w:after="0" w:line="175"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As of June 30, 2017 and December 31, 2016, debt of consolidated VIEs, at fair value, was $405 million and $460 million, respectively, and had a weighted average interest rate of LIBOR plus 37 and 36 basis points, respectively, and a principal balance of $397 million and $452 million, respectively. The actual maturities of our debt of consolidated VIEs are generally shorter than the stated contractual maturities. The actual maturities are affected by the contractual lives of the underlying Agency RMBS securitizing the debt of our consolidated VIEs and periodic principal prepayments of such underlying securities. The estimated weighted average life of the debt of our consolidated VIEs as of June 30, 2017 and December 31, 2016 was 5.5 years and 5.8 years,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Derivative and Other Hedging Instruments</w:t>
      </w:r>
    </w:p>
    <w:p>
      <w:pPr>
        <w:spacing w:after="0" w:line="17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hedge a portion of our interest rate risk by entering into interest rate swaps, interest rate swaptions and U.S. Treasury securities and U.S. Treasury futures contracts, primarily through short sales. We may also utilize TBA securities, options and other types of derivative instruments to hedge a portion of our risk. For additional information regarding our derivative instruments and our overall risk management strategy, please refer to the discussion of derivative and other hedging instruments in Note 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and Other Hedging Instrument Assets (Liabilities), at Fair Value</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summarizes fair value information about our derivative and other hedging instrument assets/(liabilities) as of June 30, 2017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2016 (in millions):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 and Other Hedging Instruments</w:t>
            </w:r>
          </w:p>
        </w:tc>
        <w:tc>
          <w:tcPr>
            <w:tcW w:w="120" w:type="dxa"/>
            <w:vAlign w:val="bottom"/>
          </w:tcPr>
          <w:p>
            <w:pPr>
              <w:spacing w:after="0"/>
              <w:rPr>
                <w:sz w:val="16"/>
                <w:szCs w:val="16"/>
                <w:color w:val="auto"/>
              </w:rPr>
            </w:pPr>
          </w:p>
        </w:tc>
        <w:tc>
          <w:tcPr>
            <w:tcW w:w="420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00" w:type="dxa"/>
            <w:vAlign w:val="bottom"/>
          </w:tcPr>
          <w:p>
            <w:pPr>
              <w:spacing w:after="0"/>
              <w:rPr>
                <w:sz w:val="16"/>
                <w:szCs w:val="16"/>
                <w:color w:val="auto"/>
              </w:rPr>
            </w:pPr>
          </w:p>
        </w:tc>
        <w:tc>
          <w:tcPr>
            <w:tcW w:w="12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2016</w:t>
            </w:r>
          </w:p>
        </w:tc>
      </w:tr>
      <w:tr>
        <w:trPr>
          <w:trHeight w:val="222"/>
        </w:trPr>
        <w:tc>
          <w:tcPr>
            <w:tcW w:w="45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Interest rate swaps</w:t>
            </w:r>
          </w:p>
        </w:tc>
        <w:tc>
          <w:tcPr>
            <w:tcW w:w="4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Derivative assets, at fair value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19"/>
                <w:szCs w:val="19"/>
                <w:color w:val="auto"/>
              </w:rPr>
            </w:pPr>
          </w:p>
        </w:tc>
        <w:tc>
          <w:tcPr>
            <w:tcW w:w="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321</w:t>
            </w:r>
          </w:p>
        </w:tc>
      </w:tr>
      <w:tr>
        <w:trPr>
          <w:trHeight w:val="33"/>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Swaptions</w:t>
            </w:r>
          </w:p>
        </w:tc>
        <w:tc>
          <w:tcPr>
            <w:tcW w:w="4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 at fair value</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w:t>
            </w:r>
          </w:p>
        </w:tc>
      </w:tr>
      <w:tr>
        <w:trPr>
          <w:trHeight w:val="237"/>
        </w:trPr>
        <w:tc>
          <w:tcPr>
            <w:tcW w:w="45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TBA securities</w:t>
            </w:r>
          </w:p>
        </w:tc>
        <w:tc>
          <w:tcPr>
            <w:tcW w:w="4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Derivative assets, at fair value</w:t>
            </w:r>
          </w:p>
        </w:tc>
        <w:tc>
          <w:tcPr>
            <w:tcW w:w="12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r>
      <w:tr>
        <w:trPr>
          <w:trHeight w:val="33"/>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U.S. Treasury futures - short</w:t>
            </w:r>
          </w:p>
        </w:tc>
        <w:tc>
          <w:tcPr>
            <w:tcW w:w="4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 at fair value</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r>
      <w:tr>
        <w:trPr>
          <w:trHeight w:val="284"/>
        </w:trPr>
        <w:tc>
          <w:tcPr>
            <w:tcW w:w="456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6"/>
                <w:szCs w:val="16"/>
                <w:color w:val="auto"/>
              </w:rPr>
              <w:t>Total derivative assets, at fair value</w:t>
            </w:r>
          </w:p>
        </w:tc>
        <w:tc>
          <w:tcPr>
            <w:tcW w:w="42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355</w:t>
            </w:r>
          </w:p>
        </w:tc>
      </w:tr>
      <w:tr>
        <w:trPr>
          <w:trHeight w:val="284"/>
        </w:trPr>
        <w:tc>
          <w:tcPr>
            <w:tcW w:w="4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37"/>
        </w:trPr>
        <w:tc>
          <w:tcPr>
            <w:tcW w:w="45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Interest rate swaps</w:t>
            </w:r>
          </w:p>
        </w:tc>
        <w:tc>
          <w:tcPr>
            <w:tcW w:w="4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Derivative liabilities, at fair value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20"/>
                <w:szCs w:val="20"/>
                <w:color w:val="auto"/>
              </w:rPr>
            </w:pPr>
          </w:p>
        </w:tc>
        <w:tc>
          <w:tcPr>
            <w:tcW w:w="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r>
      <w:tr>
        <w:trPr>
          <w:trHeight w:val="33"/>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TBA securities</w:t>
            </w:r>
          </w:p>
        </w:tc>
        <w:tc>
          <w:tcPr>
            <w:tcW w:w="4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 at fair value</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84"/>
        </w:trPr>
        <w:tc>
          <w:tcPr>
            <w:tcW w:w="456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6"/>
                <w:szCs w:val="16"/>
                <w:color w:val="auto"/>
              </w:rPr>
              <w:t>Total derivative liabilities, at fair value</w:t>
            </w:r>
          </w:p>
        </w:tc>
        <w:tc>
          <w:tcPr>
            <w:tcW w:w="42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w:t>
            </w:r>
          </w:p>
        </w:tc>
      </w:tr>
      <w:tr>
        <w:trPr>
          <w:trHeight w:val="284"/>
        </w:trPr>
        <w:tc>
          <w:tcPr>
            <w:tcW w:w="4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37"/>
        </w:trPr>
        <w:tc>
          <w:tcPr>
            <w:tcW w:w="45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U.S. Treasury securities - long</w:t>
            </w:r>
          </w:p>
        </w:tc>
        <w:tc>
          <w:tcPr>
            <w:tcW w:w="4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 Treasury securities, at fair value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182</w:t>
            </w:r>
          </w:p>
        </w:tc>
      </w:tr>
      <w:tr>
        <w:trPr>
          <w:trHeight w:val="33"/>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6"/>
        </w:trPr>
        <w:tc>
          <w:tcPr>
            <w:tcW w:w="4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Obligation to return securities borrowed under reverse</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43"/>
        </w:trPr>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U.S. Treasury securities - short</w:t>
            </w:r>
          </w:p>
        </w:tc>
        <w:tc>
          <w:tcPr>
            <w:tcW w:w="4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agreements, at fair value</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(7,636)</w:t>
            </w:r>
          </w:p>
        </w:tc>
      </w:tr>
      <w:tr>
        <w:trPr>
          <w:trHeight w:val="244"/>
        </w:trPr>
        <w:tc>
          <w:tcPr>
            <w:tcW w:w="45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Total U.S. Treasury securities, net at fair value</w:t>
            </w:r>
          </w:p>
        </w:tc>
        <w:tc>
          <w:tcPr>
            <w:tcW w:w="4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(7,221)</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(7,454)</w:t>
            </w:r>
          </w:p>
        </w:tc>
      </w:tr>
      <w:tr>
        <w:trPr>
          <w:trHeight w:val="20"/>
        </w:trPr>
        <w:tc>
          <w:tcPr>
            <w:tcW w:w="4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summarize certain characteristics of our derivative and other hedging instruments outstanding as of June 30, 2017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2016 (dollars in millions):</w:t>
      </w:r>
    </w:p>
    <w:p>
      <w:pPr>
        <w:spacing w:after="0" w:line="295"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2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0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1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1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Payer Interest Rate Swaps</w:t>
            </w:r>
          </w:p>
        </w:tc>
        <w:tc>
          <w:tcPr>
            <w:tcW w:w="2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Fixed Pay</w:t>
            </w:r>
          </w:p>
        </w:tc>
        <w:tc>
          <w:tcPr>
            <w:tcW w:w="11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Receive</w:t>
            </w:r>
          </w:p>
        </w:tc>
        <w:tc>
          <w:tcPr>
            <w:tcW w:w="1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Fixed Pay</w:t>
            </w:r>
          </w:p>
        </w:tc>
        <w:tc>
          <w:tcPr>
            <w:tcW w:w="11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Receive</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0" w:type="dxa"/>
            <w:vAlign w:val="bottom"/>
          </w:tcPr>
          <w:p>
            <w:pPr>
              <w:spacing w:after="0"/>
              <w:rPr>
                <w:sz w:val="1"/>
                <w:szCs w:val="1"/>
                <w:color w:val="auto"/>
              </w:rPr>
            </w:pPr>
          </w:p>
        </w:tc>
      </w:tr>
      <w:tr>
        <w:trPr>
          <w:trHeight w:val="195"/>
        </w:trPr>
        <w:tc>
          <w:tcPr>
            <w:tcW w:w="20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 xml:space="preserve">Amount </w:t>
            </w:r>
            <w:r>
              <w:rPr>
                <w:rFonts w:ascii="Times New Roman" w:cs="Times New Roman" w:eastAsia="Times New Roman" w:hAnsi="Times New Roman"/>
                <w:sz w:val="8"/>
                <w:szCs w:val="8"/>
                <w:b w:val="1"/>
                <w:bCs w:val="1"/>
                <w:color w:val="auto"/>
              </w:rPr>
              <w:t>1</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Rate </w:t>
            </w:r>
            <w:r>
              <w:rPr>
                <w:rFonts w:ascii="Times New Roman" w:cs="Times New Roman" w:eastAsia="Times New Roman" w:hAnsi="Times New Roman"/>
                <w:sz w:val="8"/>
                <w:szCs w:val="8"/>
                <w:b w:val="1"/>
                <w:bCs w:val="1"/>
                <w:color w:val="auto"/>
              </w:rPr>
              <w:t>2</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Rate</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 xml:space="preserve">Amount </w:t>
            </w:r>
            <w:r>
              <w:rPr>
                <w:rFonts w:ascii="Times New Roman" w:cs="Times New Roman" w:eastAsia="Times New Roman" w:hAnsi="Times New Roman"/>
                <w:sz w:val="8"/>
                <w:szCs w:val="8"/>
                <w:b w:val="1"/>
                <w:bCs w:val="1"/>
                <w:color w:val="auto"/>
              </w:rPr>
              <w:t>1</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Rate </w:t>
            </w:r>
            <w:r>
              <w:rPr>
                <w:rFonts w:ascii="Times New Roman" w:cs="Times New Roman" w:eastAsia="Times New Roman" w:hAnsi="Times New Roman"/>
                <w:sz w:val="8"/>
                <w:szCs w:val="8"/>
                <w:b w:val="1"/>
                <w:bCs w:val="1"/>
                <w:color w:val="auto"/>
              </w:rPr>
              <w:t>2</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r>
        <w:trPr>
          <w:trHeight w:val="235"/>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3 years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20,675</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19,775</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0.92%</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c>
          <w:tcPr>
            <w:tcW w:w="0" w:type="dxa"/>
            <w:vAlign w:val="bottom"/>
          </w:tcPr>
          <w:p>
            <w:pPr>
              <w:spacing w:after="0"/>
              <w:rPr>
                <w:sz w:val="1"/>
                <w:szCs w:val="1"/>
                <w:color w:val="auto"/>
              </w:rPr>
            </w:pPr>
          </w:p>
        </w:tc>
      </w:tr>
      <w:tr>
        <w:trPr>
          <w:trHeight w:val="237"/>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&gt; 3 to ≤ 5 years</w:t>
            </w:r>
          </w:p>
        </w:tc>
        <w:tc>
          <w:tcPr>
            <w:tcW w:w="180" w:type="dxa"/>
            <w:vAlign w:val="bottom"/>
          </w:tcPr>
          <w:p>
            <w:pPr>
              <w:spacing w:after="0"/>
              <w:rPr>
                <w:sz w:val="20"/>
                <w:szCs w:val="20"/>
                <w:color w:val="auto"/>
              </w:rPr>
            </w:pPr>
          </w:p>
        </w:tc>
        <w:tc>
          <w:tcPr>
            <w:tcW w:w="8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7,525</w:t>
            </w:r>
          </w:p>
        </w:tc>
        <w:tc>
          <w:tcPr>
            <w:tcW w:w="1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1.78%</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7,450</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0.91%</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4.0</w:t>
            </w:r>
          </w:p>
        </w:tc>
        <w:tc>
          <w:tcPr>
            <w:tcW w:w="0" w:type="dxa"/>
            <w:vAlign w:val="bottom"/>
          </w:tcPr>
          <w:p>
            <w:pPr>
              <w:spacing w:after="0"/>
              <w:rPr>
                <w:sz w:val="1"/>
                <w:szCs w:val="1"/>
                <w:color w:val="auto"/>
              </w:rPr>
            </w:pPr>
          </w:p>
        </w:tc>
      </w:tr>
      <w:tr>
        <w:trPr>
          <w:trHeight w:val="33"/>
        </w:trPr>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&gt; 5 to ≤ 7 years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3,050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5.8</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4,725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0.91%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5.9</w:t>
            </w:r>
          </w:p>
        </w:tc>
        <w:tc>
          <w:tcPr>
            <w:tcW w:w="0" w:type="dxa"/>
            <w:vAlign w:val="bottom"/>
          </w:tcPr>
          <w:p>
            <w:pPr>
              <w:spacing w:after="0"/>
              <w:rPr>
                <w:sz w:val="1"/>
                <w:szCs w:val="1"/>
                <w:color w:val="auto"/>
              </w:rPr>
            </w:pPr>
          </w:p>
        </w:tc>
      </w:tr>
      <w:tr>
        <w:trPr>
          <w:trHeight w:val="237"/>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&gt; 7 to ≤ 10 years</w:t>
            </w:r>
          </w:p>
        </w:tc>
        <w:tc>
          <w:tcPr>
            <w:tcW w:w="180" w:type="dxa"/>
            <w:vAlign w:val="bottom"/>
          </w:tcPr>
          <w:p>
            <w:pPr>
              <w:spacing w:after="0"/>
              <w:rPr>
                <w:sz w:val="20"/>
                <w:szCs w:val="20"/>
                <w:color w:val="auto"/>
              </w:rPr>
            </w:pPr>
          </w:p>
        </w:tc>
        <w:tc>
          <w:tcPr>
            <w:tcW w:w="8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4,125</w:t>
            </w:r>
          </w:p>
        </w:tc>
        <w:tc>
          <w:tcPr>
            <w:tcW w:w="1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1.98%</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3,325</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0.91%</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9.2</w:t>
            </w:r>
          </w:p>
        </w:tc>
        <w:tc>
          <w:tcPr>
            <w:tcW w:w="0" w:type="dxa"/>
            <w:vAlign w:val="bottom"/>
          </w:tcPr>
          <w:p>
            <w:pPr>
              <w:spacing w:after="0"/>
              <w:rPr>
                <w:sz w:val="1"/>
                <w:szCs w:val="1"/>
                <w:color w:val="auto"/>
              </w:rPr>
            </w:pPr>
          </w:p>
        </w:tc>
      </w:tr>
      <w:tr>
        <w:trPr>
          <w:trHeight w:val="33"/>
        </w:trPr>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&gt; 10 years</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4,625</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2.43%</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12.5</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1,900</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2.64%</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0.91%</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13.8</w:t>
            </w:r>
          </w:p>
        </w:tc>
        <w:tc>
          <w:tcPr>
            <w:tcW w:w="0" w:type="dxa"/>
            <w:vAlign w:val="bottom"/>
          </w:tcPr>
          <w:p>
            <w:pPr>
              <w:spacing w:after="0"/>
              <w:rPr>
                <w:sz w:val="1"/>
                <w:szCs w:val="1"/>
                <w:color w:val="auto"/>
              </w:rPr>
            </w:pPr>
          </w:p>
        </w:tc>
      </w:tr>
      <w:tr>
        <w:trPr>
          <w:trHeight w:val="244"/>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40,000</w:t>
            </w:r>
          </w:p>
        </w:tc>
        <w:tc>
          <w:tcPr>
            <w:tcW w:w="120" w:type="dxa"/>
            <w:vAlign w:val="bottom"/>
          </w:tcPr>
          <w:p>
            <w:pPr>
              <w:spacing w:after="0"/>
              <w:rPr>
                <w:sz w:val="21"/>
                <w:szCs w:val="21"/>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c>
          <w:tcPr>
            <w:tcW w:w="24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37,175</w:t>
            </w:r>
          </w:p>
        </w:tc>
        <w:tc>
          <w:tcPr>
            <w:tcW w:w="1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0.92%</w:t>
            </w:r>
          </w:p>
        </w:tc>
        <w:tc>
          <w:tcPr>
            <w:tcW w:w="1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3.9</w:t>
            </w:r>
          </w:p>
        </w:tc>
        <w:tc>
          <w:tcPr>
            <w:tcW w:w="0" w:type="dxa"/>
            <w:vAlign w:val="bottom"/>
          </w:tcPr>
          <w:p>
            <w:pPr>
              <w:spacing w:after="0"/>
              <w:rPr>
                <w:sz w:val="1"/>
                <w:szCs w:val="1"/>
                <w:color w:val="auto"/>
              </w:rPr>
            </w:pPr>
          </w:p>
        </w:tc>
      </w:tr>
      <w:tr>
        <w:trPr>
          <w:trHeight w:val="20"/>
        </w:trPr>
        <w:tc>
          <w:tcPr>
            <w:tcW w:w="2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________________________</w:t>
            </w: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20" w:hanging="328"/>
        <w:spacing w:after="0" w:line="241" w:lineRule="auto"/>
        <w:tabs>
          <w:tab w:leader="none" w:pos="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June 30, 2017 and December 31, 2016, notional amount includes forward starting swaps of $3.7 billion and $0.6 billion, respectively, with an average forward start date of 0.2 and 1.2 years, respectively, and an average maturity of 9.8 and 10.7 years, respectively.</w:t>
      </w:r>
    </w:p>
    <w:p>
      <w:pPr>
        <w:ind w:left="660" w:hanging="328"/>
        <w:spacing w:after="0" w:line="258" w:lineRule="auto"/>
        <w:tabs>
          <w:tab w:leader="none" w:pos="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fixed pay rate includes forward starting swaps. Excluding forward starting swaps, the average fixed pay rate was 1.52% and 1.46% as of June 30, 2017 and December 31, 2016, respectively.</w:t>
      </w:r>
    </w:p>
    <w:p>
      <w:pPr>
        <w:sectPr>
          <w:pgSz w:w="11900" w:h="16838" w:orient="portrait"/>
          <w:cols w:equalWidth="0" w:num="1">
            <w:col w:w="11420"/>
          </w:cols>
          <w:pgMar w:left="240" w:top="738" w:right="239"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738" w:right="23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195"/>
        </w:trPr>
        <w:tc>
          <w:tcPr>
            <w:tcW w:w="28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Payer Swaptions</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10"/>
          </w:tcPr>
          <w:p>
            <w:pPr>
              <w:ind w:left="80"/>
              <w:spacing w:after="0"/>
              <w:rPr>
                <w:sz w:val="20"/>
                <w:szCs w:val="20"/>
                <w:color w:val="auto"/>
              </w:rPr>
            </w:pPr>
            <w:r>
              <w:rPr>
                <w:rFonts w:ascii="Times New Roman" w:cs="Times New Roman" w:eastAsia="Times New Roman" w:hAnsi="Times New Roman"/>
                <w:sz w:val="14"/>
                <w:szCs w:val="14"/>
                <w:b w:val="1"/>
                <w:bCs w:val="1"/>
                <w:color w:val="auto"/>
              </w:rPr>
              <w:t>Underlying Payer Swap</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3"/>
            <w:vMerge w:val="restart"/>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8"/>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Average Fixed</w:t>
            </w:r>
          </w:p>
        </w:tc>
        <w:tc>
          <w:tcPr>
            <w:tcW w:w="620" w:type="dxa"/>
            <w:vAlign w:val="bottom"/>
            <w:gridSpan w:val="3"/>
          </w:tcPr>
          <w:p>
            <w:pPr>
              <w:jc w:val="center"/>
              <w:ind w:left="4"/>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6"/>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8"/>
            <w:vMerge w:val="continue"/>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Receive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Years to Expiration</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vMerge w:val="restart"/>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Cost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4"/>
          </w:tcPr>
          <w:p>
            <w:pPr>
              <w:jc w:val="center"/>
              <w:ind w:right="13"/>
              <w:spacing w:after="0" w:line="149" w:lineRule="exact"/>
              <w:rPr>
                <w:sz w:val="20"/>
                <w:szCs w:val="20"/>
                <w:color w:val="auto"/>
              </w:rPr>
            </w:pPr>
            <w:r>
              <w:rPr>
                <w:rFonts w:ascii="Times New Roman" w:cs="Times New Roman" w:eastAsia="Times New Roman" w:hAnsi="Times New Roman"/>
                <w:sz w:val="14"/>
                <w:szCs w:val="14"/>
                <w:b w:val="1"/>
                <w:bCs w:val="1"/>
                <w:color w:val="auto"/>
              </w:rPr>
              <w:t>Months to</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Pay</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center"/>
              <w:ind w:right="45"/>
              <w:spacing w:after="0" w:line="149" w:lineRule="exact"/>
              <w:rPr>
                <w:sz w:val="20"/>
                <w:szCs w:val="20"/>
                <w:color w:val="auto"/>
              </w:rPr>
            </w:pPr>
            <w:r>
              <w:rPr>
                <w:rFonts w:ascii="Times New Roman" w:cs="Times New Roman" w:eastAsia="Times New Roman" w:hAnsi="Times New Roman"/>
                <w:sz w:val="14"/>
                <w:szCs w:val="14"/>
                <w:b w:val="1"/>
                <w:bCs w:val="1"/>
                <w:color w:val="auto"/>
              </w:rPr>
              <w:t>Rate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164"/>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0" w:type="dxa"/>
            <w:vAlign w:val="bottom"/>
          </w:tcPr>
          <w:p>
            <w:pPr>
              <w:spacing w:after="0"/>
              <w:rPr>
                <w:sz w:val="1"/>
                <w:szCs w:val="1"/>
                <w:color w:val="auto"/>
              </w:rPr>
            </w:pPr>
          </w:p>
        </w:tc>
      </w:tr>
      <w:tr>
        <w:trPr>
          <w:trHeight w:val="195"/>
        </w:trPr>
        <w:tc>
          <w:tcPr>
            <w:tcW w:w="2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gridSpan w:val="6"/>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7"/>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(LIBOR)</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r>
        <w:trPr>
          <w:trHeight w:val="249"/>
        </w:trPr>
        <w:tc>
          <w:tcPr>
            <w:tcW w:w="2880" w:type="dxa"/>
            <w:vAlign w:val="bottom"/>
            <w:tcBorders>
              <w:top w:val="single" w:sz="8" w:color="auto"/>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June 30, 2017</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8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1 year</w:t>
            </w:r>
          </w:p>
        </w:tc>
        <w:tc>
          <w:tcPr>
            <w:tcW w:w="120" w:type="dxa"/>
            <w:vAlign w:val="bottom"/>
          </w:tcPr>
          <w:p>
            <w:pPr>
              <w:spacing w:after="0"/>
              <w:rPr>
                <w:sz w:val="20"/>
                <w:szCs w:val="20"/>
                <w:color w:val="auto"/>
              </w:rPr>
            </w:pPr>
          </w:p>
        </w:tc>
        <w:tc>
          <w:tcPr>
            <w:tcW w:w="1040" w:type="dxa"/>
            <w:vAlign w:val="bottom"/>
            <w:gridSpan w:val="5"/>
          </w:tcPr>
          <w:p>
            <w:pPr>
              <w:jc w:val="right"/>
              <w:ind w:right="308"/>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46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gridSpan w:val="4"/>
          </w:tcPr>
          <w:p>
            <w:pPr>
              <w:jc w:val="center"/>
              <w:ind w:right="13"/>
              <w:spacing w:after="0"/>
              <w:rPr>
                <w:sz w:val="20"/>
                <w:szCs w:val="20"/>
                <w:color w:val="auto"/>
              </w:rPr>
            </w:pPr>
            <w:r>
              <w:rPr>
                <w:rFonts w:ascii="Times New Roman" w:cs="Times New Roman" w:eastAsia="Times New Roman" w:hAnsi="Times New Roman"/>
                <w:sz w:val="16"/>
                <w:szCs w:val="16"/>
                <w:color w:val="auto"/>
                <w:w w:val="99"/>
              </w:rPr>
              <w:t>7</w:t>
            </w: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3,850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gridSpan w:val="4"/>
          </w:tcPr>
          <w:p>
            <w:pPr>
              <w:jc w:val="center"/>
              <w:ind w:right="20"/>
              <w:spacing w:after="0"/>
              <w:rPr>
                <w:sz w:val="20"/>
                <w:szCs w:val="20"/>
                <w:color w:val="auto"/>
              </w:rPr>
            </w:pPr>
            <w:r>
              <w:rPr>
                <w:rFonts w:ascii="Times New Roman" w:cs="Times New Roman" w:eastAsia="Times New Roman" w:hAnsi="Times New Roman"/>
                <w:sz w:val="16"/>
                <w:szCs w:val="16"/>
                <w:color w:val="auto"/>
              </w:rPr>
              <w:t>2.80%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3M</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center"/>
              <w:ind w:right="184"/>
              <w:spacing w:after="0"/>
              <w:rPr>
                <w:sz w:val="20"/>
                <w:szCs w:val="20"/>
                <w:color w:val="auto"/>
              </w:rPr>
            </w:pPr>
            <w:r>
              <w:rPr>
                <w:rFonts w:ascii="Times New Roman" w:cs="Times New Roman" w:eastAsia="Times New Roman" w:hAnsi="Times New Roman"/>
                <w:sz w:val="16"/>
                <w:szCs w:val="16"/>
                <w:color w:val="auto"/>
                <w:w w:val="99"/>
              </w:rPr>
              <w:t>9.4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&gt; 1 year ≤ 2 years</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4"/>
            <w:shd w:val="clear" w:color="auto" w:fill="CCEEFF"/>
          </w:tcPr>
          <w:p>
            <w:pPr>
              <w:jc w:val="center"/>
              <w:ind w:right="13"/>
              <w:spacing w:after="0"/>
              <w:rPr>
                <w:sz w:val="20"/>
                <w:szCs w:val="20"/>
                <w:color w:val="auto"/>
              </w:rPr>
            </w:pPr>
            <w:r>
              <w:rPr>
                <w:rFonts w:ascii="Times New Roman" w:cs="Times New Roman" w:eastAsia="Times New Roman" w:hAnsi="Times New Roman"/>
                <w:sz w:val="16"/>
                <w:szCs w:val="16"/>
                <w:color w:val="auto"/>
                <w:w w:val="99"/>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4"/>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rPr>
              <w:t>2.72%</w:t>
            </w: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3M</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ind w:right="184"/>
              <w:spacing w:after="0"/>
              <w:rPr>
                <w:sz w:val="20"/>
                <w:szCs w:val="20"/>
                <w:color w:val="auto"/>
              </w:rPr>
            </w:pPr>
            <w:r>
              <w:rPr>
                <w:rFonts w:ascii="Times New Roman" w:cs="Times New Roman" w:eastAsia="Times New Roman" w:hAnsi="Times New Roman"/>
                <w:sz w:val="16"/>
                <w:szCs w:val="16"/>
                <w:color w:val="auto"/>
                <w:w w:val="99"/>
              </w:rPr>
              <w:t>10.0</w:t>
            </w:r>
          </w:p>
        </w:tc>
        <w:tc>
          <w:tcPr>
            <w:tcW w:w="0" w:type="dxa"/>
            <w:vAlign w:val="bottom"/>
          </w:tcPr>
          <w:p>
            <w:pPr>
              <w:spacing w:after="0"/>
              <w:rPr>
                <w:sz w:val="1"/>
                <w:szCs w:val="1"/>
                <w:color w:val="auto"/>
              </w:rPr>
            </w:pPr>
          </w:p>
        </w:tc>
      </w:tr>
      <w:tr>
        <w:trPr>
          <w:trHeight w:val="237"/>
        </w:trPr>
        <w:tc>
          <w:tcPr>
            <w:tcW w:w="28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&gt; 2 year ≤ 3 years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gridSpan w:val="4"/>
          </w:tcPr>
          <w:p>
            <w:pPr>
              <w:jc w:val="center"/>
              <w:ind w:right="13"/>
              <w:spacing w:after="0"/>
              <w:rPr>
                <w:sz w:val="20"/>
                <w:szCs w:val="20"/>
                <w:color w:val="auto"/>
              </w:rPr>
            </w:pPr>
            <w:r>
              <w:rPr>
                <w:rFonts w:ascii="Times New Roman" w:cs="Times New Roman" w:eastAsia="Times New Roman" w:hAnsi="Times New Roman"/>
                <w:sz w:val="16"/>
                <w:szCs w:val="16"/>
                <w:color w:val="auto"/>
                <w:w w:val="99"/>
              </w:rPr>
              <w:t>35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gridSpan w:val="4"/>
          </w:tcPr>
          <w:p>
            <w:pPr>
              <w:jc w:val="center"/>
              <w:ind w:right="20"/>
              <w:spacing w:after="0"/>
              <w:rPr>
                <w:sz w:val="20"/>
                <w:szCs w:val="20"/>
                <w:color w:val="auto"/>
              </w:rPr>
            </w:pPr>
            <w:r>
              <w:rPr>
                <w:rFonts w:ascii="Times New Roman" w:cs="Times New Roman" w:eastAsia="Times New Roman" w:hAnsi="Times New Roman"/>
                <w:sz w:val="16"/>
                <w:szCs w:val="16"/>
                <w:color w:val="auto"/>
              </w:rPr>
              <w:t>2.80%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3M</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center"/>
              <w:ind w:right="184"/>
              <w:spacing w:after="0"/>
              <w:rPr>
                <w:sz w:val="20"/>
                <w:szCs w:val="20"/>
                <w:color w:val="auto"/>
              </w:rPr>
            </w:pPr>
            <w:r>
              <w:rPr>
                <w:rFonts w:ascii="Times New Roman" w:cs="Times New Roman" w:eastAsia="Times New Roman" w:hAnsi="Times New Roman"/>
                <w:sz w:val="16"/>
                <w:szCs w:val="16"/>
                <w:color w:val="auto"/>
                <w:w w:val="99"/>
              </w:rPr>
              <w:t>10.0</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shd w:val="clear" w:color="auto" w:fill="CCEEFF"/>
          </w:tcPr>
          <w:p>
            <w:pPr>
              <w:spacing w:after="0"/>
              <w:rPr>
                <w:sz w:val="21"/>
                <w:szCs w:val="21"/>
                <w:color w:val="auto"/>
              </w:rPr>
            </w:pPr>
          </w:p>
        </w:tc>
        <w:tc>
          <w:tcPr>
            <w:tcW w:w="1040" w:type="dxa"/>
            <w:vAlign w:val="bottom"/>
            <w:gridSpan w:val="5"/>
            <w:shd w:val="clear" w:color="auto" w:fill="CCEEFF"/>
          </w:tcPr>
          <w:p>
            <w:pPr>
              <w:jc w:val="right"/>
              <w:ind w:right="308"/>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4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720" w:type="dxa"/>
            <w:vAlign w:val="bottom"/>
            <w:gridSpan w:val="4"/>
            <w:shd w:val="clear" w:color="auto" w:fill="CCEEFF"/>
          </w:tcPr>
          <w:p>
            <w:pPr>
              <w:jc w:val="center"/>
              <w:ind w:right="13"/>
              <w:spacing w:after="0"/>
              <w:rPr>
                <w:sz w:val="20"/>
                <w:szCs w:val="20"/>
                <w:color w:val="auto"/>
              </w:rPr>
            </w:pPr>
            <w:r>
              <w:rPr>
                <w:rFonts w:ascii="Times New Roman" w:cs="Times New Roman" w:eastAsia="Times New Roman" w:hAnsi="Times New Roman"/>
                <w:sz w:val="16"/>
                <w:szCs w:val="16"/>
                <w:color w:val="auto"/>
                <w:w w:val="99"/>
              </w:rPr>
              <w:t>12</w:t>
            </w:r>
          </w:p>
        </w:tc>
        <w:tc>
          <w:tcPr>
            <w:tcW w:w="4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40" w:type="dxa"/>
            <w:vAlign w:val="bottom"/>
            <w:gridSpan w:val="4"/>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rPr>
              <w:t>2.79%</w:t>
            </w: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3M</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center"/>
              <w:ind w:right="184"/>
              <w:spacing w:after="0"/>
              <w:rPr>
                <w:sz w:val="20"/>
                <w:szCs w:val="20"/>
                <w:color w:val="auto"/>
              </w:rPr>
            </w:pPr>
            <w:r>
              <w:rPr>
                <w:rFonts w:ascii="Times New Roman" w:cs="Times New Roman" w:eastAsia="Times New Roman" w:hAnsi="Times New Roman"/>
                <w:sz w:val="16"/>
                <w:szCs w:val="16"/>
                <w:color w:val="auto"/>
                <w:w w:val="99"/>
              </w:rPr>
              <w:t>9.5</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2016</w:t>
            </w: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8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 1 year</w:t>
            </w:r>
          </w:p>
        </w:tc>
        <w:tc>
          <w:tcPr>
            <w:tcW w:w="120" w:type="dxa"/>
            <w:vAlign w:val="bottom"/>
            <w:shd w:val="clear" w:color="auto" w:fill="CCEEFF"/>
          </w:tcPr>
          <w:p>
            <w:pPr>
              <w:spacing w:after="0"/>
              <w:rPr>
                <w:sz w:val="21"/>
                <w:szCs w:val="21"/>
                <w:color w:val="auto"/>
              </w:rPr>
            </w:pPr>
          </w:p>
        </w:tc>
        <w:tc>
          <w:tcPr>
            <w:tcW w:w="1040" w:type="dxa"/>
            <w:vAlign w:val="bottom"/>
            <w:gridSpan w:val="5"/>
            <w:shd w:val="clear" w:color="auto" w:fill="CCEEFF"/>
          </w:tcPr>
          <w:p>
            <w:pPr>
              <w:jc w:val="right"/>
              <w:ind w:right="308"/>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4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720" w:type="dxa"/>
            <w:vAlign w:val="bottom"/>
            <w:gridSpan w:val="4"/>
            <w:shd w:val="clear" w:color="auto" w:fill="CCEEFF"/>
          </w:tcPr>
          <w:p>
            <w:pPr>
              <w:jc w:val="center"/>
              <w:ind w:right="13"/>
              <w:spacing w:after="0"/>
              <w:rPr>
                <w:sz w:val="20"/>
                <w:szCs w:val="20"/>
                <w:color w:val="auto"/>
              </w:rPr>
            </w:pPr>
            <w:r>
              <w:rPr>
                <w:rFonts w:ascii="Times New Roman" w:cs="Times New Roman" w:eastAsia="Times New Roman" w:hAnsi="Times New Roman"/>
                <w:sz w:val="16"/>
                <w:szCs w:val="16"/>
                <w:color w:val="auto"/>
                <w:w w:val="99"/>
              </w:rPr>
              <w:t>6</w:t>
            </w:r>
          </w:p>
        </w:tc>
        <w:tc>
          <w:tcPr>
            <w:tcW w:w="4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40" w:type="dxa"/>
            <w:vAlign w:val="bottom"/>
            <w:gridSpan w:val="4"/>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rPr>
              <w:t>3.06%</w:t>
            </w: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3M</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center"/>
              <w:ind w:right="184"/>
              <w:spacing w:after="0"/>
              <w:rPr>
                <w:sz w:val="20"/>
                <w:szCs w:val="20"/>
                <w:color w:val="auto"/>
              </w:rPr>
            </w:pPr>
            <w:r>
              <w:rPr>
                <w:rFonts w:ascii="Times New Roman" w:cs="Times New Roman" w:eastAsia="Times New Roman" w:hAnsi="Times New Roman"/>
                <w:sz w:val="16"/>
                <w:szCs w:val="16"/>
                <w:color w:val="auto"/>
                <w:w w:val="99"/>
              </w:rPr>
              <w:t>8.3</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9"/>
        </w:trPr>
        <w:tc>
          <w:tcPr>
            <w:tcW w:w="28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U.S. Treasury Securities</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8"/>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5"/>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Face Amount Net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6"/>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4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6"/>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8"/>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Face Amount Net</w:t>
            </w:r>
          </w:p>
        </w:tc>
        <w:tc>
          <w:tcPr>
            <w:tcW w:w="118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444"/>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28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4"/>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Long / (Short)</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6"/>
            <w:vMerge w:val="continue"/>
          </w:tcPr>
          <w:p>
            <w:pPr>
              <w:spacing w:after="0"/>
              <w:rPr>
                <w:sz w:val="16"/>
                <w:szCs w:val="16"/>
                <w:color w:val="auto"/>
              </w:rPr>
            </w:pPr>
          </w:p>
        </w:tc>
        <w:tc>
          <w:tcPr>
            <w:tcW w:w="40" w:type="dxa"/>
            <w:vAlign w:val="bottom"/>
            <w:tcBorders>
              <w:bottom w:val="single" w:sz="8" w:color="CCEEFF"/>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Long / (Short)</w:t>
            </w: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6"/>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5"/>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5 years</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4"/>
            <w:shd w:val="clear" w:color="auto" w:fill="CCEEFF"/>
          </w:tcPr>
          <w:p>
            <w:pPr>
              <w:jc w:val="right"/>
              <w:ind w:right="48"/>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46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(127)</w:t>
            </w: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(404)</w:t>
            </w:r>
          </w:p>
        </w:tc>
        <w:tc>
          <w:tcPr>
            <w:tcW w:w="36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0" w:type="dxa"/>
            <w:vAlign w:val="bottom"/>
          </w:tcPr>
          <w:p>
            <w:pPr>
              <w:spacing w:after="0"/>
              <w:rPr>
                <w:sz w:val="1"/>
                <w:szCs w:val="1"/>
                <w:color w:val="auto"/>
              </w:rPr>
            </w:pPr>
          </w:p>
        </w:tc>
      </w:tr>
      <w:tr>
        <w:trPr>
          <w:trHeight w:val="237"/>
        </w:trPr>
        <w:tc>
          <w:tcPr>
            <w:tcW w:w="28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7 years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(3,486)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(3,466)</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(3,450)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gridSpan w:val="5"/>
          </w:tcPr>
          <w:p>
            <w:pPr>
              <w:jc w:val="right"/>
              <w:ind w:right="60"/>
              <w:spacing w:after="0"/>
              <w:rPr>
                <w:sz w:val="20"/>
                <w:szCs w:val="20"/>
                <w:color w:val="auto"/>
              </w:rPr>
            </w:pPr>
            <w:r>
              <w:rPr>
                <w:rFonts w:ascii="Times New Roman" w:cs="Times New Roman" w:eastAsia="Times New Roman" w:hAnsi="Times New Roman"/>
                <w:sz w:val="16"/>
                <w:szCs w:val="16"/>
                <w:color w:val="auto"/>
              </w:rPr>
              <w:t>(3,056)</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gridSpan w:val="3"/>
          </w:tcPr>
          <w:p>
            <w:pPr>
              <w:jc w:val="center"/>
              <w:ind w:left="24"/>
              <w:spacing w:after="0"/>
              <w:rPr>
                <w:sz w:val="20"/>
                <w:szCs w:val="20"/>
                <w:color w:val="auto"/>
              </w:rPr>
            </w:pPr>
            <w:r>
              <w:rPr>
                <w:rFonts w:ascii="Times New Roman" w:cs="Times New Roman" w:eastAsia="Times New Roman" w:hAnsi="Times New Roman"/>
                <w:sz w:val="16"/>
                <w:szCs w:val="16"/>
                <w:color w:val="auto"/>
              </w:rPr>
              <w:t>(3,041)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gridSpan w:val="4"/>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10 years</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(3,744)</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(3,683)</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(3,644)</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(4,416)</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3"/>
            <w:shd w:val="clear" w:color="auto" w:fill="CCEEFF"/>
          </w:tcPr>
          <w:p>
            <w:pPr>
              <w:jc w:val="center"/>
              <w:ind w:left="24"/>
              <w:spacing w:after="0"/>
              <w:rPr>
                <w:sz w:val="20"/>
                <w:szCs w:val="20"/>
                <w:color w:val="auto"/>
              </w:rPr>
            </w:pPr>
            <w:r>
              <w:rPr>
                <w:rFonts w:ascii="Times New Roman" w:cs="Times New Roman" w:eastAsia="Times New Roman" w:hAnsi="Times New Roman"/>
                <w:sz w:val="16"/>
                <w:szCs w:val="16"/>
                <w:color w:val="auto"/>
              </w:rPr>
              <w:t>(4,236)</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(4,132)</w:t>
            </w:r>
          </w:p>
        </w:tc>
        <w:tc>
          <w:tcPr>
            <w:tcW w:w="0" w:type="dxa"/>
            <w:vAlign w:val="bottom"/>
          </w:tcPr>
          <w:p>
            <w:pPr>
              <w:spacing w:after="0"/>
              <w:rPr>
                <w:sz w:val="1"/>
                <w:szCs w:val="1"/>
                <w:color w:val="auto"/>
              </w:rPr>
            </w:pPr>
          </w:p>
        </w:tc>
      </w:tr>
      <w:tr>
        <w:trPr>
          <w:trHeight w:val="244"/>
        </w:trPr>
        <w:tc>
          <w:tcPr>
            <w:tcW w:w="28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Total U.S. Treasury securities, net</w:t>
            </w:r>
          </w:p>
        </w:tc>
        <w:tc>
          <w:tcPr>
            <w:tcW w:w="12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220" w:type="dxa"/>
            <w:vAlign w:val="bottom"/>
            <w:tcBorders>
              <w:top w:val="single" w:sz="8" w:color="auto"/>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(7,358)</w:t>
            </w:r>
          </w:p>
        </w:tc>
        <w:tc>
          <w:tcPr>
            <w:tcW w:w="6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center"/>
              <w:ind w:right="83"/>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(7,276)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color w:val="auto"/>
              </w:rPr>
              <w:t>(7,221)</w:t>
            </w:r>
          </w:p>
        </w:tc>
        <w:tc>
          <w:tcPr>
            <w:tcW w:w="40" w:type="dxa"/>
            <w:vAlign w:val="bottom"/>
            <w:tcBorders>
              <w:top w:val="single" w:sz="8" w:color="auto"/>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6"/>
                <w:szCs w:val="16"/>
                <w:color w:val="auto"/>
              </w:rPr>
              <w:t>(7,872)</w:t>
            </w:r>
          </w:p>
        </w:tc>
        <w:tc>
          <w:tcPr>
            <w:tcW w:w="100" w:type="dxa"/>
            <w:vAlign w:val="bottom"/>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gridSpan w:val="3"/>
          </w:tcPr>
          <w:p>
            <w:pPr>
              <w:jc w:val="center"/>
              <w:ind w:left="24"/>
              <w:spacing w:after="0"/>
              <w:rPr>
                <w:sz w:val="20"/>
                <w:szCs w:val="20"/>
                <w:color w:val="auto"/>
              </w:rPr>
            </w:pPr>
            <w:r>
              <w:rPr>
                <w:rFonts w:ascii="Times New Roman" w:cs="Times New Roman" w:eastAsia="Times New Roman" w:hAnsi="Times New Roman"/>
                <w:sz w:val="16"/>
                <w:szCs w:val="16"/>
                <w:color w:val="auto"/>
              </w:rPr>
              <w:t>(7,681)</w:t>
            </w:r>
          </w:p>
        </w:tc>
        <w:tc>
          <w:tcPr>
            <w:tcW w:w="2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(7,454)</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gridSpan w:val="5"/>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9"/>
        </w:trPr>
        <w:tc>
          <w:tcPr>
            <w:tcW w:w="2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U.S. Treasury Futures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2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5"/>
          </w:tcPr>
          <w:p>
            <w:pPr>
              <w:jc w:val="right"/>
              <w:ind w:right="308"/>
              <w:spacing w:after="0" w:line="141" w:lineRule="exact"/>
              <w:rPr>
                <w:sz w:val="20"/>
                <w:szCs w:val="20"/>
                <w:color w:val="auto"/>
              </w:rPr>
            </w:pPr>
            <w:r>
              <w:rPr>
                <w:rFonts w:ascii="Times New Roman" w:cs="Times New Roman" w:eastAsia="Times New Roman" w:hAnsi="Times New Roman"/>
                <w:sz w:val="13"/>
                <w:szCs w:val="13"/>
                <w:b w:val="1"/>
                <w:bCs w:val="1"/>
                <w:color w:val="auto"/>
              </w:rPr>
              <w:t>Notional</w:t>
            </w: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4"/>
          </w:tcPr>
          <w:p>
            <w:pPr>
              <w:jc w:val="center"/>
              <w:ind w:right="128"/>
              <w:spacing w:after="0" w:line="141" w:lineRule="exact"/>
              <w:rPr>
                <w:sz w:val="20"/>
                <w:szCs w:val="20"/>
                <w:color w:val="auto"/>
              </w:rPr>
            </w:pPr>
            <w:r>
              <w:rPr>
                <w:rFonts w:ascii="Times New Roman" w:cs="Times New Roman" w:eastAsia="Times New Roman" w:hAnsi="Times New Roman"/>
                <w:sz w:val="13"/>
                <w:szCs w:val="13"/>
                <w:b w:val="1"/>
                <w:bCs w:val="1"/>
                <w:color w:val="auto"/>
                <w:w w:val="96"/>
              </w:rPr>
              <w:t>Notional</w:t>
            </w: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5"/>
          </w:tcPr>
          <w:p>
            <w:pPr>
              <w:jc w:val="right"/>
              <w:ind w:right="108"/>
              <w:spacing w:after="0" w:line="135" w:lineRule="exact"/>
              <w:rPr>
                <w:sz w:val="20"/>
                <w:szCs w:val="20"/>
                <w:color w:val="auto"/>
              </w:rPr>
            </w:pPr>
            <w:r>
              <w:rPr>
                <w:rFonts w:ascii="Times New Roman" w:cs="Times New Roman" w:eastAsia="Times New Roman" w:hAnsi="Times New Roman"/>
                <w:sz w:val="13"/>
                <w:szCs w:val="13"/>
                <w:b w:val="1"/>
                <w:bCs w:val="1"/>
                <w:color w:val="auto"/>
                <w:w w:val="98"/>
              </w:rPr>
              <w:t>Amount - Long</w:t>
            </w:r>
          </w:p>
        </w:tc>
        <w:tc>
          <w:tcPr>
            <w:tcW w:w="120" w:type="dxa"/>
            <w:vAlign w:val="bottom"/>
          </w:tcPr>
          <w:p>
            <w:pPr>
              <w:spacing w:after="0"/>
              <w:rPr>
                <w:sz w:val="11"/>
                <w:szCs w:val="11"/>
                <w:color w:val="auto"/>
              </w:rPr>
            </w:pPr>
          </w:p>
        </w:tc>
        <w:tc>
          <w:tcPr>
            <w:tcW w:w="860" w:type="dxa"/>
            <w:vAlign w:val="bottom"/>
            <w:gridSpan w:val="4"/>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Cost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gridSpan w:val="4"/>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Market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6"/>
          </w:tcPr>
          <w:p>
            <w:pPr>
              <w:jc w:val="right"/>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5"/>
          </w:tcPr>
          <w:p>
            <w:pPr>
              <w:jc w:val="center"/>
              <w:ind w:right="48"/>
              <w:spacing w:after="0" w:line="135" w:lineRule="exact"/>
              <w:rPr>
                <w:sz w:val="20"/>
                <w:szCs w:val="20"/>
                <w:color w:val="auto"/>
              </w:rPr>
            </w:pPr>
            <w:r>
              <w:rPr>
                <w:rFonts w:ascii="Times New Roman" w:cs="Times New Roman" w:eastAsia="Times New Roman" w:hAnsi="Times New Roman"/>
                <w:sz w:val="13"/>
                <w:szCs w:val="13"/>
                <w:b w:val="1"/>
                <w:bCs w:val="1"/>
                <w:color w:val="auto"/>
                <w:w w:val="98"/>
              </w:rPr>
              <w:t>Amount - Long</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Cost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5"/>
          </w:tcPr>
          <w:p>
            <w:pPr>
              <w:ind w:left="160"/>
              <w:spacing w:after="0" w:line="135" w:lineRule="exact"/>
              <w:rPr>
                <w:sz w:val="20"/>
                <w:szCs w:val="20"/>
                <w:color w:val="auto"/>
              </w:rPr>
            </w:pPr>
            <w:r>
              <w:rPr>
                <w:rFonts w:ascii="Times New Roman" w:cs="Times New Roman" w:eastAsia="Times New Roman" w:hAnsi="Times New Roman"/>
                <w:sz w:val="13"/>
                <w:szCs w:val="13"/>
                <w:b w:val="1"/>
                <w:bCs w:val="1"/>
                <w:color w:val="auto"/>
              </w:rPr>
              <w:t>Market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4"/>
              <w:spacing w:after="0" w:line="135"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0" w:type="dxa"/>
            <w:vAlign w:val="bottom"/>
          </w:tcPr>
          <w:p>
            <w:pPr>
              <w:spacing w:after="0"/>
              <w:rPr>
                <w:sz w:val="1"/>
                <w:szCs w:val="1"/>
                <w:color w:val="auto"/>
              </w:rPr>
            </w:pPr>
          </w:p>
        </w:tc>
      </w:tr>
      <w:tr>
        <w:trPr>
          <w:trHeight w:val="176"/>
        </w:trPr>
        <w:tc>
          <w:tcPr>
            <w:tcW w:w="2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4"/>
          </w:tcPr>
          <w:p>
            <w:pPr>
              <w:jc w:val="right"/>
              <w:ind w:right="288"/>
              <w:spacing w:after="0"/>
              <w:rPr>
                <w:sz w:val="20"/>
                <w:szCs w:val="20"/>
                <w:color w:val="auto"/>
              </w:rPr>
            </w:pPr>
            <w:r>
              <w:rPr>
                <w:rFonts w:ascii="Times New Roman" w:cs="Times New Roman" w:eastAsia="Times New Roman" w:hAnsi="Times New Roman"/>
                <w:sz w:val="13"/>
                <w:szCs w:val="13"/>
                <w:b w:val="1"/>
                <w:bCs w:val="1"/>
                <w:color w:val="auto"/>
                <w:w w:val="97"/>
              </w:rPr>
              <w:t xml:space="preserve">(Short) </w:t>
            </w:r>
            <w:r>
              <w:rPr>
                <w:rFonts w:ascii="Times New Roman" w:cs="Times New Roman" w:eastAsia="Times New Roman" w:hAnsi="Times New Roman"/>
                <w:sz w:val="8"/>
                <w:szCs w:val="8"/>
                <w:b w:val="1"/>
                <w:bCs w:val="1"/>
                <w:color w:val="auto"/>
                <w:w w:val="97"/>
              </w:rPr>
              <w:t>1</w:t>
            </w:r>
          </w:p>
        </w:tc>
        <w:tc>
          <w:tcPr>
            <w:tcW w:w="1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 xml:space="preserve">Basis </w:t>
            </w:r>
            <w:r>
              <w:rPr>
                <w:rFonts w:ascii="Times New Roman" w:cs="Times New Roman" w:eastAsia="Times New Roman" w:hAnsi="Times New Roman"/>
                <w:sz w:val="8"/>
                <w:szCs w:val="8"/>
                <w:b w:val="1"/>
                <w:bCs w:val="1"/>
                <w:color w:val="auto"/>
                <w:w w:val="99"/>
              </w:rPr>
              <w:t>2</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Value </w:t>
            </w:r>
            <w:r>
              <w:rPr>
                <w:rFonts w:ascii="Times New Roman" w:cs="Times New Roman" w:eastAsia="Times New Roman" w:hAnsi="Times New Roman"/>
                <w:sz w:val="8"/>
                <w:szCs w:val="8"/>
                <w:b w:val="1"/>
                <w:bCs w:val="1"/>
                <w:color w:val="auto"/>
              </w:rPr>
              <w:t>3</w:t>
            </w: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 xml:space="preserve">Value </w:t>
            </w:r>
            <w:r>
              <w:rPr>
                <w:rFonts w:ascii="Times New Roman" w:cs="Times New Roman" w:eastAsia="Times New Roman" w:hAnsi="Times New Roman"/>
                <w:sz w:val="8"/>
                <w:szCs w:val="8"/>
                <w:b w:val="1"/>
                <w:bCs w:val="1"/>
                <w:color w:val="auto"/>
              </w:rPr>
              <w:t>4</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4"/>
          </w:tcPr>
          <w:p>
            <w:pPr>
              <w:jc w:val="center"/>
              <w:ind w:right="88"/>
              <w:spacing w:after="0"/>
              <w:rPr>
                <w:sz w:val="20"/>
                <w:szCs w:val="20"/>
                <w:color w:val="auto"/>
              </w:rPr>
            </w:pPr>
            <w:r>
              <w:rPr>
                <w:rFonts w:ascii="Times New Roman" w:cs="Times New Roman" w:eastAsia="Times New Roman" w:hAnsi="Times New Roman"/>
                <w:sz w:val="13"/>
                <w:szCs w:val="13"/>
                <w:b w:val="1"/>
                <w:bCs w:val="1"/>
                <w:color w:val="auto"/>
                <w:w w:val="97"/>
              </w:rPr>
              <w:t xml:space="preserve">(Short) </w:t>
            </w:r>
            <w:r>
              <w:rPr>
                <w:rFonts w:ascii="Times New Roman" w:cs="Times New Roman" w:eastAsia="Times New Roman" w:hAnsi="Times New Roman"/>
                <w:sz w:val="8"/>
                <w:szCs w:val="8"/>
                <w:b w:val="1"/>
                <w:bCs w:val="1"/>
                <w:color w:val="auto"/>
                <w:w w:val="97"/>
              </w:rPr>
              <w:t>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3"/>
                <w:szCs w:val="13"/>
                <w:b w:val="1"/>
                <w:bCs w:val="1"/>
                <w:color w:val="auto"/>
              </w:rPr>
              <w:t xml:space="preserve">Basis </w:t>
            </w:r>
            <w:r>
              <w:rPr>
                <w:rFonts w:ascii="Times New Roman" w:cs="Times New Roman" w:eastAsia="Times New Roman" w:hAnsi="Times New Roman"/>
                <w:sz w:val="8"/>
                <w:szCs w:val="8"/>
                <w:b w:val="1"/>
                <w:bCs w:val="1"/>
                <w:color w:val="auto"/>
              </w:rPr>
              <w:t>2</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3"/>
                <w:szCs w:val="13"/>
                <w:b w:val="1"/>
                <w:bCs w:val="1"/>
                <w:color w:val="auto"/>
              </w:rPr>
              <w:t xml:space="preserve">Value </w:t>
            </w:r>
            <w:r>
              <w:rPr>
                <w:rFonts w:ascii="Times New Roman" w:cs="Times New Roman" w:eastAsia="Times New Roman" w:hAnsi="Times New Roman"/>
                <w:sz w:val="8"/>
                <w:szCs w:val="8"/>
                <w:b w:val="1"/>
                <w:bCs w:val="1"/>
                <w:color w:val="auto"/>
              </w:rPr>
              <w:t>3</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3"/>
                <w:szCs w:val="13"/>
                <w:b w:val="1"/>
                <w:bCs w:val="1"/>
                <w:color w:val="auto"/>
              </w:rPr>
              <w:t xml:space="preserve">Value </w:t>
            </w:r>
            <w:r>
              <w:rPr>
                <w:rFonts w:ascii="Times New Roman" w:cs="Times New Roman" w:eastAsia="Times New Roman" w:hAnsi="Times New Roman"/>
                <w:sz w:val="8"/>
                <w:szCs w:val="8"/>
                <w:b w:val="1"/>
                <w:bCs w:val="1"/>
                <w:color w:val="auto"/>
              </w:rPr>
              <w:t>4</w:t>
            </w:r>
          </w:p>
        </w:tc>
        <w:tc>
          <w:tcPr>
            <w:tcW w:w="0" w:type="dxa"/>
            <w:vAlign w:val="bottom"/>
          </w:tcPr>
          <w:p>
            <w:pPr>
              <w:spacing w:after="0"/>
              <w:rPr>
                <w:sz w:val="1"/>
                <w:szCs w:val="1"/>
                <w:color w:val="auto"/>
              </w:rPr>
            </w:pPr>
          </w:p>
        </w:tc>
      </w:tr>
      <w:tr>
        <w:trPr>
          <w:trHeight w:val="257"/>
        </w:trPr>
        <w:tc>
          <w:tcPr>
            <w:tcW w:w="2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5 years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5"/>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(730)</w:t>
            </w:r>
          </w:p>
        </w:tc>
        <w:tc>
          <w:tcPr>
            <w:tcW w:w="520" w:type="dxa"/>
            <w:vAlign w:val="bottom"/>
            <w:gridSpan w:val="2"/>
            <w:shd w:val="clear" w:color="auto" w:fill="CCEEFF"/>
          </w:tcPr>
          <w:p>
            <w:pPr>
              <w:jc w:val="right"/>
              <w:ind w:right="237"/>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w:t>
            </w:r>
          </w:p>
        </w:tc>
        <w:tc>
          <w:tcPr>
            <w:tcW w:w="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w:t>
            </w:r>
          </w:p>
        </w:tc>
        <w:tc>
          <w:tcPr>
            <w:tcW w:w="720" w:type="dxa"/>
            <w:vAlign w:val="bottom"/>
            <w:gridSpan w:val="4"/>
            <w:shd w:val="clear" w:color="auto" w:fill="CCEEFF"/>
          </w:tcPr>
          <w:p>
            <w:pPr>
              <w:jc w:val="right"/>
              <w:ind w:right="353"/>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(862)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22"/>
                <w:szCs w:val="22"/>
                <w:color w:val="auto"/>
              </w:rPr>
            </w:pPr>
          </w:p>
        </w:tc>
        <w:tc>
          <w:tcPr>
            <w:tcW w:w="3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8"/>
              </w:rPr>
              <w:t>(859)</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65"/>
        </w:trPr>
        <w:tc>
          <w:tcPr>
            <w:tcW w:w="28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color w:val="auto"/>
              </w:rPr>
              <w:t>10 years</w:t>
            </w: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gridSpan w:val="5"/>
          </w:tcPr>
          <w:p>
            <w:pPr>
              <w:jc w:val="right"/>
              <w:ind w:right="8"/>
              <w:spacing w:after="0"/>
              <w:rPr>
                <w:sz w:val="20"/>
                <w:szCs w:val="20"/>
                <w:color w:val="auto"/>
              </w:rPr>
            </w:pPr>
            <w:r>
              <w:rPr>
                <w:rFonts w:ascii="Times New Roman" w:cs="Times New Roman" w:eastAsia="Times New Roman" w:hAnsi="Times New Roman"/>
                <w:sz w:val="14"/>
                <w:szCs w:val="14"/>
                <w:color w:val="auto"/>
              </w:rPr>
              <w:t>(2,180)</w:t>
            </w: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(2,743)</w:t>
            </w: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(2,736)</w:t>
            </w: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(1,080)</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(1,347)</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4"/>
                <w:szCs w:val="14"/>
                <w:color w:val="auto"/>
              </w:rPr>
              <w:t>(1,342)</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42"/>
        </w:trPr>
        <w:tc>
          <w:tcPr>
            <w:tcW w:w="2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U.S. Treasury futures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5"/>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(2,910)</w:t>
            </w:r>
          </w:p>
        </w:tc>
        <w:tc>
          <w:tcPr>
            <w:tcW w:w="520" w:type="dxa"/>
            <w:vAlign w:val="bottom"/>
            <w:gridSpan w:val="2"/>
            <w:shd w:val="clear" w:color="auto" w:fill="CCEEFF"/>
          </w:tcPr>
          <w:p>
            <w:pPr>
              <w:jc w:val="right"/>
              <w:ind w:right="237"/>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(3,605)</w:t>
            </w:r>
          </w:p>
        </w:tc>
        <w:tc>
          <w:tcPr>
            <w:tcW w:w="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(3,596)</w:t>
            </w:r>
          </w:p>
        </w:tc>
        <w:tc>
          <w:tcPr>
            <w:tcW w:w="720" w:type="dxa"/>
            <w:vAlign w:val="bottom"/>
            <w:gridSpan w:val="4"/>
            <w:shd w:val="clear" w:color="auto" w:fill="CCEEFF"/>
          </w:tcPr>
          <w:p>
            <w:pPr>
              <w:jc w:val="right"/>
              <w:ind w:right="353"/>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(1,810)</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(2,209)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(2,201)</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_____________________</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740" w:type="dxa"/>
            <w:vAlign w:val="bottom"/>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Notional amount represents the par value (or principal balance) of the underlying U.S. Treasury security.</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basis represents the forward price to be paid/(received) for the underlying U.S. Treasury security.</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value represents the current market value of the U.S. Treasury futures as of period-end.</w:t>
      </w:r>
    </w:p>
    <w:p>
      <w:pPr>
        <w:spacing w:after="0" w:line="1" w:lineRule="exact"/>
        <w:rPr>
          <w:rFonts w:ascii="Times New Roman" w:cs="Times New Roman" w:eastAsia="Times New Roman" w:hAnsi="Times New Roman"/>
          <w:sz w:val="14"/>
          <w:szCs w:val="14"/>
          <w:color w:val="auto"/>
        </w:rPr>
      </w:pPr>
    </w:p>
    <w:p>
      <w:pPr>
        <w:ind w:left="660" w:right="20" w:hanging="328"/>
        <w:spacing w:after="0" w:line="258" w:lineRule="auto"/>
        <w:tabs>
          <w:tab w:leader="none" w:pos="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carrying value represents the difference between the fair value and the cost basis of the U.S. Treasury futures as of period-end and is reported in derivative assets/(liabilities), at fair value in our consolidated balance sheets.</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966"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95"/>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40"/>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80"/>
              <w:spacing w:after="0" w:line="141" w:lineRule="exact"/>
              <w:rPr>
                <w:sz w:val="20"/>
                <w:szCs w:val="20"/>
                <w:color w:val="auto"/>
              </w:rPr>
            </w:pPr>
            <w:r>
              <w:rPr>
                <w:rFonts w:ascii="Times New Roman" w:cs="Times New Roman" w:eastAsia="Times New Roman" w:hAnsi="Times New Roman"/>
                <w:sz w:val="13"/>
                <w:szCs w:val="13"/>
                <w:b w:val="1"/>
                <w:bCs w:val="1"/>
                <w:color w:val="auto"/>
                <w:w w:val="96"/>
              </w:rPr>
              <w:t>Notional</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80"/>
              <w:spacing w:after="0" w:line="141" w:lineRule="exact"/>
              <w:rPr>
                <w:sz w:val="20"/>
                <w:szCs w:val="20"/>
                <w:color w:val="auto"/>
              </w:rPr>
            </w:pPr>
            <w:r>
              <w:rPr>
                <w:rFonts w:ascii="Times New Roman" w:cs="Times New Roman" w:eastAsia="Times New Roman" w:hAnsi="Times New Roman"/>
                <w:sz w:val="13"/>
                <w:szCs w:val="13"/>
                <w:b w:val="1"/>
                <w:bCs w:val="1"/>
                <w:color w:val="auto"/>
              </w:rPr>
              <w:t>Notional</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35"/>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Amount - Long</w:t>
            </w:r>
          </w:p>
        </w:tc>
        <w:tc>
          <w:tcPr>
            <w:tcW w:w="200" w:type="dxa"/>
            <w:vAlign w:val="bottom"/>
          </w:tcPr>
          <w:p>
            <w:pPr>
              <w:spacing w:after="0"/>
              <w:rPr>
                <w:sz w:val="11"/>
                <w:szCs w:val="11"/>
                <w:color w:val="auto"/>
              </w:rPr>
            </w:pPr>
          </w:p>
        </w:tc>
        <w:tc>
          <w:tcPr>
            <w:tcW w:w="86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3"/>
                <w:szCs w:val="13"/>
                <w:b w:val="1"/>
                <w:bCs w:val="1"/>
                <w:color w:val="auto"/>
              </w:rPr>
              <w:t>Cost</w:t>
            </w:r>
          </w:p>
        </w:tc>
        <w:tc>
          <w:tcPr>
            <w:tcW w:w="26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Market</w:t>
            </w:r>
          </w:p>
        </w:tc>
        <w:tc>
          <w:tcPr>
            <w:tcW w:w="1000" w:type="dxa"/>
            <w:vAlign w:val="bottom"/>
            <w:gridSpan w:val="3"/>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140" w:type="dxa"/>
            <w:vAlign w:val="bottom"/>
          </w:tcPr>
          <w:p>
            <w:pPr>
              <w:spacing w:after="0"/>
              <w:rPr>
                <w:sz w:val="11"/>
                <w:szCs w:val="11"/>
                <w:color w:val="auto"/>
              </w:rPr>
            </w:pPr>
          </w:p>
        </w:tc>
        <w:tc>
          <w:tcPr>
            <w:tcW w:w="12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Amount - Long</w:t>
            </w:r>
          </w:p>
        </w:tc>
        <w:tc>
          <w:tcPr>
            <w:tcW w:w="220" w:type="dxa"/>
            <w:vAlign w:val="bottom"/>
          </w:tcPr>
          <w:p>
            <w:pPr>
              <w:spacing w:after="0"/>
              <w:rPr>
                <w:sz w:val="11"/>
                <w:szCs w:val="11"/>
                <w:color w:val="auto"/>
              </w:rPr>
            </w:pPr>
          </w:p>
        </w:tc>
        <w:tc>
          <w:tcPr>
            <w:tcW w:w="90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3"/>
                <w:szCs w:val="13"/>
                <w:b w:val="1"/>
                <w:bCs w:val="1"/>
                <w:color w:val="auto"/>
              </w:rPr>
              <w:t>Cost</w:t>
            </w:r>
          </w:p>
        </w:tc>
        <w:tc>
          <w:tcPr>
            <w:tcW w:w="200" w:type="dxa"/>
            <w:vAlign w:val="bottom"/>
          </w:tcPr>
          <w:p>
            <w:pPr>
              <w:spacing w:after="0"/>
              <w:rPr>
                <w:sz w:val="11"/>
                <w:szCs w:val="11"/>
                <w:color w:val="auto"/>
              </w:rPr>
            </w:pPr>
          </w:p>
        </w:tc>
        <w:tc>
          <w:tcPr>
            <w:tcW w:w="92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b w:val="1"/>
                <w:bCs w:val="1"/>
                <w:color w:val="auto"/>
              </w:rPr>
              <w:t>Market</w:t>
            </w:r>
          </w:p>
        </w:tc>
        <w:tc>
          <w:tcPr>
            <w:tcW w:w="140" w:type="dxa"/>
            <w:vAlign w:val="bottom"/>
          </w:tcPr>
          <w:p>
            <w:pPr>
              <w:spacing w:after="0"/>
              <w:rPr>
                <w:sz w:val="11"/>
                <w:szCs w:val="11"/>
                <w:color w:val="auto"/>
              </w:rPr>
            </w:pPr>
          </w:p>
        </w:tc>
        <w:tc>
          <w:tcPr>
            <w:tcW w:w="880" w:type="dxa"/>
            <w:vAlign w:val="bottom"/>
          </w:tcPr>
          <w:p>
            <w:pPr>
              <w:jc w:val="right"/>
              <w:ind w:right="70"/>
              <w:spacing w:after="0" w:line="135" w:lineRule="exact"/>
              <w:rPr>
                <w:sz w:val="20"/>
                <w:szCs w:val="20"/>
                <w:color w:val="auto"/>
              </w:rPr>
            </w:pPr>
            <w:r>
              <w:rPr>
                <w:rFonts w:ascii="Times New Roman" w:cs="Times New Roman" w:eastAsia="Times New Roman" w:hAnsi="Times New Roman"/>
                <w:sz w:val="13"/>
                <w:szCs w:val="13"/>
                <w:b w:val="1"/>
                <w:bCs w:val="1"/>
                <w:color w:val="auto"/>
                <w:w w:val="97"/>
              </w:rPr>
              <w:t>Net Carrying</w:t>
            </w:r>
          </w:p>
        </w:tc>
      </w:tr>
      <w:tr>
        <w:trPr>
          <w:trHeight w:val="176"/>
        </w:trPr>
        <w:tc>
          <w:tcPr>
            <w:tcW w:w="2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TBA Securities by Coupon</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7"/>
              </w:rPr>
              <w:t xml:space="preserve">(Short) </w:t>
            </w:r>
            <w:r>
              <w:rPr>
                <w:rFonts w:ascii="Times New Roman" w:cs="Times New Roman" w:eastAsia="Times New Roman" w:hAnsi="Times New Roman"/>
                <w:sz w:val="8"/>
                <w:szCs w:val="8"/>
                <w:b w:val="1"/>
                <w:bCs w:val="1"/>
                <w:color w:val="auto"/>
                <w:w w:val="97"/>
              </w:rPr>
              <w:t>1</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 xml:space="preserve">Basis </w:t>
            </w:r>
            <w:r>
              <w:rPr>
                <w:rFonts w:ascii="Times New Roman" w:cs="Times New Roman" w:eastAsia="Times New Roman" w:hAnsi="Times New Roman"/>
                <w:sz w:val="8"/>
                <w:szCs w:val="8"/>
                <w:b w:val="1"/>
                <w:bCs w:val="1"/>
                <w:color w:val="auto"/>
              </w:rPr>
              <w:t>2</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3"/>
                <w:szCs w:val="13"/>
                <w:b w:val="1"/>
                <w:bCs w:val="1"/>
                <w:color w:val="auto"/>
                <w:w w:val="95"/>
              </w:rPr>
              <w:t xml:space="preserve">Value </w:t>
            </w:r>
            <w:r>
              <w:rPr>
                <w:rFonts w:ascii="Times New Roman" w:cs="Times New Roman" w:eastAsia="Times New Roman" w:hAnsi="Times New Roman"/>
                <w:sz w:val="8"/>
                <w:szCs w:val="8"/>
                <w:b w:val="1"/>
                <w:bCs w:val="1"/>
                <w:color w:val="auto"/>
                <w:w w:val="95"/>
              </w:rPr>
              <w:t>3</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 xml:space="preserve">Value </w:t>
            </w:r>
            <w:r>
              <w:rPr>
                <w:rFonts w:ascii="Times New Roman" w:cs="Times New Roman" w:eastAsia="Times New Roman" w:hAnsi="Times New Roman"/>
                <w:sz w:val="8"/>
                <w:szCs w:val="8"/>
                <w:b w:val="1"/>
                <w:bCs w:val="1"/>
                <w:color w:val="auto"/>
              </w:rPr>
              <w:t>4</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3"/>
                <w:szCs w:val="13"/>
                <w:b w:val="1"/>
                <w:bCs w:val="1"/>
                <w:color w:val="auto"/>
                <w:w w:val="97"/>
              </w:rPr>
              <w:t xml:space="preserve">(Short) </w:t>
            </w:r>
            <w:r>
              <w:rPr>
                <w:rFonts w:ascii="Times New Roman" w:cs="Times New Roman" w:eastAsia="Times New Roman" w:hAnsi="Times New Roman"/>
                <w:sz w:val="8"/>
                <w:szCs w:val="8"/>
                <w:b w:val="1"/>
                <w:bCs w:val="1"/>
                <w:color w:val="auto"/>
                <w:w w:val="97"/>
              </w:rPr>
              <w:t>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 xml:space="preserve">Basis </w:t>
            </w:r>
            <w:r>
              <w:rPr>
                <w:rFonts w:ascii="Times New Roman" w:cs="Times New Roman" w:eastAsia="Times New Roman" w:hAnsi="Times New Roman"/>
                <w:sz w:val="8"/>
                <w:szCs w:val="8"/>
                <w:b w:val="1"/>
                <w:bCs w:val="1"/>
                <w:color w:val="auto"/>
              </w:rPr>
              <w:t>2</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3"/>
                <w:szCs w:val="13"/>
                <w:b w:val="1"/>
                <w:bCs w:val="1"/>
                <w:color w:val="auto"/>
              </w:rPr>
              <w:t xml:space="preserve">Value </w:t>
            </w:r>
            <w:r>
              <w:rPr>
                <w:rFonts w:ascii="Times New Roman" w:cs="Times New Roman" w:eastAsia="Times New Roman" w:hAnsi="Times New Roman"/>
                <w:sz w:val="8"/>
                <w:szCs w:val="8"/>
                <w:b w:val="1"/>
                <w:bCs w:val="1"/>
                <w:color w:val="auto"/>
              </w:rPr>
              <w:t>3</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3"/>
                <w:szCs w:val="13"/>
                <w:b w:val="1"/>
                <w:bCs w:val="1"/>
                <w:color w:val="auto"/>
              </w:rPr>
              <w:t xml:space="preserve">Value </w:t>
            </w:r>
            <w:r>
              <w:rPr>
                <w:rFonts w:ascii="Times New Roman" w:cs="Times New Roman" w:eastAsia="Times New Roman" w:hAnsi="Times New Roman"/>
                <w:sz w:val="8"/>
                <w:szCs w:val="8"/>
                <w:b w:val="1"/>
                <w:bCs w:val="1"/>
                <w:color w:val="auto"/>
              </w:rPr>
              <w:t>4</w:t>
            </w:r>
          </w:p>
        </w:tc>
      </w:tr>
      <w:tr>
        <w:trPr>
          <w:trHeight w:val="270"/>
        </w:trPr>
        <w:tc>
          <w:tcPr>
            <w:tcW w:w="2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15-Year TBA securities: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5"/>
        </w:trPr>
        <w:tc>
          <w:tcPr>
            <w:tcW w:w="2300" w:type="dxa"/>
            <w:vAlign w:val="bottom"/>
          </w:tcPr>
          <w:p>
            <w:pPr>
              <w:jc w:val="right"/>
              <w:ind w:right="1729"/>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1,329</w:t>
            </w:r>
          </w:p>
        </w:tc>
        <w:tc>
          <w:tcPr>
            <w:tcW w:w="12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1,333</w:t>
            </w:r>
          </w:p>
        </w:tc>
        <w:tc>
          <w:tcPr>
            <w:tcW w:w="12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1,334</w:t>
            </w:r>
          </w:p>
        </w:tc>
        <w:tc>
          <w:tcPr>
            <w:tcW w:w="120" w:type="dxa"/>
            <w:vAlign w:val="bottom"/>
          </w:tcPr>
          <w:p>
            <w:pPr>
              <w:spacing w:after="0"/>
              <w:rPr>
                <w:sz w:val="23"/>
                <w:szCs w:val="23"/>
                <w:color w:val="auto"/>
              </w:rPr>
            </w:pPr>
          </w:p>
        </w:tc>
        <w:tc>
          <w:tcPr>
            <w:tcW w:w="1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1,853</w:t>
            </w:r>
          </w:p>
        </w:tc>
        <w:tc>
          <w:tcPr>
            <w:tcW w:w="100" w:type="dxa"/>
            <w:vAlign w:val="bottom"/>
          </w:tcPr>
          <w:p>
            <w:pPr>
              <w:spacing w:after="0"/>
              <w:rPr>
                <w:sz w:val="23"/>
                <w:szCs w:val="23"/>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1,870</w:t>
            </w:r>
          </w:p>
        </w:tc>
        <w:tc>
          <w:tcPr>
            <w:tcW w:w="10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1,856</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75"/>
        </w:trPr>
        <w:tc>
          <w:tcPr>
            <w:tcW w:w="2300" w:type="dxa"/>
            <w:vAlign w:val="bottom"/>
            <w:shd w:val="clear" w:color="auto" w:fill="CCEEFF"/>
          </w:tcPr>
          <w:p>
            <w:pPr>
              <w:jc w:val="right"/>
              <w:ind w:right="1729"/>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1,241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1,276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1,274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302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65"/>
        </w:trPr>
        <w:tc>
          <w:tcPr>
            <w:tcW w:w="2300" w:type="dxa"/>
            <w:vAlign w:val="bottom"/>
          </w:tcPr>
          <w:p>
            <w:pPr>
              <w:jc w:val="right"/>
              <w:ind w:right="1729"/>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r>
      <w:tr>
        <w:trPr>
          <w:trHeight w:val="255"/>
        </w:trPr>
        <w:tc>
          <w:tcPr>
            <w:tcW w:w="2420" w:type="dxa"/>
            <w:vAlign w:val="bottom"/>
            <w:tcBorders>
              <w:top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15-Year TBA securities</w:t>
            </w: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2,590</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74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2,630</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6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2,629</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2,160</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2,188</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2,172</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59"/>
        </w:trPr>
        <w:tc>
          <w:tcPr>
            <w:tcW w:w="24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30-Year TBA securities:</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5"/>
        </w:trPr>
        <w:tc>
          <w:tcPr>
            <w:tcW w:w="2300" w:type="dxa"/>
            <w:vAlign w:val="bottom"/>
            <w:shd w:val="clear" w:color="auto" w:fill="CCEEFF"/>
          </w:tcPr>
          <w:p>
            <w:pPr>
              <w:jc w:val="right"/>
              <w:ind w:right="1729"/>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3,461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3,450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3,448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3,027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3,114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3,007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r>
      <w:tr>
        <w:trPr>
          <w:trHeight w:val="265"/>
        </w:trPr>
        <w:tc>
          <w:tcPr>
            <w:tcW w:w="2300" w:type="dxa"/>
            <w:vAlign w:val="bottom"/>
          </w:tcPr>
          <w:p>
            <w:pPr>
              <w:jc w:val="right"/>
              <w:ind w:right="1729"/>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6,771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6,952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6,949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1,209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1,251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1,236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75"/>
        </w:trPr>
        <w:tc>
          <w:tcPr>
            <w:tcW w:w="2300" w:type="dxa"/>
            <w:vAlign w:val="bottom"/>
            <w:shd w:val="clear" w:color="auto" w:fill="CCEEFF"/>
          </w:tcPr>
          <w:p>
            <w:pPr>
              <w:jc w:val="right"/>
              <w:ind w:right="1729"/>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4,077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4,286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4,280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4,530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4,769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4,760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65"/>
        </w:trPr>
        <w:tc>
          <w:tcPr>
            <w:tcW w:w="2300" w:type="dxa"/>
            <w:vAlign w:val="bottom"/>
          </w:tcPr>
          <w:p>
            <w:pPr>
              <w:jc w:val="right"/>
              <w:ind w:right="1729"/>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r>
      <w:tr>
        <w:trPr>
          <w:trHeight w:val="250"/>
        </w:trPr>
        <w:tc>
          <w:tcPr>
            <w:tcW w:w="2420" w:type="dxa"/>
            <w:vAlign w:val="bottom"/>
            <w:tcBorders>
              <w:top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30-Year TBA securities, net</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14,277</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14,653</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14,642</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8,756</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9,124</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8,993</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r>
      <w:tr>
        <w:trPr>
          <w:trHeight w:val="242"/>
        </w:trPr>
        <w:tc>
          <w:tcPr>
            <w:tcW w:w="24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Total TBA securities, net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16,867</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17,283</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17,271</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10,916</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11,312</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11,165</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w:t>
            </w: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80"/>
              <w:spacing w:after="0" w:line="141" w:lineRule="exact"/>
              <w:rPr>
                <w:sz w:val="20"/>
                <w:szCs w:val="20"/>
                <w:color w:val="auto"/>
              </w:rPr>
            </w:pPr>
            <w:r>
              <w:rPr>
                <w:rFonts w:ascii="Times New Roman" w:cs="Times New Roman" w:eastAsia="Times New Roman" w:hAnsi="Times New Roman"/>
                <w:sz w:val="13"/>
                <w:szCs w:val="13"/>
                <w:b w:val="1"/>
                <w:bCs w:val="1"/>
                <w:color w:val="auto"/>
                <w:w w:val="96"/>
              </w:rPr>
              <w:t>Notional</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80"/>
              <w:spacing w:after="0" w:line="141" w:lineRule="exact"/>
              <w:rPr>
                <w:sz w:val="20"/>
                <w:szCs w:val="20"/>
                <w:color w:val="auto"/>
              </w:rPr>
            </w:pPr>
            <w:r>
              <w:rPr>
                <w:rFonts w:ascii="Times New Roman" w:cs="Times New Roman" w:eastAsia="Times New Roman" w:hAnsi="Times New Roman"/>
                <w:sz w:val="13"/>
                <w:szCs w:val="13"/>
                <w:b w:val="1"/>
                <w:bCs w:val="1"/>
                <w:color w:val="auto"/>
              </w:rPr>
              <w:t>Notional</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Amount - Long</w:t>
            </w:r>
          </w:p>
        </w:tc>
        <w:tc>
          <w:tcPr>
            <w:tcW w:w="200" w:type="dxa"/>
            <w:vAlign w:val="bottom"/>
          </w:tcPr>
          <w:p>
            <w:pPr>
              <w:spacing w:after="0"/>
              <w:rPr>
                <w:sz w:val="11"/>
                <w:szCs w:val="11"/>
                <w:color w:val="auto"/>
              </w:rPr>
            </w:pPr>
          </w:p>
        </w:tc>
        <w:tc>
          <w:tcPr>
            <w:tcW w:w="86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3"/>
                <w:szCs w:val="13"/>
                <w:b w:val="1"/>
                <w:bCs w:val="1"/>
                <w:color w:val="auto"/>
              </w:rPr>
              <w:t>Cost</w:t>
            </w:r>
          </w:p>
        </w:tc>
        <w:tc>
          <w:tcPr>
            <w:tcW w:w="26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Market</w:t>
            </w:r>
          </w:p>
        </w:tc>
        <w:tc>
          <w:tcPr>
            <w:tcW w:w="1000" w:type="dxa"/>
            <w:vAlign w:val="bottom"/>
            <w:gridSpan w:val="3"/>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140" w:type="dxa"/>
            <w:vAlign w:val="bottom"/>
          </w:tcPr>
          <w:p>
            <w:pPr>
              <w:spacing w:after="0"/>
              <w:rPr>
                <w:sz w:val="11"/>
                <w:szCs w:val="11"/>
                <w:color w:val="auto"/>
              </w:rPr>
            </w:pPr>
          </w:p>
        </w:tc>
        <w:tc>
          <w:tcPr>
            <w:tcW w:w="12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Amount - Long</w:t>
            </w:r>
          </w:p>
        </w:tc>
        <w:tc>
          <w:tcPr>
            <w:tcW w:w="220" w:type="dxa"/>
            <w:vAlign w:val="bottom"/>
          </w:tcPr>
          <w:p>
            <w:pPr>
              <w:spacing w:after="0"/>
              <w:rPr>
                <w:sz w:val="11"/>
                <w:szCs w:val="11"/>
                <w:color w:val="auto"/>
              </w:rPr>
            </w:pPr>
          </w:p>
        </w:tc>
        <w:tc>
          <w:tcPr>
            <w:tcW w:w="90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3"/>
                <w:szCs w:val="13"/>
                <w:b w:val="1"/>
                <w:bCs w:val="1"/>
                <w:color w:val="auto"/>
              </w:rPr>
              <w:t>Cost</w:t>
            </w:r>
          </w:p>
        </w:tc>
        <w:tc>
          <w:tcPr>
            <w:tcW w:w="200" w:type="dxa"/>
            <w:vAlign w:val="bottom"/>
          </w:tcPr>
          <w:p>
            <w:pPr>
              <w:spacing w:after="0"/>
              <w:rPr>
                <w:sz w:val="11"/>
                <w:szCs w:val="11"/>
                <w:color w:val="auto"/>
              </w:rPr>
            </w:pPr>
          </w:p>
        </w:tc>
        <w:tc>
          <w:tcPr>
            <w:tcW w:w="92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b w:val="1"/>
                <w:bCs w:val="1"/>
                <w:color w:val="auto"/>
              </w:rPr>
              <w:t>Market</w:t>
            </w:r>
          </w:p>
        </w:tc>
        <w:tc>
          <w:tcPr>
            <w:tcW w:w="140" w:type="dxa"/>
            <w:vAlign w:val="bottom"/>
          </w:tcPr>
          <w:p>
            <w:pPr>
              <w:spacing w:after="0"/>
              <w:rPr>
                <w:sz w:val="11"/>
                <w:szCs w:val="11"/>
                <w:color w:val="auto"/>
              </w:rPr>
            </w:pPr>
          </w:p>
        </w:tc>
        <w:tc>
          <w:tcPr>
            <w:tcW w:w="880" w:type="dxa"/>
            <w:vAlign w:val="bottom"/>
          </w:tcPr>
          <w:p>
            <w:pPr>
              <w:jc w:val="right"/>
              <w:ind w:right="71"/>
              <w:spacing w:after="0" w:line="135" w:lineRule="exact"/>
              <w:rPr>
                <w:sz w:val="20"/>
                <w:szCs w:val="20"/>
                <w:color w:val="auto"/>
              </w:rPr>
            </w:pPr>
            <w:r>
              <w:rPr>
                <w:rFonts w:ascii="Times New Roman" w:cs="Times New Roman" w:eastAsia="Times New Roman" w:hAnsi="Times New Roman"/>
                <w:sz w:val="13"/>
                <w:szCs w:val="13"/>
                <w:b w:val="1"/>
                <w:bCs w:val="1"/>
                <w:color w:val="auto"/>
                <w:w w:val="97"/>
              </w:rPr>
              <w:t>Net Carrying</w:t>
            </w:r>
          </w:p>
        </w:tc>
        <w:tc>
          <w:tcPr>
            <w:tcW w:w="0" w:type="dxa"/>
            <w:vAlign w:val="bottom"/>
          </w:tcPr>
          <w:p>
            <w:pPr>
              <w:spacing w:after="0"/>
              <w:rPr>
                <w:sz w:val="1"/>
                <w:szCs w:val="1"/>
                <w:color w:val="auto"/>
              </w:rPr>
            </w:pPr>
          </w:p>
        </w:tc>
      </w:tr>
      <w:tr>
        <w:trPr>
          <w:trHeight w:val="176"/>
        </w:trPr>
        <w:tc>
          <w:tcPr>
            <w:tcW w:w="2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TBA Securities by Issuer</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3"/>
                <w:szCs w:val="13"/>
                <w:b w:val="1"/>
                <w:bCs w:val="1"/>
                <w:color w:val="auto"/>
                <w:w w:val="97"/>
              </w:rPr>
              <w:t xml:space="preserve">(Short) </w:t>
            </w:r>
            <w:r>
              <w:rPr>
                <w:rFonts w:ascii="Times New Roman" w:cs="Times New Roman" w:eastAsia="Times New Roman" w:hAnsi="Times New Roman"/>
                <w:sz w:val="8"/>
                <w:szCs w:val="8"/>
                <w:b w:val="1"/>
                <w:bCs w:val="1"/>
                <w:color w:val="auto"/>
                <w:w w:val="97"/>
              </w:rPr>
              <w:t>1</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3"/>
                <w:szCs w:val="13"/>
                <w:b w:val="1"/>
                <w:bCs w:val="1"/>
                <w:color w:val="auto"/>
              </w:rPr>
              <w:t xml:space="preserve">Basis </w:t>
            </w:r>
            <w:r>
              <w:rPr>
                <w:rFonts w:ascii="Times New Roman" w:cs="Times New Roman" w:eastAsia="Times New Roman" w:hAnsi="Times New Roman"/>
                <w:sz w:val="8"/>
                <w:szCs w:val="8"/>
                <w:b w:val="1"/>
                <w:bCs w:val="1"/>
                <w:color w:val="auto"/>
              </w:rPr>
              <w:t>2</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3"/>
                <w:szCs w:val="13"/>
                <w:b w:val="1"/>
                <w:bCs w:val="1"/>
                <w:color w:val="auto"/>
                <w:w w:val="95"/>
              </w:rPr>
              <w:t xml:space="preserve">Value </w:t>
            </w:r>
            <w:r>
              <w:rPr>
                <w:rFonts w:ascii="Times New Roman" w:cs="Times New Roman" w:eastAsia="Times New Roman" w:hAnsi="Times New Roman"/>
                <w:sz w:val="8"/>
                <w:szCs w:val="8"/>
                <w:b w:val="1"/>
                <w:bCs w:val="1"/>
                <w:color w:val="auto"/>
                <w:w w:val="95"/>
              </w:rPr>
              <w:t>3</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3"/>
                <w:szCs w:val="13"/>
                <w:b w:val="1"/>
                <w:bCs w:val="1"/>
                <w:color w:val="auto"/>
              </w:rPr>
              <w:t xml:space="preserve">Value </w:t>
            </w:r>
            <w:r>
              <w:rPr>
                <w:rFonts w:ascii="Times New Roman" w:cs="Times New Roman" w:eastAsia="Times New Roman" w:hAnsi="Times New Roman"/>
                <w:sz w:val="8"/>
                <w:szCs w:val="8"/>
                <w:b w:val="1"/>
                <w:bCs w:val="1"/>
                <w:color w:val="auto"/>
              </w:rPr>
              <w:t>4</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3"/>
                <w:szCs w:val="13"/>
                <w:b w:val="1"/>
                <w:bCs w:val="1"/>
                <w:color w:val="auto"/>
                <w:w w:val="97"/>
              </w:rPr>
              <w:t xml:space="preserve">(Short) </w:t>
            </w:r>
            <w:r>
              <w:rPr>
                <w:rFonts w:ascii="Times New Roman" w:cs="Times New Roman" w:eastAsia="Times New Roman" w:hAnsi="Times New Roman"/>
                <w:sz w:val="8"/>
                <w:szCs w:val="8"/>
                <w:b w:val="1"/>
                <w:bCs w:val="1"/>
                <w:color w:val="auto"/>
                <w:w w:val="97"/>
              </w:rPr>
              <w:t>1</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3"/>
                <w:szCs w:val="13"/>
                <w:b w:val="1"/>
                <w:bCs w:val="1"/>
                <w:color w:val="auto"/>
              </w:rPr>
              <w:t xml:space="preserve">Basis </w:t>
            </w:r>
            <w:r>
              <w:rPr>
                <w:rFonts w:ascii="Times New Roman" w:cs="Times New Roman" w:eastAsia="Times New Roman" w:hAnsi="Times New Roman"/>
                <w:sz w:val="8"/>
                <w:szCs w:val="8"/>
                <w:b w:val="1"/>
                <w:bCs w:val="1"/>
                <w:color w:val="auto"/>
              </w:rPr>
              <w:t>2</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3"/>
                <w:szCs w:val="13"/>
                <w:b w:val="1"/>
                <w:bCs w:val="1"/>
                <w:color w:val="auto"/>
              </w:rPr>
              <w:t xml:space="preserve">Value </w:t>
            </w:r>
            <w:r>
              <w:rPr>
                <w:rFonts w:ascii="Times New Roman" w:cs="Times New Roman" w:eastAsia="Times New Roman" w:hAnsi="Times New Roman"/>
                <w:sz w:val="8"/>
                <w:szCs w:val="8"/>
                <w:b w:val="1"/>
                <w:bCs w:val="1"/>
                <w:color w:val="auto"/>
              </w:rPr>
              <w:t>3</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3"/>
                <w:szCs w:val="13"/>
                <w:b w:val="1"/>
                <w:bCs w:val="1"/>
                <w:color w:val="auto"/>
              </w:rPr>
              <w:t xml:space="preserve">Value </w:t>
            </w:r>
            <w:r>
              <w:rPr>
                <w:rFonts w:ascii="Times New Roman" w:cs="Times New Roman" w:eastAsia="Times New Roman" w:hAnsi="Times New Roman"/>
                <w:sz w:val="8"/>
                <w:szCs w:val="8"/>
                <w:b w:val="1"/>
                <w:bCs w:val="1"/>
                <w:color w:val="auto"/>
              </w:rPr>
              <w:t>4</w:t>
            </w:r>
          </w:p>
        </w:tc>
        <w:tc>
          <w:tcPr>
            <w:tcW w:w="0" w:type="dxa"/>
            <w:vAlign w:val="bottom"/>
          </w:tcPr>
          <w:p>
            <w:pPr>
              <w:spacing w:after="0"/>
              <w:rPr>
                <w:sz w:val="1"/>
                <w:szCs w:val="1"/>
                <w:color w:val="auto"/>
              </w:rPr>
            </w:pPr>
          </w:p>
        </w:tc>
      </w:tr>
      <w:tr>
        <w:trPr>
          <w:trHeight w:val="252"/>
        </w:trPr>
        <w:tc>
          <w:tcPr>
            <w:tcW w:w="24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Fannie Mae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14,977</w:t>
            </w:r>
          </w:p>
        </w:tc>
        <w:tc>
          <w:tcPr>
            <w:tcW w:w="12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15,359</w:t>
            </w:r>
          </w:p>
        </w:tc>
        <w:tc>
          <w:tcPr>
            <w:tcW w:w="12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15,346</w:t>
            </w:r>
          </w:p>
        </w:tc>
        <w:tc>
          <w:tcPr>
            <w:tcW w:w="120" w:type="dxa"/>
            <w:vAlign w:val="bottom"/>
          </w:tcPr>
          <w:p>
            <w:pPr>
              <w:spacing w:after="0"/>
              <w:rPr>
                <w:sz w:val="21"/>
                <w:szCs w:val="21"/>
                <w:color w:val="auto"/>
              </w:rPr>
            </w:pPr>
          </w:p>
        </w:tc>
        <w:tc>
          <w:tcPr>
            <w:tcW w:w="1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9,881</w:t>
            </w:r>
          </w:p>
        </w:tc>
        <w:tc>
          <w:tcPr>
            <w:tcW w:w="10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10,251</w:t>
            </w: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10,118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275"/>
        </w:trPr>
        <w:tc>
          <w:tcPr>
            <w:tcW w:w="2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Freddie Mac</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1,890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1,924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1,925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1,035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1,060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1,047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65"/>
        </w:trPr>
        <w:tc>
          <w:tcPr>
            <w:tcW w:w="24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Ginnie Mae</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42"/>
        </w:trPr>
        <w:tc>
          <w:tcPr>
            <w:tcW w:w="24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TBA securities, net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16,867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17,283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17,271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10,916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11,312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11,165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w:t>
            </w:r>
          </w:p>
        </w:tc>
        <w:tc>
          <w:tcPr>
            <w:tcW w:w="1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30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Notional amount represents the par value (or principal balance) of the underlying Agency security.</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basis represents the forward price to be paid/(received) for the underlying Agency security.</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value represents the current market value of the TBA contract (or of the underlying Agency security) as of period-end.</w:t>
      </w:r>
    </w:p>
    <w:p>
      <w:pPr>
        <w:spacing w:after="0" w:line="1" w:lineRule="exact"/>
        <w:rPr>
          <w:rFonts w:ascii="Times New Roman" w:cs="Times New Roman" w:eastAsia="Times New Roman" w:hAnsi="Times New Roman"/>
          <w:sz w:val="14"/>
          <w:szCs w:val="14"/>
          <w:color w:val="auto"/>
        </w:rPr>
      </w:pPr>
    </w:p>
    <w:p>
      <w:pPr>
        <w:ind w:left="660" w:hanging="328"/>
        <w:spacing w:after="0" w:line="258" w:lineRule="auto"/>
        <w:tabs>
          <w:tab w:leader="none" w:pos="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carrying value represents the difference between the market value and the cost basis of the TBA contract as of period-end and is reported in derivative assets/(liabilities), at fair value in our consolidated balance sheets.</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966"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Gain (Loss) From Derivative Instruments and Other Securities, Net</w:t>
      </w:r>
    </w:p>
    <w:p>
      <w:pPr>
        <w:spacing w:after="0" w:line="1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changes in our derivative and other hedge portfolio and their effect on our consolidated statements of comprehensive income for the three and six months ended June 30, 2017 and 2016 (in millions):</w:t>
      </w:r>
    </w:p>
    <w:p>
      <w:pPr>
        <w:spacing w:after="0" w:line="25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Settlement,</w:t>
            </w: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Gain/(Loss)</w:t>
            </w:r>
          </w:p>
        </w:tc>
        <w:tc>
          <w:tcPr>
            <w:tcW w:w="0" w:type="dxa"/>
            <w:vAlign w:val="bottom"/>
          </w:tcPr>
          <w:p>
            <w:pPr>
              <w:spacing w:after="0"/>
              <w:rPr>
                <w:sz w:val="1"/>
                <w:szCs w:val="1"/>
                <w:color w:val="auto"/>
              </w:rPr>
            </w:pPr>
          </w:p>
        </w:tc>
      </w:tr>
      <w:tr>
        <w:trPr>
          <w:trHeight w:val="146"/>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41"/>
              <w:spacing w:after="0" w:line="147" w:lineRule="exact"/>
              <w:rPr>
                <w:sz w:val="20"/>
                <w:szCs w:val="20"/>
                <w:color w:val="auto"/>
              </w:rPr>
            </w:pPr>
            <w:r>
              <w:rPr>
                <w:rFonts w:ascii="Times New Roman" w:cs="Times New Roman" w:eastAsia="Times New Roman" w:hAnsi="Times New Roman"/>
                <w:sz w:val="14"/>
                <w:szCs w:val="14"/>
                <w:b w:val="1"/>
                <w:bCs w:val="1"/>
                <w:color w:val="auto"/>
              </w:rPr>
              <w:t>on Derivative</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240" w:type="dxa"/>
            <w:vAlign w:val="bottom"/>
          </w:tcPr>
          <w:p>
            <w:pPr>
              <w:spacing w:after="0"/>
              <w:rPr>
                <w:sz w:val="12"/>
                <w:szCs w:val="12"/>
                <w:color w:val="auto"/>
              </w:rPr>
            </w:pPr>
          </w:p>
        </w:tc>
        <w:tc>
          <w:tcPr>
            <w:tcW w:w="1200" w:type="dxa"/>
            <w:vAlign w:val="bottom"/>
            <w:gridSpan w:val="3"/>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140" w:type="dxa"/>
            <w:vAlign w:val="bottom"/>
          </w:tcPr>
          <w:p>
            <w:pPr>
              <w:spacing w:after="0"/>
              <w:rPr>
                <w:sz w:val="12"/>
                <w:szCs w:val="12"/>
                <w:color w:val="auto"/>
              </w:rPr>
            </w:pPr>
          </w:p>
        </w:tc>
        <w:tc>
          <w:tcPr>
            <w:tcW w:w="122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Instruments and</w:t>
            </w:r>
          </w:p>
        </w:tc>
        <w:tc>
          <w:tcPr>
            <w:tcW w:w="0" w:type="dxa"/>
            <w:vAlign w:val="bottom"/>
          </w:tcPr>
          <w:p>
            <w:pPr>
              <w:spacing w:after="0"/>
              <w:rPr>
                <w:sz w:val="1"/>
                <w:szCs w:val="1"/>
                <w:color w:val="auto"/>
              </w:rPr>
            </w:pPr>
          </w:p>
        </w:tc>
      </w:tr>
      <w:tr>
        <w:trPr>
          <w:trHeight w:val="149"/>
        </w:trPr>
        <w:tc>
          <w:tcPr>
            <w:tcW w:w="4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and Other Hedging Instruments</w:t>
            </w: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3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3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Expiration or</w:t>
            </w:r>
          </w:p>
        </w:tc>
        <w:tc>
          <w:tcPr>
            <w:tcW w:w="2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3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Other Securities, Net</w:t>
            </w:r>
          </w:p>
        </w:tc>
        <w:tc>
          <w:tcPr>
            <w:tcW w:w="0" w:type="dxa"/>
            <w:vAlign w:val="bottom"/>
          </w:tcPr>
          <w:p>
            <w:pPr>
              <w:spacing w:after="0"/>
              <w:rPr>
                <w:sz w:val="1"/>
                <w:szCs w:val="1"/>
                <w:color w:val="auto"/>
              </w:rPr>
            </w:pPr>
          </w:p>
        </w:tc>
      </w:tr>
      <w:tr>
        <w:trPr>
          <w:trHeight w:val="162"/>
        </w:trPr>
        <w:tc>
          <w:tcPr>
            <w:tcW w:w="4440" w:type="dxa"/>
            <w:vAlign w:val="bottom"/>
            <w:gridSpan w:val="2"/>
            <w:vMerge w:val="continue"/>
          </w:tcPr>
          <w:p>
            <w:pPr>
              <w:spacing w:after="0"/>
              <w:rPr>
                <w:sz w:val="14"/>
                <w:szCs w:val="14"/>
                <w:color w:val="auto"/>
              </w:rPr>
            </w:pPr>
          </w:p>
        </w:tc>
        <w:tc>
          <w:tcPr>
            <w:tcW w:w="14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360" w:type="dxa"/>
            <w:vAlign w:val="bottom"/>
            <w:gridSpan w:val="2"/>
            <w:vMerge w:val="continue"/>
          </w:tcPr>
          <w:p>
            <w:pPr>
              <w:spacing w:after="0"/>
              <w:rPr>
                <w:sz w:val="14"/>
                <w:szCs w:val="14"/>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44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40" w:type="dxa"/>
            <w:vAlign w:val="bottom"/>
          </w:tcPr>
          <w:p>
            <w:pPr>
              <w:spacing w:after="0"/>
              <w:rPr>
                <w:sz w:val="14"/>
                <w:szCs w:val="14"/>
                <w:color w:val="auto"/>
              </w:rPr>
            </w:pPr>
          </w:p>
        </w:tc>
        <w:tc>
          <w:tcPr>
            <w:tcW w:w="1220" w:type="dxa"/>
            <w:vAlign w:val="bottom"/>
          </w:tcPr>
          <w:p>
            <w:pPr>
              <w:jc w:val="center"/>
              <w:ind w:right="61"/>
              <w:spacing w:after="0"/>
              <w:rPr>
                <w:sz w:val="20"/>
                <w:szCs w:val="20"/>
                <w:color w:val="auto"/>
              </w:rPr>
            </w:pPr>
            <w:r>
              <w:rPr>
                <w:rFonts w:ascii="Times New Roman" w:cs="Times New Roman" w:eastAsia="Times New Roman" w:hAnsi="Times New Roman"/>
                <w:sz w:val="9"/>
                <w:szCs w:val="9"/>
                <w:b w:val="1"/>
                <w:bCs w:val="1"/>
                <w:color w:val="auto"/>
                <w:w w:val="87"/>
              </w:rPr>
              <w:t>1</w:t>
            </w:r>
          </w:p>
        </w:tc>
        <w:tc>
          <w:tcPr>
            <w:tcW w:w="0" w:type="dxa"/>
            <w:vAlign w:val="bottom"/>
          </w:tcPr>
          <w:p>
            <w:pPr>
              <w:spacing w:after="0"/>
              <w:rPr>
                <w:sz w:val="1"/>
                <w:szCs w:val="1"/>
                <w:color w:val="auto"/>
              </w:rPr>
            </w:pPr>
          </w:p>
        </w:tc>
      </w:tr>
      <w:tr>
        <w:trPr>
          <w:trHeight w:val="291"/>
        </w:trPr>
        <w:tc>
          <w:tcPr>
            <w:tcW w:w="43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10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2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2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9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right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22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June 30, 2017:</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TBA securities, net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14,170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56,306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16,867</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163</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35,775</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5,725</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40,000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Payer swaptions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2,200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2,750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4,950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 Treasury securities - short position</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(9,169)</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(3,932)</w:t>
            </w:r>
          </w:p>
        </w:tc>
        <w:tc>
          <w:tcPr>
            <w:tcW w:w="10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5,743</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(7,358)</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futures contracts - short position</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(3,710)</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2,610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(2,910)</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7"/>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0" w:type="dxa"/>
            <w:vAlign w:val="bottom"/>
          </w:tcPr>
          <w:p>
            <w:pPr>
              <w:spacing w:after="0"/>
              <w:rPr>
                <w:sz w:val="1"/>
                <w:szCs w:val="1"/>
                <w:color w:val="auto"/>
              </w:rPr>
            </w:pPr>
          </w:p>
        </w:tc>
      </w:tr>
      <w:tr>
        <w:trPr>
          <w:trHeight w:val="73"/>
        </w:trPr>
        <w:tc>
          <w:tcPr>
            <w:tcW w:w="4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5"/>
        </w:trPr>
        <w:tc>
          <w:tcPr>
            <w:tcW w:w="43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106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26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24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CCEEFF"/>
            </w:tcBorders>
            <w:shd w:val="clear" w:color="auto" w:fill="CCEEFF"/>
          </w:tcPr>
          <w:p>
            <w:pPr>
              <w:spacing w:after="0"/>
              <w:rPr>
                <w:sz w:val="24"/>
                <w:szCs w:val="24"/>
                <w:color w:val="auto"/>
              </w:rPr>
            </w:pPr>
          </w:p>
        </w:tc>
        <w:tc>
          <w:tcPr>
            <w:tcW w:w="98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right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22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June 30, 2016:</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TBA securities, net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5,813</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20,066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6,756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38,175</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2,550</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(5,600)</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35,125</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Payer swaptions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1,750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1,050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 Treasury securities - short position</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(3,135)</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10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858</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securities - long position</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 Treasury futures contracts - short position</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(2,060)</w:t>
            </w:r>
          </w:p>
        </w:tc>
        <w:tc>
          <w:tcPr>
            <w:tcW w:w="10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1,960</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33"/>
        </w:trPr>
        <w:tc>
          <w:tcPr>
            <w:tcW w:w="4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June 30, 2017:</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TBA securities, net</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10,916</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92,402</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(86,451)</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16,867</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202</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37,175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7,025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40,000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Payer swaptions</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1,200</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3,750</w:t>
            </w:r>
          </w:p>
        </w:tc>
        <w:tc>
          <w:tcPr>
            <w:tcW w:w="1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4,950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securities - short position</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7,193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 Treasury securities - long position</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189</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303</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futures contracts - short position</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(5,520)</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4,420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(2,910)</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17"/>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0" w:type="dxa"/>
            <w:vAlign w:val="bottom"/>
          </w:tcPr>
          <w:p>
            <w:pPr>
              <w:spacing w:after="0"/>
              <w:rPr>
                <w:sz w:val="1"/>
                <w:szCs w:val="1"/>
                <w:color w:val="auto"/>
              </w:rPr>
            </w:pPr>
          </w:p>
        </w:tc>
      </w:tr>
      <w:tr>
        <w:trPr>
          <w:trHeight w:val="73"/>
        </w:trPr>
        <w:tc>
          <w:tcPr>
            <w:tcW w:w="4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5"/>
        </w:trPr>
        <w:tc>
          <w:tcPr>
            <w:tcW w:w="43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106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26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24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CCEEFF"/>
            </w:tcBorders>
            <w:shd w:val="clear" w:color="auto" w:fill="CCEEFF"/>
          </w:tcPr>
          <w:p>
            <w:pPr>
              <w:spacing w:after="0"/>
              <w:rPr>
                <w:sz w:val="24"/>
                <w:szCs w:val="24"/>
                <w:color w:val="auto"/>
              </w:rPr>
            </w:pPr>
          </w:p>
        </w:tc>
        <w:tc>
          <w:tcPr>
            <w:tcW w:w="98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right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22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June 30, 2016:</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TBA securities, net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7,295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38,025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6,756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324</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40,525</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3,550</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(8,950)</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35,125</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(1,361)</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Payer swaptions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2,150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1,050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 Treasury securities - short position</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(1,714)</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(2,633)</w:t>
            </w:r>
          </w:p>
        </w:tc>
        <w:tc>
          <w:tcPr>
            <w:tcW w:w="10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1,417</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securities - long position</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 Treasury futures contracts - short position</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(3,920)</w:t>
            </w:r>
          </w:p>
        </w:tc>
        <w:tc>
          <w:tcPr>
            <w:tcW w:w="10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3,820</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33"/>
        </w:trPr>
        <w:tc>
          <w:tcPr>
            <w:tcW w:w="4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______________________</w:t>
      </w:r>
    </w:p>
    <w:p>
      <w:pPr>
        <w:spacing w:after="0" w:line="22" w:lineRule="exact"/>
        <w:rPr>
          <w:sz w:val="20"/>
          <w:szCs w:val="20"/>
          <w:color w:val="auto"/>
        </w:rPr>
      </w:pPr>
    </w:p>
    <w:p>
      <w:pPr>
        <w:ind w:left="660" w:right="20" w:hanging="328"/>
        <w:spacing w:after="0" w:line="282" w:lineRule="auto"/>
        <w:tabs>
          <w:tab w:leader="none" w:pos="6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above exclude other miscellaneous gains and losses recognized in gain (loss) on derivative instruments and other securities, net in our consolidated statements of comprehensive income.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Pledged Assets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funding agreements require us to fully collateralize our obligations under the agreements based upon our counterparties' collateral requirements and their determination of the fair value of the securities pledged as collateral, which fluctuates with changes in interest rates, credit quality and liquidity conditions within the investment banking, mortgage finance and real estate</w:t>
      </w:r>
    </w:p>
    <w:p>
      <w:pPr>
        <w:sectPr>
          <w:pgSz w:w="11900" w:h="16838" w:orient="portrait"/>
          <w:cols w:equalWidth="0" w:num="1">
            <w:col w:w="11420"/>
          </w:cols>
          <w:pgMar w:left="240" w:top="792"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792" w:right="239" w:bottom="1440" w:gutter="0" w:footer="0" w:header="0"/>
          <w:type w:val="continuous"/>
        </w:sectPr>
      </w:pPr>
    </w:p>
    <w:bookmarkStart w:id="20" w:name="page21"/>
    <w:bookmarkEnd w:id="20"/>
    <w:p>
      <w:pPr>
        <w:jc w:val="both"/>
        <w:spacing w:after="0" w:line="256" w:lineRule="auto"/>
        <w:rPr>
          <w:sz w:val="20"/>
          <w:szCs w:val="20"/>
          <w:color w:val="auto"/>
        </w:rPr>
      </w:pPr>
      <w:r>
        <w:rPr>
          <w:rFonts w:ascii="Times New Roman" w:cs="Times New Roman" w:eastAsia="Times New Roman" w:hAnsi="Times New Roman"/>
          <w:sz w:val="18"/>
          <w:szCs w:val="18"/>
          <w:color w:val="auto"/>
        </w:rPr>
        <w:t>industries. Our derivative contracts similarly require us to fully collateralize our obligations under such agreements, which will vary over time based on similar factors as well as our counterparties' determination of the value of the derivative contract. We are typically required to post initial collateral upon execution of derivative transactions, such as under our interest rate swap agreements and TBA contracts. Our prime brokerage agreements, pursuant to which we receive custody and settlement services, and the clearing organizations utilized by Bethesda Securities also require that we post minimum daily clearing deposits. If we breach our collateral requirements, we will be required to fully settle our obligations under the agreements, which could include a forced liquidation of our pledged collateral.</w:t>
      </w:r>
    </w:p>
    <w:p>
      <w:pPr>
        <w:spacing w:after="0" w:line="134"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Our counterparties also apply a "haircut" to our pledged collateral, which means our collateral is valued at slightly less than market value and limits the amount we can borrow against our securities. This haircut reflects the underlying risk of the specific collateral and protects our counterparty against a change in its value. Our agreements do not specify the haircut; rather haircuts are determined on an individual transaction basis. Consequently, our funding agreements and derivative contracts expose us to credit risk relating to potential losses that could be recognized in the event that our counterparties fail to perform their obligations under such agreements. We minimize this risk by limiting our counterparties to major financial institutions with acceptable credit ratings or to registered clearinghouses and U.S. government agencies and we monitor our positions with individual counterparties. In the event of a default by a counterparty we may have difficulty obtaining our assets pledged as collateral to such counterparty and may not receive payments provided for under the terms of our derivative agreements. In the case of centrally cleared instruments, we could be exposed to credit risk if the central clearing agency or a clearing member defaults on its respective obligation to perform under the contract. However, we believe that the risk is minimal due to the clearing exchanges' initial and daily mark to market margin requirements and clearinghouse guarantee funds and other resources that are available in the event of a clearing member default.</w:t>
      </w:r>
    </w:p>
    <w:p>
      <w:pPr>
        <w:spacing w:after="0" w:line="13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Further, each of our International Swaps and Derivatives Association ("ISDA") Master Agreements also contains a cross default provision under which a default under certain of our other indebtedness in excess of certain thresholds causes an event of default under the ISDA Master Agreement. Threshold amounts vary by lender. Following an event of default, we could be required to settle our obligations under the agreements. Additionally, under certain of our ISDA Master Agreements, we could be required to settle our obligations under the agreements if we fail to maintain certain minimum stockholders' equity thresholds or our REIT status or if we fail to comply with limits on our leverage up to certain specified levels. As of June 30, 2017, the fair value of additional collateral that could be required to be posted as a result of the credit-risk-related contingent features being triggered was not material to our financial statements.</w:t>
      </w:r>
    </w:p>
    <w:p>
      <w:pPr>
        <w:spacing w:after="0" w:line="135"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As of June 30, 2017, our amount at risk with any counterparty related to our repurchase agreements was less than 5% of our stockholders' equity. As of December 31, 2016, our maximum amount at risk with any counterparty related to our repurchase agreements was 5.5%, of our stockholders' equity and our maximum amount at risk with any counterparty related to our interest rate swap and swaption agreements, excluding centrally cleared swaps, was less than 1% of our stockholders' equity. The following table summarizes certain characteristics of our repurchase agreements outstanding with counterparties representing amounts at risk greater than or equal to 5% of our stockholders' equity as of December 31, 2016 (dollars in millions).</w:t>
      </w:r>
    </w:p>
    <w:p>
      <w:pPr>
        <w:spacing w:after="0" w:line="353" w:lineRule="exact"/>
        <w:rPr>
          <w:sz w:val="20"/>
          <w:szCs w:val="20"/>
          <w:color w:val="auto"/>
        </w:rPr>
      </w:pPr>
    </w:p>
    <w:tbl>
      <w:tblPr>
        <w:tblLayout w:type="fixed"/>
        <w:tblInd w:w="1700" w:type="dxa"/>
        <w:tblCellMar>
          <w:top w:w="0" w:type="dxa"/>
          <w:left w:w="0" w:type="dxa"/>
          <w:bottom w:w="0" w:type="dxa"/>
          <w:right w:w="0" w:type="dxa"/>
        </w:tblCellMar>
      </w:tblPr>
      <w:tr>
        <w:trPr>
          <w:trHeight w:val="195"/>
        </w:trPr>
        <w:tc>
          <w:tcPr>
            <w:tcW w:w="3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Net Counterparty</w:t>
            </w:r>
          </w:p>
        </w:tc>
        <w:tc>
          <w:tcPr>
            <w:tcW w:w="1360" w:type="dxa"/>
            <w:vAlign w:val="bottom"/>
            <w:gridSpan w:val="2"/>
            <w:vMerge w:val="continue"/>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Months to</w:t>
            </w:r>
          </w:p>
        </w:tc>
        <w:tc>
          <w:tcPr>
            <w:tcW w:w="0" w:type="dxa"/>
            <w:vAlign w:val="bottom"/>
          </w:tcPr>
          <w:p>
            <w:pPr>
              <w:spacing w:after="0"/>
              <w:rPr>
                <w:sz w:val="1"/>
                <w:szCs w:val="1"/>
                <w:color w:val="auto"/>
              </w:rPr>
            </w:pPr>
          </w:p>
        </w:tc>
      </w:tr>
      <w:tr>
        <w:trPr>
          <w:trHeight w:val="195"/>
        </w:trPr>
        <w:tc>
          <w:tcPr>
            <w:tcW w:w="3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8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 xml:space="preserve">Exposure </w:t>
            </w:r>
            <w:r>
              <w:rPr>
                <w:rFonts w:ascii="Times New Roman" w:cs="Times New Roman" w:eastAsia="Times New Roman" w:hAnsi="Times New Roman"/>
                <w:sz w:val="8"/>
                <w:szCs w:val="8"/>
                <w:b w:val="1"/>
                <w:bCs w:val="1"/>
                <w:color w:val="auto"/>
                <w:w w:val="99"/>
              </w:rPr>
              <w:t>1</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0" w:type="dxa"/>
            <w:vAlign w:val="bottom"/>
          </w:tcPr>
          <w:p>
            <w:pPr>
              <w:spacing w:after="0"/>
              <w:rPr>
                <w:sz w:val="1"/>
                <w:szCs w:val="1"/>
                <w:color w:val="auto"/>
              </w:rPr>
            </w:pPr>
          </w:p>
        </w:tc>
      </w:tr>
      <w:tr>
        <w:trPr>
          <w:trHeight w:val="242"/>
        </w:trPr>
        <w:tc>
          <w:tcPr>
            <w:tcW w:w="3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J.P. Morgan Securities, LLC</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-91440</wp:posOffset>
            </wp:positionV>
            <wp:extent cx="30784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ind w:left="660" w:hanging="328"/>
        <w:spacing w:after="0" w:line="258" w:lineRule="auto"/>
        <w:tabs>
          <w:tab w:leader="none" w:pos="6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net carrying value of securities pledged under repurchase agreements, including accrued interest plus any cash or assets on deposit to secure the repurchase obligation, less the amount of the repurchase liability, including accrued interest.</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742"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Assets Pledged to Counterparties</w:t>
      </w:r>
    </w:p>
    <w:p>
      <w:pPr>
        <w:spacing w:after="0" w:line="175"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tables summarize our assets pledged as collateral under our funding, derivative and prime broker agreements by type, including securities pledged related to securities sold but not yet settled, as of June 30, 2017 and December 31, 2016 (in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5"/>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2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Assets Pledged to Counterparties</w:t>
            </w:r>
          </w:p>
        </w:tc>
        <w:tc>
          <w:tcPr>
            <w:tcW w:w="120" w:type="dxa"/>
            <w:vAlign w:val="bottom"/>
            <w:vMerge w:val="restart"/>
          </w:tcPr>
          <w:p>
            <w:pPr>
              <w:spacing w:after="0"/>
              <w:rPr>
                <w:sz w:val="16"/>
                <w:szCs w:val="16"/>
                <w:color w:val="auto"/>
              </w:rPr>
            </w:pPr>
          </w:p>
        </w:tc>
        <w:tc>
          <w:tcPr>
            <w:tcW w:w="17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Repurchase Agreements</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Debt of Consolidated</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6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Prime Broker</w:t>
            </w:r>
          </w:p>
        </w:tc>
        <w:tc>
          <w:tcPr>
            <w:tcW w:w="260" w:type="dxa"/>
            <w:vAlign w:val="bottom"/>
          </w:tcPr>
          <w:p>
            <w:pPr>
              <w:spacing w:after="0"/>
              <w:rPr>
                <w:sz w:val="16"/>
                <w:szCs w:val="16"/>
                <w:color w:val="auto"/>
              </w:rPr>
            </w:pPr>
          </w:p>
        </w:tc>
        <w:tc>
          <w:tcPr>
            <w:tcW w:w="86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2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9"/>
                <w:szCs w:val="9"/>
                <w:b w:val="1"/>
                <w:bCs w:val="1"/>
                <w:color w:val="auto"/>
                <w:w w:val="87"/>
              </w:rPr>
              <w:t>1</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VIEs</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Agreements </w:t>
            </w:r>
            <w:r>
              <w:rPr>
                <w:rFonts w:ascii="Times New Roman" w:cs="Times New Roman" w:eastAsia="Times New Roman" w:hAnsi="Times New Roman"/>
                <w:sz w:val="8"/>
                <w:szCs w:val="8"/>
                <w:b w:val="1"/>
                <w:bCs w:val="1"/>
                <w:color w:val="auto"/>
              </w:rPr>
              <w:t>2</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Agency RMBS - fair value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40,888</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737</w:t>
            </w:r>
          </w:p>
        </w:tc>
        <w:tc>
          <w:tcPr>
            <w:tcW w:w="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287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631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42,543</w:t>
            </w:r>
          </w:p>
        </w:tc>
        <w:tc>
          <w:tcPr>
            <w:tcW w:w="0" w:type="dxa"/>
            <w:vAlign w:val="bottom"/>
          </w:tcPr>
          <w:p>
            <w:pPr>
              <w:spacing w:after="0"/>
              <w:rPr>
                <w:sz w:val="1"/>
                <w:szCs w:val="1"/>
                <w:color w:val="auto"/>
              </w:rPr>
            </w:pPr>
          </w:p>
        </w:tc>
      </w:tr>
      <w:tr>
        <w:trPr>
          <w:trHeight w:val="265"/>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Accrued interest on pledged securities</w:t>
            </w:r>
          </w:p>
        </w:tc>
        <w:tc>
          <w:tcPr>
            <w:tcW w:w="100" w:type="dxa"/>
            <w:vAlign w:val="bottom"/>
          </w:tcPr>
          <w:p>
            <w:pPr>
              <w:spacing w:after="0"/>
              <w:rPr>
                <w:sz w:val="23"/>
                <w:szCs w:val="23"/>
                <w:color w:val="auto"/>
              </w:rPr>
            </w:pP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117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270"/>
        </w:trPr>
        <w:tc>
          <w:tcPr>
            <w:tcW w:w="4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Restricted cash and cash equivalents</w:t>
            </w:r>
          </w:p>
        </w:tc>
        <w:tc>
          <w:tcPr>
            <w:tcW w:w="1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261</w:t>
            </w:r>
          </w:p>
        </w:tc>
        <w:tc>
          <w:tcPr>
            <w:tcW w:w="0" w:type="dxa"/>
            <w:vAlign w:val="bottom"/>
          </w:tcPr>
          <w:p>
            <w:pPr>
              <w:spacing w:after="0"/>
              <w:rPr>
                <w:sz w:val="1"/>
                <w:szCs w:val="1"/>
                <w:color w:val="auto"/>
              </w:rPr>
            </w:pPr>
          </w:p>
        </w:tc>
      </w:tr>
      <w:tr>
        <w:trPr>
          <w:trHeight w:val="242"/>
        </w:trPr>
        <w:tc>
          <w:tcPr>
            <w:tcW w:w="43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41,022</w:t>
            </w:r>
          </w:p>
        </w:tc>
        <w:tc>
          <w:tcPr>
            <w:tcW w:w="120" w:type="dxa"/>
            <w:vAlign w:val="bottom"/>
          </w:tcPr>
          <w:p>
            <w:pPr>
              <w:spacing w:after="0"/>
              <w:rPr>
                <w:sz w:val="21"/>
                <w:szCs w:val="21"/>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739</w:t>
            </w:r>
          </w:p>
        </w:tc>
        <w:tc>
          <w:tcPr>
            <w:tcW w:w="3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526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639</w:t>
            </w:r>
          </w:p>
        </w:tc>
        <w:tc>
          <w:tcPr>
            <w:tcW w:w="10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42,926</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Assets Pledged to Counterparties</w:t>
            </w:r>
          </w:p>
        </w:tc>
        <w:tc>
          <w:tcPr>
            <w:tcW w:w="120" w:type="dxa"/>
            <w:vAlign w:val="bottom"/>
            <w:vMerge w:val="restart"/>
          </w:tcPr>
          <w:p>
            <w:pPr>
              <w:spacing w:after="0"/>
              <w:rPr>
                <w:sz w:val="12"/>
                <w:szCs w:val="12"/>
                <w:color w:val="auto"/>
              </w:rPr>
            </w:pPr>
          </w:p>
        </w:tc>
        <w:tc>
          <w:tcPr>
            <w:tcW w:w="17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Repurchase Agreements</w:t>
            </w:r>
          </w:p>
        </w:tc>
        <w:tc>
          <w:tcPr>
            <w:tcW w:w="13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Debt of Consolidated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160" w:type="dxa"/>
            <w:vAlign w:val="bottom"/>
          </w:tcPr>
          <w:p>
            <w:pPr>
              <w:spacing w:after="0"/>
              <w:rPr>
                <w:sz w:val="12"/>
                <w:szCs w:val="12"/>
                <w:color w:val="auto"/>
              </w:rPr>
            </w:pPr>
          </w:p>
        </w:tc>
        <w:tc>
          <w:tcPr>
            <w:tcW w:w="12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Prime Broker</w:t>
            </w:r>
          </w:p>
        </w:tc>
        <w:tc>
          <w:tcPr>
            <w:tcW w:w="260" w:type="dxa"/>
            <w:vAlign w:val="bottom"/>
          </w:tcPr>
          <w:p>
            <w:pPr>
              <w:spacing w:after="0"/>
              <w:rPr>
                <w:sz w:val="12"/>
                <w:szCs w:val="12"/>
                <w:color w:val="auto"/>
              </w:rPr>
            </w:pPr>
          </w:p>
        </w:tc>
        <w:tc>
          <w:tcPr>
            <w:tcW w:w="86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 xml:space="preserve">and FHLB Advances </w:t>
            </w:r>
            <w:r>
              <w:rPr>
                <w:rFonts w:ascii="Times New Roman" w:cs="Times New Roman" w:eastAsia="Times New Roman" w:hAnsi="Times New Roman"/>
                <w:sz w:val="8"/>
                <w:szCs w:val="8"/>
                <w:b w:val="1"/>
                <w:bCs w:val="1"/>
                <w:color w:val="auto"/>
              </w:rPr>
              <w:t>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VIEs</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Agreements </w:t>
            </w:r>
            <w:r>
              <w:rPr>
                <w:rFonts w:ascii="Times New Roman" w:cs="Times New Roman" w:eastAsia="Times New Roman" w:hAnsi="Times New Roman"/>
                <w:sz w:val="8"/>
                <w:szCs w:val="8"/>
                <w:b w:val="1"/>
                <w:bCs w:val="1"/>
                <w:color w:val="auto"/>
              </w:rPr>
              <w:t>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Agency RMBS - fair value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43,005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818</w:t>
            </w:r>
          </w:p>
        </w:tc>
        <w:tc>
          <w:tcPr>
            <w:tcW w:w="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865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44,963</w:t>
            </w:r>
          </w:p>
        </w:tc>
        <w:tc>
          <w:tcPr>
            <w:tcW w:w="0" w:type="dxa"/>
            <w:vAlign w:val="bottom"/>
          </w:tcPr>
          <w:p>
            <w:pPr>
              <w:spacing w:after="0"/>
              <w:rPr>
                <w:sz w:val="1"/>
                <w:szCs w:val="1"/>
                <w:color w:val="auto"/>
              </w:rPr>
            </w:pPr>
          </w:p>
        </w:tc>
      </w:tr>
      <w:tr>
        <w:trPr>
          <w:trHeight w:val="265"/>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Non-Agency RMBS - fair value</w:t>
            </w:r>
          </w:p>
        </w:tc>
        <w:tc>
          <w:tcPr>
            <w:tcW w:w="100" w:type="dxa"/>
            <w:vAlign w:val="bottom"/>
          </w:tcPr>
          <w:p>
            <w:pPr>
              <w:spacing w:after="0"/>
              <w:rPr>
                <w:sz w:val="23"/>
                <w:szCs w:val="23"/>
                <w:color w:val="auto"/>
              </w:rPr>
            </w:pP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275"/>
        </w:trPr>
        <w:tc>
          <w:tcPr>
            <w:tcW w:w="4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U.S. Treasury securities - fair value</w:t>
            </w: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173</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173</w:t>
            </w:r>
          </w:p>
        </w:tc>
        <w:tc>
          <w:tcPr>
            <w:tcW w:w="0" w:type="dxa"/>
            <w:vAlign w:val="bottom"/>
          </w:tcPr>
          <w:p>
            <w:pPr>
              <w:spacing w:after="0"/>
              <w:rPr>
                <w:sz w:val="1"/>
                <w:szCs w:val="1"/>
                <w:color w:val="auto"/>
              </w:rPr>
            </w:pPr>
          </w:p>
        </w:tc>
      </w:tr>
      <w:tr>
        <w:trPr>
          <w:trHeight w:val="265"/>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Accrued interest on pledged securities</w:t>
            </w:r>
          </w:p>
        </w:tc>
        <w:tc>
          <w:tcPr>
            <w:tcW w:w="100" w:type="dxa"/>
            <w:vAlign w:val="bottom"/>
          </w:tcPr>
          <w:p>
            <w:pPr>
              <w:spacing w:after="0"/>
              <w:rPr>
                <w:sz w:val="23"/>
                <w:szCs w:val="23"/>
                <w:color w:val="auto"/>
              </w:rPr>
            </w:pP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122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128</w:t>
            </w:r>
          </w:p>
        </w:tc>
        <w:tc>
          <w:tcPr>
            <w:tcW w:w="0" w:type="dxa"/>
            <w:vAlign w:val="bottom"/>
          </w:tcPr>
          <w:p>
            <w:pPr>
              <w:spacing w:after="0"/>
              <w:rPr>
                <w:sz w:val="1"/>
                <w:szCs w:val="1"/>
                <w:color w:val="auto"/>
              </w:rPr>
            </w:pPr>
          </w:p>
        </w:tc>
      </w:tr>
      <w:tr>
        <w:trPr>
          <w:trHeight w:val="270"/>
        </w:trPr>
        <w:tc>
          <w:tcPr>
            <w:tcW w:w="4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Restricted cash and cash equivalents</w:t>
            </w:r>
          </w:p>
        </w:tc>
        <w:tc>
          <w:tcPr>
            <w:tcW w:w="1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242"/>
        </w:trPr>
        <w:tc>
          <w:tcPr>
            <w:tcW w:w="43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43,450</w:t>
            </w:r>
          </w:p>
        </w:tc>
        <w:tc>
          <w:tcPr>
            <w:tcW w:w="120" w:type="dxa"/>
            <w:vAlign w:val="bottom"/>
          </w:tcPr>
          <w:p>
            <w:pPr>
              <w:spacing w:after="0"/>
              <w:rPr>
                <w:sz w:val="21"/>
                <w:szCs w:val="21"/>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821</w:t>
            </w:r>
          </w:p>
        </w:tc>
        <w:tc>
          <w:tcPr>
            <w:tcW w:w="3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867</w:t>
            </w:r>
          </w:p>
        </w:tc>
        <w:tc>
          <w:tcPr>
            <w:tcW w:w="10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45,428</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______________________</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2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660" w:right="20" w:hanging="328"/>
        <w:spacing w:after="0" w:line="241" w:lineRule="auto"/>
        <w:tabs>
          <w:tab w:leader="none" w:pos="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$195 million and $181 million of retained interests in our consolidated VIEs pledged as collateral under repurchase agreements as of June 30, 2017 and December 31, 2016, respectively.</w:t>
      </w:r>
    </w:p>
    <w:p>
      <w:pPr>
        <w:ind w:left="660" w:hanging="328"/>
        <w:spacing w:after="0"/>
        <w:tabs>
          <w:tab w:leader="none" w:pos="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margin for TBAs cleared through prime broker and other clearing deposits.</w:t>
      </w:r>
    </w:p>
    <w:p>
      <w:pPr>
        <w:spacing w:after="0" w:line="15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As of December 31, 2016, we held $126 million of membership and activity-based stock in the FHLB of Des Moines, which was redeemed in February 2017 with the termination of our captive insurance subsidiary's FHLB membership such that we held no such stock as of June 30, 2017. FHLB stock is reported at cost, which equals par value, in other assets on our accompanying consolidated balance sheets.</w:t>
      </w:r>
    </w:p>
    <w:p>
      <w:pPr>
        <w:spacing w:after="0" w:line="122"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cash and cash equivalents and Agency securities pledged as collateral under our derivative agreements are included in restricted cash and cash equivalents and Agency securities, at fair value, respectively, on our consolidated balance sheets.</w:t>
      </w:r>
    </w:p>
    <w:p>
      <w:pPr>
        <w:spacing w:after="0" w:line="10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securities pledged as collateral under our repurchase agreements and FHLB advances by the remaining maturity of our borrowings, including securities pledged related to sold but not yet settled securities, as of June 30, 2017 and December 31, 2016 (in millions). For the corresponding borrowings associated with the following amounts and the interest rates thereon, refer to Note 5</w:t>
      </w:r>
      <w:r>
        <w:rPr>
          <w:rFonts w:ascii="Times New Roman" w:cs="Times New Roman" w:eastAsia="Times New Roman" w:hAnsi="Times New Roman"/>
          <w:sz w:val="18"/>
          <w:szCs w:val="18"/>
          <w:i w:val="1"/>
          <w:iCs w:val="1"/>
          <w:color w:val="auto"/>
        </w:rPr>
        <w:t>.</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Accrued</w:t>
            </w: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2"/>
                <w:szCs w:val="12"/>
                <w:color w:val="auto"/>
              </w:rPr>
            </w:pPr>
          </w:p>
        </w:tc>
        <w:tc>
          <w:tcPr>
            <w:tcW w:w="88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Accrued</w:t>
            </w:r>
          </w:p>
        </w:tc>
        <w:tc>
          <w:tcPr>
            <w:tcW w:w="0" w:type="dxa"/>
            <w:vAlign w:val="bottom"/>
          </w:tcPr>
          <w:p>
            <w:pPr>
              <w:spacing w:after="0"/>
              <w:rPr>
                <w:sz w:val="1"/>
                <w:szCs w:val="1"/>
                <w:color w:val="auto"/>
              </w:rPr>
            </w:pPr>
          </w:p>
        </w:tc>
      </w:tr>
      <w:tr>
        <w:trPr>
          <w:trHeight w:val="149"/>
        </w:trPr>
        <w:tc>
          <w:tcPr>
            <w:tcW w:w="4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Securities Pledged by Remaining Maturity of Repurchase</w:t>
            </w:r>
          </w:p>
        </w:tc>
        <w:tc>
          <w:tcPr>
            <w:tcW w:w="180" w:type="dxa"/>
            <w:vAlign w:val="bottom"/>
          </w:tcPr>
          <w:p>
            <w:pPr>
              <w:spacing w:after="0"/>
              <w:rPr>
                <w:sz w:val="12"/>
                <w:szCs w:val="12"/>
                <w:color w:val="auto"/>
              </w:rPr>
            </w:pPr>
          </w:p>
        </w:tc>
        <w:tc>
          <w:tcPr>
            <w:tcW w:w="12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 Value of</w:t>
            </w: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Interest on</w:t>
            </w:r>
          </w:p>
        </w:tc>
        <w:tc>
          <w:tcPr>
            <w:tcW w:w="180" w:type="dxa"/>
            <w:vAlign w:val="bottom"/>
          </w:tcPr>
          <w:p>
            <w:pPr>
              <w:spacing w:after="0"/>
              <w:rPr>
                <w:sz w:val="12"/>
                <w:szCs w:val="12"/>
                <w:color w:val="auto"/>
              </w:rPr>
            </w:pPr>
          </w:p>
        </w:tc>
        <w:tc>
          <w:tcPr>
            <w:tcW w:w="104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Fair Value of</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Interest on</w:t>
            </w:r>
          </w:p>
        </w:tc>
        <w:tc>
          <w:tcPr>
            <w:tcW w:w="0" w:type="dxa"/>
            <w:vAlign w:val="bottom"/>
          </w:tcPr>
          <w:p>
            <w:pPr>
              <w:spacing w:after="0"/>
              <w:rPr>
                <w:sz w:val="1"/>
                <w:szCs w:val="1"/>
                <w:color w:val="auto"/>
              </w:rPr>
            </w:pPr>
          </w:p>
        </w:tc>
      </w:tr>
      <w:tr>
        <w:trPr>
          <w:trHeight w:val="149"/>
        </w:trPr>
        <w:tc>
          <w:tcPr>
            <w:tcW w:w="4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Cost of Pledged</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Pledged</w:t>
            </w:r>
          </w:p>
        </w:tc>
        <w:tc>
          <w:tcPr>
            <w:tcW w:w="1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Cost of Pledged</w:t>
            </w:r>
          </w:p>
        </w:tc>
        <w:tc>
          <w:tcPr>
            <w:tcW w:w="140" w:type="dxa"/>
            <w:vAlign w:val="bottom"/>
          </w:tcPr>
          <w:p>
            <w:pPr>
              <w:spacing w:after="0"/>
              <w:rPr>
                <w:sz w:val="12"/>
                <w:szCs w:val="12"/>
                <w:color w:val="auto"/>
              </w:rPr>
            </w:pPr>
          </w:p>
        </w:tc>
        <w:tc>
          <w:tcPr>
            <w:tcW w:w="88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Pledged</w:t>
            </w:r>
          </w:p>
        </w:tc>
        <w:tc>
          <w:tcPr>
            <w:tcW w:w="0" w:type="dxa"/>
            <w:vAlign w:val="bottom"/>
          </w:tcPr>
          <w:p>
            <w:pPr>
              <w:spacing w:after="0"/>
              <w:rPr>
                <w:sz w:val="1"/>
                <w:szCs w:val="1"/>
                <w:color w:val="auto"/>
              </w:rPr>
            </w:pPr>
          </w:p>
        </w:tc>
      </w:tr>
      <w:tr>
        <w:trPr>
          <w:trHeight w:val="195"/>
        </w:trPr>
        <w:tc>
          <w:tcPr>
            <w:tcW w:w="3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Agreements and FHLB Advances</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Pledged Securities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Pledged Securities</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269"/>
        </w:trPr>
        <w:tc>
          <w:tcPr>
            <w:tcW w:w="4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RMBS:</w:t>
            </w:r>
            <w:r>
              <w:rPr>
                <w:rFonts w:ascii="Times New Roman" w:cs="Times New Roman" w:eastAsia="Times New Roman" w:hAnsi="Times New Roman"/>
                <w:sz w:val="21"/>
                <w:szCs w:val="21"/>
                <w:color w:val="auto"/>
                <w:vertAlign w:val="superscript"/>
              </w:rPr>
              <w:t>1</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 30 days</w:t>
            </w: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19,123</w:t>
            </w:r>
          </w:p>
        </w:tc>
        <w:tc>
          <w:tcPr>
            <w:tcW w:w="12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19,188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19,681</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19,863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&gt; 30 and ≤ 60 days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5,259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5,292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8,158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37"/>
        </w:trPr>
        <w:tc>
          <w:tcPr>
            <w:tcW w:w="40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&gt; 60 and ≤ 90 days</w:t>
            </w:r>
          </w:p>
        </w:tc>
        <w:tc>
          <w:tcPr>
            <w:tcW w:w="18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3,631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3,634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4,070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&gt; 90 days</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12,875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12,946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11,278</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11,380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7"/>
        </w:trPr>
        <w:tc>
          <w:tcPr>
            <w:tcW w:w="40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Total RMBS</w:t>
            </w: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40,888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41,060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43,096</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43,471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33"/>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U.S. Treasury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&gt; 1 day ≤ 30 days</w:t>
            </w:r>
          </w:p>
        </w:tc>
        <w:tc>
          <w:tcPr>
            <w:tcW w:w="1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40,888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41,060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43,269</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43,644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______________________</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738" w:right="239" w:bottom="1440" w:gutter="0" w:footer="0" w:header="0"/>
        </w:sectPr>
      </w:pPr>
    </w:p>
    <w:bookmarkStart w:id="22" w:name="page23"/>
    <w:bookmarkEnd w:id="22"/>
    <w:p>
      <w:pPr>
        <w:ind w:left="660" w:right="320" w:hanging="328"/>
        <w:spacing w:after="0" w:line="282" w:lineRule="auto"/>
        <w:tabs>
          <w:tab w:leader="none" w:pos="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$195 million and $181 million of retained interests in our consolidated VIEs pledged as collateral under repurchase agreements as of June 30, 2017 and December 31, 2016, respectively.</w:t>
      </w:r>
    </w:p>
    <w:p>
      <w:pPr>
        <w:spacing w:after="0" w:line="19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June 30, 2017 and December 31, 2016, none of our borrowings backed by RMBS were due on demand or mature overnight.</w:t>
      </w:r>
    </w:p>
    <w:p>
      <w:pPr>
        <w:spacing w:after="0" w:line="17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table above excludes Agency securities transferred to our consolidated VIEs. Securities transferred to our consolidated VIEs can only be used to settle the obligations of each respective VIE. However, we may pledge our retained interests in our consolidated VIEs as collateral under our repurchase agreements and derivative contracts. Please refer to Notes 4 and 5 for additional information regarding our consolidated VIEs.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Pledged from Counterparties</w:t>
      </w:r>
    </w:p>
    <w:p>
      <w:pPr>
        <w:spacing w:after="0" w:line="17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As of June 30, 2017 and December 31, 2016, we had assets pledged to us from counterparties as collateral under our reverse repurchase, repurchase and derivative agreements summarized in the tables below (in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Reverse</w:t>
            </w:r>
          </w:p>
        </w:tc>
        <w:tc>
          <w:tcPr>
            <w:tcW w:w="120" w:type="dxa"/>
            <w:vAlign w:val="bottom"/>
          </w:tcPr>
          <w:p>
            <w:pPr>
              <w:spacing w:after="0"/>
              <w:rPr>
                <w:sz w:val="12"/>
                <w:szCs w:val="12"/>
                <w:color w:val="auto"/>
              </w:rPr>
            </w:pP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20" w:type="dxa"/>
            <w:vAlign w:val="bottom"/>
          </w:tcPr>
          <w:p>
            <w:pPr>
              <w:spacing w:after="0"/>
              <w:rPr>
                <w:sz w:val="12"/>
                <w:szCs w:val="12"/>
                <w:color w:val="auto"/>
              </w:rPr>
            </w:pP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Repurchase</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Reverse</w:t>
            </w:r>
          </w:p>
        </w:tc>
        <w:tc>
          <w:tcPr>
            <w:tcW w:w="120" w:type="dxa"/>
            <w:vAlign w:val="bottom"/>
          </w:tcPr>
          <w:p>
            <w:pPr>
              <w:spacing w:after="0"/>
              <w:rPr>
                <w:sz w:val="12"/>
                <w:szCs w:val="12"/>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20" w:type="dxa"/>
            <w:vAlign w:val="bottom"/>
          </w:tcPr>
          <w:p>
            <w:pPr>
              <w:spacing w:after="0"/>
              <w:rPr>
                <w:sz w:val="12"/>
                <w:szCs w:val="12"/>
                <w:color w:val="auto"/>
              </w:rPr>
            </w:pPr>
          </w:p>
        </w:tc>
        <w:tc>
          <w:tcPr>
            <w:tcW w:w="1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Repurchase</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Assets Pledged to AGNC</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Repurchase</w:t>
            </w: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Repurchase</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2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Agency RMBS - fair value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65"/>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U.S. Treasury securities - fair value</w:t>
            </w:r>
          </w:p>
        </w:tc>
        <w:tc>
          <w:tcPr>
            <w:tcW w:w="1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7,315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7,315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7,636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7,636</w:t>
            </w:r>
          </w:p>
        </w:tc>
        <w:tc>
          <w:tcPr>
            <w:tcW w:w="0" w:type="dxa"/>
            <w:vAlign w:val="bottom"/>
          </w:tcPr>
          <w:p>
            <w:pPr>
              <w:spacing w:after="0"/>
              <w:rPr>
                <w:sz w:val="1"/>
                <w:szCs w:val="1"/>
                <w:color w:val="auto"/>
              </w:rPr>
            </w:pPr>
          </w:p>
        </w:tc>
      </w:tr>
      <w:tr>
        <w:trPr>
          <w:trHeight w:val="275"/>
        </w:trPr>
        <w:tc>
          <w:tcPr>
            <w:tcW w:w="2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w:t>
            </w: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232"/>
        </w:trPr>
        <w:tc>
          <w:tcPr>
            <w:tcW w:w="26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7,315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7,315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7,636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20"/>
                <w:szCs w:val="20"/>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7,757</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U.S Treasury securities received as collateral under our reverse repurchase agreements that we use to cover short sales of U.S. Treasury securities are accounted for as securities borrowing transactions. We recognize a corresponding obligation to return the borrowed securities at fair value on the accompanying consolidated balance sheets based on the value of the underlying borrowed securities as of the reporting date.</w:t>
      </w:r>
    </w:p>
    <w:p>
      <w:pPr>
        <w:spacing w:after="0" w:line="1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Cash collateral received is recognized in cash and cash equivalents with a corresponding amount recognized in accounts payable and other accrued liabilities on the accompanying consolidated balance sheets.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Offsetting Assets and Liabilities</w:t>
      </w:r>
    </w:p>
    <w:p>
      <w:pPr>
        <w:spacing w:after="0" w:line="175"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Certain of our repurchase agreements and derivative transactions are governed by underlying agreements that generally provide for a right of setoff under master netting arrangements (or similar agreements), including in the event of default or in the event of bankruptcy of either party to the transactions. We present our assets and liabilities subject to such arrangements on a gross basis in our consolidated balance sheets. The following tables present information about our assets and liabilities that are subject to master netting arrangements and can potentially be offset on our consolidated balance sheets as of June 30, 2017 and December 31, 2016 (in millions):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576"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95"/>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11"/>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Offsetting of Financial and Derivative Assets</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Net Amounts of</w:t>
            </w:r>
          </w:p>
        </w:tc>
        <w:tc>
          <w:tcPr>
            <w:tcW w:w="140" w:type="dxa"/>
            <w:vAlign w:val="bottom"/>
          </w:tcPr>
          <w:p>
            <w:pPr>
              <w:spacing w:after="0"/>
              <w:rPr>
                <w:sz w:val="12"/>
                <w:szCs w:val="12"/>
                <w:color w:val="auto"/>
              </w:rPr>
            </w:pPr>
          </w:p>
        </w:tc>
        <w:tc>
          <w:tcPr>
            <w:tcW w:w="2320" w:type="dxa"/>
            <w:vAlign w:val="bottom"/>
            <w:gridSpan w:val="5"/>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Gross Amounts Not Offset</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gridSpan w:val="3"/>
            <w:vMerge w:val="restart"/>
          </w:tcPr>
          <w:p>
            <w:pPr>
              <w:jc w:val="center"/>
              <w:ind w:left="788"/>
              <w:spacing w:after="0" w:line="149" w:lineRule="exact"/>
              <w:rPr>
                <w:sz w:val="20"/>
                <w:szCs w:val="20"/>
                <w:color w:val="auto"/>
              </w:rPr>
            </w:pPr>
            <w:r>
              <w:rPr>
                <w:rFonts w:ascii="Times New Roman" w:cs="Times New Roman" w:eastAsia="Times New Roman" w:hAnsi="Times New Roman"/>
                <w:sz w:val="14"/>
                <w:szCs w:val="14"/>
                <w:b w:val="1"/>
                <w:bCs w:val="1"/>
                <w:color w:val="auto"/>
              </w:rPr>
              <w:t>in the</w:t>
            </w: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Gross Amounts</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gridSpan w:val="3"/>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Assets Presented</w:t>
            </w:r>
          </w:p>
        </w:tc>
        <w:tc>
          <w:tcPr>
            <w:tcW w:w="14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2220" w:type="dxa"/>
            <w:vAlign w:val="bottom"/>
            <w:gridSpan w:val="4"/>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Gross Amounts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in the</w:t>
            </w:r>
          </w:p>
        </w:tc>
        <w:tc>
          <w:tcPr>
            <w:tcW w:w="140" w:type="dxa"/>
            <w:vAlign w:val="bottom"/>
            <w:tcBorders>
              <w:bottom w:val="single" w:sz="8" w:color="auto"/>
            </w:tcBorders>
          </w:tcPr>
          <w:p>
            <w:pPr>
              <w:spacing w:after="0"/>
              <w:rPr>
                <w:sz w:val="11"/>
                <w:szCs w:val="11"/>
                <w:color w:val="auto"/>
              </w:rPr>
            </w:pPr>
          </w:p>
        </w:tc>
        <w:tc>
          <w:tcPr>
            <w:tcW w:w="2220" w:type="dxa"/>
            <w:vAlign w:val="bottom"/>
            <w:tcBorders>
              <w:bottom w:val="single" w:sz="8" w:color="auto"/>
            </w:tcBorders>
            <w:gridSpan w:val="4"/>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 Recognized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Financial</w:t>
            </w:r>
          </w:p>
        </w:tc>
        <w:tc>
          <w:tcPr>
            <w:tcW w:w="1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Collateral</w:t>
            </w:r>
          </w:p>
        </w:tc>
        <w:tc>
          <w:tcPr>
            <w:tcW w:w="140" w:type="dxa"/>
            <w:vAlign w:val="bottom"/>
          </w:tcPr>
          <w:p>
            <w:pPr>
              <w:spacing w:after="0"/>
              <w:rPr>
                <w:sz w:val="12"/>
                <w:szCs w:val="12"/>
                <w:color w:val="auto"/>
              </w:rPr>
            </w:pPr>
          </w:p>
        </w:tc>
        <w:tc>
          <w:tcPr>
            <w:tcW w:w="9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5"/>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8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 xml:space="preserve">Received </w:t>
            </w:r>
            <w:r>
              <w:rPr>
                <w:rFonts w:ascii="Times New Roman" w:cs="Times New Roman" w:eastAsia="Times New Roman" w:hAnsi="Times New Roman"/>
                <w:sz w:val="8"/>
                <w:szCs w:val="8"/>
                <w:b w:val="1"/>
                <w:bCs w:val="1"/>
                <w:color w:val="auto"/>
              </w:rPr>
              <w:t>2</w:t>
            </w: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4000" w:type="dxa"/>
            <w:vAlign w:val="bottom"/>
            <w:tcBorders>
              <w:top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0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xml:space="preserve">Interest rate swap and swaption agreements, at fair value </w:t>
            </w:r>
            <w:r>
              <w:rPr>
                <w:rFonts w:ascii="Times New Roman" w:cs="Times New Roman" w:eastAsia="Times New Roman" w:hAnsi="Times New Roman"/>
                <w:sz w:val="8"/>
                <w:szCs w:val="8"/>
                <w:color w:val="auto"/>
              </w:rPr>
              <w:t>1</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23"/>
                <w:szCs w:val="23"/>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148</w:t>
            </w:r>
          </w:p>
        </w:tc>
        <w:tc>
          <w:tcPr>
            <w:tcW w:w="0" w:type="dxa"/>
            <w:vAlign w:val="bottom"/>
          </w:tcPr>
          <w:p>
            <w:pPr>
              <w:spacing w:after="0"/>
              <w:rPr>
                <w:sz w:val="1"/>
                <w:szCs w:val="1"/>
                <w:color w:val="auto"/>
              </w:rPr>
            </w:pPr>
          </w:p>
        </w:tc>
      </w:tr>
      <w:tr>
        <w:trPr>
          <w:trHeight w:val="275"/>
        </w:trPr>
        <w:tc>
          <w:tcPr>
            <w:tcW w:w="4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TBA securities, at fair value</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40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Receivable under reverse repurchase agreements</w:t>
            </w: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7,489</w:t>
            </w: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7,489</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(6,107)</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(1,382)</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2"/>
        </w:trPr>
        <w:tc>
          <w:tcPr>
            <w:tcW w:w="40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7,694</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7,694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148</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0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xml:space="preserve">Interest rate swap and swaption agreements, at fair value </w:t>
            </w:r>
            <w:r>
              <w:rPr>
                <w:rFonts w:ascii="Times New Roman" w:cs="Times New Roman" w:eastAsia="Times New Roman" w:hAnsi="Times New Roman"/>
                <w:sz w:val="8"/>
                <w:szCs w:val="8"/>
                <w:color w:val="auto"/>
              </w:rPr>
              <w:t>1</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342</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tcPr>
          <w:p>
            <w:pPr>
              <w:spacing w:after="0"/>
              <w:rPr>
                <w:sz w:val="23"/>
                <w:szCs w:val="23"/>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213</w:t>
            </w:r>
          </w:p>
        </w:tc>
        <w:tc>
          <w:tcPr>
            <w:tcW w:w="0" w:type="dxa"/>
            <w:vAlign w:val="bottom"/>
          </w:tcPr>
          <w:p>
            <w:pPr>
              <w:spacing w:after="0"/>
              <w:rPr>
                <w:sz w:val="1"/>
                <w:szCs w:val="1"/>
                <w:color w:val="auto"/>
              </w:rPr>
            </w:pPr>
          </w:p>
        </w:tc>
      </w:tr>
      <w:tr>
        <w:trPr>
          <w:trHeight w:val="275"/>
        </w:trPr>
        <w:tc>
          <w:tcPr>
            <w:tcW w:w="4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TBA securities, at fair value</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40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Receivable under reverse repurchase agreements</w:t>
            </w: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7,716</w:t>
            </w: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7,716</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(6,963)</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2"/>
        </w:trPr>
        <w:tc>
          <w:tcPr>
            <w:tcW w:w="40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8,062</w:t>
            </w:r>
          </w:p>
        </w:tc>
        <w:tc>
          <w:tcPr>
            <w:tcW w:w="10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8,062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213</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8"/>
        </w:trPr>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12"/>
          </w:tcPr>
          <w:p>
            <w:pPr>
              <w:ind w:left="840"/>
              <w:spacing w:after="0"/>
              <w:rPr>
                <w:sz w:val="20"/>
                <w:szCs w:val="20"/>
                <w:color w:val="auto"/>
              </w:rPr>
            </w:pPr>
            <w:r>
              <w:rPr>
                <w:rFonts w:ascii="Times New Roman" w:cs="Times New Roman" w:eastAsia="Times New Roman" w:hAnsi="Times New Roman"/>
                <w:sz w:val="14"/>
                <w:szCs w:val="14"/>
                <w:b w:val="1"/>
                <w:bCs w:val="1"/>
                <w:color w:val="auto"/>
              </w:rPr>
              <w:t>Offsetting of Financial and Derivative Liabilities</w:t>
            </w: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Net Amounts of</w:t>
            </w:r>
          </w:p>
        </w:tc>
        <w:tc>
          <w:tcPr>
            <w:tcW w:w="140" w:type="dxa"/>
            <w:vAlign w:val="bottom"/>
          </w:tcPr>
          <w:p>
            <w:pPr>
              <w:spacing w:after="0"/>
              <w:rPr>
                <w:sz w:val="12"/>
                <w:szCs w:val="12"/>
                <w:color w:val="auto"/>
              </w:rPr>
            </w:pPr>
          </w:p>
        </w:tc>
        <w:tc>
          <w:tcPr>
            <w:tcW w:w="2320" w:type="dxa"/>
            <w:vAlign w:val="bottom"/>
            <w:gridSpan w:val="5"/>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Gross Amounts Not Offset</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gridSpan w:val="3"/>
            <w:vMerge w:val="restart"/>
          </w:tcPr>
          <w:p>
            <w:pPr>
              <w:jc w:val="center"/>
              <w:ind w:left="788"/>
              <w:spacing w:after="0" w:line="149" w:lineRule="exact"/>
              <w:rPr>
                <w:sz w:val="20"/>
                <w:szCs w:val="20"/>
                <w:color w:val="auto"/>
              </w:rPr>
            </w:pPr>
            <w:r>
              <w:rPr>
                <w:rFonts w:ascii="Times New Roman" w:cs="Times New Roman" w:eastAsia="Times New Roman" w:hAnsi="Times New Roman"/>
                <w:sz w:val="14"/>
                <w:szCs w:val="14"/>
                <w:b w:val="1"/>
                <w:bCs w:val="1"/>
                <w:color w:val="auto"/>
              </w:rPr>
              <w:t>in the</w:t>
            </w: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gridSpan w:val="2"/>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Gross Amounts</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4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2220" w:type="dxa"/>
            <w:vAlign w:val="bottom"/>
            <w:gridSpan w:val="4"/>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4"/>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rPr>
              <w:t>Gross Amounts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ind w:right="28"/>
              <w:spacing w:after="0" w:line="127"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3"/>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40" w:type="dxa"/>
            <w:vAlign w:val="bottom"/>
            <w:tcBorders>
              <w:bottom w:val="single" w:sz="8" w:color="auto"/>
            </w:tcBorders>
          </w:tcPr>
          <w:p>
            <w:pPr>
              <w:spacing w:after="0"/>
              <w:rPr>
                <w:sz w:val="11"/>
                <w:szCs w:val="11"/>
                <w:color w:val="auto"/>
              </w:rPr>
            </w:pPr>
          </w:p>
        </w:tc>
        <w:tc>
          <w:tcPr>
            <w:tcW w:w="2220" w:type="dxa"/>
            <w:vAlign w:val="bottom"/>
            <w:tcBorders>
              <w:bottom w:val="single" w:sz="8" w:color="auto"/>
            </w:tcBorders>
            <w:gridSpan w:val="4"/>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 Recognized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Financial</w:t>
            </w:r>
          </w:p>
        </w:tc>
        <w:tc>
          <w:tcPr>
            <w:tcW w:w="1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Collateral</w:t>
            </w:r>
          </w:p>
        </w:tc>
        <w:tc>
          <w:tcPr>
            <w:tcW w:w="140" w:type="dxa"/>
            <w:vAlign w:val="bottom"/>
          </w:tcPr>
          <w:p>
            <w:pPr>
              <w:spacing w:after="0"/>
              <w:rPr>
                <w:sz w:val="12"/>
                <w:szCs w:val="12"/>
                <w:color w:val="auto"/>
              </w:rPr>
            </w:pPr>
          </w:p>
        </w:tc>
        <w:tc>
          <w:tcPr>
            <w:tcW w:w="9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5"/>
        </w:trPr>
        <w:tc>
          <w:tcPr>
            <w:tcW w:w="39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 xml:space="preserve">Pledged </w:t>
            </w:r>
            <w:r>
              <w:rPr>
                <w:rFonts w:ascii="Times New Roman" w:cs="Times New Roman" w:eastAsia="Times New Roman" w:hAnsi="Times New Roman"/>
                <w:sz w:val="8"/>
                <w:szCs w:val="8"/>
                <w:b w:val="1"/>
                <w:bCs w:val="1"/>
                <w:color w:val="auto"/>
              </w:rPr>
              <w:t>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4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0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xml:space="preserve">Interest rate swap agreements, at fair value </w:t>
            </w:r>
            <w:r>
              <w:rPr>
                <w:rFonts w:ascii="Times New Roman" w:cs="Times New Roman" w:eastAsia="Times New Roman" w:hAnsi="Times New Roman"/>
                <w:sz w:val="8"/>
                <w:szCs w:val="8"/>
                <w:color w:val="auto"/>
              </w:rPr>
              <w:t>1</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23"/>
                <w:szCs w:val="23"/>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98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23"/>
                <w:szCs w:val="23"/>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4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TBA securities, at fair value</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40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Repurchase agreements</w:t>
            </w: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39,058</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39,058</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(6,107)</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(32,951)</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2"/>
        </w:trPr>
        <w:tc>
          <w:tcPr>
            <w:tcW w:w="40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39,131</w:t>
            </w:r>
          </w:p>
        </w:tc>
        <w:tc>
          <w:tcPr>
            <w:tcW w:w="10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39,131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(32,967)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0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xml:space="preserve">Interest rate swap agreements, at fair value </w:t>
            </w:r>
            <w:r>
              <w:rPr>
                <w:rFonts w:ascii="Times New Roman" w:cs="Times New Roman" w:eastAsia="Times New Roman" w:hAnsi="Times New Roman"/>
                <w:sz w:val="8"/>
                <w:szCs w:val="8"/>
                <w:color w:val="auto"/>
              </w:rPr>
              <w:t>1</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23"/>
                <w:szCs w:val="23"/>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98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tcPr>
          <w:p>
            <w:pPr>
              <w:spacing w:after="0"/>
              <w:rPr>
                <w:sz w:val="23"/>
                <w:szCs w:val="23"/>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4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TBA securities, at fair value</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40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Repurchase agreements and FHLB advances</w:t>
            </w: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40,895</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40,895</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(6,963)</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(33,932)</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2"/>
        </w:trPr>
        <w:tc>
          <w:tcPr>
            <w:tcW w:w="40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41,151</w:t>
            </w:r>
          </w:p>
        </w:tc>
        <w:tc>
          <w:tcPr>
            <w:tcW w:w="10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41,151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(34,104)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90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right="120" w:hanging="328"/>
        <w:spacing w:after="0" w:line="241" w:lineRule="auto"/>
        <w:tabs>
          <w:tab w:leader="none" w:pos="6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Reported under derivative assets/liabilities, at fair value in the accompanying consolidated balance sheets. Refer to Note 6 for a reconciliation of derivative assets/liabilities, at fair value to their sub-components.</w:t>
      </w:r>
    </w:p>
    <w:p>
      <w:pPr>
        <w:ind w:left="660" w:right="320" w:hanging="328"/>
        <w:spacing w:after="0" w:line="258" w:lineRule="auto"/>
        <w:tabs>
          <w:tab w:leader="none" w:pos="6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cash and securities pledged/received as collateral, at fair value. Amounts presented are limited to collateral pledged sufficient to reduce the net amount to zero for individual counterparties, as applicable.</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885"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Note 8. Fair Value Measurements</w:t>
      </w:r>
    </w:p>
    <w:p>
      <w:pPr>
        <w:spacing w:after="0" w:line="175"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We determine the fair value of our investment securities and debt of consolidated VIEs based upon fair value estimates obtained from multiple third party pricing services and dealers. In determining fair value, third party pricing sources use various valuation approaches, including market and income approaches. Factors used by third party sources in estimating the fair value of an instrument may include observable inputs such as coupons, primary and secondary mortgage rates, pricing information, credit data, volatility statistics, and other market data that are current as of the measurement date. The availability of observable inputs can vary by instrument and is affected by a wide variety of factors, including the type of instrument, whether the instrument is new and not yet established in the marketplace and other characteristics particular to the instrument. Third party pricing sources may also use certain unobservable inputs, such as assumptions of future levels of prepayment, defaults and foreclosures, especially when estimating fair values for securities with lower levels of recent trading activity. We make inquiries of third party pricing sources to understand the significant inputs and assumptions they used to determine their prices. For information regarding valuation of our derivative instruments, please refer to the discussion of derivative and other hedging instruments in Note 3.</w:t>
      </w:r>
    </w:p>
    <w:p>
      <w:pPr>
        <w:spacing w:after="0" w:line="132"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review third party fair value estimates and perform procedures to validate their reasonableness, including an analysis of the range of estimates for each position, comparison to recent trade activity for similar securities, and for consistency with market conditions observed as of the measurement date. While we do not adjust prices we obtain from third party pricing sources, we will exclude third party prices for securities from our estimation of fair value if we determine (based on our validation procedures and our market knowledge and expertise) that the price is significantly different from observable market data would indicate and we cannot obtain an understanding from the third party source as to the significant inputs used to determine the price.</w:t>
      </w:r>
    </w:p>
    <w:p>
      <w:pPr>
        <w:spacing w:after="0" w:line="130"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validation procedures described above also influence our determination of the appropriate fair value measurement classification. We utilize a three-level valuation hierarchy for disclosure of fair value measurement. The valuation hierarchy is based upon the transparency of inputs to the valuation of an asset or liability as of the measurement date. A financial instrument's categorization within the hierarchy is based upon the lowest level of input that is significant to the fair value measurement. There were no transfers between valuation hierarchy levels during the three and six months ended June 30, 2017. The three levels of valuation hierarchy are defined as follows:</w:t>
      </w:r>
    </w:p>
    <w:p>
      <w:pPr>
        <w:spacing w:after="0" w:line="130" w:lineRule="exact"/>
        <w:rPr>
          <w:sz w:val="20"/>
          <w:szCs w:val="20"/>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—Quoted prices (unadjusted) for identical unrestricted assets and liabilities in active markets that are accessible at the measurement date.</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—Quoted prices for similar assets and liabilities in active markets; quoted prices for identical or similar instruments in markets that are not active; and model-derived valuations whose inputs are observable or whose significant value drivers are observable.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—Instruments with primarily unobservable market data that cannot be corroborated.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576" w:right="239" w:bottom="1440" w:gutter="0" w:footer="0" w:header="0"/>
        </w:sectPr>
      </w:pPr>
    </w:p>
    <w:bookmarkStart w:id="25" w:name="page26"/>
    <w:bookmarkEnd w:id="25"/>
    <w:p>
      <w:pPr>
        <w:ind w:left="440"/>
        <w:spacing w:after="0"/>
        <w:rPr>
          <w:sz w:val="20"/>
          <w:szCs w:val="20"/>
          <w:color w:val="auto"/>
        </w:rPr>
      </w:pPr>
      <w:r>
        <w:rPr>
          <w:rFonts w:ascii="Times New Roman" w:cs="Times New Roman" w:eastAsia="Times New Roman" w:hAnsi="Times New Roman"/>
          <w:sz w:val="18"/>
          <w:szCs w:val="18"/>
          <w:color w:val="auto"/>
        </w:rPr>
        <w:t>The following table provides a summary of our assets and liabilities that are measured at fair value on a recurring basis as of June 30, 2017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2016 (in millions):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22"/>
                <w:szCs w:val="22"/>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22"/>
                <w:szCs w:val="22"/>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Pr>
          <w:p>
            <w:pPr>
              <w:spacing w:after="0"/>
              <w:rPr>
                <w:sz w:val="22"/>
                <w:szCs w:val="22"/>
                <w:color w:val="auto"/>
              </w:rPr>
            </w:pPr>
          </w:p>
        </w:tc>
        <w:tc>
          <w:tcPr>
            <w:tcW w:w="8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69"/>
        </w:trPr>
        <w:tc>
          <w:tcPr>
            <w:tcW w:w="45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Assets:</w:t>
            </w:r>
          </w:p>
        </w:tc>
        <w:tc>
          <w:tcPr>
            <w:tcW w:w="20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5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Agency securities</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45,226</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45,393</w:t>
            </w:r>
          </w:p>
        </w:tc>
        <w:tc>
          <w:tcPr>
            <w:tcW w:w="10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4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Agency securities transferred to consolidated VIEs</w:t>
            </w:r>
          </w:p>
        </w:tc>
        <w:tc>
          <w:tcPr>
            <w:tcW w:w="2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737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818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45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Credit risk transfer securities</w:t>
            </w:r>
          </w:p>
        </w:tc>
        <w:tc>
          <w:tcPr>
            <w:tcW w:w="200" w:type="dxa"/>
            <w:vAlign w:val="bottom"/>
          </w:tcPr>
          <w:p>
            <w:pPr>
              <w:spacing w:after="0"/>
              <w:rPr>
                <w:sz w:val="23"/>
                <w:szCs w:val="23"/>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572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4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Non-Agency securities</w:t>
            </w:r>
          </w:p>
        </w:tc>
        <w:tc>
          <w:tcPr>
            <w:tcW w:w="2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45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U.S. Treasury securities</w:t>
            </w:r>
          </w:p>
        </w:tc>
        <w:tc>
          <w:tcPr>
            <w:tcW w:w="200" w:type="dxa"/>
            <w:vAlign w:val="bottom"/>
          </w:tcPr>
          <w:p>
            <w:pPr>
              <w:spacing w:after="0"/>
              <w:rPr>
                <w:sz w:val="23"/>
                <w:szCs w:val="23"/>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8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4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Interest rate swaps</w:t>
            </w:r>
          </w:p>
        </w:tc>
        <w:tc>
          <w:tcPr>
            <w:tcW w:w="2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45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Swaptions</w:t>
            </w:r>
          </w:p>
        </w:tc>
        <w:tc>
          <w:tcPr>
            <w:tcW w:w="200" w:type="dxa"/>
            <w:vAlign w:val="bottom"/>
          </w:tcPr>
          <w:p>
            <w:pPr>
              <w:spacing w:after="0"/>
              <w:rPr>
                <w:sz w:val="23"/>
                <w:szCs w:val="23"/>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4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TBA securities</w:t>
            </w:r>
          </w:p>
        </w:tc>
        <w:tc>
          <w:tcPr>
            <w:tcW w:w="2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45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U.S. Treasury futures</w:t>
            </w:r>
          </w:p>
        </w:tc>
        <w:tc>
          <w:tcPr>
            <w:tcW w:w="2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2"/>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46,771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190</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46,846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45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Debt of consolidated VIEs</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3"/>
        </w:trPr>
        <w:tc>
          <w:tcPr>
            <w:tcW w:w="4580" w:type="dxa"/>
            <w:vAlign w:val="bottom"/>
          </w:tcPr>
          <w:p>
            <w:pPr>
              <w:ind w:left="200"/>
              <w:spacing w:after="0" w:line="153" w:lineRule="exact"/>
              <w:rPr>
                <w:sz w:val="20"/>
                <w:szCs w:val="20"/>
                <w:color w:val="auto"/>
              </w:rPr>
            </w:pPr>
            <w:r>
              <w:rPr>
                <w:rFonts w:ascii="Times New Roman" w:cs="Times New Roman" w:eastAsia="Times New Roman" w:hAnsi="Times New Roman"/>
                <w:sz w:val="14"/>
                <w:szCs w:val="14"/>
                <w:color w:val="auto"/>
              </w:rPr>
              <w:t>Obligation to return U.S. Treasury securities borrowed under reverse</w:t>
            </w:r>
          </w:p>
        </w:tc>
        <w:tc>
          <w:tcPr>
            <w:tcW w:w="200" w:type="dxa"/>
            <w:vAlign w:val="bottom"/>
          </w:tcPr>
          <w:p>
            <w:pPr>
              <w:spacing w:after="0"/>
              <w:rPr>
                <w:sz w:val="13"/>
                <w:szCs w:val="13"/>
                <w:color w:val="auto"/>
              </w:rPr>
            </w:pPr>
          </w:p>
        </w:tc>
        <w:tc>
          <w:tcPr>
            <w:tcW w:w="8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7,221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10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8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7,636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820" w:type="dxa"/>
            <w:vAlign w:val="bottom"/>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5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repurchase agreements</w:t>
            </w: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4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Interest rate swaps</w:t>
            </w:r>
          </w:p>
        </w:tc>
        <w:tc>
          <w:tcPr>
            <w:tcW w:w="2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45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TBA securities</w:t>
            </w:r>
          </w:p>
        </w:tc>
        <w:tc>
          <w:tcPr>
            <w:tcW w:w="2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2"/>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7,221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478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7,636</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716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We elected the option to account for debt of consolidated VIEs at fair value with changes in fair value reflected in earnings during the period in which they occur, because we believe this election more appropriately reflects our financial position as both the consolidated Agency securities and consolidated debt are presented in a consistent manner, at fair value, on our consolidated balance sheets. We estimate the fair value of the consolidated debt based on difference between the fair value of the RMBS transferred to consolidated VIEs and the fair value of our retained interests, each of which is based on valuations obtained from third-party pricing services and non-binding dealer quotes derived from common market pricing methods using "Level 2" inputs, and are more observable than using inputs to estimate the fair value of the consolidated debt on a stand-alone basis.</w:t>
      </w:r>
    </w:p>
    <w:p>
      <w:pPr>
        <w:spacing w:after="0" w:line="13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Excluded from the table above are financial instruments, including cash and cash equivalents, restricted cash and cash equivalents, receivables, payables and borrowings under repurchase agreements and FHLB advances, which are presented in our consolidated financial statements at cost. The cost basis of these instruments is determined to approximate fair value due to their short duration or, in the case of longer-term repo and FHLB advances, due to floating rates of interest based on an index plus or minus a fixed spread which is consistent with fixed spreads demanded in the market. We estimate the fair value of these instruments using "Level 1" or "Level 2" inputs.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Net Income (Loss) Per Common Share</w:t>
      </w:r>
    </w:p>
    <w:p>
      <w:pPr>
        <w:spacing w:after="0" w:line="2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Net income (loss) per common share includes no dilution and is computed by dividing net income or (loss) applicable to common stock by the weighted-average number of common shares outstanding for the respective period. Diluted earnings per common share includes the impact of dilutive securities such as unvested restricted stock units and performance share units granted under our long-term incentive program to employees and non-employee Board of Directors. The following table presents the computations of basic and diluted income (loss) per common share for the periods indicated (shares and dollars in millions):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742"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95"/>
        </w:trPr>
        <w:tc>
          <w:tcPr>
            <w:tcW w:w="6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2300" w:type="dxa"/>
            <w:vAlign w:val="bottom"/>
            <w:gridSpan w:val="4"/>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63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55"/>
        </w:trPr>
        <w:tc>
          <w:tcPr>
            <w:tcW w:w="6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Weighted average number of common shares outstanding - basic</w:t>
            </w: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346.4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331.0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338.8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332.7</w:t>
            </w:r>
          </w:p>
        </w:tc>
      </w:tr>
      <w:tr>
        <w:trPr>
          <w:trHeight w:val="265"/>
        </w:trPr>
        <w:tc>
          <w:tcPr>
            <w:tcW w:w="63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Unvested restricted stock units and performance share units</w:t>
            </w:r>
          </w:p>
        </w:tc>
        <w:tc>
          <w:tcPr>
            <w:tcW w:w="2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42"/>
        </w:trPr>
        <w:tc>
          <w:tcPr>
            <w:tcW w:w="6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Weighted average number of common shares outstanding - diluted</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346.5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332.7</w:t>
            </w:r>
          </w:p>
        </w:tc>
      </w:tr>
      <w:tr>
        <w:trPr>
          <w:trHeight w:val="20"/>
        </w:trPr>
        <w:tc>
          <w:tcPr>
            <w:tcW w:w="6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0"/>
        </w:trPr>
        <w:tc>
          <w:tcPr>
            <w:tcW w:w="63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Net income (loss) available (attributable) to common stockholders</w:t>
            </w: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86</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(921)</w:t>
            </w:r>
          </w:p>
        </w:tc>
      </w:tr>
      <w:tr>
        <w:trPr>
          <w:trHeight w:val="210"/>
        </w:trPr>
        <w:tc>
          <w:tcPr>
            <w:tcW w:w="6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 (loss) per common share - basic and diluted</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0.05</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(0.43)</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0.25</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w:t>
            </w:r>
          </w:p>
        </w:tc>
      </w:tr>
      <w:tr>
        <w:trPr>
          <w:trHeight w:val="20"/>
        </w:trPr>
        <w:tc>
          <w:tcPr>
            <w:tcW w:w="6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Stockholders' Equity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Pursuant to our amended and restated certificate of incorporation, we are authorized to designate and issue up to 10.0 million shares of preferred stock in one or more classes or series. Our Board of Directors has designated 6.9 million shares as 8.000% Series A Cumulative Redeemable Preferred Stock ("Series A Preferred Stock") and 8,050 shares as 7.750% Series B Cumulative Redeemable Preferred Stock ("Series B Preferred Stock"). As of June 30, 2017 and December 31, 2016, we had 6.9 million shares of Series A Preferred Stock outstanding and 7.0 million depositary shares outstanding. Each depositary share represents a 1/1,000th interest in a share of our Series B Preferred Stock. As of June 30, 2017 and December 31, 2016, we had 3.1 million shares of authorized but unissued shares of preferred stock. Our Board of Directors may designate additional series of authorized preferred stock ranking junior to or in parity with the Series A or Series B Preferred Stock or designate additional shares of the Series A or Series B Preferred Stock and authorize the issuance of such shares.</w:t>
      </w:r>
    </w:p>
    <w:p>
      <w:pPr>
        <w:spacing w:after="0" w:line="13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Series A and Series B Preferred Stock have no stated maturity, are not subject to any sinking fund or mandatory redemption and rank on parity with each other. Under certain circumstances upon a change of control, our Series A and Series B Preferred Stock are convertible to shares of our common stock. Holders of our Series A Preferred Stock and depository shares underlying our Series B Preferred Stock have no voting rights, except under limited conditions, and are entitled to receive cumulative cash dividends at a rate of 8.000% and 7.750% per annum, respectively, of their $25.00 per share and $25.00 per depositary share liquidation preference, respectively, before holders of our common stock are entitled to receive any dividends. As of April 5, 2017, shares of our Series A Preferred Stock are and, beginning on May 8, 2019, depository shares underlying our Series B Preferred Stock will be redeemable at $25.00 per share, plus accumulated and unpaid dividends (whether or not declared) exclusively at our option. Depository shares underlying our Series B Preferred Stock may be redeemed prior to May 8, 2019 under certain circumstances intended to preserve our qualification as a REIT for federal income tax purposes. Dividends are payable quarterly in arrears on the 15th day of each January, April, July and October. As of June 30, 2017, we had declared all required quarterly dividends on our Series A and Series B Preferred Stock.</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Offering</w:t>
      </w:r>
    </w:p>
    <w:p>
      <w:pPr>
        <w:spacing w:after="0" w:line="175"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In May 2017, we completed a public offering in which 24.5 million shares of our common stock were sold to the underwriters for proceeds of $503 million, or $20.53 per common share, net of offering costs.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 Program</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February 2017, we entered into agreements with sales agents to publicly offer and sell shares of our common stock in privately negotiated and/or at-the-market transactions from time-to-time up to an aggregate amount of $750 million of shares of our common stock. During the six months ended June 30, 2017, we did not sell any shares of our common stock under the sales agreements.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Repurchase Program</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October 2012, our Board of Directors adopted a program that provided for stock repurchases, which, as amended, authorized repurchases of our common stock up to $2 billion through December 31, 2016. In October 2016, our Board of Directors terminated the existing stock repurchase program and replaced it with a new stock repurchase authorization. Under the new stock repurchase program, we are authorized to repurchase up to $1 billion of our outstanding shares of common stock through December 31, 2017.</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2016, we repurchased 6.5 million shares of our common stock at an average repurchase price of $17.89, including expenses, totaling $116 million. We did not repurchase shares of our common stock during the six months ended June 30, 2017. As of June 30, 2017, the total remaining amount authorized for repurchases of our common stock was $1 billion.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885"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changes to accumulated OCI for the three and six months ended June 30, 2017 and 2016 (in millions):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Unrealized Gain</w:t>
            </w:r>
          </w:p>
        </w:tc>
        <w:tc>
          <w:tcPr>
            <w:tcW w:w="140" w:type="dxa"/>
            <w:vAlign w:val="bottom"/>
          </w:tcPr>
          <w:p>
            <w:pPr>
              <w:spacing w:after="0"/>
              <w:rPr>
                <w:sz w:val="13"/>
                <w:szCs w:val="13"/>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Total Accumulated</w:t>
            </w:r>
          </w:p>
        </w:tc>
        <w:tc>
          <w:tcPr>
            <w:tcW w:w="0" w:type="dxa"/>
            <w:vAlign w:val="bottom"/>
          </w:tcPr>
          <w:p>
            <w:pPr>
              <w:spacing w:after="0"/>
              <w:rPr>
                <w:sz w:val="1"/>
                <w:szCs w:val="1"/>
                <w:color w:val="auto"/>
              </w:rPr>
            </w:pPr>
          </w:p>
        </w:tc>
      </w:tr>
      <w:tr>
        <w:trPr>
          <w:trHeight w:val="149"/>
        </w:trPr>
        <w:tc>
          <w:tcPr>
            <w:tcW w:w="70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 Comprehensive Income (Loss)</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(Loss) on Available-</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Gain (Loss) on</w:t>
            </w:r>
          </w:p>
        </w:tc>
        <w:tc>
          <w:tcPr>
            <w:tcW w:w="240" w:type="dxa"/>
            <w:vAlign w:val="bottom"/>
          </w:tcPr>
          <w:p>
            <w:pPr>
              <w:spacing w:after="0"/>
              <w:rPr>
                <w:sz w:val="12"/>
                <w:szCs w:val="12"/>
                <w:color w:val="auto"/>
              </w:rPr>
            </w:pPr>
          </w:p>
        </w:tc>
        <w:tc>
          <w:tcPr>
            <w:tcW w:w="1000" w:type="dxa"/>
            <w:vAlign w:val="bottom"/>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OCI</w:t>
            </w:r>
          </w:p>
        </w:tc>
        <w:tc>
          <w:tcPr>
            <w:tcW w:w="0" w:type="dxa"/>
            <w:vAlign w:val="bottom"/>
          </w:tcPr>
          <w:p>
            <w:pPr>
              <w:spacing w:after="0"/>
              <w:rPr>
                <w:sz w:val="1"/>
                <w:szCs w:val="1"/>
                <w:color w:val="auto"/>
              </w:rPr>
            </w:pPr>
          </w:p>
        </w:tc>
      </w:tr>
      <w:tr>
        <w:trPr>
          <w:trHeight w:val="195"/>
        </w:trPr>
        <w:tc>
          <w:tcPr>
            <w:tcW w:w="7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for-Sale MBS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Swaps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35"/>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as of March 31, 2017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0" w:type="dxa"/>
            <w:vAlign w:val="bottom"/>
          </w:tcPr>
          <w:p>
            <w:pPr>
              <w:spacing w:after="0"/>
              <w:rPr>
                <w:sz w:val="1"/>
                <w:szCs w:val="1"/>
                <w:color w:val="auto"/>
              </w:rPr>
            </w:pPr>
          </w:p>
        </w:tc>
      </w:tr>
      <w:tr>
        <w:trPr>
          <w:trHeight w:val="237"/>
        </w:trPr>
        <w:tc>
          <w:tcPr>
            <w:tcW w:w="72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OCI before reclassifications</w:t>
            </w:r>
          </w:p>
        </w:tc>
        <w:tc>
          <w:tcPr>
            <w:tcW w:w="12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Amounts reclassified from accumulated OCI</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84"/>
        </w:trPr>
        <w:tc>
          <w:tcPr>
            <w:tcW w:w="720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as of June 30, 2017</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0" w:type="dxa"/>
            <w:vAlign w:val="bottom"/>
          </w:tcPr>
          <w:p>
            <w:pPr>
              <w:spacing w:after="0"/>
              <w:rPr>
                <w:sz w:val="1"/>
                <w:szCs w:val="1"/>
                <w:color w:val="auto"/>
              </w:rPr>
            </w:pPr>
          </w:p>
        </w:tc>
      </w:tr>
      <w:tr>
        <w:trPr>
          <w:trHeight w:val="284"/>
        </w:trPr>
        <w:tc>
          <w:tcPr>
            <w:tcW w:w="7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2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as of March 31, 2016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738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718</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OCI before reclassifications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425</w:t>
            </w:r>
          </w:p>
        </w:tc>
        <w:tc>
          <w:tcPr>
            <w:tcW w:w="0" w:type="dxa"/>
            <w:vAlign w:val="bottom"/>
          </w:tcPr>
          <w:p>
            <w:pPr>
              <w:spacing w:after="0"/>
              <w:rPr>
                <w:sz w:val="1"/>
                <w:szCs w:val="1"/>
                <w:color w:val="auto"/>
              </w:rPr>
            </w:pPr>
          </w:p>
        </w:tc>
      </w:tr>
      <w:tr>
        <w:trPr>
          <w:trHeight w:val="237"/>
        </w:trPr>
        <w:tc>
          <w:tcPr>
            <w:tcW w:w="72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Amounts reclassified from accumulated OCI</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as of June 30, 2016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1,100</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7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as of December 31, 2016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0" w:type="dxa"/>
            <w:vAlign w:val="bottom"/>
          </w:tcPr>
          <w:p>
            <w:pPr>
              <w:spacing w:after="0"/>
              <w:rPr>
                <w:sz w:val="1"/>
                <w:szCs w:val="1"/>
                <w:color w:val="auto"/>
              </w:rPr>
            </w:pPr>
          </w:p>
        </w:tc>
      </w:tr>
      <w:tr>
        <w:trPr>
          <w:trHeight w:val="237"/>
        </w:trPr>
        <w:tc>
          <w:tcPr>
            <w:tcW w:w="72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OCI before reclassifications</w:t>
            </w:r>
          </w:p>
        </w:tc>
        <w:tc>
          <w:tcPr>
            <w:tcW w:w="12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Amounts reclassified from accumulated OCI</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284"/>
        </w:trPr>
        <w:tc>
          <w:tcPr>
            <w:tcW w:w="720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as of June 30, 2017</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0" w:type="dxa"/>
            <w:vAlign w:val="bottom"/>
          </w:tcPr>
          <w:p>
            <w:pPr>
              <w:spacing w:after="0"/>
              <w:rPr>
                <w:sz w:val="1"/>
                <w:szCs w:val="1"/>
                <w:color w:val="auto"/>
              </w:rPr>
            </w:pPr>
          </w:p>
        </w:tc>
      </w:tr>
      <w:tr>
        <w:trPr>
          <w:trHeight w:val="284"/>
        </w:trPr>
        <w:tc>
          <w:tcPr>
            <w:tcW w:w="7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2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as of December 31, 2015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OCI before reclassifications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1,188</w:t>
            </w:r>
          </w:p>
        </w:tc>
        <w:tc>
          <w:tcPr>
            <w:tcW w:w="0" w:type="dxa"/>
            <w:vAlign w:val="bottom"/>
          </w:tcPr>
          <w:p>
            <w:pPr>
              <w:spacing w:after="0"/>
              <w:rPr>
                <w:sz w:val="1"/>
                <w:szCs w:val="1"/>
                <w:color w:val="auto"/>
              </w:rPr>
            </w:pPr>
          </w:p>
        </w:tc>
      </w:tr>
      <w:tr>
        <w:trPr>
          <w:trHeight w:val="237"/>
        </w:trPr>
        <w:tc>
          <w:tcPr>
            <w:tcW w:w="72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Amounts reclassified from accumulated OCI</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as of June 30, 2016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1,100</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reclassifications out of accumulated OCI for the three and six months ended June 30, 2017 and 2016 (in millions):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3"/>
                <w:szCs w:val="13"/>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Line Item in the Consolidated</w:t>
            </w:r>
          </w:p>
        </w:tc>
        <w:tc>
          <w:tcPr>
            <w:tcW w:w="0" w:type="dxa"/>
            <w:vAlign w:val="bottom"/>
          </w:tcPr>
          <w:p>
            <w:pPr>
              <w:spacing w:after="0"/>
              <w:rPr>
                <w:sz w:val="1"/>
                <w:szCs w:val="1"/>
                <w:color w:val="auto"/>
              </w:rPr>
            </w:pPr>
          </w:p>
        </w:tc>
      </w:tr>
      <w:tr>
        <w:trPr>
          <w:trHeight w:val="54"/>
        </w:trPr>
        <w:tc>
          <w:tcPr>
            <w:tcW w:w="5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98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Statements of Comprehensive Income</w:t>
            </w:r>
          </w:p>
        </w:tc>
        <w:tc>
          <w:tcPr>
            <w:tcW w:w="0" w:type="dxa"/>
            <w:vAlign w:val="bottom"/>
          </w:tcPr>
          <w:p>
            <w:pPr>
              <w:spacing w:after="0"/>
              <w:rPr>
                <w:sz w:val="1"/>
                <w:szCs w:val="1"/>
                <w:color w:val="auto"/>
              </w:rPr>
            </w:pPr>
          </w:p>
        </w:tc>
      </w:tr>
      <w:tr>
        <w:trPr>
          <w:trHeight w:val="63"/>
        </w:trPr>
        <w:tc>
          <w:tcPr>
            <w:tcW w:w="52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Amounts Reclassified from Accumulated OCI</w:t>
            </w:r>
          </w:p>
        </w:tc>
        <w:tc>
          <w:tcPr>
            <w:tcW w:w="12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vMerge w:val="restart"/>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vMerge w:val="restart"/>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5"/>
                <w:szCs w:val="5"/>
                <w:color w:val="auto"/>
              </w:rPr>
            </w:pPr>
          </w:p>
        </w:tc>
        <w:tc>
          <w:tcPr>
            <w:tcW w:w="3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5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Where Net Income is Presented</w:t>
            </w:r>
          </w:p>
        </w:tc>
        <w:tc>
          <w:tcPr>
            <w:tcW w:w="0" w:type="dxa"/>
            <w:vAlign w:val="bottom"/>
          </w:tcPr>
          <w:p>
            <w:pPr>
              <w:spacing w:after="0"/>
              <w:rPr>
                <w:sz w:val="1"/>
                <w:szCs w:val="1"/>
                <w:color w:val="auto"/>
              </w:rPr>
            </w:pPr>
          </w:p>
        </w:tc>
      </w:tr>
      <w:tr>
        <w:trPr>
          <w:trHeight w:val="214"/>
        </w:trPr>
        <w:tc>
          <w:tcPr>
            <w:tcW w:w="5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(Gain) loss amounts reclassified from accumulated OCI for available-for-sale</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MBS upon realization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Borders>
              <w:bottom w:val="single" w:sz="8" w:color="CCEEFF"/>
            </w:tcBorders>
            <w:shd w:val="clear" w:color="auto" w:fill="CCEEFF"/>
          </w:tcPr>
          <w:p>
            <w:pPr>
              <w:spacing w:after="0"/>
              <w:rPr>
                <w:sz w:val="19"/>
                <w:szCs w:val="19"/>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Realized gain (loss) on sale of investment securities, net</w:t>
            </w:r>
          </w:p>
        </w:tc>
        <w:tc>
          <w:tcPr>
            <w:tcW w:w="0" w:type="dxa"/>
            <w:vAlign w:val="bottom"/>
          </w:tcPr>
          <w:p>
            <w:pPr>
              <w:spacing w:after="0"/>
              <w:rPr>
                <w:sz w:val="1"/>
                <w:szCs w:val="1"/>
                <w:color w:val="auto"/>
              </w:rPr>
            </w:pPr>
          </w:p>
        </w:tc>
      </w:tr>
      <w:tr>
        <w:trPr>
          <w:trHeight w:val="216"/>
        </w:trPr>
        <w:tc>
          <w:tcPr>
            <w:tcW w:w="53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Periodic interest costs of interest rate swaps previously designated as hedges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under GAAP, net</w:t>
            </w:r>
          </w:p>
        </w:tc>
        <w:tc>
          <w:tcPr>
            <w:tcW w:w="1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6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reclassifications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Line Item in the Consolidated</w:t>
            </w:r>
          </w:p>
        </w:tc>
        <w:tc>
          <w:tcPr>
            <w:tcW w:w="0" w:type="dxa"/>
            <w:vAlign w:val="bottom"/>
          </w:tcPr>
          <w:p>
            <w:pPr>
              <w:spacing w:after="0" w:line="20" w:lineRule="exact"/>
              <w:rPr>
                <w:sz w:val="1"/>
                <w:szCs w:val="1"/>
                <w:color w:val="auto"/>
              </w:rPr>
            </w:pPr>
          </w:p>
        </w:tc>
      </w:tr>
      <w:tr>
        <w:trPr>
          <w:trHeight w:val="419"/>
        </w:trPr>
        <w:tc>
          <w:tcPr>
            <w:tcW w:w="5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4"/>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98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Statements of Comprehensive Income</w:t>
            </w:r>
          </w:p>
        </w:tc>
        <w:tc>
          <w:tcPr>
            <w:tcW w:w="0" w:type="dxa"/>
            <w:vAlign w:val="bottom"/>
          </w:tcPr>
          <w:p>
            <w:pPr>
              <w:spacing w:after="0"/>
              <w:rPr>
                <w:sz w:val="1"/>
                <w:szCs w:val="1"/>
                <w:color w:val="auto"/>
              </w:rPr>
            </w:pPr>
          </w:p>
        </w:tc>
      </w:tr>
      <w:tr>
        <w:trPr>
          <w:trHeight w:val="63"/>
        </w:trPr>
        <w:tc>
          <w:tcPr>
            <w:tcW w:w="52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Amounts Reclassified from Accumulated OCI</w:t>
            </w:r>
          </w:p>
        </w:tc>
        <w:tc>
          <w:tcPr>
            <w:tcW w:w="12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vMerge w:val="restart"/>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vMerge w:val="restart"/>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5"/>
                <w:szCs w:val="5"/>
                <w:color w:val="auto"/>
              </w:rPr>
            </w:pPr>
          </w:p>
        </w:tc>
        <w:tc>
          <w:tcPr>
            <w:tcW w:w="3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5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Where Net Income is Presented</w:t>
            </w:r>
          </w:p>
        </w:tc>
        <w:tc>
          <w:tcPr>
            <w:tcW w:w="0" w:type="dxa"/>
            <w:vAlign w:val="bottom"/>
          </w:tcPr>
          <w:p>
            <w:pPr>
              <w:spacing w:after="0"/>
              <w:rPr>
                <w:sz w:val="1"/>
                <w:szCs w:val="1"/>
                <w:color w:val="auto"/>
              </w:rPr>
            </w:pPr>
          </w:p>
        </w:tc>
      </w:tr>
      <w:tr>
        <w:trPr>
          <w:trHeight w:val="214"/>
        </w:trPr>
        <w:tc>
          <w:tcPr>
            <w:tcW w:w="5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(Gain) loss amounts reclassified from accumulated OCI for available-for-sale</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MBS upon realization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Borders>
              <w:bottom w:val="single" w:sz="8" w:color="CCEEFF"/>
            </w:tcBorders>
            <w:shd w:val="clear" w:color="auto" w:fill="CCEEFF"/>
          </w:tcPr>
          <w:p>
            <w:pPr>
              <w:spacing w:after="0"/>
              <w:rPr>
                <w:sz w:val="19"/>
                <w:szCs w:val="19"/>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Realized gain (loss) on sale of investment securities, net</w:t>
            </w:r>
          </w:p>
        </w:tc>
        <w:tc>
          <w:tcPr>
            <w:tcW w:w="0" w:type="dxa"/>
            <w:vAlign w:val="bottom"/>
          </w:tcPr>
          <w:p>
            <w:pPr>
              <w:spacing w:after="0"/>
              <w:rPr>
                <w:sz w:val="1"/>
                <w:szCs w:val="1"/>
                <w:color w:val="auto"/>
              </w:rPr>
            </w:pPr>
          </w:p>
        </w:tc>
      </w:tr>
      <w:tr>
        <w:trPr>
          <w:trHeight w:val="216"/>
        </w:trPr>
        <w:tc>
          <w:tcPr>
            <w:tcW w:w="53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Periodic interest costs of interest rate swaps previously designated as hedges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under GAAP, net</w:t>
            </w:r>
          </w:p>
        </w:tc>
        <w:tc>
          <w:tcPr>
            <w:tcW w:w="1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6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8"/>
                <w:szCs w:val="18"/>
                <w:color w:val="auto"/>
              </w:rPr>
            </w:pPr>
          </w:p>
        </w:tc>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0" w:type="dxa"/>
            <w:vAlign w:val="bottom"/>
          </w:tcPr>
          <w:p>
            <w:pPr>
              <w:spacing w:after="0"/>
              <w:rPr>
                <w:sz w:val="1"/>
                <w:szCs w:val="1"/>
                <w:color w:val="auto"/>
              </w:rPr>
            </w:pPr>
          </w:p>
        </w:tc>
      </w:tr>
      <w:tr>
        <w:trPr>
          <w:trHeight w:val="33"/>
        </w:trPr>
        <w:tc>
          <w:tcPr>
            <w:tcW w:w="538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reclassifications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Subsequent Events</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On July 13, 2017, our Board of Directors declared a monthly dividend of $0.18 per common share, payable on August 7, 2017 to common stockholders of record as of July 31, 2017.</w:t>
      </w:r>
    </w:p>
    <w:p>
      <w:pPr>
        <w:sectPr>
          <w:pgSz w:w="11900" w:h="16838" w:orient="portrait"/>
          <w:cols w:equalWidth="0" w:num="1">
            <w:col w:w="11420"/>
          </w:cols>
          <w:pgMar w:left="240" w:top="738" w:right="2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738" w:right="2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9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("MD&amp;A") is designed to provide a reader of AGNC Investment Corp.'s consolidated financial statements with a narrative from the perspective of management, and should be read in conjunction with the consolidated financial statements and accompanying notes included in this Quarterly Report on Form 10-Q for quarterly period ended June 30, 2017. Our MD&amp;A is presented in six sections:</w:t>
      </w:r>
    </w:p>
    <w:p>
      <w:pPr>
        <w:spacing w:after="0" w:line="45"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Overview</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Condition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Off-Balance Sheet Arrangements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Forward-Looking Statements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7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AGNC Investment Corp. ("AGNC," the "Company," "we," "us" and "our") is an internally managed Real Estate Investment Trust ("REIT") that was organized on January 7, 2008 and commenced operations on May 20, 2008 following the completion of our initial public offering. Our common stock is traded on The NASDAQ Global Select Market ("NASDAQ") under the symbol "AGNC."</w:t>
      </w:r>
    </w:p>
    <w:p>
      <w:pPr>
        <w:spacing w:after="0" w:line="122"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operate so as to qualify to be taxed as a REIT under the Internal Revenue Code of 1986, as amended (the "Internal Revenue Code"). As such, we are required to distribute annually 90% of our taxable net income. As long as we qualify as a REIT, we will generally not be subject to U.S. federal or state corporate taxes on our taxable net income to the extent that we distribute all of our taxable net income to our stockholders in a timely manner. It is our intention to distribute 100% of our taxable net income, after application of available tax attributes, within the limits prescribed by the Internal Revenue Code, which may extend into the subsequent tax year.</w:t>
      </w:r>
    </w:p>
    <w:p>
      <w:pPr>
        <w:spacing w:after="0" w:line="130" w:lineRule="exact"/>
        <w:rPr>
          <w:sz w:val="20"/>
          <w:szCs w:val="20"/>
          <w:color w:val="auto"/>
        </w:rPr>
      </w:pPr>
    </w:p>
    <w:p>
      <w:pPr>
        <w:jc w:val="both"/>
        <w:ind w:firstLine="392"/>
        <w:spacing w:after="0" w:line="255" w:lineRule="auto"/>
        <w:rPr>
          <w:sz w:val="20"/>
          <w:szCs w:val="20"/>
          <w:color w:val="auto"/>
        </w:rPr>
      </w:pPr>
      <w:r>
        <w:rPr>
          <w:rFonts w:ascii="Times New Roman" w:cs="Times New Roman" w:eastAsia="Times New Roman" w:hAnsi="Times New Roman"/>
          <w:sz w:val="18"/>
          <w:szCs w:val="18"/>
          <w:color w:val="auto"/>
        </w:rPr>
        <w:t>We earn income primarily from investing in Agency residential mortgage-backed securities ("Agency RMBS") on a leveraged basis. These investments consist of residential mortgage pass-through securities and collateralized mortgage obligations ("CMOs") for which the principal and interest payments are guaranteed by a government-sponsored enterprise, such as the Federal National Mortgage Association ("Fannie Mae") and the Federal Home Loan Mortgage Corporation ("Freddie Mac"), or by a U.S. Government agency, such as the Government National Mortgage Association ("Ginnie Mae") (collectively referred to as "GSEs"). We may also invest in other types of mortgage and mortgage-related securities, such as credit risk transfer ("CRT") securities and non-Agency residential and commercial mortgage-backed securities ("non-Agency RMBS" and "CMBS," respectively), where repayment of principal and interest is not guaranteed by a GSE or U.S. Government agency.</w:t>
      </w:r>
    </w:p>
    <w:p>
      <w:pPr>
        <w:spacing w:after="0" w:line="13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Our principal objective is to provide our stockholders with attractive risk-adjusted returns through a combination of monthly dividends and net asset value (also referred to as "net book value" or "NAV") accretion. We generate income from the interest earned on our investment assets, net of associated borrowing and hedging activities, and net realized gains and losses on our investments and hedging activities. We fund our investments primarily through borrowings structured as repurchase agreements ("repo").</w:t>
      </w:r>
    </w:p>
    <w:p>
      <w:pPr>
        <w:spacing w:after="0" w:line="12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Prior to July 1, 2016, we were externally managed by AGNC Management, LLC (our "Manager"). On July 1, 2016, we completed the acquisition of all of the outstanding membership interests of AGNC Mortgage Management, LLC ("AMM"), the parent company of our Manager, from American Capital Asset Management, LLC, a wholly owned portfolio company of American Capital, Ltd. ("ACAS"). AMM is also the parent company of MTGE Management, LLC, the external manager of MTGE Investment Corp. ("MTGE") (NASDAQ: MTGE). Following the closing of the acquisition of AMM, we became internally managed and are no longer affiliated with ACAS.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Investment Strategy</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investment strategy is designed to:</w:t>
      </w:r>
    </w:p>
    <w:p>
      <w:pPr>
        <w:spacing w:after="0" w:line="117" w:lineRule="exact"/>
        <w:rPr>
          <w:sz w:val="20"/>
          <w:szCs w:val="20"/>
          <w:color w:val="auto"/>
        </w:rPr>
      </w:pPr>
    </w:p>
    <w:p>
      <w:pPr>
        <w:ind w:left="760" w:hanging="347"/>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 attractive risk-adjusted returns for our stockholders comprised of monthly dividend distributions and NAV accretion;</w:t>
      </w:r>
    </w:p>
    <w:p>
      <w:pPr>
        <w:spacing w:after="0" w:line="63" w:lineRule="exact"/>
        <w:rPr>
          <w:rFonts w:ascii="Times New Roman" w:cs="Times New Roman" w:eastAsia="Times New Roman" w:hAnsi="Times New Roman"/>
          <w:sz w:val="18"/>
          <w:szCs w:val="18"/>
          <w:color w:val="auto"/>
        </w:rPr>
      </w:pPr>
    </w:p>
    <w:p>
      <w:pPr>
        <w:ind w:left="760" w:hanging="347"/>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an investment portfolio consisting primarily of Agency securities;</w:t>
      </w:r>
    </w:p>
    <w:p>
      <w:pPr>
        <w:spacing w:after="0" w:line="63" w:lineRule="exact"/>
        <w:rPr>
          <w:rFonts w:ascii="Times New Roman" w:cs="Times New Roman" w:eastAsia="Times New Roman" w:hAnsi="Times New Roman"/>
          <w:sz w:val="18"/>
          <w:szCs w:val="18"/>
          <w:color w:val="auto"/>
        </w:rPr>
      </w:pPr>
    </w:p>
    <w:p>
      <w:pPr>
        <w:ind w:left="760" w:hanging="347"/>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a subset of the portfolio in mortgage credit risk oriented assets;</w:t>
      </w:r>
    </w:p>
    <w:p>
      <w:pPr>
        <w:spacing w:after="0" w:line="63" w:lineRule="exact"/>
        <w:rPr>
          <w:rFonts w:ascii="Times New Roman" w:cs="Times New Roman" w:eastAsia="Times New Roman" w:hAnsi="Times New Roman"/>
          <w:sz w:val="18"/>
          <w:szCs w:val="18"/>
          <w:color w:val="auto"/>
        </w:rPr>
      </w:pPr>
    </w:p>
    <w:p>
      <w:pPr>
        <w:ind w:left="760" w:hanging="347"/>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 on discrepancies in the relative valuations in the Agency and non-Agency securities market;</w:t>
      </w:r>
    </w:p>
    <w:p>
      <w:pPr>
        <w:spacing w:after="0" w:line="63" w:lineRule="exact"/>
        <w:rPr>
          <w:rFonts w:ascii="Times New Roman" w:cs="Times New Roman" w:eastAsia="Times New Roman" w:hAnsi="Times New Roman"/>
          <w:sz w:val="18"/>
          <w:szCs w:val="18"/>
          <w:color w:val="auto"/>
        </w:rPr>
      </w:pPr>
    </w:p>
    <w:p>
      <w:pPr>
        <w:ind w:left="760" w:hanging="347"/>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financing, interest rate, prepayment, extension and credit risks;</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738" w:right="239" w:bottom="1440" w:gutter="0" w:footer="0" w:header="0"/>
        </w:sectPr>
      </w:pPr>
    </w:p>
    <w:bookmarkStart w:id="29" w:name="page30"/>
    <w:bookmarkEnd w:id="29"/>
    <w:p>
      <w:pPr>
        <w:ind w:left="760" w:hanging="347"/>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qualify as a REIT; and</w:t>
      </w:r>
    </w:p>
    <w:p>
      <w:pPr>
        <w:spacing w:after="0" w:line="63" w:lineRule="exact"/>
        <w:rPr>
          <w:rFonts w:ascii="Times New Roman" w:cs="Times New Roman" w:eastAsia="Times New Roman" w:hAnsi="Times New Roman"/>
          <w:sz w:val="18"/>
          <w:szCs w:val="18"/>
          <w:color w:val="auto"/>
        </w:rPr>
      </w:pPr>
    </w:p>
    <w:p>
      <w:pPr>
        <w:ind w:left="760" w:hanging="347"/>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 exempt from the requirements of the Investment Company Act of 1940 (the "Investment Company Act").</w:t>
      </w:r>
    </w:p>
    <w:p>
      <w:pPr>
        <w:spacing w:after="0" w:line="22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size and composition of our investment portfolio depends on investment strategies we implement, the availability of investment capital and overall market conditions, including the availability of attractively priced investments and suitable financing to appropriately leverage our investment portfolio. Market conditions are influenced by, among other things, current levels and expectations for future levels of interest rates, mortgage prepayments, market liquidity, housing prices, unemployment rates, general economic conditions, government participation in the mortgage market and evolving regulations that impact mortgage related activities.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Risk Management Strategy</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use a variety of strategies to reduce our exposure to market risks, including interest rate, prepayment, extension, liquidity and credit risks. Our investment strategies take into account our assessment of these risks, the cost of the hedging transactions and our intention to qualify as a REIT. Our hedging strategies are generally not designed to protect our net asset value from "spread risk" (also referred to as "basis risk"), which is the risk that the yield differential between our investments and our hedges fluctuates. In addition, while we use interest rate swaps and other supplemental hedges to attempt to protect our net asset value against moves in interest rates, we may not hedge certain interest rate, prepayment, extension or other market risks if we believe that bearing such risks enhances our return profile, or if the hedging transaction would negatively impact our REIT status.</w:t>
      </w:r>
    </w:p>
    <w:p>
      <w:pPr>
        <w:spacing w:after="0" w:line="134"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risk management actions we take may lower our earnings and dividends in the short term to further our objective of maintaining attractive levels of earnings and dividends over the long term. In addition, some of our hedges are intended to provide protection against larger rate moves and as a result may be relatively ineffective for smaller changes in interest rates. There can also be no certainty that our projections of our exposures to interest rates, prepayment, extension or other risks will be accurate or that our hedging activities will be effective and, therefore, actual results could differ materially. Furthermore, since our hedging strategies are generally not designed to protect our net book value from spread risk, wider spreads between the market yield on our investment securities and benchmark interests underlying our interest rate hedges will typically cause our net book value to decline and can occur independent of changes in benchmark interest rates. For further discussion of our market risks and risk management strategy, please refer to "Quantitative and Qualitative Disclosures about Market Risk" under Item 3 of this Quarterly Report on Form 10-Q.</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Recent Market Impacts</w:t>
      </w:r>
    </w:p>
    <w:p>
      <w:pPr>
        <w:spacing w:after="0" w:line="14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fixed income markets were relatively stable during the first half of 2017. Agency RMBS marginally underperformed versus interest rate hedges, which led to a 1.3% decline in our tangible net asset value per common share for the first half of the year to $19.25 per common share as of June 30, 2017 from $19.50 per common share as of December 31, 2016. The economic return on our tangible common equity was 4.3% for the six month period, inclusive of the $0.25 per common share decline in our tangible common equity and $1.08 of dividends per common share paid.</w:t>
      </w:r>
    </w:p>
    <w:p>
      <w:pPr>
        <w:spacing w:after="0" w:line="9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During the first half of the year, the Federal Reserve (the "Fed") increased the federal funds rate by 50 basis points, as it continued its effort to gradually normalize short term interest rates. Conversely, the yield on the 10-year U.S. Treasury declined 13 basis points from 2.43% as of December 31, 2016 to 2.30% as of June 30, 2016, resulting in a gradual flattening of the yield curve. Investors continued to favor higher risk assets, as evidenced by the strong performance of U.S. equities and the continued tightening in spreads associated with a wide range of credit-sensitive fixed income assets. The performance of Agency RMBS, however, was negatively impacted by market expectations regarding a reduction in the Fed’s Agency RMBS portfolio as the Fed tapers its reinvestment of proceeds from the portfolio, which is anticipated to begin in the second half of 2017. Although Agency RMBS spreads could widen further in anticipation of or following the commencement of the Fed's balance sheet reduction, which would adversely impact our net asset value, we believe that the Agency RMBS market has largely priced in reduced support from the Fed and that it is unlikely that spreads will move materially wider.</w:t>
      </w:r>
    </w:p>
    <w:p>
      <w:pPr>
        <w:spacing w:after="0" w:line="10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funding landscape for Agency RMBS remained favorable during the first half of 2017, both in terms of interest rate levels and funding capacity. Our repurchase agreement funding cost increased 29 basis points to 1.27% as of June 30, 2017 from 0.98% as of December 31, 2016, but was largely offset by a corresponding increase in the variable rate received on our interest rate swaps and strong funding dynamics in the TBA dollar roll market. As a result, the increase in our aggregate cost of funds, which includes the implied funding cost on our TBA position and the net cost of our pay fixed swap position, was a more modest increase at 16 basis points to 1.31% as of June 30, 2017 from 1.15% as of December 31, 2016. In addition, we continued to expand our funding activity through our captive broker-dealer subsidiary, Bethesda Securities or "BES," during the first half of the year. Our repurchase agreement funding through BES increased to $9.9 billion, or 25% of our repurchase agreement funding, as of June 30, 2017, from $4.7 billion as of December 31, 2016. We also began self-clearing trades for our TBA securities through BES.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580" w:right="239" w:bottom="1440" w:gutter="0" w:footer="0" w:header="0"/>
        </w:sectPr>
      </w:pPr>
    </w:p>
    <w:bookmarkStart w:id="30" w:name="page31"/>
    <w:bookmarkEnd w:id="30"/>
    <w:p>
      <w:pPr>
        <w:jc w:val="both"/>
        <w:spacing w:after="0" w:line="282" w:lineRule="auto"/>
        <w:rPr>
          <w:sz w:val="20"/>
          <w:szCs w:val="20"/>
          <w:color w:val="auto"/>
        </w:rPr>
      </w:pPr>
      <w:r>
        <w:rPr>
          <w:rFonts w:ascii="Times New Roman" w:cs="Times New Roman" w:eastAsia="Times New Roman" w:hAnsi="Times New Roman"/>
          <w:sz w:val="18"/>
          <w:szCs w:val="18"/>
          <w:color w:val="auto"/>
        </w:rPr>
        <w:t>Together, our expanded use of BES provides us greater funding diversity at more favorable terms relative to traditional bilateral repurchase agreement funding and third party TBA clearing.</w:t>
      </w:r>
    </w:p>
    <w:p>
      <w:pPr>
        <w:spacing w:after="0" w:line="8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June 30, 2017, our "at risk" leverage was 8.1x our tangible equity, up slightly from 8.0x as of March 31, 2017 and 7.7x as of December 31, 2016. Wider Agency RMBS spreads, coupled with positive funding dynamics, could provide an attractive investment opportunity and provide a catalyst for us to operate at higher leverage levels.</w:t>
      </w:r>
    </w:p>
    <w:p>
      <w:pPr>
        <w:spacing w:after="0" w:line="9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of June 30, 2017, our interest rate hedges equaled 98% of our funding liabilities and net TBA position, compared to approximately 90% as of March 31, 2017 and December 31, 2016, providing us greater protection against net asset value fluctuations due to interest rate changes. Our net "duration gap," which is a measure of the risk due to mismatches that can occur between the interest rate sensitivity of our assets and liabilities, inclusive of hedges, was 0.4 years as of June 30, 2017, down from 1.1 years as of March 31, 2017 and 1.3 years as of December 31, 2016. The reduction in our duration gap was a result of our larger hedge position and the overall decline in interest rates during the first half of the year.</w:t>
      </w:r>
    </w:p>
    <w:p>
      <w:pPr>
        <w:spacing w:after="0" w:line="10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Given the expectation of further Fed rate increases, we expect to maintain a high interest rate hedge ratio over the near to intermediate term, although the mix of our hedge instruments may change. The amount and composition of our hedge portfolio impacts our adjusted net interest expense and net spread and dollar roll income (non-GAAP measures) as these measures include net interest paid or received on our current pay interest rate swaps, but exclude the impact of other hedges, including short U.S. Treasury positions, swaptions, forward starting swaps and fees paid or received for terminated swaps.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interest rates and prices of generic fixed rate Agency RMBS as of each date presented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Sept. 30,</w:t>
            </w:r>
          </w:p>
        </w:tc>
        <w:tc>
          <w:tcPr>
            <w:tcW w:w="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Dec. 31,</w:t>
            </w:r>
          </w:p>
        </w:tc>
        <w:tc>
          <w:tcPr>
            <w:tcW w:w="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Mar. 31,</w:t>
            </w:r>
          </w:p>
        </w:tc>
        <w:tc>
          <w:tcPr>
            <w:tcW w:w="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3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2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0" w:type="dxa"/>
            <w:vAlign w:val="bottom"/>
          </w:tcPr>
          <w:p>
            <w:pPr>
              <w:spacing w:after="0"/>
              <w:rPr>
                <w:sz w:val="1"/>
                <w:szCs w:val="1"/>
                <w:color w:val="auto"/>
              </w:rPr>
            </w:pPr>
          </w:p>
        </w:tc>
      </w:tr>
      <w:tr>
        <w:trPr>
          <w:trHeight w:val="149"/>
        </w:trPr>
        <w:tc>
          <w:tcPr>
            <w:tcW w:w="254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 xml:space="preserve">Interest Rate/Security Price </w:t>
            </w:r>
            <w:r>
              <w:rPr>
                <w:rFonts w:ascii="Times New Roman" w:cs="Times New Roman" w:eastAsia="Times New Roman" w:hAnsi="Times New Roman"/>
                <w:sz w:val="8"/>
                <w:szCs w:val="8"/>
                <w:b w:val="1"/>
                <w:bCs w:val="1"/>
                <w:color w:val="auto"/>
              </w:rPr>
              <w:t>1</w:t>
            </w:r>
          </w:p>
        </w:tc>
        <w:tc>
          <w:tcPr>
            <w:tcW w:w="120" w:type="dxa"/>
            <w:vAlign w:val="bottom"/>
            <w:vMerge w:val="restart"/>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32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vs</w:t>
            </w:r>
          </w:p>
        </w:tc>
        <w:tc>
          <w:tcPr>
            <w:tcW w:w="1200" w:type="dxa"/>
            <w:vAlign w:val="bottom"/>
            <w:gridSpan w:val="2"/>
          </w:tcPr>
          <w:p>
            <w:pPr>
              <w:jc w:val="right"/>
              <w:ind w:right="468"/>
              <w:spacing w:after="0" w:line="149" w:lineRule="exact"/>
              <w:rPr>
                <w:sz w:val="20"/>
                <w:szCs w:val="20"/>
                <w:color w:val="auto"/>
              </w:rPr>
            </w:pPr>
            <w:r>
              <w:rPr>
                <w:rFonts w:ascii="Times New Roman" w:cs="Times New Roman" w:eastAsia="Times New Roman" w:hAnsi="Times New Roman"/>
                <w:sz w:val="14"/>
                <w:szCs w:val="14"/>
                <w:b w:val="1"/>
                <w:bCs w:val="1"/>
                <w:color w:val="auto"/>
              </w:rPr>
              <w:t>vs</w:t>
            </w:r>
          </w:p>
        </w:tc>
        <w:tc>
          <w:tcPr>
            <w:tcW w:w="0" w:type="dxa"/>
            <w:vAlign w:val="bottom"/>
          </w:tcPr>
          <w:p>
            <w:pPr>
              <w:spacing w:after="0"/>
              <w:rPr>
                <w:sz w:val="1"/>
                <w:szCs w:val="1"/>
                <w:color w:val="auto"/>
              </w:rPr>
            </w:pPr>
          </w:p>
        </w:tc>
      </w:tr>
      <w:tr>
        <w:trPr>
          <w:trHeight w:val="195"/>
        </w:trPr>
        <w:tc>
          <w:tcPr>
            <w:tcW w:w="2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Mar. 31, 2017</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Dec. 31, 2016</w:t>
            </w:r>
          </w:p>
        </w:tc>
        <w:tc>
          <w:tcPr>
            <w:tcW w:w="0" w:type="dxa"/>
            <w:vAlign w:val="bottom"/>
          </w:tcPr>
          <w:p>
            <w:pPr>
              <w:spacing w:after="0"/>
              <w:rPr>
                <w:sz w:val="1"/>
                <w:szCs w:val="1"/>
                <w:color w:val="auto"/>
              </w:rPr>
            </w:pPr>
          </w:p>
        </w:tc>
      </w:tr>
      <w:tr>
        <w:trPr>
          <w:trHeight w:val="269"/>
        </w:trPr>
        <w:tc>
          <w:tcPr>
            <w:tcW w:w="2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LIBOR:</w:t>
            </w: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6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1-Month</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0.47%</w:t>
            </w:r>
          </w:p>
        </w:tc>
        <w:tc>
          <w:tcPr>
            <w:tcW w:w="10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0.53%</w:t>
            </w:r>
          </w:p>
        </w:tc>
        <w:tc>
          <w:tcPr>
            <w:tcW w:w="10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0.77%</w:t>
            </w:r>
          </w:p>
        </w:tc>
        <w:tc>
          <w:tcPr>
            <w:tcW w:w="12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0.98%</w:t>
            </w:r>
          </w:p>
        </w:tc>
        <w:tc>
          <w:tcPr>
            <w:tcW w:w="12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7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bps</w:t>
            </w:r>
          </w:p>
        </w:tc>
        <w:tc>
          <w:tcPr>
            <w:tcW w:w="5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+0.45</w:t>
            </w:r>
          </w:p>
        </w:tc>
        <w:tc>
          <w:tcPr>
            <w:tcW w:w="62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75"/>
        </w:trPr>
        <w:tc>
          <w:tcPr>
            <w:tcW w:w="26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3-Month</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0.65%</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0.85%</w:t>
            </w: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1.15%</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7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bps</w:t>
            </w:r>
          </w:p>
        </w:tc>
        <w:tc>
          <w:tcPr>
            <w:tcW w:w="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+0.30</w:t>
            </w:r>
          </w:p>
        </w:tc>
        <w:tc>
          <w:tcPr>
            <w:tcW w:w="62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65"/>
        </w:trPr>
        <w:tc>
          <w:tcPr>
            <w:tcW w:w="26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6-Month</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0.92%</w:t>
            </w:r>
          </w:p>
        </w:tc>
        <w:tc>
          <w:tcPr>
            <w:tcW w:w="10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1.31%</w:t>
            </w:r>
          </w:p>
        </w:tc>
        <w:tc>
          <w:tcPr>
            <w:tcW w:w="12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1.42%</w:t>
            </w:r>
          </w:p>
        </w:tc>
        <w:tc>
          <w:tcPr>
            <w:tcW w:w="12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7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bps</w:t>
            </w:r>
          </w:p>
        </w:tc>
        <w:tc>
          <w:tcPr>
            <w:tcW w:w="5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+0.14</w:t>
            </w:r>
          </w:p>
        </w:tc>
        <w:tc>
          <w:tcPr>
            <w:tcW w:w="62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75"/>
        </w:trPr>
        <w:tc>
          <w:tcPr>
            <w:tcW w:w="2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U.S. Treasury Security Rate:</w:t>
            </w: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6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2-Year U.S. Treasury</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0.59%</w:t>
            </w:r>
          </w:p>
        </w:tc>
        <w:tc>
          <w:tcPr>
            <w:tcW w:w="10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0.76%</w:t>
            </w:r>
          </w:p>
        </w:tc>
        <w:tc>
          <w:tcPr>
            <w:tcW w:w="10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1.20%</w:t>
            </w:r>
          </w:p>
        </w:tc>
        <w:tc>
          <w:tcPr>
            <w:tcW w:w="12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1.26%</w:t>
            </w:r>
          </w:p>
        </w:tc>
        <w:tc>
          <w:tcPr>
            <w:tcW w:w="12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7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bps</w:t>
            </w:r>
          </w:p>
        </w:tc>
        <w:tc>
          <w:tcPr>
            <w:tcW w:w="5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+0.18</w:t>
            </w:r>
          </w:p>
        </w:tc>
        <w:tc>
          <w:tcPr>
            <w:tcW w:w="62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75"/>
        </w:trPr>
        <w:tc>
          <w:tcPr>
            <w:tcW w:w="26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3-Year U.S. Treasury</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0.70%</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0.87%</w:t>
            </w: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1.46%</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1.50%</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7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bps</w:t>
            </w:r>
          </w:p>
        </w:tc>
        <w:tc>
          <w:tcPr>
            <w:tcW w:w="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+0.09</w:t>
            </w:r>
          </w:p>
        </w:tc>
        <w:tc>
          <w:tcPr>
            <w:tcW w:w="62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65"/>
        </w:trPr>
        <w:tc>
          <w:tcPr>
            <w:tcW w:w="26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5-Year U.S. Treasury</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1.92%</w:t>
            </w:r>
          </w:p>
        </w:tc>
        <w:tc>
          <w:tcPr>
            <w:tcW w:w="12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1.93%</w:t>
            </w:r>
          </w:p>
        </w:tc>
        <w:tc>
          <w:tcPr>
            <w:tcW w:w="12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Pr>
          <w:p>
            <w:pPr>
              <w:spacing w:after="0"/>
              <w:rPr>
                <w:sz w:val="23"/>
                <w:szCs w:val="23"/>
                <w:color w:val="auto"/>
              </w:rPr>
            </w:pPr>
          </w:p>
        </w:tc>
        <w:tc>
          <w:tcPr>
            <w:tcW w:w="132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color w:val="auto"/>
              </w:rPr>
              <w:t>-0.04 bps</w:t>
            </w:r>
          </w:p>
        </w:tc>
        <w:tc>
          <w:tcPr>
            <w:tcW w:w="1200" w:type="dxa"/>
            <w:vAlign w:val="bottom"/>
            <w:gridSpan w:val="2"/>
          </w:tcPr>
          <w:p>
            <w:pPr>
              <w:jc w:val="right"/>
              <w:ind w:right="308"/>
              <w:spacing w:after="0"/>
              <w:rPr>
                <w:sz w:val="20"/>
                <w:szCs w:val="20"/>
                <w:color w:val="auto"/>
              </w:rPr>
            </w:pPr>
            <w:r>
              <w:rPr>
                <w:rFonts w:ascii="Times New Roman" w:cs="Times New Roman" w:eastAsia="Times New Roman" w:hAnsi="Times New Roman"/>
                <w:sz w:val="14"/>
                <w:szCs w:val="14"/>
                <w:color w:val="auto"/>
              </w:rPr>
              <w:t>-0.03 bps</w:t>
            </w:r>
          </w:p>
        </w:tc>
        <w:tc>
          <w:tcPr>
            <w:tcW w:w="0" w:type="dxa"/>
            <w:vAlign w:val="bottom"/>
          </w:tcPr>
          <w:p>
            <w:pPr>
              <w:spacing w:after="0"/>
              <w:rPr>
                <w:sz w:val="1"/>
                <w:szCs w:val="1"/>
                <w:color w:val="auto"/>
              </w:rPr>
            </w:pPr>
          </w:p>
        </w:tc>
      </w:tr>
      <w:tr>
        <w:trPr>
          <w:trHeight w:val="275"/>
        </w:trPr>
        <w:tc>
          <w:tcPr>
            <w:tcW w:w="26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10-Year U.S. Treasury</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2.43%</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2.39%</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shd w:val="clear" w:color="auto" w:fill="CCEEFF"/>
          </w:tcPr>
          <w:p>
            <w:pPr>
              <w:spacing w:after="0"/>
              <w:rPr>
                <w:sz w:val="23"/>
                <w:szCs w:val="23"/>
                <w:color w:val="auto"/>
              </w:rPr>
            </w:pPr>
          </w:p>
        </w:tc>
        <w:tc>
          <w:tcPr>
            <w:tcW w:w="13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-0.09 bps</w:t>
            </w:r>
          </w:p>
        </w:tc>
        <w:tc>
          <w:tcPr>
            <w:tcW w:w="1200" w:type="dxa"/>
            <w:vAlign w:val="bottom"/>
            <w:gridSpan w:val="2"/>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-0.13 bps</w:t>
            </w:r>
          </w:p>
        </w:tc>
        <w:tc>
          <w:tcPr>
            <w:tcW w:w="0" w:type="dxa"/>
            <w:vAlign w:val="bottom"/>
          </w:tcPr>
          <w:p>
            <w:pPr>
              <w:spacing w:after="0"/>
              <w:rPr>
                <w:sz w:val="1"/>
                <w:szCs w:val="1"/>
                <w:color w:val="auto"/>
              </w:rPr>
            </w:pPr>
          </w:p>
        </w:tc>
      </w:tr>
      <w:tr>
        <w:trPr>
          <w:trHeight w:val="265"/>
        </w:trPr>
        <w:tc>
          <w:tcPr>
            <w:tcW w:w="26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30-Year U.S. Treasury</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2.33%</w:t>
            </w:r>
          </w:p>
        </w:tc>
        <w:tc>
          <w:tcPr>
            <w:tcW w:w="10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3.05%</w:t>
            </w:r>
          </w:p>
        </w:tc>
        <w:tc>
          <w:tcPr>
            <w:tcW w:w="12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3.02%</w:t>
            </w:r>
          </w:p>
        </w:tc>
        <w:tc>
          <w:tcPr>
            <w:tcW w:w="12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tcPr>
          <w:p>
            <w:pPr>
              <w:spacing w:after="0"/>
              <w:rPr>
                <w:sz w:val="23"/>
                <w:szCs w:val="23"/>
                <w:color w:val="auto"/>
              </w:rPr>
            </w:pPr>
          </w:p>
        </w:tc>
        <w:tc>
          <w:tcPr>
            <w:tcW w:w="132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color w:val="auto"/>
              </w:rPr>
              <w:t>-0.18 bps</w:t>
            </w:r>
          </w:p>
        </w:tc>
        <w:tc>
          <w:tcPr>
            <w:tcW w:w="1200" w:type="dxa"/>
            <w:vAlign w:val="bottom"/>
            <w:gridSpan w:val="2"/>
          </w:tcPr>
          <w:p>
            <w:pPr>
              <w:jc w:val="right"/>
              <w:ind w:right="308"/>
              <w:spacing w:after="0"/>
              <w:rPr>
                <w:sz w:val="20"/>
                <w:szCs w:val="20"/>
                <w:color w:val="auto"/>
              </w:rPr>
            </w:pPr>
            <w:r>
              <w:rPr>
                <w:rFonts w:ascii="Times New Roman" w:cs="Times New Roman" w:eastAsia="Times New Roman" w:hAnsi="Times New Roman"/>
                <w:sz w:val="14"/>
                <w:szCs w:val="14"/>
                <w:color w:val="auto"/>
              </w:rPr>
              <w:t>-0.21 bps</w:t>
            </w:r>
          </w:p>
        </w:tc>
        <w:tc>
          <w:tcPr>
            <w:tcW w:w="0" w:type="dxa"/>
            <w:vAlign w:val="bottom"/>
          </w:tcPr>
          <w:p>
            <w:pPr>
              <w:spacing w:after="0"/>
              <w:rPr>
                <w:sz w:val="1"/>
                <w:szCs w:val="1"/>
                <w:color w:val="auto"/>
              </w:rPr>
            </w:pPr>
          </w:p>
        </w:tc>
      </w:tr>
      <w:tr>
        <w:trPr>
          <w:trHeight w:val="275"/>
        </w:trPr>
        <w:tc>
          <w:tcPr>
            <w:tcW w:w="2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Interest Rate Swap Rate:</w:t>
            </w: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6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2-Year Swap</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0.74%</w:t>
            </w:r>
          </w:p>
        </w:tc>
        <w:tc>
          <w:tcPr>
            <w:tcW w:w="10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1.46%</w:t>
            </w:r>
          </w:p>
        </w:tc>
        <w:tc>
          <w:tcPr>
            <w:tcW w:w="12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1.62%</w:t>
            </w:r>
          </w:p>
        </w:tc>
        <w:tc>
          <w:tcPr>
            <w:tcW w:w="12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tcPr>
          <w:p>
            <w:pPr>
              <w:spacing w:after="0"/>
              <w:rPr>
                <w:sz w:val="23"/>
                <w:szCs w:val="23"/>
                <w:color w:val="auto"/>
              </w:rPr>
            </w:pPr>
          </w:p>
        </w:tc>
        <w:tc>
          <w:tcPr>
            <w:tcW w:w="132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color w:val="auto"/>
              </w:rPr>
              <w:t>-0.01 bps</w:t>
            </w:r>
          </w:p>
        </w:tc>
        <w:tc>
          <w:tcPr>
            <w:tcW w:w="5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+0.15</w:t>
            </w:r>
          </w:p>
        </w:tc>
        <w:tc>
          <w:tcPr>
            <w:tcW w:w="62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75"/>
        </w:trPr>
        <w:tc>
          <w:tcPr>
            <w:tcW w:w="26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3-Year Swap</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0.81%</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1.68%</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1.81%</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shd w:val="clear" w:color="auto" w:fill="CCEEFF"/>
          </w:tcPr>
          <w:p>
            <w:pPr>
              <w:spacing w:after="0"/>
              <w:rPr>
                <w:sz w:val="23"/>
                <w:szCs w:val="23"/>
                <w:color w:val="auto"/>
              </w:rPr>
            </w:pPr>
          </w:p>
        </w:tc>
        <w:tc>
          <w:tcPr>
            <w:tcW w:w="13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-0.07 bps</w:t>
            </w:r>
          </w:p>
        </w:tc>
        <w:tc>
          <w:tcPr>
            <w:tcW w:w="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+0.06</w:t>
            </w:r>
          </w:p>
        </w:tc>
        <w:tc>
          <w:tcPr>
            <w:tcW w:w="62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bps</w:t>
            </w:r>
          </w:p>
        </w:tc>
        <w:tc>
          <w:tcPr>
            <w:tcW w:w="0" w:type="dxa"/>
            <w:vAlign w:val="bottom"/>
          </w:tcPr>
          <w:p>
            <w:pPr>
              <w:spacing w:after="0"/>
              <w:rPr>
                <w:sz w:val="1"/>
                <w:szCs w:val="1"/>
                <w:color w:val="auto"/>
              </w:rPr>
            </w:pPr>
          </w:p>
        </w:tc>
      </w:tr>
      <w:tr>
        <w:trPr>
          <w:trHeight w:val="265"/>
        </w:trPr>
        <w:tc>
          <w:tcPr>
            <w:tcW w:w="26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5-Year Swap</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0.99%</w:t>
            </w:r>
          </w:p>
        </w:tc>
        <w:tc>
          <w:tcPr>
            <w:tcW w:w="10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1.96%</w:t>
            </w:r>
          </w:p>
        </w:tc>
        <w:tc>
          <w:tcPr>
            <w:tcW w:w="12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2.06%</w:t>
            </w:r>
          </w:p>
        </w:tc>
        <w:tc>
          <w:tcPr>
            <w:tcW w:w="12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Pr>
          <w:p>
            <w:pPr>
              <w:spacing w:after="0"/>
              <w:rPr>
                <w:sz w:val="23"/>
                <w:szCs w:val="23"/>
                <w:color w:val="auto"/>
              </w:rPr>
            </w:pPr>
          </w:p>
        </w:tc>
        <w:tc>
          <w:tcPr>
            <w:tcW w:w="132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color w:val="auto"/>
              </w:rPr>
              <w:t>-0.11 bps</w:t>
            </w:r>
          </w:p>
        </w:tc>
        <w:tc>
          <w:tcPr>
            <w:tcW w:w="1200" w:type="dxa"/>
            <w:vAlign w:val="bottom"/>
            <w:gridSpan w:val="2"/>
          </w:tcPr>
          <w:p>
            <w:pPr>
              <w:jc w:val="right"/>
              <w:ind w:right="308"/>
              <w:spacing w:after="0"/>
              <w:rPr>
                <w:sz w:val="20"/>
                <w:szCs w:val="20"/>
                <w:color w:val="auto"/>
              </w:rPr>
            </w:pPr>
            <w:r>
              <w:rPr>
                <w:rFonts w:ascii="Times New Roman" w:cs="Times New Roman" w:eastAsia="Times New Roman" w:hAnsi="Times New Roman"/>
                <w:sz w:val="14"/>
                <w:szCs w:val="14"/>
                <w:color w:val="auto"/>
              </w:rPr>
              <w:t>-0.01 bps</w:t>
            </w:r>
          </w:p>
        </w:tc>
        <w:tc>
          <w:tcPr>
            <w:tcW w:w="0" w:type="dxa"/>
            <w:vAlign w:val="bottom"/>
          </w:tcPr>
          <w:p>
            <w:pPr>
              <w:spacing w:after="0"/>
              <w:rPr>
                <w:sz w:val="1"/>
                <w:szCs w:val="1"/>
                <w:color w:val="auto"/>
              </w:rPr>
            </w:pPr>
          </w:p>
        </w:tc>
      </w:tr>
      <w:tr>
        <w:trPr>
          <w:trHeight w:val="275"/>
        </w:trPr>
        <w:tc>
          <w:tcPr>
            <w:tcW w:w="26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10-Year Swap</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2.32%</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2.39%</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shd w:val="clear" w:color="auto" w:fill="CCEEFF"/>
          </w:tcPr>
          <w:p>
            <w:pPr>
              <w:spacing w:after="0"/>
              <w:rPr>
                <w:sz w:val="23"/>
                <w:szCs w:val="23"/>
                <w:color w:val="auto"/>
              </w:rPr>
            </w:pPr>
          </w:p>
        </w:tc>
        <w:tc>
          <w:tcPr>
            <w:tcW w:w="13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-0.12 bps</w:t>
            </w:r>
          </w:p>
        </w:tc>
        <w:tc>
          <w:tcPr>
            <w:tcW w:w="1200" w:type="dxa"/>
            <w:vAlign w:val="bottom"/>
            <w:gridSpan w:val="2"/>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-0.05 bps</w:t>
            </w:r>
          </w:p>
        </w:tc>
        <w:tc>
          <w:tcPr>
            <w:tcW w:w="0" w:type="dxa"/>
            <w:vAlign w:val="bottom"/>
          </w:tcPr>
          <w:p>
            <w:pPr>
              <w:spacing w:after="0"/>
              <w:rPr>
                <w:sz w:val="1"/>
                <w:szCs w:val="1"/>
                <w:color w:val="auto"/>
              </w:rPr>
            </w:pPr>
          </w:p>
        </w:tc>
      </w:tr>
      <w:tr>
        <w:trPr>
          <w:trHeight w:val="265"/>
        </w:trPr>
        <w:tc>
          <w:tcPr>
            <w:tcW w:w="26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30-Year Swap</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2.57%</w:t>
            </w:r>
          </w:p>
        </w:tc>
        <w:tc>
          <w:tcPr>
            <w:tcW w:w="12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2.65%</w:t>
            </w:r>
          </w:p>
        </w:tc>
        <w:tc>
          <w:tcPr>
            <w:tcW w:w="12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tcPr>
          <w:p>
            <w:pPr>
              <w:spacing w:after="0"/>
              <w:rPr>
                <w:sz w:val="23"/>
                <w:szCs w:val="23"/>
                <w:color w:val="auto"/>
              </w:rPr>
            </w:pPr>
          </w:p>
        </w:tc>
        <w:tc>
          <w:tcPr>
            <w:tcW w:w="132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color w:val="auto"/>
              </w:rPr>
              <w:t>-0.12 bps</w:t>
            </w:r>
          </w:p>
        </w:tc>
        <w:tc>
          <w:tcPr>
            <w:tcW w:w="1200" w:type="dxa"/>
            <w:vAlign w:val="bottom"/>
            <w:gridSpan w:val="2"/>
          </w:tcPr>
          <w:p>
            <w:pPr>
              <w:jc w:val="right"/>
              <w:ind w:right="308"/>
              <w:spacing w:after="0"/>
              <w:rPr>
                <w:sz w:val="20"/>
                <w:szCs w:val="20"/>
                <w:color w:val="auto"/>
              </w:rPr>
            </w:pPr>
            <w:r>
              <w:rPr>
                <w:rFonts w:ascii="Times New Roman" w:cs="Times New Roman" w:eastAsia="Times New Roman" w:hAnsi="Times New Roman"/>
                <w:sz w:val="14"/>
                <w:szCs w:val="14"/>
                <w:color w:val="auto"/>
              </w:rPr>
              <w:t>-0.04 bps</w:t>
            </w:r>
          </w:p>
        </w:tc>
        <w:tc>
          <w:tcPr>
            <w:tcW w:w="0" w:type="dxa"/>
            <w:vAlign w:val="bottom"/>
          </w:tcPr>
          <w:p>
            <w:pPr>
              <w:spacing w:after="0"/>
              <w:rPr>
                <w:sz w:val="1"/>
                <w:szCs w:val="1"/>
                <w:color w:val="auto"/>
              </w:rPr>
            </w:pPr>
          </w:p>
        </w:tc>
      </w:tr>
      <w:tr>
        <w:trPr>
          <w:trHeight w:val="275"/>
        </w:trPr>
        <w:tc>
          <w:tcPr>
            <w:tcW w:w="2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30-Year Fixed Rate Agency Price:</w:t>
            </w: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$103.75</w:t>
            </w:r>
          </w:p>
        </w:tc>
        <w:tc>
          <w:tcPr>
            <w:tcW w:w="10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$103.95</w:t>
            </w:r>
          </w:p>
        </w:tc>
        <w:tc>
          <w:tcPr>
            <w:tcW w:w="10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$99.38</w:t>
            </w:r>
          </w:p>
        </w:tc>
        <w:tc>
          <w:tcPr>
            <w:tcW w:w="12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$99.15</w:t>
            </w:r>
          </w:p>
        </w:tc>
        <w:tc>
          <w:tcPr>
            <w:tcW w:w="12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$99.88</w:t>
            </w:r>
          </w:p>
        </w:tc>
        <w:tc>
          <w:tcPr>
            <w:tcW w:w="100" w:type="dxa"/>
            <w:vAlign w:val="bottom"/>
          </w:tcPr>
          <w:p>
            <w:pPr>
              <w:spacing w:after="0"/>
              <w:rPr>
                <w:sz w:val="23"/>
                <w:szCs w:val="23"/>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+$0.73</w:t>
            </w:r>
          </w:p>
        </w:tc>
        <w:tc>
          <w:tcPr>
            <w:tcW w:w="120" w:type="dxa"/>
            <w:vAlign w:val="bottom"/>
          </w:tcPr>
          <w:p>
            <w:pPr>
              <w:spacing w:after="0"/>
              <w:rPr>
                <w:sz w:val="23"/>
                <w:szCs w:val="23"/>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+$0.50</w:t>
            </w:r>
          </w:p>
        </w:tc>
        <w:tc>
          <w:tcPr>
            <w:tcW w:w="0" w:type="dxa"/>
            <w:vAlign w:val="bottom"/>
          </w:tcPr>
          <w:p>
            <w:pPr>
              <w:spacing w:after="0"/>
              <w:rPr>
                <w:sz w:val="1"/>
                <w:szCs w:val="1"/>
                <w:color w:val="auto"/>
              </w:rPr>
            </w:pPr>
          </w:p>
        </w:tc>
      </w:tr>
      <w:tr>
        <w:trPr>
          <w:trHeight w:val="275"/>
        </w:trPr>
        <w:tc>
          <w:tcPr>
            <w:tcW w:w="2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$105.50</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$105.53</w:t>
            </w: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$102.50</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$102.29</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$102.70</w:t>
            </w:r>
          </w:p>
        </w:tc>
        <w:tc>
          <w:tcPr>
            <w:tcW w:w="10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+$0.41</w:t>
            </w:r>
          </w:p>
        </w:tc>
        <w:tc>
          <w:tcPr>
            <w:tcW w:w="1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+$0.20</w:t>
            </w:r>
          </w:p>
        </w:tc>
        <w:tc>
          <w:tcPr>
            <w:tcW w:w="0" w:type="dxa"/>
            <w:vAlign w:val="bottom"/>
          </w:tcPr>
          <w:p>
            <w:pPr>
              <w:spacing w:after="0"/>
              <w:rPr>
                <w:sz w:val="1"/>
                <w:szCs w:val="1"/>
                <w:color w:val="auto"/>
              </w:rPr>
            </w:pPr>
          </w:p>
        </w:tc>
      </w:tr>
      <w:tr>
        <w:trPr>
          <w:trHeight w:val="265"/>
        </w:trPr>
        <w:tc>
          <w:tcPr>
            <w:tcW w:w="2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$107.23</w:t>
            </w:r>
          </w:p>
        </w:tc>
        <w:tc>
          <w:tcPr>
            <w:tcW w:w="10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$107.41</w:t>
            </w:r>
          </w:p>
        </w:tc>
        <w:tc>
          <w:tcPr>
            <w:tcW w:w="10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$105.13</w:t>
            </w:r>
          </w:p>
        </w:tc>
        <w:tc>
          <w:tcPr>
            <w:tcW w:w="12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$104.90</w:t>
            </w:r>
          </w:p>
        </w:tc>
        <w:tc>
          <w:tcPr>
            <w:tcW w:w="12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$105.12</w:t>
            </w:r>
          </w:p>
        </w:tc>
        <w:tc>
          <w:tcPr>
            <w:tcW w:w="100" w:type="dxa"/>
            <w:vAlign w:val="bottom"/>
          </w:tcPr>
          <w:p>
            <w:pPr>
              <w:spacing w:after="0"/>
              <w:rPr>
                <w:sz w:val="23"/>
                <w:szCs w:val="23"/>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+$0.22</w:t>
            </w:r>
          </w:p>
        </w:tc>
        <w:tc>
          <w:tcPr>
            <w:tcW w:w="120" w:type="dxa"/>
            <w:vAlign w:val="bottom"/>
          </w:tcPr>
          <w:p>
            <w:pPr>
              <w:spacing w:after="0"/>
              <w:rPr>
                <w:sz w:val="23"/>
                <w:szCs w:val="23"/>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-$0.01</w:t>
            </w:r>
          </w:p>
        </w:tc>
        <w:tc>
          <w:tcPr>
            <w:tcW w:w="0" w:type="dxa"/>
            <w:vAlign w:val="bottom"/>
          </w:tcPr>
          <w:p>
            <w:pPr>
              <w:spacing w:after="0"/>
              <w:rPr>
                <w:sz w:val="1"/>
                <w:szCs w:val="1"/>
                <w:color w:val="auto"/>
              </w:rPr>
            </w:pPr>
          </w:p>
        </w:tc>
      </w:tr>
      <w:tr>
        <w:trPr>
          <w:trHeight w:val="275"/>
        </w:trPr>
        <w:tc>
          <w:tcPr>
            <w:tcW w:w="2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$109.17</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$109.52</w:t>
            </w: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$107.51</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$107.24</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$107.27</w:t>
            </w:r>
          </w:p>
        </w:tc>
        <w:tc>
          <w:tcPr>
            <w:tcW w:w="10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+$0.03</w:t>
            </w:r>
          </w:p>
        </w:tc>
        <w:tc>
          <w:tcPr>
            <w:tcW w:w="1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-$0.24</w:t>
            </w:r>
          </w:p>
        </w:tc>
        <w:tc>
          <w:tcPr>
            <w:tcW w:w="0" w:type="dxa"/>
            <w:vAlign w:val="bottom"/>
          </w:tcPr>
          <w:p>
            <w:pPr>
              <w:spacing w:after="0"/>
              <w:rPr>
                <w:sz w:val="1"/>
                <w:szCs w:val="1"/>
                <w:color w:val="auto"/>
              </w:rPr>
            </w:pPr>
          </w:p>
        </w:tc>
      </w:tr>
      <w:tr>
        <w:trPr>
          <w:trHeight w:val="265"/>
        </w:trPr>
        <w:tc>
          <w:tcPr>
            <w:tcW w:w="26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15-Year Fixed Rate Agency Price:</w:t>
            </w: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$103.48</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$103.56</w:t>
            </w: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$100.20</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$100.03</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$100.53</w:t>
            </w:r>
          </w:p>
        </w:tc>
        <w:tc>
          <w:tcPr>
            <w:tcW w:w="10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+$0.50</w:t>
            </w:r>
          </w:p>
        </w:tc>
        <w:tc>
          <w:tcPr>
            <w:tcW w:w="1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+$0.33</w:t>
            </w:r>
          </w:p>
        </w:tc>
        <w:tc>
          <w:tcPr>
            <w:tcW w:w="0" w:type="dxa"/>
            <w:vAlign w:val="bottom"/>
          </w:tcPr>
          <w:p>
            <w:pPr>
              <w:spacing w:after="0"/>
              <w:rPr>
                <w:sz w:val="1"/>
                <w:szCs w:val="1"/>
                <w:color w:val="auto"/>
              </w:rPr>
            </w:pPr>
          </w:p>
        </w:tc>
      </w:tr>
      <w:tr>
        <w:trPr>
          <w:trHeight w:val="265"/>
        </w:trPr>
        <w:tc>
          <w:tcPr>
            <w:tcW w:w="2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$104.84</w:t>
            </w:r>
          </w:p>
        </w:tc>
        <w:tc>
          <w:tcPr>
            <w:tcW w:w="10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$104.99</w:t>
            </w:r>
          </w:p>
        </w:tc>
        <w:tc>
          <w:tcPr>
            <w:tcW w:w="10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$102.62</w:t>
            </w:r>
          </w:p>
        </w:tc>
        <w:tc>
          <w:tcPr>
            <w:tcW w:w="12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$102.51</w:t>
            </w:r>
          </w:p>
        </w:tc>
        <w:tc>
          <w:tcPr>
            <w:tcW w:w="12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$102.64</w:t>
            </w:r>
          </w:p>
        </w:tc>
        <w:tc>
          <w:tcPr>
            <w:tcW w:w="100" w:type="dxa"/>
            <w:vAlign w:val="bottom"/>
          </w:tcPr>
          <w:p>
            <w:pPr>
              <w:spacing w:after="0"/>
              <w:rPr>
                <w:sz w:val="23"/>
                <w:szCs w:val="23"/>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+$0.13</w:t>
            </w:r>
          </w:p>
        </w:tc>
        <w:tc>
          <w:tcPr>
            <w:tcW w:w="120" w:type="dxa"/>
            <w:vAlign w:val="bottom"/>
          </w:tcPr>
          <w:p>
            <w:pPr>
              <w:spacing w:after="0"/>
              <w:rPr>
                <w:sz w:val="23"/>
                <w:szCs w:val="23"/>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+$0.02</w:t>
            </w:r>
          </w:p>
        </w:tc>
        <w:tc>
          <w:tcPr>
            <w:tcW w:w="0" w:type="dxa"/>
            <w:vAlign w:val="bottom"/>
          </w:tcPr>
          <w:p>
            <w:pPr>
              <w:spacing w:after="0"/>
              <w:rPr>
                <w:sz w:val="1"/>
                <w:szCs w:val="1"/>
                <w:color w:val="auto"/>
              </w:rPr>
            </w:pPr>
          </w:p>
        </w:tc>
      </w:tr>
      <w:tr>
        <w:trPr>
          <w:trHeight w:val="275"/>
        </w:trPr>
        <w:tc>
          <w:tcPr>
            <w:tcW w:w="2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$105.97</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$105.41</w:t>
            </w: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$104.17</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$104.06</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$104.06</w:t>
            </w:r>
          </w:p>
        </w:tc>
        <w:tc>
          <w:tcPr>
            <w:tcW w:w="100" w:type="dxa"/>
            <w:vAlign w:val="bottom"/>
            <w:shd w:val="clear" w:color="auto" w:fill="CCEEFF"/>
          </w:tcPr>
          <w:p>
            <w:pPr>
              <w:spacing w:after="0"/>
              <w:rPr>
                <w:sz w:val="23"/>
                <w:szCs w:val="23"/>
                <w:color w:val="auto"/>
              </w:rPr>
            </w:pPr>
          </w:p>
        </w:tc>
        <w:tc>
          <w:tcPr>
            <w:tcW w:w="132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-$0.11</w:t>
            </w:r>
          </w:p>
        </w:tc>
        <w:tc>
          <w:tcPr>
            <w:tcW w:w="0" w:type="dxa"/>
            <w:vAlign w:val="bottom"/>
          </w:tcPr>
          <w:p>
            <w:pPr>
              <w:spacing w:after="0"/>
              <w:rPr>
                <w:sz w:val="1"/>
                <w:szCs w:val="1"/>
                <w:color w:val="auto"/>
              </w:rPr>
            </w:pPr>
          </w:p>
        </w:tc>
      </w:tr>
      <w:tr>
        <w:trPr>
          <w:trHeight w:val="260"/>
        </w:trPr>
        <w:tc>
          <w:tcPr>
            <w:tcW w:w="2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$103.81</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$103.73</w:t>
            </w:r>
          </w:p>
        </w:tc>
        <w:tc>
          <w:tcPr>
            <w:tcW w:w="10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$102.69</w:t>
            </w:r>
          </w:p>
        </w:tc>
        <w:tc>
          <w:tcPr>
            <w:tcW w:w="12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$103.29</w:t>
            </w:r>
          </w:p>
        </w:tc>
        <w:tc>
          <w:tcPr>
            <w:tcW w:w="12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$103.44</w:t>
            </w:r>
          </w:p>
        </w:tc>
        <w:tc>
          <w:tcPr>
            <w:tcW w:w="100" w:type="dxa"/>
            <w:vAlign w:val="bottom"/>
          </w:tcPr>
          <w:p>
            <w:pPr>
              <w:spacing w:after="0"/>
              <w:rPr>
                <w:sz w:val="22"/>
                <w:szCs w:val="22"/>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+$0.15</w:t>
            </w:r>
          </w:p>
        </w:tc>
        <w:tc>
          <w:tcPr>
            <w:tcW w:w="120" w:type="dxa"/>
            <w:vAlign w:val="bottom"/>
          </w:tcPr>
          <w:p>
            <w:pPr>
              <w:spacing w:after="0"/>
              <w:rPr>
                <w:sz w:val="22"/>
                <w:szCs w:val="22"/>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+$0.75</w:t>
            </w:r>
          </w:p>
        </w:tc>
        <w:tc>
          <w:tcPr>
            <w:tcW w:w="0" w:type="dxa"/>
            <w:vAlign w:val="bottom"/>
          </w:tcPr>
          <w:p>
            <w:pPr>
              <w:spacing w:after="0"/>
              <w:rPr>
                <w:sz w:val="1"/>
                <w:szCs w:val="1"/>
                <w:color w:val="auto"/>
              </w:rPr>
            </w:pPr>
          </w:p>
        </w:tc>
      </w:tr>
      <w:tr>
        <w:trPr>
          <w:trHeight w:val="203"/>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_______________________</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 information is for generic instruments only and is not reflective of our specific portfolio holdings. Price information is as of 3:00 p.m. (EST) on such date and can vary by source. Prices and interest rates in the table above were obtained from Barclays. LIBOR rates were obtained from Bloomberg.</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580" w:right="239" w:bottom="1440" w:gutter="0" w:footer="0" w:header="0"/>
        </w:sectPr>
      </w:pPr>
    </w:p>
    <w:bookmarkStart w:id="31" w:name="page32"/>
    <w:bookmarkEnd w:id="31"/>
    <w:p>
      <w:pPr>
        <w:ind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monthly weighted average actual one-month annualized constant prepayment rates on our investment portfolio during the six months ended June 30, 2017.</w:t>
      </w:r>
    </w:p>
    <w:p>
      <w:pPr>
        <w:spacing w:after="0" w:line="25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Annualized Monthly Constant Prepayment Rates </w:t>
            </w:r>
            <w:r>
              <w:rPr>
                <w:rFonts w:ascii="Times New Roman" w:cs="Times New Roman" w:eastAsia="Times New Roman" w:hAnsi="Times New Roman"/>
                <w:sz w:val="8"/>
                <w:szCs w:val="8"/>
                <w:b w:val="1"/>
                <w:bCs w:val="1"/>
                <w:color w:val="auto"/>
              </w:rPr>
              <w:t>1</w:t>
            </w:r>
          </w:p>
        </w:tc>
        <w:tc>
          <w:tcPr>
            <w:tcW w:w="120" w:type="dxa"/>
            <w:vAlign w:val="bottom"/>
            <w:vMerge w:val="restart"/>
          </w:tcPr>
          <w:p>
            <w:pPr>
              <w:spacing w:after="0"/>
              <w:rPr>
                <w:sz w:val="13"/>
                <w:szCs w:val="13"/>
                <w:color w:val="auto"/>
              </w:rPr>
            </w:pP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w:t>
            </w: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Feb.</w:t>
            </w: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Apr.</w:t>
            </w: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May</w:t>
            </w:r>
          </w:p>
        </w:tc>
        <w:tc>
          <w:tcPr>
            <w:tcW w:w="5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June</w:t>
            </w:r>
          </w:p>
        </w:tc>
        <w:tc>
          <w:tcPr>
            <w:tcW w:w="0" w:type="dxa"/>
            <w:vAlign w:val="bottom"/>
          </w:tcPr>
          <w:p>
            <w:pPr>
              <w:spacing w:after="0"/>
              <w:rPr>
                <w:sz w:val="1"/>
                <w:szCs w:val="1"/>
                <w:color w:val="auto"/>
              </w:rPr>
            </w:pPr>
          </w:p>
        </w:tc>
      </w:tr>
      <w:tr>
        <w:trPr>
          <w:trHeight w:val="195"/>
        </w:trPr>
        <w:tc>
          <w:tcPr>
            <w:tcW w:w="38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5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6"/>
                <w:szCs w:val="16"/>
                <w:color w:val="auto"/>
              </w:rPr>
            </w:pPr>
          </w:p>
        </w:tc>
        <w:tc>
          <w:tcPr>
            <w:tcW w:w="5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6"/>
                <w:szCs w:val="16"/>
                <w:color w:val="auto"/>
              </w:rPr>
            </w:pPr>
          </w:p>
        </w:tc>
        <w:tc>
          <w:tcPr>
            <w:tcW w:w="5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6"/>
                <w:szCs w:val="16"/>
                <w:color w:val="auto"/>
              </w:rPr>
            </w:pPr>
          </w:p>
        </w:tc>
        <w:tc>
          <w:tcPr>
            <w:tcW w:w="5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6"/>
                <w:szCs w:val="16"/>
                <w:color w:val="auto"/>
              </w:rPr>
            </w:pPr>
          </w:p>
        </w:tc>
        <w:tc>
          <w:tcPr>
            <w:tcW w:w="5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6"/>
                <w:szCs w:val="16"/>
                <w:color w:val="auto"/>
              </w:rPr>
            </w:pPr>
          </w:p>
        </w:tc>
        <w:tc>
          <w:tcPr>
            <w:tcW w:w="5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245"/>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AGNC portfolio</w:t>
            </w: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21"/>
                <w:szCs w:val="21"/>
                <w:color w:val="auto"/>
              </w:rPr>
            </w:pP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21"/>
                <w:szCs w:val="21"/>
                <w:color w:val="auto"/>
              </w:rPr>
            </w:pPr>
          </w:p>
        </w:tc>
        <w:tc>
          <w:tcPr>
            <w:tcW w:w="5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21"/>
                <w:szCs w:val="21"/>
                <w:color w:val="auto"/>
              </w:rPr>
            </w:pP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21"/>
                <w:szCs w:val="21"/>
                <w:color w:val="auto"/>
              </w:rPr>
            </w:pP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21"/>
                <w:szCs w:val="21"/>
                <w:color w:val="auto"/>
              </w:rPr>
            </w:pP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-164465</wp:posOffset>
            </wp:positionV>
            <wp:extent cx="49225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22520" cy="17145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4"/>
          <w:szCs w:val="14"/>
          <w:color w:val="auto"/>
        </w:rPr>
        <w:t>________________________</w:t>
      </w:r>
    </w:p>
    <w:p>
      <w:pPr>
        <w:spacing w:after="0" w:line="4"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Weighted average actual one-month annualized CPR released at the beginning of the month based on securities held/outstanding as of the preceding month-end.</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742"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17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As of June 30, 2017 and December 31, 2016, our investment portfolio consisted of $46.6 billion and $46.5 billion of investment securities, at fair value, respectively, and $17.3 billion and $11.2 billion of TBA securities, at fair value, respectively. The following table is a summary of our investment portfolio as of June 30, 2017 and December 31, 2016 (dollars in millions):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4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Investment Portfolio (Includes TBAs) </w:t>
            </w:r>
            <w:r>
              <w:rPr>
                <w:rFonts w:ascii="Times New Roman" w:cs="Times New Roman" w:eastAsia="Times New Roman" w:hAnsi="Times New Roman"/>
                <w:sz w:val="8"/>
                <w:szCs w:val="8"/>
                <w:b w:val="1"/>
                <w:bCs w:val="1"/>
                <w:color w:val="auto"/>
              </w:rPr>
              <w:t>1</w:t>
            </w:r>
          </w:p>
        </w:tc>
        <w:tc>
          <w:tcPr>
            <w:tcW w:w="2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2"/>
                <w:szCs w:val="12"/>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vMerge w:val="restart"/>
          </w:tcPr>
          <w:p>
            <w:pPr>
              <w:spacing w:after="0"/>
              <w:rPr>
                <w:sz w:val="12"/>
                <w:szCs w:val="12"/>
                <w:color w:val="auto"/>
              </w:rPr>
            </w:pPr>
          </w:p>
        </w:tc>
        <w:tc>
          <w:tcPr>
            <w:tcW w:w="220" w:type="dxa"/>
            <w:vAlign w:val="bottom"/>
            <w:vMerge w:val="restart"/>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2"/>
                <w:szCs w:val="12"/>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20" w:type="dxa"/>
            <w:vAlign w:val="bottom"/>
            <w:vMerge w:val="restart"/>
          </w:tcPr>
          <w:p>
            <w:pPr>
              <w:spacing w:after="0"/>
              <w:rPr>
                <w:sz w:val="12"/>
                <w:szCs w:val="12"/>
                <w:color w:val="auto"/>
              </w:rPr>
            </w:pPr>
          </w:p>
        </w:tc>
        <w:tc>
          <w:tcPr>
            <w:tcW w:w="10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34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3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Fixed rate Agency RMBS and TBA securities:</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6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 15-year:</w:t>
            </w: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3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 15-year RMBS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10,444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10,520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12,794</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12,867</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65"/>
        </w:trPr>
        <w:tc>
          <w:tcPr>
            <w:tcW w:w="366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4"/>
                <w:szCs w:val="14"/>
                <w:color w:val="auto"/>
              </w:rPr>
              <w:t>15-year TBA securities</w:t>
            </w: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2,630</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2,629</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tcBorders>
              <w:bottom w:val="single" w:sz="8" w:color="CCEEFF"/>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2,188</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2,172</w:t>
            </w:r>
          </w:p>
        </w:tc>
        <w:tc>
          <w:tcPr>
            <w:tcW w:w="120" w:type="dxa"/>
            <w:vAlign w:val="bottom"/>
            <w:tcBorders>
              <w:bottom w:val="single" w:sz="8" w:color="CCEEFF"/>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100" w:type="dxa"/>
            <w:vAlign w:val="bottom"/>
            <w:tcBorders>
              <w:bottom w:val="single" w:sz="8" w:color="CCEEFF"/>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55"/>
        </w:trPr>
        <w:tc>
          <w:tcPr>
            <w:tcW w:w="3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 15-year</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13,074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13,149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14,982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15,039</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65"/>
        </w:trPr>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20-year RMBS</w:t>
            </w:r>
          </w:p>
        </w:tc>
        <w:tc>
          <w:tcPr>
            <w:tcW w:w="1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736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753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801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817</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75"/>
        </w:trPr>
        <w:tc>
          <w:tcPr>
            <w:tcW w:w="3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30-year:</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6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30-year RMBS</w:t>
            </w:r>
          </w:p>
        </w:tc>
        <w:tc>
          <w:tcPr>
            <w:tcW w:w="1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33,703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33,370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31,553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31,052</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270"/>
        </w:trPr>
        <w:tc>
          <w:tcPr>
            <w:tcW w:w="36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30-year TBA securities</w:t>
            </w: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14,653</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14,642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10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9,124</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8,993</w:t>
            </w:r>
          </w:p>
        </w:tc>
        <w:tc>
          <w:tcPr>
            <w:tcW w:w="12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10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Total 30-year</w:t>
            </w: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48,356</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48,012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40,677</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40,045</w:t>
            </w:r>
          </w:p>
        </w:tc>
        <w:tc>
          <w:tcPr>
            <w:tcW w:w="12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255"/>
        </w:trPr>
        <w:tc>
          <w:tcPr>
            <w:tcW w:w="3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fixed rate Agency RMBS and TBA securities</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62,166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61,914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56,460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55,901</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265"/>
        </w:trPr>
        <w:tc>
          <w:tcPr>
            <w:tcW w:w="36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Adjustable rate Agency RMBS</w:t>
            </w:r>
          </w:p>
        </w:tc>
        <w:tc>
          <w:tcPr>
            <w:tcW w:w="1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10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371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379</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75"/>
        </w:trPr>
        <w:tc>
          <w:tcPr>
            <w:tcW w:w="3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CMO Agency RMBS:</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6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CMO</w:t>
            </w:r>
          </w:p>
        </w:tc>
        <w:tc>
          <w:tcPr>
            <w:tcW w:w="1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714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722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796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801</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75"/>
        </w:trPr>
        <w:tc>
          <w:tcPr>
            <w:tcW w:w="36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Interest-only strips</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1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151</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36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Principal-only strips</w:t>
            </w:r>
          </w:p>
        </w:tc>
        <w:tc>
          <w:tcPr>
            <w:tcW w:w="1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144</w:t>
            </w:r>
          </w:p>
        </w:tc>
        <w:tc>
          <w:tcPr>
            <w:tcW w:w="120" w:type="dxa"/>
            <w:vAlign w:val="bottom"/>
          </w:tcPr>
          <w:p>
            <w:pPr>
              <w:spacing w:after="0"/>
              <w:rPr>
                <w:sz w:val="23"/>
                <w:szCs w:val="2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0"/>
        </w:trPr>
        <w:tc>
          <w:tcPr>
            <w:tcW w:w="3660" w:type="dxa"/>
            <w:vAlign w:val="bottom"/>
            <w:tcBorders>
              <w:top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CMO Agency RMBS</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954</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986</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10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1,064</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1,096</w:t>
            </w:r>
          </w:p>
        </w:tc>
        <w:tc>
          <w:tcPr>
            <w:tcW w:w="12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10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50"/>
        </w:trPr>
        <w:tc>
          <w:tcPr>
            <w:tcW w:w="36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Total Agency RMBS and TBA securities</w:t>
            </w:r>
          </w:p>
        </w:tc>
        <w:tc>
          <w:tcPr>
            <w:tcW w:w="14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63,447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63,234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57,895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57,376</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75"/>
        </w:trPr>
        <w:tc>
          <w:tcPr>
            <w:tcW w:w="3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Non-Agency RMBS</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36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CMBS</w:t>
            </w:r>
          </w:p>
        </w:tc>
        <w:tc>
          <w:tcPr>
            <w:tcW w:w="1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10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3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CRT</w:t>
            </w: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549</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572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w:t>
            </w:r>
          </w:p>
        </w:tc>
        <w:tc>
          <w:tcPr>
            <w:tcW w:w="10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161</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164</w:t>
            </w:r>
          </w:p>
        </w:tc>
        <w:tc>
          <w:tcPr>
            <w:tcW w:w="12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10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2"/>
        </w:trPr>
        <w:tc>
          <w:tcPr>
            <w:tcW w:w="36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Total investment portfolio</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64,027</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63,837</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100" w:type="dxa"/>
            <w:vAlign w:val="bottom"/>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58,181</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57,664</w:t>
            </w:r>
          </w:p>
        </w:tc>
        <w:tc>
          <w:tcPr>
            <w:tcW w:w="120" w:type="dxa"/>
            <w:vAlign w:val="bottom"/>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100" w:type="dxa"/>
            <w:vAlign w:val="bottom"/>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w:t>
            </w: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44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TBA securities are presented net of long and short positions. For further details of our TBA securities refer to Note 6 of the accompanying consolidated financial statements.</w:t>
      </w:r>
    </w:p>
    <w:p>
      <w:pPr>
        <w:spacing w:after="0" w:line="152"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Our TBA securities are recorded as derivative instruments in our accompanying consolidated financial statements; consequently, our TBA dollar roll transactions represent a form of off-balance sheet financing. As of June 30, 2017 and December 31, 2016, our TBA positions had a net carrying value of $(12) million and $(147) million, respectively, reported in derivative assets/(liabilities) on our accompanying consolidated balance sheets. The net carrying value represents the difference between the fair value of the underlying Agency security in the TBA contract and the contract price to be paid or received for the underlying Agency security.</w:t>
      </w:r>
    </w:p>
    <w:p>
      <w:pPr>
        <w:spacing w:after="0" w:line="130"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As of June 30, 2017 and December 31, 2016, the weighted average yield on our investment securities (excluding TBAs) was 2.84% and 2.77%, respectively.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738" w:right="239" w:bottom="1440" w:gutter="0" w:footer="0" w:header="0"/>
        </w:sectPr>
      </w:pPr>
    </w:p>
    <w:bookmarkStart w:id="33" w:name="page34"/>
    <w:bookmarkEnd w:id="33"/>
    <w:p>
      <w:pPr>
        <w:ind w:left="440"/>
        <w:spacing w:after="0"/>
        <w:rPr>
          <w:sz w:val="20"/>
          <w:szCs w:val="20"/>
          <w:color w:val="auto"/>
        </w:rPr>
      </w:pPr>
      <w:r>
        <w:rPr>
          <w:rFonts w:ascii="Times New Roman" w:cs="Times New Roman" w:eastAsia="Times New Roman" w:hAnsi="Times New Roman"/>
          <w:sz w:val="18"/>
          <w:szCs w:val="18"/>
          <w:color w:val="auto"/>
        </w:rPr>
        <w:t>The following tables summarize certain characteristics of our fixed rate Agency RMBS portfolio, inclusive of TBAs, as of June 30, 2017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2016 (dollars in millions):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Includes Net TBA Position</w:t>
            </w:r>
          </w:p>
        </w:tc>
        <w:tc>
          <w:tcPr>
            <w:tcW w:w="9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Excludes Net TBA Position</w:t>
            </w: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Lower</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Projected</w:t>
            </w:r>
          </w:p>
        </w:tc>
        <w:tc>
          <w:tcPr>
            <w:tcW w:w="0" w:type="dxa"/>
            <w:vAlign w:val="bottom"/>
          </w:tcPr>
          <w:p>
            <w:pPr>
              <w:spacing w:after="0"/>
              <w:rPr>
                <w:sz w:val="1"/>
                <w:szCs w:val="1"/>
                <w:color w:val="auto"/>
              </w:rPr>
            </w:pPr>
          </w:p>
        </w:tc>
      </w:tr>
      <w:tr>
        <w:trPr>
          <w:trHeight w:val="54"/>
        </w:trPr>
        <w:tc>
          <w:tcPr>
            <w:tcW w:w="2420" w:type="dxa"/>
            <w:vAlign w:val="bottom"/>
            <w:gridSpan w:val="2"/>
            <w:vMerge w:val="restart"/>
          </w:tcPr>
          <w:p>
            <w:pPr>
              <w:ind w:left="40"/>
              <w:spacing w:after="0" w:line="137" w:lineRule="exact"/>
              <w:rPr>
                <w:sz w:val="20"/>
                <w:szCs w:val="20"/>
                <w:color w:val="auto"/>
              </w:rPr>
            </w:pPr>
            <w:r>
              <w:rPr>
                <w:rFonts w:ascii="Times New Roman" w:cs="Times New Roman" w:eastAsia="Times New Roman" w:hAnsi="Times New Roman"/>
                <w:sz w:val="14"/>
                <w:szCs w:val="14"/>
                <w:b w:val="1"/>
                <w:bCs w:val="1"/>
                <w:color w:val="auto"/>
              </w:rPr>
              <w:t>Fixed Rate Agency RMBS and TBA</w:t>
            </w: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2"/>
            <w:vMerge w:val="restart"/>
          </w:tcPr>
          <w:p>
            <w:pPr>
              <w:ind w:left="40"/>
              <w:spacing w:after="0" w:line="137"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Loan Balance</w:t>
            </w:r>
          </w:p>
        </w:tc>
        <w:tc>
          <w:tcPr>
            <w:tcW w:w="220" w:type="dxa"/>
            <w:vAlign w:val="bottom"/>
          </w:tcPr>
          <w:p>
            <w:pPr>
              <w:spacing w:after="0"/>
              <w:rPr>
                <w:sz w:val="4"/>
                <w:szCs w:val="4"/>
                <w:color w:val="auto"/>
              </w:rPr>
            </w:pPr>
          </w:p>
        </w:tc>
        <w:tc>
          <w:tcPr>
            <w:tcW w:w="1120" w:type="dxa"/>
            <w:vAlign w:val="bottom"/>
            <w:gridSpan w:val="2"/>
            <w:vMerge w:val="restart"/>
          </w:tcPr>
          <w:p>
            <w:pPr>
              <w:ind w:left="180"/>
              <w:spacing w:after="0" w:line="137"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Life</w:t>
            </w:r>
          </w:p>
        </w:tc>
        <w:tc>
          <w:tcPr>
            <w:tcW w:w="0" w:type="dxa"/>
            <w:vAlign w:val="bottom"/>
          </w:tcPr>
          <w:p>
            <w:pPr>
              <w:spacing w:after="0"/>
              <w:rPr>
                <w:sz w:val="1"/>
                <w:szCs w:val="1"/>
                <w:color w:val="auto"/>
              </w:rPr>
            </w:pPr>
          </w:p>
        </w:tc>
      </w:tr>
      <w:tr>
        <w:trPr>
          <w:trHeight w:val="63"/>
        </w:trPr>
        <w:tc>
          <w:tcPr>
            <w:tcW w:w="24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6"/>
              </w:rPr>
              <w:t>Par Value</w:t>
            </w:r>
          </w:p>
        </w:tc>
        <w:tc>
          <w:tcPr>
            <w:tcW w:w="1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8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5"/>
                <w:szCs w:val="5"/>
                <w:color w:val="auto"/>
              </w:rPr>
            </w:pPr>
          </w:p>
        </w:tc>
        <w:tc>
          <w:tcPr>
            <w:tcW w:w="9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xml:space="preserve">WAC </w:t>
            </w:r>
            <w:r>
              <w:rPr>
                <w:rFonts w:ascii="Times New Roman" w:cs="Times New Roman" w:eastAsia="Times New Roman" w:hAnsi="Times New Roman"/>
                <w:sz w:val="8"/>
                <w:szCs w:val="8"/>
                <w:b w:val="1"/>
                <w:bCs w:val="1"/>
                <w:color w:val="auto"/>
              </w:rPr>
              <w:t>3</w:t>
            </w:r>
          </w:p>
        </w:tc>
        <w:tc>
          <w:tcPr>
            <w:tcW w:w="100" w:type="dxa"/>
            <w:vAlign w:val="bottom"/>
            <w:vMerge w:val="restart"/>
          </w:tcPr>
          <w:p>
            <w:pPr>
              <w:spacing w:after="0"/>
              <w:rPr>
                <w:sz w:val="5"/>
                <w:szCs w:val="5"/>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 xml:space="preserve">Yield </w:t>
            </w:r>
            <w:r>
              <w:rPr>
                <w:rFonts w:ascii="Times New Roman" w:cs="Times New Roman" w:eastAsia="Times New Roman" w:hAnsi="Times New Roman"/>
                <w:sz w:val="8"/>
                <w:szCs w:val="8"/>
                <w:b w:val="1"/>
                <w:bCs w:val="1"/>
                <w:color w:val="auto"/>
              </w:rPr>
              <w:t>4</w:t>
            </w:r>
          </w:p>
        </w:tc>
        <w:tc>
          <w:tcPr>
            <w:tcW w:w="100" w:type="dxa"/>
            <w:vAlign w:val="bottom"/>
            <w:vMerge w:val="restart"/>
          </w:tcPr>
          <w:p>
            <w:pPr>
              <w:spacing w:after="0"/>
              <w:rPr>
                <w:sz w:val="5"/>
                <w:szCs w:val="5"/>
                <w:color w:val="auto"/>
              </w:rPr>
            </w:pPr>
          </w:p>
        </w:tc>
        <w:tc>
          <w:tcPr>
            <w:tcW w:w="10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Age (Months)</w:t>
            </w:r>
          </w:p>
        </w:tc>
        <w:tc>
          <w:tcPr>
            <w:tcW w:w="100" w:type="dxa"/>
            <w:vAlign w:val="bottom"/>
            <w:vMerge w:val="restart"/>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&amp; HARP </w:t>
            </w:r>
            <w:r>
              <w:rPr>
                <w:rFonts w:ascii="Times New Roman" w:cs="Times New Roman" w:eastAsia="Times New Roman" w:hAnsi="Times New Roman"/>
                <w:sz w:val="8"/>
                <w:szCs w:val="8"/>
                <w:b w:val="1"/>
                <w:bCs w:val="1"/>
                <w:color w:val="auto"/>
              </w:rPr>
              <w:t>1,2</w:t>
            </w:r>
          </w:p>
        </w:tc>
        <w:tc>
          <w:tcPr>
            <w:tcW w:w="2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CPR </w:t>
            </w:r>
            <w:r>
              <w:rPr>
                <w:rFonts w:ascii="Times New Roman" w:cs="Times New Roman" w:eastAsia="Times New Roman" w:hAnsi="Times New Roman"/>
                <w:sz w:val="8"/>
                <w:szCs w:val="8"/>
                <w:b w:val="1"/>
                <w:bCs w:val="1"/>
                <w:color w:val="auto"/>
              </w:rPr>
              <w:t>4</w:t>
            </w:r>
          </w:p>
        </w:tc>
        <w:tc>
          <w:tcPr>
            <w:tcW w:w="0" w:type="dxa"/>
            <w:vAlign w:val="bottom"/>
          </w:tcPr>
          <w:p>
            <w:pPr>
              <w:spacing w:after="0"/>
              <w:rPr>
                <w:sz w:val="1"/>
                <w:szCs w:val="1"/>
                <w:color w:val="auto"/>
              </w:rPr>
            </w:pPr>
          </w:p>
        </w:tc>
      </w:tr>
      <w:tr>
        <w:trPr>
          <w:trHeight w:val="269"/>
        </w:trPr>
        <w:tc>
          <w:tcPr>
            <w:tcW w:w="2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42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 15-year</w:t>
            </w: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3,178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3,204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3,206</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34%</w:t>
            </w:r>
          </w:p>
        </w:tc>
        <w:tc>
          <w:tcPr>
            <w:tcW w:w="124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101.2%</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2.98%</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57</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9%</w:t>
            </w:r>
          </w:p>
        </w:tc>
        <w:tc>
          <w:tcPr>
            <w:tcW w:w="0" w:type="dxa"/>
            <w:vAlign w:val="bottom"/>
          </w:tcPr>
          <w:p>
            <w:pPr>
              <w:spacing w:after="0"/>
              <w:rPr>
                <w:sz w:val="1"/>
                <w:szCs w:val="1"/>
                <w:color w:val="auto"/>
              </w:rPr>
            </w:pPr>
          </w:p>
        </w:tc>
      </w:tr>
      <w:tr>
        <w:trPr>
          <w:trHeight w:val="265"/>
        </w:trPr>
        <w:tc>
          <w:tcPr>
            <w:tcW w:w="23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3,928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4,040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4,040</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53%</w:t>
            </w:r>
          </w:p>
        </w:tc>
        <w:tc>
          <w:tcPr>
            <w:tcW w:w="124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102.9%</w:t>
            </w:r>
          </w:p>
        </w:tc>
        <w:tc>
          <w:tcPr>
            <w:tcW w:w="100" w:type="dxa"/>
            <w:vAlign w:val="bottom"/>
          </w:tcPr>
          <w:p>
            <w:pPr>
              <w:spacing w:after="0"/>
              <w:rPr>
                <w:sz w:val="23"/>
                <w:szCs w:val="23"/>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3.49%</w:t>
            </w:r>
          </w:p>
        </w:tc>
        <w:tc>
          <w:tcPr>
            <w:tcW w:w="100" w:type="dxa"/>
            <w:vAlign w:val="bottom"/>
          </w:tcPr>
          <w:p>
            <w:pPr>
              <w:spacing w:after="0"/>
              <w:rPr>
                <w:sz w:val="23"/>
                <w:szCs w:val="23"/>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58</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75"/>
        </w:trPr>
        <w:tc>
          <w:tcPr>
            <w:tcW w:w="2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3,033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3,134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3,165</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89%</w:t>
            </w:r>
          </w:p>
        </w:tc>
        <w:tc>
          <w:tcPr>
            <w:tcW w:w="124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103.3%</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3.95%</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66</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65"/>
        </w:trPr>
        <w:tc>
          <w:tcPr>
            <w:tcW w:w="23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2,340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2,433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2,472</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89%</w:t>
            </w:r>
          </w:p>
        </w:tc>
        <w:tc>
          <w:tcPr>
            <w:tcW w:w="124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104.0%</w:t>
            </w:r>
          </w:p>
        </w:tc>
        <w:tc>
          <w:tcPr>
            <w:tcW w:w="100" w:type="dxa"/>
            <w:vAlign w:val="bottom"/>
          </w:tcPr>
          <w:p>
            <w:pPr>
              <w:spacing w:after="0"/>
              <w:rPr>
                <w:sz w:val="23"/>
                <w:szCs w:val="23"/>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4.40%</w:t>
            </w:r>
          </w:p>
        </w:tc>
        <w:tc>
          <w:tcPr>
            <w:tcW w:w="100" w:type="dxa"/>
            <w:vAlign w:val="bottom"/>
          </w:tcPr>
          <w:p>
            <w:pPr>
              <w:spacing w:after="0"/>
              <w:rPr>
                <w:sz w:val="23"/>
                <w:szCs w:val="23"/>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78</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75"/>
        </w:trPr>
        <w:tc>
          <w:tcPr>
            <w:tcW w:w="2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262</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98%</w:t>
            </w:r>
          </w:p>
        </w:tc>
        <w:tc>
          <w:tcPr>
            <w:tcW w:w="124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104.5%</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4.87%</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3.02%</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82</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65"/>
        </w:trPr>
        <w:tc>
          <w:tcPr>
            <w:tcW w:w="2420" w:type="dxa"/>
            <w:vAlign w:val="bottom"/>
            <w:tcBorders>
              <w:bottom w:val="single" w:sz="8" w:color="CCEEFF"/>
            </w:tcBorders>
            <w:gridSpan w:val="2"/>
          </w:tcPr>
          <w:p>
            <w:pPr>
              <w:ind w:left="380"/>
              <w:spacing w:after="0"/>
              <w:rPr>
                <w:sz w:val="20"/>
                <w:szCs w:val="20"/>
                <w:color w:val="auto"/>
              </w:rPr>
            </w:pPr>
            <w:r>
              <w:rPr>
                <w:rFonts w:ascii="Times New Roman" w:cs="Times New Roman" w:eastAsia="Times New Roman" w:hAnsi="Times New Roman"/>
                <w:sz w:val="14"/>
                <w:szCs w:val="14"/>
                <w:color w:val="auto"/>
              </w:rPr>
              <w:t>≥ 5.0%</w:t>
            </w:r>
          </w:p>
        </w:tc>
        <w:tc>
          <w:tcPr>
            <w:tcW w:w="1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tcPr>
          <w:p>
            <w:pPr>
              <w:spacing w:after="0"/>
              <w:rPr>
                <w:sz w:val="23"/>
                <w:szCs w:val="2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21%</w:t>
            </w:r>
          </w:p>
        </w:tc>
        <w:tc>
          <w:tcPr>
            <w:tcW w:w="22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103.1%</w:t>
            </w: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6.63%</w:t>
            </w:r>
          </w:p>
        </w:tc>
        <w:tc>
          <w:tcPr>
            <w:tcW w:w="100" w:type="dxa"/>
            <w:vAlign w:val="bottom"/>
            <w:tcBorders>
              <w:bottom w:val="single" w:sz="8" w:color="CCEEFF"/>
            </w:tcBorders>
          </w:tcPr>
          <w:p>
            <w:pPr>
              <w:spacing w:after="0"/>
              <w:rPr>
                <w:sz w:val="23"/>
                <w:szCs w:val="23"/>
                <w:color w:val="auto"/>
              </w:rPr>
            </w:pPr>
          </w:p>
        </w:tc>
        <w:tc>
          <w:tcPr>
            <w:tcW w:w="8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4.67%</w:t>
            </w:r>
          </w:p>
        </w:tc>
        <w:tc>
          <w:tcPr>
            <w:tcW w:w="10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Borders>
              <w:bottom w:val="single" w:sz="8" w:color="CCEEFF"/>
            </w:tcBorders>
          </w:tcPr>
          <w:p>
            <w:pPr>
              <w:spacing w:after="0"/>
              <w:rPr>
                <w:sz w:val="23"/>
                <w:szCs w:val="2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55"/>
        </w:trPr>
        <w:tc>
          <w:tcPr>
            <w:tcW w:w="24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 15-year</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12,730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13,074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13,149</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65%</w:t>
            </w:r>
          </w:p>
        </w:tc>
        <w:tc>
          <w:tcPr>
            <w:tcW w:w="124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103.0%</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3.79%</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2.41%</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66</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59"/>
        </w:trPr>
        <w:tc>
          <w:tcPr>
            <w:tcW w:w="24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20-year</w:t>
            </w: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4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3.0%</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w:t>
            </w:r>
          </w:p>
        </w:tc>
        <w:tc>
          <w:tcPr>
            <w:tcW w:w="124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99.4%</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3.55%</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3.10%</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49</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9%</w:t>
            </w:r>
          </w:p>
        </w:tc>
        <w:tc>
          <w:tcPr>
            <w:tcW w:w="0" w:type="dxa"/>
            <w:vAlign w:val="bottom"/>
          </w:tcPr>
          <w:p>
            <w:pPr>
              <w:spacing w:after="0"/>
              <w:rPr>
                <w:sz w:val="1"/>
                <w:szCs w:val="1"/>
                <w:color w:val="auto"/>
              </w:rPr>
            </w:pPr>
          </w:p>
        </w:tc>
      </w:tr>
      <w:tr>
        <w:trPr>
          <w:trHeight w:val="265"/>
        </w:trPr>
        <w:tc>
          <w:tcPr>
            <w:tcW w:w="23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417</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75%</w:t>
            </w:r>
          </w:p>
        </w:tc>
        <w:tc>
          <w:tcPr>
            <w:tcW w:w="124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102.1%</w:t>
            </w:r>
          </w:p>
        </w:tc>
        <w:tc>
          <w:tcPr>
            <w:tcW w:w="100" w:type="dxa"/>
            <w:vAlign w:val="bottom"/>
          </w:tcPr>
          <w:p>
            <w:pPr>
              <w:spacing w:after="0"/>
              <w:rPr>
                <w:sz w:val="23"/>
                <w:szCs w:val="23"/>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4.06%</w:t>
            </w:r>
          </w:p>
        </w:tc>
        <w:tc>
          <w:tcPr>
            <w:tcW w:w="100" w:type="dxa"/>
            <w:vAlign w:val="bottom"/>
          </w:tcPr>
          <w:p>
            <w:pPr>
              <w:spacing w:after="0"/>
              <w:rPr>
                <w:sz w:val="23"/>
                <w:szCs w:val="23"/>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52</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75"/>
        </w:trPr>
        <w:tc>
          <w:tcPr>
            <w:tcW w:w="2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50%</w:t>
            </w:r>
          </w:p>
        </w:tc>
        <w:tc>
          <w:tcPr>
            <w:tcW w:w="124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104.3%</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4.54%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2.96%</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70</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65"/>
        </w:trPr>
        <w:tc>
          <w:tcPr>
            <w:tcW w:w="23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99%</w:t>
            </w:r>
          </w:p>
        </w:tc>
        <w:tc>
          <w:tcPr>
            <w:tcW w:w="124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106.5%</w:t>
            </w:r>
          </w:p>
        </w:tc>
        <w:tc>
          <w:tcPr>
            <w:tcW w:w="100" w:type="dxa"/>
            <w:vAlign w:val="bottom"/>
          </w:tcPr>
          <w:p>
            <w:pPr>
              <w:spacing w:after="0"/>
              <w:rPr>
                <w:sz w:val="23"/>
                <w:szCs w:val="23"/>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4.89%</w:t>
            </w:r>
          </w:p>
        </w:tc>
        <w:tc>
          <w:tcPr>
            <w:tcW w:w="100" w:type="dxa"/>
            <w:vAlign w:val="bottom"/>
          </w:tcPr>
          <w:p>
            <w:pPr>
              <w:spacing w:after="0"/>
              <w:rPr>
                <w:sz w:val="23"/>
                <w:szCs w:val="23"/>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2.96%</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79</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 5.0%</w:t>
            </w: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106.0%</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5.92%</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3.34%</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50"/>
        </w:trPr>
        <w:tc>
          <w:tcPr>
            <w:tcW w:w="24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Total 20-year:</w:t>
            </w:r>
          </w:p>
        </w:tc>
        <w:tc>
          <w:tcPr>
            <w:tcW w:w="10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753</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62%</w:t>
            </w:r>
          </w:p>
        </w:tc>
        <w:tc>
          <w:tcPr>
            <w:tcW w:w="124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101.9%</w:t>
            </w:r>
          </w:p>
        </w:tc>
        <w:tc>
          <w:tcPr>
            <w:tcW w:w="100" w:type="dxa"/>
            <w:vAlign w:val="bottom"/>
          </w:tcPr>
          <w:p>
            <w:pPr>
              <w:spacing w:after="0"/>
              <w:rPr>
                <w:sz w:val="21"/>
                <w:szCs w:val="21"/>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4.03%</w:t>
            </w:r>
          </w:p>
        </w:tc>
        <w:tc>
          <w:tcPr>
            <w:tcW w:w="100" w:type="dxa"/>
            <w:vAlign w:val="bottom"/>
          </w:tcPr>
          <w:p>
            <w:pPr>
              <w:spacing w:after="0"/>
              <w:rPr>
                <w:sz w:val="21"/>
                <w:szCs w:val="21"/>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3.02%</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55</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69"/>
        </w:trPr>
        <w:tc>
          <w:tcPr>
            <w:tcW w:w="2420" w:type="dxa"/>
            <w:vAlign w:val="bottom"/>
            <w:tcBorders>
              <w:top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30-year:</w:t>
            </w:r>
          </w:p>
        </w:tc>
        <w:tc>
          <w:tcPr>
            <w:tcW w:w="1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3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6,906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6,902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6,902</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124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100.2%</w:t>
            </w:r>
          </w:p>
        </w:tc>
        <w:tc>
          <w:tcPr>
            <w:tcW w:w="100" w:type="dxa"/>
            <w:vAlign w:val="bottom"/>
          </w:tcPr>
          <w:p>
            <w:pPr>
              <w:spacing w:after="0"/>
              <w:rPr>
                <w:sz w:val="23"/>
                <w:szCs w:val="23"/>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3.58%</w:t>
            </w:r>
          </w:p>
        </w:tc>
        <w:tc>
          <w:tcPr>
            <w:tcW w:w="100" w:type="dxa"/>
            <w:vAlign w:val="bottom"/>
          </w:tcPr>
          <w:p>
            <w:pPr>
              <w:spacing w:after="0"/>
              <w:rPr>
                <w:sz w:val="23"/>
                <w:szCs w:val="23"/>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2.96%</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37</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6%</w:t>
            </w:r>
          </w:p>
        </w:tc>
        <w:tc>
          <w:tcPr>
            <w:tcW w:w="0" w:type="dxa"/>
            <w:vAlign w:val="bottom"/>
          </w:tcPr>
          <w:p>
            <w:pPr>
              <w:spacing w:after="0"/>
              <w:rPr>
                <w:sz w:val="1"/>
                <w:szCs w:val="1"/>
                <w:color w:val="auto"/>
              </w:rPr>
            </w:pPr>
          </w:p>
        </w:tc>
      </w:tr>
      <w:tr>
        <w:trPr>
          <w:trHeight w:val="275"/>
        </w:trPr>
        <w:tc>
          <w:tcPr>
            <w:tcW w:w="2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19,971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20,833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20,585</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56%</w:t>
            </w:r>
          </w:p>
        </w:tc>
        <w:tc>
          <w:tcPr>
            <w:tcW w:w="124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105.2%</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4.06%</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44</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7%</w:t>
            </w:r>
          </w:p>
        </w:tc>
        <w:tc>
          <w:tcPr>
            <w:tcW w:w="0" w:type="dxa"/>
            <w:vAlign w:val="bottom"/>
          </w:tcPr>
          <w:p>
            <w:pPr>
              <w:spacing w:after="0"/>
              <w:rPr>
                <w:sz w:val="1"/>
                <w:szCs w:val="1"/>
                <w:color w:val="auto"/>
              </w:rPr>
            </w:pPr>
          </w:p>
        </w:tc>
      </w:tr>
      <w:tr>
        <w:trPr>
          <w:trHeight w:val="265"/>
        </w:trPr>
        <w:tc>
          <w:tcPr>
            <w:tcW w:w="23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18,036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19,167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19,053</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47%</w:t>
            </w:r>
          </w:p>
        </w:tc>
        <w:tc>
          <w:tcPr>
            <w:tcW w:w="124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106.6%</w:t>
            </w:r>
          </w:p>
        </w:tc>
        <w:tc>
          <w:tcPr>
            <w:tcW w:w="100" w:type="dxa"/>
            <w:vAlign w:val="bottom"/>
          </w:tcPr>
          <w:p>
            <w:pPr>
              <w:spacing w:after="0"/>
              <w:rPr>
                <w:sz w:val="23"/>
                <w:szCs w:val="23"/>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4.50%</w:t>
            </w:r>
          </w:p>
        </w:tc>
        <w:tc>
          <w:tcPr>
            <w:tcW w:w="100" w:type="dxa"/>
            <w:vAlign w:val="bottom"/>
          </w:tcPr>
          <w:p>
            <w:pPr>
              <w:spacing w:after="0"/>
              <w:rPr>
                <w:sz w:val="23"/>
                <w:szCs w:val="23"/>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32</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9%</w:t>
            </w:r>
          </w:p>
        </w:tc>
        <w:tc>
          <w:tcPr>
            <w:tcW w:w="0" w:type="dxa"/>
            <w:vAlign w:val="bottom"/>
          </w:tcPr>
          <w:p>
            <w:pPr>
              <w:spacing w:after="0"/>
              <w:rPr>
                <w:sz w:val="1"/>
                <w:szCs w:val="1"/>
                <w:color w:val="auto"/>
              </w:rPr>
            </w:pPr>
          </w:p>
        </w:tc>
      </w:tr>
      <w:tr>
        <w:trPr>
          <w:trHeight w:val="275"/>
        </w:trPr>
        <w:tc>
          <w:tcPr>
            <w:tcW w:w="2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1,138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1,222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1,236</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87%</w:t>
            </w:r>
          </w:p>
        </w:tc>
        <w:tc>
          <w:tcPr>
            <w:tcW w:w="124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107.5%</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4.97%</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71</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9%</w:t>
            </w:r>
          </w:p>
        </w:tc>
        <w:tc>
          <w:tcPr>
            <w:tcW w:w="0" w:type="dxa"/>
            <w:vAlign w:val="bottom"/>
          </w:tcPr>
          <w:p>
            <w:pPr>
              <w:spacing w:after="0"/>
              <w:rPr>
                <w:sz w:val="1"/>
                <w:szCs w:val="1"/>
                <w:color w:val="auto"/>
              </w:rPr>
            </w:pPr>
          </w:p>
        </w:tc>
      </w:tr>
      <w:tr>
        <w:trPr>
          <w:trHeight w:val="265"/>
        </w:trPr>
        <w:tc>
          <w:tcPr>
            <w:tcW w:w="23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66%</w:t>
            </w:r>
          </w:p>
        </w:tc>
        <w:tc>
          <w:tcPr>
            <w:tcW w:w="124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106.7%</w:t>
            </w:r>
          </w:p>
        </w:tc>
        <w:tc>
          <w:tcPr>
            <w:tcW w:w="100" w:type="dxa"/>
            <w:vAlign w:val="bottom"/>
          </w:tcPr>
          <w:p>
            <w:pPr>
              <w:spacing w:after="0"/>
              <w:rPr>
                <w:sz w:val="23"/>
                <w:szCs w:val="23"/>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5.45%</w:t>
            </w:r>
          </w:p>
        </w:tc>
        <w:tc>
          <w:tcPr>
            <w:tcW w:w="100" w:type="dxa"/>
            <w:vAlign w:val="bottom"/>
          </w:tcPr>
          <w:p>
            <w:pPr>
              <w:spacing w:after="0"/>
              <w:rPr>
                <w:sz w:val="23"/>
                <w:szCs w:val="23"/>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3.70%</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 5.5%</w:t>
            </w: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107</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118</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38%</w:t>
            </w:r>
          </w:p>
        </w:tc>
        <w:tc>
          <w:tcPr>
            <w:tcW w:w="2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109.8%</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6.19%</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3.37%</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4"/>
                <w:szCs w:val="14"/>
                <w:color w:val="auto"/>
              </w:rPr>
              <w:t>Total 30-year</w:t>
            </w: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46,265</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48,356</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48,012</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45%</w:t>
            </w:r>
          </w:p>
        </w:tc>
        <w:tc>
          <w:tcPr>
            <w:tcW w:w="22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105.4%</w:t>
            </w: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4.25%</w:t>
            </w:r>
          </w:p>
        </w:tc>
        <w:tc>
          <w:tcPr>
            <w:tcW w:w="10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2.90%</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40</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8%</w:t>
            </w:r>
          </w:p>
        </w:tc>
        <w:tc>
          <w:tcPr>
            <w:tcW w:w="0" w:type="dxa"/>
            <w:vAlign w:val="bottom"/>
          </w:tcPr>
          <w:p>
            <w:pPr>
              <w:spacing w:after="0"/>
              <w:rPr>
                <w:sz w:val="1"/>
                <w:szCs w:val="1"/>
                <w:color w:val="auto"/>
              </w:rPr>
            </w:pPr>
          </w:p>
        </w:tc>
      </w:tr>
      <w:tr>
        <w:trPr>
          <w:trHeight w:val="242"/>
        </w:trPr>
        <w:tc>
          <w:tcPr>
            <w:tcW w:w="2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Total fixed rate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59,718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62,166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61,914</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49%</w:t>
            </w:r>
          </w:p>
        </w:tc>
        <w:tc>
          <w:tcPr>
            <w:tcW w:w="124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104.7%</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4.14%</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46</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8%</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30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328"/>
        <w:spacing w:after="0" w:line="241" w:lineRule="auto"/>
        <w:tabs>
          <w:tab w:leader="none" w:pos="6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Lower loan balance securities represent pools backed by an original loan balance of ≤ $150,000. Our lower loan balance securities had a weighted average original loan balance of $97,000 and $101,000 for 15-year and 30-year securities, respectively, as of June 30, 2017.</w:t>
      </w:r>
    </w:p>
    <w:p>
      <w:pPr>
        <w:ind w:left="660" w:hanging="328"/>
        <w:spacing w:after="0" w:line="241" w:lineRule="auto"/>
        <w:tabs>
          <w:tab w:leader="none" w:pos="6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HARP securities are defined as pools backed by 100% refinance loans with LTV ≥ 80%. Our HARP securities had a weighted average LTV of 114% and 136% for 15-year and 30-year securities, respectively, as of June 30, 2017.</w:t>
      </w:r>
    </w:p>
    <w:p>
      <w:pPr>
        <w:ind w:left="660" w:hanging="328"/>
        <w:spacing w:after="0"/>
        <w:tabs>
          <w:tab w:leader="none" w:pos="6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WAC represents the weighted average coupon of the underlying collateral.</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Portfolio yield incorporates a projected life CPR assumption based on forward rate assumptions as of June 30, 2017.</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742"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95"/>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Includes Net TBA Position</w:t>
            </w:r>
          </w:p>
        </w:tc>
        <w:tc>
          <w:tcPr>
            <w:tcW w:w="9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Excludes Net TBA Position</w:t>
            </w: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Lower</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Projected</w:t>
            </w:r>
          </w:p>
        </w:tc>
        <w:tc>
          <w:tcPr>
            <w:tcW w:w="0" w:type="dxa"/>
            <w:vAlign w:val="bottom"/>
          </w:tcPr>
          <w:p>
            <w:pPr>
              <w:spacing w:after="0"/>
              <w:rPr>
                <w:sz w:val="1"/>
                <w:szCs w:val="1"/>
                <w:color w:val="auto"/>
              </w:rPr>
            </w:pPr>
          </w:p>
        </w:tc>
      </w:tr>
      <w:tr>
        <w:trPr>
          <w:trHeight w:val="54"/>
        </w:trPr>
        <w:tc>
          <w:tcPr>
            <w:tcW w:w="2420" w:type="dxa"/>
            <w:vAlign w:val="bottom"/>
            <w:gridSpan w:val="2"/>
            <w:vMerge w:val="restart"/>
          </w:tcPr>
          <w:p>
            <w:pPr>
              <w:ind w:left="40"/>
              <w:spacing w:after="0" w:line="137" w:lineRule="exact"/>
              <w:rPr>
                <w:sz w:val="20"/>
                <w:szCs w:val="20"/>
                <w:color w:val="auto"/>
              </w:rPr>
            </w:pPr>
            <w:r>
              <w:rPr>
                <w:rFonts w:ascii="Times New Roman" w:cs="Times New Roman" w:eastAsia="Times New Roman" w:hAnsi="Times New Roman"/>
                <w:sz w:val="14"/>
                <w:szCs w:val="14"/>
                <w:b w:val="1"/>
                <w:bCs w:val="1"/>
                <w:color w:val="auto"/>
              </w:rPr>
              <w:t>Fixed Rate Agency RMBS and TBA</w:t>
            </w: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2"/>
            <w:vMerge w:val="restart"/>
          </w:tcPr>
          <w:p>
            <w:pPr>
              <w:ind w:left="40"/>
              <w:spacing w:after="0" w:line="137"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Loan Balance</w:t>
            </w:r>
          </w:p>
        </w:tc>
        <w:tc>
          <w:tcPr>
            <w:tcW w:w="220" w:type="dxa"/>
            <w:vAlign w:val="bottom"/>
          </w:tcPr>
          <w:p>
            <w:pPr>
              <w:spacing w:after="0"/>
              <w:rPr>
                <w:sz w:val="4"/>
                <w:szCs w:val="4"/>
                <w:color w:val="auto"/>
              </w:rPr>
            </w:pPr>
          </w:p>
        </w:tc>
        <w:tc>
          <w:tcPr>
            <w:tcW w:w="1120" w:type="dxa"/>
            <w:vAlign w:val="bottom"/>
            <w:gridSpan w:val="2"/>
            <w:vMerge w:val="restart"/>
          </w:tcPr>
          <w:p>
            <w:pPr>
              <w:ind w:left="180"/>
              <w:spacing w:after="0" w:line="137"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Life</w:t>
            </w:r>
          </w:p>
        </w:tc>
        <w:tc>
          <w:tcPr>
            <w:tcW w:w="0" w:type="dxa"/>
            <w:vAlign w:val="bottom"/>
          </w:tcPr>
          <w:p>
            <w:pPr>
              <w:spacing w:after="0"/>
              <w:rPr>
                <w:sz w:val="1"/>
                <w:szCs w:val="1"/>
                <w:color w:val="auto"/>
              </w:rPr>
            </w:pPr>
          </w:p>
        </w:tc>
      </w:tr>
      <w:tr>
        <w:trPr>
          <w:trHeight w:val="63"/>
        </w:trPr>
        <w:tc>
          <w:tcPr>
            <w:tcW w:w="24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6"/>
              </w:rPr>
              <w:t>Par Value</w:t>
            </w:r>
          </w:p>
        </w:tc>
        <w:tc>
          <w:tcPr>
            <w:tcW w:w="1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8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5"/>
                <w:szCs w:val="5"/>
                <w:color w:val="auto"/>
              </w:rPr>
            </w:pPr>
          </w:p>
        </w:tc>
        <w:tc>
          <w:tcPr>
            <w:tcW w:w="9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xml:space="preserve">WAC </w:t>
            </w:r>
            <w:r>
              <w:rPr>
                <w:rFonts w:ascii="Times New Roman" w:cs="Times New Roman" w:eastAsia="Times New Roman" w:hAnsi="Times New Roman"/>
                <w:sz w:val="8"/>
                <w:szCs w:val="8"/>
                <w:b w:val="1"/>
                <w:bCs w:val="1"/>
                <w:color w:val="auto"/>
              </w:rPr>
              <w:t>3</w:t>
            </w:r>
          </w:p>
        </w:tc>
        <w:tc>
          <w:tcPr>
            <w:tcW w:w="100" w:type="dxa"/>
            <w:vAlign w:val="bottom"/>
            <w:vMerge w:val="restart"/>
          </w:tcPr>
          <w:p>
            <w:pPr>
              <w:spacing w:after="0"/>
              <w:rPr>
                <w:sz w:val="5"/>
                <w:szCs w:val="5"/>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 xml:space="preserve">Yield </w:t>
            </w:r>
            <w:r>
              <w:rPr>
                <w:rFonts w:ascii="Times New Roman" w:cs="Times New Roman" w:eastAsia="Times New Roman" w:hAnsi="Times New Roman"/>
                <w:sz w:val="8"/>
                <w:szCs w:val="8"/>
                <w:b w:val="1"/>
                <w:bCs w:val="1"/>
                <w:color w:val="auto"/>
              </w:rPr>
              <w:t>4</w:t>
            </w:r>
          </w:p>
        </w:tc>
        <w:tc>
          <w:tcPr>
            <w:tcW w:w="100" w:type="dxa"/>
            <w:vAlign w:val="bottom"/>
            <w:vMerge w:val="restart"/>
          </w:tcPr>
          <w:p>
            <w:pPr>
              <w:spacing w:after="0"/>
              <w:rPr>
                <w:sz w:val="5"/>
                <w:szCs w:val="5"/>
                <w:color w:val="auto"/>
              </w:rPr>
            </w:pPr>
          </w:p>
        </w:tc>
        <w:tc>
          <w:tcPr>
            <w:tcW w:w="10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Age (Months)</w:t>
            </w:r>
          </w:p>
        </w:tc>
        <w:tc>
          <w:tcPr>
            <w:tcW w:w="100" w:type="dxa"/>
            <w:vAlign w:val="bottom"/>
            <w:vMerge w:val="restart"/>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&amp; HARP </w:t>
            </w:r>
            <w:r>
              <w:rPr>
                <w:rFonts w:ascii="Times New Roman" w:cs="Times New Roman" w:eastAsia="Times New Roman" w:hAnsi="Times New Roman"/>
                <w:sz w:val="8"/>
                <w:szCs w:val="8"/>
                <w:b w:val="1"/>
                <w:bCs w:val="1"/>
                <w:color w:val="auto"/>
              </w:rPr>
              <w:t>1,2</w:t>
            </w:r>
          </w:p>
        </w:tc>
        <w:tc>
          <w:tcPr>
            <w:tcW w:w="2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CPR </w:t>
            </w:r>
            <w:r>
              <w:rPr>
                <w:rFonts w:ascii="Times New Roman" w:cs="Times New Roman" w:eastAsia="Times New Roman" w:hAnsi="Times New Roman"/>
                <w:sz w:val="8"/>
                <w:szCs w:val="8"/>
                <w:b w:val="1"/>
                <w:bCs w:val="1"/>
                <w:color w:val="auto"/>
              </w:rPr>
              <w:t>4</w:t>
            </w:r>
          </w:p>
        </w:tc>
        <w:tc>
          <w:tcPr>
            <w:tcW w:w="0" w:type="dxa"/>
            <w:vAlign w:val="bottom"/>
          </w:tcPr>
          <w:p>
            <w:pPr>
              <w:spacing w:after="0"/>
              <w:rPr>
                <w:sz w:val="1"/>
                <w:szCs w:val="1"/>
                <w:color w:val="auto"/>
              </w:rPr>
            </w:pPr>
          </w:p>
        </w:tc>
      </w:tr>
      <w:tr>
        <w:trPr>
          <w:trHeight w:val="269"/>
        </w:trPr>
        <w:tc>
          <w:tcPr>
            <w:tcW w:w="2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4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 15-year</w:t>
            </w: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4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4,877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4,945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4,912</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26%</w:t>
            </w:r>
          </w:p>
        </w:tc>
        <w:tc>
          <w:tcPr>
            <w:tcW w:w="124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101.7%</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2.96%</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50</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9%</w:t>
            </w:r>
          </w:p>
        </w:tc>
        <w:tc>
          <w:tcPr>
            <w:tcW w:w="0" w:type="dxa"/>
            <w:vAlign w:val="bottom"/>
          </w:tcPr>
          <w:p>
            <w:pPr>
              <w:spacing w:after="0"/>
              <w:rPr>
                <w:sz w:val="1"/>
                <w:szCs w:val="1"/>
                <w:color w:val="auto"/>
              </w:rPr>
            </w:pPr>
          </w:p>
        </w:tc>
      </w:tr>
      <w:tr>
        <w:trPr>
          <w:trHeight w:val="265"/>
        </w:trPr>
        <w:tc>
          <w:tcPr>
            <w:tcW w:w="23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3,460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3,561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3,561</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73%</w:t>
            </w:r>
          </w:p>
        </w:tc>
        <w:tc>
          <w:tcPr>
            <w:tcW w:w="124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102.9%</w:t>
            </w:r>
          </w:p>
        </w:tc>
        <w:tc>
          <w:tcPr>
            <w:tcW w:w="100" w:type="dxa"/>
            <w:vAlign w:val="bottom"/>
          </w:tcPr>
          <w:p>
            <w:pPr>
              <w:spacing w:after="0"/>
              <w:rPr>
                <w:sz w:val="23"/>
                <w:szCs w:val="23"/>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3.50%</w:t>
            </w:r>
          </w:p>
        </w:tc>
        <w:tc>
          <w:tcPr>
            <w:tcW w:w="100" w:type="dxa"/>
            <w:vAlign w:val="bottom"/>
          </w:tcPr>
          <w:p>
            <w:pPr>
              <w:spacing w:after="0"/>
              <w:rPr>
                <w:sz w:val="23"/>
                <w:szCs w:val="23"/>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55</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9%</w:t>
            </w:r>
          </w:p>
        </w:tc>
        <w:tc>
          <w:tcPr>
            <w:tcW w:w="0" w:type="dxa"/>
            <w:vAlign w:val="bottom"/>
          </w:tcPr>
          <w:p>
            <w:pPr>
              <w:spacing w:after="0"/>
              <w:rPr>
                <w:sz w:val="1"/>
                <w:szCs w:val="1"/>
                <w:color w:val="auto"/>
              </w:rPr>
            </w:pPr>
          </w:p>
        </w:tc>
      </w:tr>
      <w:tr>
        <w:trPr>
          <w:trHeight w:val="275"/>
        </w:trPr>
        <w:tc>
          <w:tcPr>
            <w:tcW w:w="2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3,294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3,408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3,450</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90%</w:t>
            </w:r>
          </w:p>
        </w:tc>
        <w:tc>
          <w:tcPr>
            <w:tcW w:w="124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103.4%</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3.95%</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63</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65"/>
        </w:trPr>
        <w:tc>
          <w:tcPr>
            <w:tcW w:w="23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2,766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2,810</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89%</w:t>
            </w:r>
          </w:p>
        </w:tc>
        <w:tc>
          <w:tcPr>
            <w:tcW w:w="124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104.2%</w:t>
            </w:r>
          </w:p>
        </w:tc>
        <w:tc>
          <w:tcPr>
            <w:tcW w:w="100" w:type="dxa"/>
            <w:vAlign w:val="bottom"/>
          </w:tcPr>
          <w:p>
            <w:pPr>
              <w:spacing w:after="0"/>
              <w:rPr>
                <w:sz w:val="23"/>
                <w:szCs w:val="23"/>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4.40%</w:t>
            </w:r>
          </w:p>
        </w:tc>
        <w:tc>
          <w:tcPr>
            <w:tcW w:w="100" w:type="dxa"/>
            <w:vAlign w:val="bottom"/>
          </w:tcPr>
          <w:p>
            <w:pPr>
              <w:spacing w:after="0"/>
              <w:rPr>
                <w:sz w:val="23"/>
                <w:szCs w:val="23"/>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2.69%</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72</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75"/>
        </w:trPr>
        <w:tc>
          <w:tcPr>
            <w:tcW w:w="2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298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302</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98%</w:t>
            </w:r>
          </w:p>
        </w:tc>
        <w:tc>
          <w:tcPr>
            <w:tcW w:w="124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104.6%</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4.87%</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3.03%</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76</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65"/>
        </w:trPr>
        <w:tc>
          <w:tcPr>
            <w:tcW w:w="2420" w:type="dxa"/>
            <w:vAlign w:val="bottom"/>
            <w:tcBorders>
              <w:bottom w:val="single" w:sz="8" w:color="CCEEFF"/>
            </w:tcBorders>
            <w:gridSpan w:val="2"/>
          </w:tcPr>
          <w:p>
            <w:pPr>
              <w:ind w:left="380"/>
              <w:spacing w:after="0"/>
              <w:rPr>
                <w:sz w:val="20"/>
                <w:szCs w:val="20"/>
                <w:color w:val="auto"/>
              </w:rPr>
            </w:pPr>
            <w:r>
              <w:rPr>
                <w:rFonts w:ascii="Times New Roman" w:cs="Times New Roman" w:eastAsia="Times New Roman" w:hAnsi="Times New Roman"/>
                <w:sz w:val="14"/>
                <w:szCs w:val="14"/>
                <w:color w:val="auto"/>
              </w:rPr>
              <w:t>≥ 5.0%</w:t>
            </w:r>
          </w:p>
        </w:tc>
        <w:tc>
          <w:tcPr>
            <w:tcW w:w="1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tcPr>
          <w:p>
            <w:pPr>
              <w:spacing w:after="0"/>
              <w:rPr>
                <w:sz w:val="23"/>
                <w:szCs w:val="2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22%</w:t>
            </w:r>
          </w:p>
        </w:tc>
        <w:tc>
          <w:tcPr>
            <w:tcW w:w="22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103.3%</w:t>
            </w: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6.63%</w:t>
            </w:r>
          </w:p>
        </w:tc>
        <w:tc>
          <w:tcPr>
            <w:tcW w:w="100" w:type="dxa"/>
            <w:vAlign w:val="bottom"/>
            <w:tcBorders>
              <w:bottom w:val="single" w:sz="8" w:color="CCEEFF"/>
            </w:tcBorders>
          </w:tcPr>
          <w:p>
            <w:pPr>
              <w:spacing w:after="0"/>
              <w:rPr>
                <w:sz w:val="23"/>
                <w:szCs w:val="23"/>
                <w:color w:val="auto"/>
              </w:rPr>
            </w:pPr>
          </w:p>
        </w:tc>
        <w:tc>
          <w:tcPr>
            <w:tcW w:w="8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4.65%</w:t>
            </w:r>
          </w:p>
        </w:tc>
        <w:tc>
          <w:tcPr>
            <w:tcW w:w="10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Borders>
              <w:bottom w:val="single" w:sz="8" w:color="CCEEFF"/>
            </w:tcBorders>
          </w:tcPr>
          <w:p>
            <w:pPr>
              <w:spacing w:after="0"/>
              <w:rPr>
                <w:sz w:val="23"/>
                <w:szCs w:val="2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55"/>
        </w:trPr>
        <w:tc>
          <w:tcPr>
            <w:tcW w:w="24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Total ≤ 15-year</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14,575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14,982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15,039</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65%</w:t>
            </w:r>
          </w:p>
        </w:tc>
        <w:tc>
          <w:tcPr>
            <w:tcW w:w="124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103.1%</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3.72%</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2.37%</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60</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59"/>
        </w:trPr>
        <w:tc>
          <w:tcPr>
            <w:tcW w:w="242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20-year</w:t>
            </w: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4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3.0%</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24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99.4%</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3.55%</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3.10%</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43</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8%</w:t>
            </w:r>
          </w:p>
        </w:tc>
        <w:tc>
          <w:tcPr>
            <w:tcW w:w="0" w:type="dxa"/>
            <w:vAlign w:val="bottom"/>
          </w:tcPr>
          <w:p>
            <w:pPr>
              <w:spacing w:after="0"/>
              <w:rPr>
                <w:sz w:val="1"/>
                <w:szCs w:val="1"/>
                <w:color w:val="auto"/>
              </w:rPr>
            </w:pPr>
          </w:p>
        </w:tc>
      </w:tr>
      <w:tr>
        <w:trPr>
          <w:trHeight w:val="265"/>
        </w:trPr>
        <w:tc>
          <w:tcPr>
            <w:tcW w:w="23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445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454</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75%</w:t>
            </w:r>
          </w:p>
        </w:tc>
        <w:tc>
          <w:tcPr>
            <w:tcW w:w="124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102.2%</w:t>
            </w:r>
          </w:p>
        </w:tc>
        <w:tc>
          <w:tcPr>
            <w:tcW w:w="100" w:type="dxa"/>
            <w:vAlign w:val="bottom"/>
          </w:tcPr>
          <w:p>
            <w:pPr>
              <w:spacing w:after="0"/>
              <w:rPr>
                <w:sz w:val="23"/>
                <w:szCs w:val="23"/>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4.06%</w:t>
            </w:r>
          </w:p>
        </w:tc>
        <w:tc>
          <w:tcPr>
            <w:tcW w:w="100" w:type="dxa"/>
            <w:vAlign w:val="bottom"/>
          </w:tcPr>
          <w:p>
            <w:pPr>
              <w:spacing w:after="0"/>
              <w:rPr>
                <w:sz w:val="23"/>
                <w:szCs w:val="23"/>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3.01%</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46</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75"/>
        </w:trPr>
        <w:tc>
          <w:tcPr>
            <w:tcW w:w="2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50%</w:t>
            </w:r>
          </w:p>
        </w:tc>
        <w:tc>
          <w:tcPr>
            <w:tcW w:w="124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104.4%</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4.54%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64</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65"/>
        </w:trPr>
        <w:tc>
          <w:tcPr>
            <w:tcW w:w="23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99%</w:t>
            </w:r>
          </w:p>
        </w:tc>
        <w:tc>
          <w:tcPr>
            <w:tcW w:w="124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106.7%</w:t>
            </w:r>
          </w:p>
        </w:tc>
        <w:tc>
          <w:tcPr>
            <w:tcW w:w="100" w:type="dxa"/>
            <w:vAlign w:val="bottom"/>
          </w:tcPr>
          <w:p>
            <w:pPr>
              <w:spacing w:after="0"/>
              <w:rPr>
                <w:sz w:val="23"/>
                <w:szCs w:val="23"/>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4.90%</w:t>
            </w:r>
          </w:p>
        </w:tc>
        <w:tc>
          <w:tcPr>
            <w:tcW w:w="100" w:type="dxa"/>
            <w:vAlign w:val="bottom"/>
          </w:tcPr>
          <w:p>
            <w:pPr>
              <w:spacing w:after="0"/>
              <w:rPr>
                <w:sz w:val="23"/>
                <w:szCs w:val="23"/>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2.99%</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73</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 5.0%</w:t>
            </w: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106.3%</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5.94%</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3.33%</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50"/>
        </w:trPr>
        <w:tc>
          <w:tcPr>
            <w:tcW w:w="242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Total 20-year:</w:t>
            </w:r>
          </w:p>
        </w:tc>
        <w:tc>
          <w:tcPr>
            <w:tcW w:w="10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817</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63%</w:t>
            </w:r>
          </w:p>
        </w:tc>
        <w:tc>
          <w:tcPr>
            <w:tcW w:w="124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101.9%</w:t>
            </w:r>
          </w:p>
        </w:tc>
        <w:tc>
          <w:tcPr>
            <w:tcW w:w="100" w:type="dxa"/>
            <w:vAlign w:val="bottom"/>
          </w:tcPr>
          <w:p>
            <w:pPr>
              <w:spacing w:after="0"/>
              <w:rPr>
                <w:sz w:val="21"/>
                <w:szCs w:val="21"/>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4.03%</w:t>
            </w:r>
          </w:p>
        </w:tc>
        <w:tc>
          <w:tcPr>
            <w:tcW w:w="100" w:type="dxa"/>
            <w:vAlign w:val="bottom"/>
          </w:tcPr>
          <w:p>
            <w:pPr>
              <w:spacing w:after="0"/>
              <w:rPr>
                <w:sz w:val="21"/>
                <w:szCs w:val="21"/>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3.03%</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49</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69"/>
        </w:trPr>
        <w:tc>
          <w:tcPr>
            <w:tcW w:w="2420" w:type="dxa"/>
            <w:vAlign w:val="bottom"/>
            <w:tcBorders>
              <w:top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30-year:</w:t>
            </w:r>
          </w:p>
        </w:tc>
        <w:tc>
          <w:tcPr>
            <w:tcW w:w="1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4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 3.0%</w:t>
            </w:r>
          </w:p>
        </w:tc>
        <w:tc>
          <w:tcPr>
            <w:tcW w:w="1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7,390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7,482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7,357</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124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100.1%</w:t>
            </w:r>
          </w:p>
        </w:tc>
        <w:tc>
          <w:tcPr>
            <w:tcW w:w="100" w:type="dxa"/>
            <w:vAlign w:val="bottom"/>
          </w:tcPr>
          <w:p>
            <w:pPr>
              <w:spacing w:after="0"/>
              <w:rPr>
                <w:sz w:val="23"/>
                <w:szCs w:val="23"/>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3.57%</w:t>
            </w:r>
          </w:p>
        </w:tc>
        <w:tc>
          <w:tcPr>
            <w:tcW w:w="100" w:type="dxa"/>
            <w:vAlign w:val="bottom"/>
          </w:tcPr>
          <w:p>
            <w:pPr>
              <w:spacing w:after="0"/>
              <w:rPr>
                <w:sz w:val="23"/>
                <w:szCs w:val="23"/>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26</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6%</w:t>
            </w:r>
          </w:p>
        </w:tc>
        <w:tc>
          <w:tcPr>
            <w:tcW w:w="0" w:type="dxa"/>
            <w:vAlign w:val="bottom"/>
          </w:tcPr>
          <w:p>
            <w:pPr>
              <w:spacing w:after="0"/>
              <w:rPr>
                <w:sz w:val="1"/>
                <w:szCs w:val="1"/>
                <w:color w:val="auto"/>
              </w:rPr>
            </w:pPr>
          </w:p>
        </w:tc>
      </w:tr>
      <w:tr>
        <w:trPr>
          <w:trHeight w:val="275"/>
        </w:trPr>
        <w:tc>
          <w:tcPr>
            <w:tcW w:w="2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16,365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17,227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16,849</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72%</w:t>
            </w:r>
          </w:p>
        </w:tc>
        <w:tc>
          <w:tcPr>
            <w:tcW w:w="124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105.4%</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4.07%</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38</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7%</w:t>
            </w:r>
          </w:p>
        </w:tc>
        <w:tc>
          <w:tcPr>
            <w:tcW w:w="0" w:type="dxa"/>
            <w:vAlign w:val="bottom"/>
          </w:tcPr>
          <w:p>
            <w:pPr>
              <w:spacing w:after="0"/>
              <w:rPr>
                <w:sz w:val="1"/>
                <w:szCs w:val="1"/>
                <w:color w:val="auto"/>
              </w:rPr>
            </w:pPr>
          </w:p>
        </w:tc>
      </w:tr>
      <w:tr>
        <w:trPr>
          <w:trHeight w:val="265"/>
        </w:trPr>
        <w:tc>
          <w:tcPr>
            <w:tcW w:w="23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13,464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14,368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14,224</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61%</w:t>
            </w:r>
          </w:p>
        </w:tc>
        <w:tc>
          <w:tcPr>
            <w:tcW w:w="124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107.4%</w:t>
            </w:r>
          </w:p>
        </w:tc>
        <w:tc>
          <w:tcPr>
            <w:tcW w:w="100" w:type="dxa"/>
            <w:vAlign w:val="bottom"/>
          </w:tcPr>
          <w:p>
            <w:pPr>
              <w:spacing w:after="0"/>
              <w:rPr>
                <w:sz w:val="23"/>
                <w:szCs w:val="23"/>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4.51%</w:t>
            </w:r>
          </w:p>
        </w:tc>
        <w:tc>
          <w:tcPr>
            <w:tcW w:w="100" w:type="dxa"/>
            <w:vAlign w:val="bottom"/>
          </w:tcPr>
          <w:p>
            <w:pPr>
              <w:spacing w:after="0"/>
              <w:rPr>
                <w:sz w:val="23"/>
                <w:szCs w:val="23"/>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45</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7%</w:t>
            </w:r>
          </w:p>
        </w:tc>
        <w:tc>
          <w:tcPr>
            <w:tcW w:w="0" w:type="dxa"/>
            <w:vAlign w:val="bottom"/>
          </w:tcPr>
          <w:p>
            <w:pPr>
              <w:spacing w:after="0"/>
              <w:rPr>
                <w:sz w:val="1"/>
                <w:szCs w:val="1"/>
                <w:color w:val="auto"/>
              </w:rPr>
            </w:pPr>
          </w:p>
        </w:tc>
      </w:tr>
      <w:tr>
        <w:trPr>
          <w:trHeight w:val="275"/>
        </w:trPr>
        <w:tc>
          <w:tcPr>
            <w:tcW w:w="2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1,246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1,341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1,352</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87%</w:t>
            </w:r>
          </w:p>
        </w:tc>
        <w:tc>
          <w:tcPr>
            <w:tcW w:w="124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107.6%</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4.97%</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67</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8%</w:t>
            </w:r>
          </w:p>
        </w:tc>
        <w:tc>
          <w:tcPr>
            <w:tcW w:w="0" w:type="dxa"/>
            <w:vAlign w:val="bottom"/>
          </w:tcPr>
          <w:p>
            <w:pPr>
              <w:spacing w:after="0"/>
              <w:rPr>
                <w:sz w:val="1"/>
                <w:szCs w:val="1"/>
                <w:color w:val="auto"/>
              </w:rPr>
            </w:pPr>
          </w:p>
        </w:tc>
      </w:tr>
      <w:tr>
        <w:trPr>
          <w:trHeight w:val="265"/>
        </w:trPr>
        <w:tc>
          <w:tcPr>
            <w:tcW w:w="23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65%</w:t>
            </w:r>
          </w:p>
        </w:tc>
        <w:tc>
          <w:tcPr>
            <w:tcW w:w="124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106.8%</w:t>
            </w:r>
          </w:p>
        </w:tc>
        <w:tc>
          <w:tcPr>
            <w:tcW w:w="100" w:type="dxa"/>
            <w:vAlign w:val="bottom"/>
          </w:tcPr>
          <w:p>
            <w:pPr>
              <w:spacing w:after="0"/>
              <w:rPr>
                <w:sz w:val="23"/>
                <w:szCs w:val="23"/>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5.45%</w:t>
            </w:r>
          </w:p>
        </w:tc>
        <w:tc>
          <w:tcPr>
            <w:tcW w:w="100" w:type="dxa"/>
            <w:vAlign w:val="bottom"/>
          </w:tcPr>
          <w:p>
            <w:pPr>
              <w:spacing w:after="0"/>
              <w:rPr>
                <w:sz w:val="23"/>
                <w:szCs w:val="23"/>
                <w:color w:val="auto"/>
              </w:rPr>
            </w:pPr>
          </w:p>
        </w:tc>
        <w:tc>
          <w:tcPr>
            <w:tcW w:w="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3.73%</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 5.5%</w:t>
            </w: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38%</w:t>
            </w:r>
          </w:p>
        </w:tc>
        <w:tc>
          <w:tcPr>
            <w:tcW w:w="2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110.0%</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6.20%</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gridSpan w:val="2"/>
          </w:tcPr>
          <w:p>
            <w:pPr>
              <w:ind w:left="540"/>
              <w:spacing w:after="0"/>
              <w:rPr>
                <w:sz w:val="20"/>
                <w:szCs w:val="20"/>
                <w:color w:val="auto"/>
              </w:rPr>
            </w:pPr>
            <w:r>
              <w:rPr>
                <w:rFonts w:ascii="Times New Roman" w:cs="Times New Roman" w:eastAsia="Times New Roman" w:hAnsi="Times New Roman"/>
                <w:sz w:val="14"/>
                <w:szCs w:val="14"/>
                <w:color w:val="auto"/>
              </w:rPr>
              <w:t>Total 30-year</w:t>
            </w: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38,704</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40,677</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40,045</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56%</w:t>
            </w:r>
          </w:p>
        </w:tc>
        <w:tc>
          <w:tcPr>
            <w:tcW w:w="22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105.4%</w:t>
            </w: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4.19%</w:t>
            </w:r>
          </w:p>
        </w:tc>
        <w:tc>
          <w:tcPr>
            <w:tcW w:w="10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40</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7%</w:t>
            </w:r>
          </w:p>
        </w:tc>
        <w:tc>
          <w:tcPr>
            <w:tcW w:w="0" w:type="dxa"/>
            <w:vAlign w:val="bottom"/>
          </w:tcPr>
          <w:p>
            <w:pPr>
              <w:spacing w:after="0"/>
              <w:rPr>
                <w:sz w:val="1"/>
                <w:szCs w:val="1"/>
                <w:color w:val="auto"/>
              </w:rPr>
            </w:pPr>
          </w:p>
        </w:tc>
      </w:tr>
      <w:tr>
        <w:trPr>
          <w:trHeight w:val="242"/>
        </w:trPr>
        <w:tc>
          <w:tcPr>
            <w:tcW w:w="2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Total fixed rate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54,065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56,460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55,901</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58%</w:t>
            </w:r>
          </w:p>
        </w:tc>
        <w:tc>
          <w:tcPr>
            <w:tcW w:w="124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104.6%</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4.05%</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2.73%</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46</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8%</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30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980" w:hanging="648"/>
        <w:spacing w:after="0" w:line="241" w:lineRule="auto"/>
        <w:tabs>
          <w:tab w:leader="none" w:pos="65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Lower loan balance securities represent pools backed by an original loan balance of ≤ $150,000. Our lower loan balance securities had a weighted average original loan balance of $97,000 and $100,000 for 15-year and 30-year securities, respectively, as of December 31, 2016.</w:t>
      </w:r>
    </w:p>
    <w:p>
      <w:pPr>
        <w:ind w:left="980" w:hanging="648"/>
        <w:spacing w:after="0" w:line="241" w:lineRule="auto"/>
        <w:tabs>
          <w:tab w:leader="none" w:pos="65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HARP securities are defined as pools backed by 100% refinance loans with LTVs ≥ 80%. Our HARP securities had a weighted average LTV of 113% and 135% for 15-year and 30-year securities, respectively, as of December 31, 2016.</w:t>
      </w:r>
    </w:p>
    <w:p>
      <w:pPr>
        <w:ind w:left="660" w:hanging="328"/>
        <w:spacing w:after="0"/>
        <w:tabs>
          <w:tab w:leader="none" w:pos="6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WAC represents the weighted average coupon of the underlying collateral.</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Portfolio yield incorporates a projected life CPR assumption based on forward rate assumptions as of December 31, 2016.</w:t>
      </w:r>
    </w:p>
    <w:p>
      <w:pPr>
        <w:spacing w:after="0" w:line="1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June 30, 2017 and December 31, 2016, our investments in CRT and non-Agency securities had the following credit ratings: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CRT and Non-Agency Security Credit Ratings </w:t>
            </w:r>
            <w:r>
              <w:rPr>
                <w:rFonts w:ascii="Times New Roman" w:cs="Times New Roman" w:eastAsia="Times New Roman" w:hAnsi="Times New Roman"/>
                <w:sz w:val="8"/>
                <w:szCs w:val="8"/>
                <w:b w:val="1"/>
                <w:bCs w:val="1"/>
                <w:color w:val="auto"/>
              </w:rPr>
              <w:t>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CRT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RMBS</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CMBS</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CRT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RMBS</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CMBS</w:t>
            </w:r>
          </w:p>
        </w:tc>
        <w:tc>
          <w:tcPr>
            <w:tcW w:w="0" w:type="dxa"/>
            <w:vAlign w:val="bottom"/>
          </w:tcPr>
          <w:p>
            <w:pPr>
              <w:spacing w:after="0"/>
              <w:rPr>
                <w:sz w:val="1"/>
                <w:szCs w:val="1"/>
                <w:color w:val="auto"/>
              </w:rPr>
            </w:pPr>
          </w:p>
        </w:tc>
      </w:tr>
      <w:tr>
        <w:trPr>
          <w:trHeight w:val="255"/>
        </w:trPr>
        <w:tc>
          <w:tcPr>
            <w:tcW w:w="4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AAA</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40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BBB</w:t>
            </w:r>
          </w:p>
        </w:tc>
        <w:tc>
          <w:tcPr>
            <w:tcW w:w="2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92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75"/>
        </w:trPr>
        <w:tc>
          <w:tcPr>
            <w:tcW w:w="4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BB</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40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B</w:t>
            </w: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490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4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Not Rated</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2"/>
        </w:trPr>
        <w:tc>
          <w:tcPr>
            <w:tcW w:w="40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572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164</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0"/>
        </w:trPr>
        <w:tc>
          <w:tcPr>
            <w:tcW w:w="39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________________________</w:t>
            </w:r>
          </w:p>
        </w:tc>
        <w:tc>
          <w:tcPr>
            <w:tcW w:w="120" w:type="dxa"/>
            <w:vAlign w:val="bottom"/>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90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lowest of Standard and Poor's ("S&amp;P"), Moody's and Fitch credit ratings, stated in terms of the S&amp;P equivalent rating as of each date.</w:t>
      </w:r>
    </w:p>
    <w:p>
      <w:pPr>
        <w:spacing w:after="0" w:line="15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Our CRT securities reference the performance of loans underlying Agency RMBS issued by Fannie Mae or Freddie Mac, which were subject to their underwriting standards. As of June 30, 2017, our CRT securities had floating rate coupons ranging from 3.8% to 7.6%, referenced to loans originated between 2012 and 2016 with weighted average coupons ranging from 3.6% to 4.2%. As of December 31, 2016, our CRT securities had floating rate coupons ranging from 4.6% to 7.1%, referenced to loans originated between 2015 and 2016 with weighted average coupons ranging from 4.0% to 4.2%.</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966"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addition to the results presented in accordance with GAAP, our results of operations discussed below include certain non-GAAP financial information, including "adjusted net interest expense," "net spread and dollar roll income," "net spread and dollar roll income, excluding 'catch-up' premium amortization," "estimated taxable income" and the related per common share measures and certain financial metrics derived from such non-GAAP information, such as "cost of funds" and "net interest rate spread."</w:t>
      </w:r>
    </w:p>
    <w:p>
      <w:pPr>
        <w:spacing w:after="0" w:line="18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"Adjusted net interest expense" is measured as interest expense (GAAP measure) adjusted to include interest rate swap periodic costs. "Net spread and dollar roll income" is measured as (i) net interest income (GAAP measure) adjusted to include interest rate swap periodic costs, TBA dollar roll income, management fee income and dividends on REIT equity securities (referred to as "adjusted net interest and dollar roll income") less (ii) total operating expenses (GAAP measure) adjusted to exclude non-recurring transaction costs (referred to as "adjusted operating expenses"). "Net spread and dollar roll income, excluding 'catch-up' premium amortization," further excludes retrospective "catch-up" adjustments to premium amortization cost or benefit due to changes in projected CPR estimates.</w:t>
      </w:r>
    </w:p>
    <w:p>
      <w:pPr>
        <w:spacing w:after="0" w:line="18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By providing such measures, in addition to the related GAAP measures, we believe we give greater transparency into the information used by our management in its financial and operational decision-making. We also believe it is important for users of our financial information to consider information related to our current financial performance without the effects of certain measures that are not necessarily indicative of our current investment portfolio performance and operations.</w:t>
      </w:r>
    </w:p>
    <w:p>
      <w:pPr>
        <w:spacing w:after="0" w:line="180"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Specifically, in the case of "adjusted net interest and dollar roll income," we believe the inclusion of TBA dollar roll income is meaningful as TBAs, which are accounted for under GAAP as derivative instruments with gains and losses recognized in other gain (loss) in our consolidated statement of comprehensive income, are economically equivalent to holding and financing generic Agency RMBS using short-term repurchase agreements. Similarly, we believe that the inclusion of periodic interest rate swap settlements in such measure and in "adjusted net interest expense" is meaningful as interest rate swaps are the primary instrument we use to economically hedge against fluctuations in our borrowing costs and it is more indicative of our total cost of funds than interest expense alone. In the case of "net spread and dollar roll income, excluding 'catch-up' premium amortization," we believe the exclusion of "catch-up" adjustments to premium amortization cost or benefit is meaningful as it excludes the cumulative effect from prior reporting periods due to current changes in future prepayment expectations and, therefore, exclusion of such cost or benefit is more indicative of the current earnings potential of our investment portfolio. We also believe the exclusion of non-recurring transactions costs reported in general, administrative and other expense under GAAP is meaningful as they represent non-recurring transaction costs associated with our acquisition of AMM and are not representative of ongoing operating costs. In the case of estimated taxable income, we believe it is meaningful information because it directly relates to the amount of dividends we are required to distribute in order to maintain our REIT qualification status.</w:t>
      </w:r>
    </w:p>
    <w:p>
      <w:pPr>
        <w:spacing w:after="0" w:line="19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However, because such measures are incomplete measures of our financial performance and involve differences from results computed in accordance with GAAP, they should be considered as supplementary to, and not as a substitute for, results computed in accordance with GAAP. In addition, because not all companies use identical calculations, our presentation of such non-GAAP measures may not be comparable to other similarly-titled measures of other companies. Furthermore, estimated taxable income can include certain information that is subject to potential adjustments up to the time of filing our income tax returns, which occurs after the end of our fiscal year.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Item 6. Selected Financial Data</w:t>
      </w:r>
    </w:p>
    <w:p>
      <w:pPr>
        <w:spacing w:after="0" w:line="22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following selected financial data is derived from our interim consolidated financial statements and the notes thereto. The tables below present our condensed consolidated balance sheets as of June 30, 2017 and December 31, 2016 and our condensed consolidated statements of comprehensive income and key statistics for the three and six months ended June 30, 2017 and 2016 (in millions, except per share amounts):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738"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90"/>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millions, except per share amounts)</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Data</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1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22"/>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Investment securities, at fair value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46,566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46,499</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56,880</w:t>
            </w:r>
          </w:p>
        </w:tc>
        <w:tc>
          <w:tcPr>
            <w:tcW w:w="0" w:type="dxa"/>
            <w:vAlign w:val="bottom"/>
          </w:tcPr>
          <w:p>
            <w:pPr>
              <w:spacing w:after="0"/>
              <w:rPr>
                <w:sz w:val="1"/>
                <w:szCs w:val="1"/>
                <w:color w:val="auto"/>
              </w:rPr>
            </w:pPr>
          </w:p>
        </w:tc>
      </w:tr>
      <w:tr>
        <w:trPr>
          <w:trHeight w:val="237"/>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Repurchase agreements, Federal Home Loan Bank advances and other debt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39,463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41,355</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49,524</w:t>
            </w:r>
          </w:p>
        </w:tc>
        <w:tc>
          <w:tcPr>
            <w:tcW w:w="0" w:type="dxa"/>
            <w:vAlign w:val="bottom"/>
          </w:tcPr>
          <w:p>
            <w:pPr>
              <w:spacing w:after="0"/>
              <w:rPr>
                <w:sz w:val="1"/>
                <w:szCs w:val="1"/>
                <w:color w:val="auto"/>
              </w:rPr>
            </w:pPr>
          </w:p>
        </w:tc>
      </w:tr>
      <w:tr>
        <w:trPr>
          <w:trHeight w:val="237"/>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7,356</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Net asset value per common share </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21.17</w:t>
            </w:r>
          </w:p>
        </w:tc>
        <w:tc>
          <w:tcPr>
            <w:tcW w:w="0" w:type="dxa"/>
            <w:vAlign w:val="bottom"/>
          </w:tcPr>
          <w:p>
            <w:pPr>
              <w:spacing w:after="0"/>
              <w:rPr>
                <w:sz w:val="1"/>
                <w:szCs w:val="1"/>
                <w:color w:val="auto"/>
              </w:rPr>
            </w:pPr>
          </w:p>
        </w:tc>
      </w:tr>
      <w:tr>
        <w:trPr>
          <w:trHeight w:val="311"/>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xml:space="preserve">Tangible net asset value per common share </w:t>
            </w:r>
            <w:r>
              <w:rPr>
                <w:rFonts w:ascii="Times New Roman" w:cs="Times New Roman" w:eastAsia="Times New Roman" w:hAnsi="Times New Roman"/>
                <w:sz w:val="21"/>
                <w:szCs w:val="21"/>
                <w:color w:val="auto"/>
                <w:vertAlign w:val="superscript"/>
              </w:rPr>
              <w:t>2</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19.25</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19.50</w:t>
            </w:r>
          </w:p>
        </w:tc>
        <w:tc>
          <w:tcPr>
            <w:tcW w:w="0" w:type="dxa"/>
            <w:vAlign w:val="bottom"/>
          </w:tcPr>
          <w:p>
            <w:pPr>
              <w:spacing w:after="0"/>
              <w:rPr>
                <w:sz w:val="1"/>
                <w:szCs w:val="1"/>
                <w:color w:val="auto"/>
              </w:rPr>
            </w:pPr>
          </w:p>
        </w:tc>
      </w:tr>
    </w:tbl>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178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95"/>
        </w:trPr>
        <w:tc>
          <w:tcPr>
            <w:tcW w:w="6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30,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 of Comprehensive Income Data</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55"/>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613</w:t>
            </w:r>
          </w:p>
        </w:tc>
        <w:tc>
          <w:tcPr>
            <w:tcW w:w="0" w:type="dxa"/>
            <w:vAlign w:val="bottom"/>
          </w:tcPr>
          <w:p>
            <w:pPr>
              <w:spacing w:after="0"/>
              <w:rPr>
                <w:sz w:val="1"/>
                <w:szCs w:val="1"/>
                <w:color w:val="auto"/>
              </w:rPr>
            </w:pPr>
          </w:p>
        </w:tc>
      </w:tr>
      <w:tr>
        <w:trPr>
          <w:trHeight w:val="265"/>
        </w:trPr>
        <w:tc>
          <w:tcPr>
            <w:tcW w:w="7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Interest expense </w:t>
            </w:r>
            <w:r>
              <w:rPr>
                <w:rFonts w:ascii="Times New Roman" w:cs="Times New Roman" w:eastAsia="Times New Roman" w:hAnsi="Times New Roman"/>
                <w:sz w:val="8"/>
                <w:szCs w:val="8"/>
                <w:color w:val="auto"/>
              </w:rPr>
              <w:t>3</w:t>
            </w:r>
          </w:p>
        </w:tc>
        <w:tc>
          <w:tcPr>
            <w:tcW w:w="1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50"/>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interest income</w:t>
            </w:r>
          </w:p>
        </w:tc>
        <w:tc>
          <w:tcPr>
            <w:tcW w:w="1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379</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413</w:t>
            </w:r>
          </w:p>
        </w:tc>
        <w:tc>
          <w:tcPr>
            <w:tcW w:w="0" w:type="dxa"/>
            <w:vAlign w:val="bottom"/>
          </w:tcPr>
          <w:p>
            <w:pPr>
              <w:spacing w:after="0"/>
              <w:rPr>
                <w:sz w:val="1"/>
                <w:szCs w:val="1"/>
                <w:color w:val="auto"/>
              </w:rPr>
            </w:pPr>
          </w:p>
        </w:tc>
      </w:tr>
      <w:tr>
        <w:trPr>
          <w:trHeight w:val="25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Other loss, net </w:t>
            </w:r>
            <w:r>
              <w:rPr>
                <w:rFonts w:ascii="Times New Roman" w:cs="Times New Roman" w:eastAsia="Times New Roman" w:hAnsi="Times New Roman"/>
                <w:sz w:val="8"/>
                <w:szCs w:val="8"/>
                <w:color w:val="auto"/>
              </w:rPr>
              <w:t>3</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(1,247)</w:t>
            </w:r>
          </w:p>
        </w:tc>
        <w:tc>
          <w:tcPr>
            <w:tcW w:w="0" w:type="dxa"/>
            <w:vAlign w:val="bottom"/>
          </w:tcPr>
          <w:p>
            <w:pPr>
              <w:spacing w:after="0"/>
              <w:rPr>
                <w:sz w:val="1"/>
                <w:szCs w:val="1"/>
                <w:color w:val="auto"/>
              </w:rPr>
            </w:pPr>
          </w:p>
        </w:tc>
      </w:tr>
      <w:tr>
        <w:trPr>
          <w:trHeight w:val="270"/>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5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w:t>
            </w:r>
          </w:p>
        </w:tc>
        <w:tc>
          <w:tcPr>
            <w:tcW w:w="0" w:type="dxa"/>
            <w:vAlign w:val="bottom"/>
          </w:tcPr>
          <w:p>
            <w:pPr>
              <w:spacing w:after="0"/>
              <w:rPr>
                <w:sz w:val="1"/>
                <w:szCs w:val="1"/>
                <w:color w:val="auto"/>
              </w:rPr>
            </w:pPr>
          </w:p>
        </w:tc>
      </w:tr>
      <w:tr>
        <w:trPr>
          <w:trHeight w:val="270"/>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 on preferred stock</w:t>
            </w: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95"/>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(loss) available (attributable) to common stockholders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Pr>
          <w:p>
            <w:pPr>
              <w:spacing w:after="0"/>
              <w:rPr>
                <w:sz w:val="24"/>
                <w:szCs w:val="24"/>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w:t>
            </w:r>
          </w:p>
        </w:tc>
        <w:tc>
          <w:tcPr>
            <w:tcW w:w="0" w:type="dxa"/>
            <w:vAlign w:val="bottom"/>
          </w:tcPr>
          <w:p>
            <w:pPr>
              <w:spacing w:after="0"/>
              <w:rPr>
                <w:sz w:val="1"/>
                <w:szCs w:val="1"/>
                <w:color w:val="auto"/>
              </w:rPr>
            </w:pPr>
          </w:p>
        </w:tc>
      </w:tr>
      <w:tr>
        <w:trPr>
          <w:trHeight w:val="278"/>
        </w:trPr>
        <w:tc>
          <w:tcPr>
            <w:tcW w:w="69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720" w:type="dxa"/>
            <w:vAlign w:val="bottom"/>
            <w:tcBorders>
              <w:top w:val="single" w:sz="8" w:color="auto"/>
            </w:tcBorders>
            <w:shd w:val="clear" w:color="auto" w:fill="CCEEFF"/>
          </w:tcPr>
          <w:p>
            <w:pPr>
              <w:spacing w:after="0"/>
              <w:rPr>
                <w:sz w:val="24"/>
                <w:szCs w:val="24"/>
                <w:color w:val="auto"/>
              </w:rPr>
            </w:pPr>
          </w:p>
        </w:tc>
        <w:tc>
          <w:tcPr>
            <w:tcW w:w="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6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6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64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23"/>
                <w:szCs w:val="23"/>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w:t>
            </w:r>
          </w:p>
        </w:tc>
        <w:tc>
          <w:tcPr>
            <w:tcW w:w="0" w:type="dxa"/>
            <w:vAlign w:val="bottom"/>
          </w:tcPr>
          <w:p>
            <w:pPr>
              <w:spacing w:after="0"/>
              <w:rPr>
                <w:sz w:val="1"/>
                <w:szCs w:val="1"/>
                <w:color w:val="auto"/>
              </w:rPr>
            </w:pPr>
          </w:p>
        </w:tc>
      </w:tr>
      <w:tr>
        <w:trPr>
          <w:trHeight w:val="270"/>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Other comprehensive income </w:t>
            </w:r>
            <w:r>
              <w:rPr>
                <w:rFonts w:ascii="Times New Roman" w:cs="Times New Roman" w:eastAsia="Times New Roman" w:hAnsi="Times New Roman"/>
                <w:sz w:val="8"/>
                <w:szCs w:val="8"/>
                <w:color w:val="auto"/>
              </w:rPr>
              <w:t>3</w:t>
            </w: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1,166</w:t>
            </w:r>
          </w:p>
        </w:tc>
        <w:tc>
          <w:tcPr>
            <w:tcW w:w="0" w:type="dxa"/>
            <w:vAlign w:val="bottom"/>
          </w:tcPr>
          <w:p>
            <w:pPr>
              <w:spacing w:after="0"/>
              <w:rPr>
                <w:sz w:val="1"/>
                <w:szCs w:val="1"/>
                <w:color w:val="auto"/>
              </w:rPr>
            </w:pPr>
          </w:p>
        </w:tc>
      </w:tr>
      <w:tr>
        <w:trPr>
          <w:trHeight w:val="25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259</w:t>
            </w:r>
          </w:p>
        </w:tc>
        <w:tc>
          <w:tcPr>
            <w:tcW w:w="0" w:type="dxa"/>
            <w:vAlign w:val="bottom"/>
          </w:tcPr>
          <w:p>
            <w:pPr>
              <w:spacing w:after="0"/>
              <w:rPr>
                <w:sz w:val="1"/>
                <w:szCs w:val="1"/>
                <w:color w:val="auto"/>
              </w:rPr>
            </w:pPr>
          </w:p>
        </w:tc>
      </w:tr>
      <w:tr>
        <w:trPr>
          <w:trHeight w:val="270"/>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 on preferred stock</w:t>
            </w: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95"/>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Comprehensive income available to common stockholders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tcPr>
          <w:p>
            <w:pPr>
              <w:spacing w:after="0"/>
              <w:rPr>
                <w:sz w:val="24"/>
                <w:szCs w:val="24"/>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253</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245</w:t>
            </w:r>
          </w:p>
        </w:tc>
        <w:tc>
          <w:tcPr>
            <w:tcW w:w="0" w:type="dxa"/>
            <w:vAlign w:val="bottom"/>
          </w:tcPr>
          <w:p>
            <w:pPr>
              <w:spacing w:after="0"/>
              <w:rPr>
                <w:sz w:val="1"/>
                <w:szCs w:val="1"/>
                <w:color w:val="auto"/>
              </w:rPr>
            </w:pPr>
          </w:p>
        </w:tc>
      </w:tr>
      <w:tr>
        <w:trPr>
          <w:trHeight w:val="278"/>
        </w:trPr>
        <w:tc>
          <w:tcPr>
            <w:tcW w:w="69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720" w:type="dxa"/>
            <w:vAlign w:val="bottom"/>
            <w:tcBorders>
              <w:top w:val="single" w:sz="8" w:color="auto"/>
            </w:tcBorders>
            <w:shd w:val="clear" w:color="auto" w:fill="CCEEFF"/>
          </w:tcPr>
          <w:p>
            <w:pPr>
              <w:spacing w:after="0"/>
              <w:rPr>
                <w:sz w:val="24"/>
                <w:szCs w:val="24"/>
                <w:color w:val="auto"/>
              </w:rPr>
            </w:pPr>
          </w:p>
        </w:tc>
        <w:tc>
          <w:tcPr>
            <w:tcW w:w="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6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6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64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basic</w:t>
            </w: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346.4</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331.0</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338.8</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332.7</w:t>
            </w:r>
          </w:p>
        </w:tc>
        <w:tc>
          <w:tcPr>
            <w:tcW w:w="0" w:type="dxa"/>
            <w:vAlign w:val="bottom"/>
          </w:tcPr>
          <w:p>
            <w:pPr>
              <w:spacing w:after="0"/>
              <w:rPr>
                <w:sz w:val="1"/>
                <w:szCs w:val="1"/>
                <w:color w:val="auto"/>
              </w:rPr>
            </w:pPr>
          </w:p>
        </w:tc>
      </w:tr>
      <w:tr>
        <w:trPr>
          <w:trHeight w:val="237"/>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diluted</w:t>
            </w:r>
          </w:p>
        </w:tc>
        <w:tc>
          <w:tcPr>
            <w:tcW w:w="1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346.5</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331.0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338.9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332.7</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Net income (loss) per common share - basic and diluted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(0.43)</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0.25</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0" w:type="dxa"/>
            <w:vAlign w:val="bottom"/>
          </w:tcPr>
          <w:p>
            <w:pPr>
              <w:spacing w:after="0"/>
              <w:rPr>
                <w:sz w:val="1"/>
                <w:szCs w:val="1"/>
                <w:color w:val="auto"/>
              </w:rPr>
            </w:pPr>
          </w:p>
        </w:tc>
      </w:tr>
      <w:tr>
        <w:trPr>
          <w:trHeight w:val="237"/>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per common share - basic and diluted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0.73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0.75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0.74</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Dividends declared per common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0.60</w:t>
            </w:r>
          </w:p>
        </w:tc>
        <w:tc>
          <w:tcPr>
            <w:tcW w:w="100" w:type="dxa"/>
            <w:vAlign w:val="bottom"/>
          </w:tcPr>
          <w:p>
            <w:pPr>
              <w:spacing w:after="0"/>
              <w:rPr>
                <w:sz w:val="20"/>
                <w:szCs w:val="20"/>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1.20</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760"/>
          </w:cols>
          <w:pgMar w:left="580" w:top="804" w:right="559" w:bottom="1440" w:gutter="0" w:footer="0" w:header="0"/>
        </w:sectPr>
      </w:pPr>
    </w:p>
    <w:bookmarkStart w:id="37" w:name="page38"/>
    <w:bookmarkEnd w:id="37"/>
    <w:p>
      <w:pPr>
        <w:spacing w:after="0" w:line="2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Other Data (unaudited) *</w:t>
      </w:r>
    </w:p>
    <w:p>
      <w:pPr>
        <w:spacing w:after="0" w:line="11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Average investment securities - at par</w:t>
      </w:r>
    </w:p>
    <w:p>
      <w:pPr>
        <w:spacing w:after="0" w:line="1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Average investment securities - at cost</w:t>
      </w:r>
    </w:p>
    <w:p>
      <w:pPr>
        <w:spacing w:after="0" w:line="1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Average net TBA portfolio - at cost</w:t>
      </w:r>
    </w:p>
    <w:p>
      <w:pPr>
        <w:spacing w:after="0" w:line="1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Average total assets - at fair value</w:t>
      </w:r>
    </w:p>
    <w:p>
      <w:pPr>
        <w:spacing w:after="0" w:line="1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 xml:space="preserve">Average mortgage borrowings outstanding </w:t>
      </w:r>
      <w:r>
        <w:rPr>
          <w:rFonts w:ascii="Times New Roman" w:cs="Times New Roman" w:eastAsia="Times New Roman" w:hAnsi="Times New Roman"/>
          <w:sz w:val="8"/>
          <w:szCs w:val="8"/>
          <w:color w:val="auto"/>
        </w:rPr>
        <w:t>4</w:t>
      </w:r>
    </w:p>
    <w:p>
      <w:pPr>
        <w:spacing w:after="0" w:line="1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 xml:space="preserve">Average stockholders' equity </w:t>
      </w:r>
      <w:r>
        <w:rPr>
          <w:rFonts w:ascii="Times New Roman" w:cs="Times New Roman" w:eastAsia="Times New Roman" w:hAnsi="Times New Roman"/>
          <w:sz w:val="8"/>
          <w:szCs w:val="8"/>
          <w:color w:val="auto"/>
        </w:rPr>
        <w:t>5</w:t>
      </w:r>
    </w:p>
    <w:p>
      <w:pPr>
        <w:spacing w:after="0" w:line="1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 xml:space="preserve">Average coupon </w:t>
      </w:r>
      <w:r>
        <w:rPr>
          <w:rFonts w:ascii="Times New Roman" w:cs="Times New Roman" w:eastAsia="Times New Roman" w:hAnsi="Times New Roman"/>
          <w:sz w:val="8"/>
          <w:szCs w:val="8"/>
          <w:color w:val="auto"/>
        </w:rPr>
        <w:t>6</w:t>
      </w:r>
    </w:p>
    <w:p>
      <w:pPr>
        <w:spacing w:after="0" w:line="1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 xml:space="preserve">Average asset yield </w:t>
      </w:r>
      <w:r>
        <w:rPr>
          <w:rFonts w:ascii="Times New Roman" w:cs="Times New Roman" w:eastAsia="Times New Roman" w:hAnsi="Times New Roman"/>
          <w:sz w:val="8"/>
          <w:szCs w:val="8"/>
          <w:color w:val="auto"/>
        </w:rPr>
        <w:t>7</w:t>
      </w:r>
    </w:p>
    <w:p>
      <w:pPr>
        <w:spacing w:after="0" w:line="1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 xml:space="preserve">Average cost of funds </w:t>
      </w:r>
      <w:r>
        <w:rPr>
          <w:rFonts w:ascii="Times New Roman" w:cs="Times New Roman" w:eastAsia="Times New Roman" w:hAnsi="Times New Roman"/>
          <w:sz w:val="8"/>
          <w:szCs w:val="8"/>
          <w:color w:val="auto"/>
        </w:rPr>
        <w:t>8</w:t>
      </w:r>
    </w:p>
    <w:p>
      <w:pPr>
        <w:spacing w:after="0" w:line="1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Average net interest rate spread</w:t>
      </w:r>
    </w:p>
    <w:p>
      <w:pPr>
        <w:spacing w:after="0" w:line="1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 xml:space="preserve">Average net interest rate spread, including TBA dollar roll income </w:t>
      </w:r>
      <w:r>
        <w:rPr>
          <w:rFonts w:ascii="Times New Roman" w:cs="Times New Roman" w:eastAsia="Times New Roman" w:hAnsi="Times New Roman"/>
          <w:sz w:val="8"/>
          <w:szCs w:val="8"/>
          <w:color w:val="auto"/>
        </w:rPr>
        <w:t>9</w:t>
      </w:r>
    </w:p>
    <w:p>
      <w:pPr>
        <w:spacing w:after="0" w:line="1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 xml:space="preserve">Average coupon </w:t>
      </w:r>
      <w:r>
        <w:rPr>
          <w:rFonts w:ascii="Times New Roman" w:cs="Times New Roman" w:eastAsia="Times New Roman" w:hAnsi="Times New Roman"/>
          <w:sz w:val="14"/>
          <w:szCs w:val="14"/>
          <w:i w:val="1"/>
          <w:iCs w:val="1"/>
          <w:color w:val="auto"/>
        </w:rPr>
        <w:t>(as of period end)</w:t>
      </w:r>
    </w:p>
    <w:p>
      <w:pPr>
        <w:spacing w:after="0" w:line="1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 xml:space="preserve">Average asset yield </w:t>
      </w:r>
      <w:r>
        <w:rPr>
          <w:rFonts w:ascii="Times New Roman" w:cs="Times New Roman" w:eastAsia="Times New Roman" w:hAnsi="Times New Roman"/>
          <w:sz w:val="14"/>
          <w:szCs w:val="14"/>
          <w:i w:val="1"/>
          <w:iCs w:val="1"/>
          <w:color w:val="auto"/>
        </w:rPr>
        <w:t>(as of period end)</w:t>
      </w:r>
    </w:p>
    <w:p>
      <w:pPr>
        <w:spacing w:after="0" w:line="1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 xml:space="preserve">Average cost of funds </w:t>
      </w:r>
      <w:r>
        <w:rPr>
          <w:rFonts w:ascii="Times New Roman" w:cs="Times New Roman" w:eastAsia="Times New Roman" w:hAnsi="Times New Roman"/>
          <w:sz w:val="14"/>
          <w:szCs w:val="14"/>
          <w:i w:val="1"/>
          <w:iCs w:val="1"/>
          <w:color w:val="auto"/>
        </w:rPr>
        <w:t>(as of period end)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8"/>
          <w:szCs w:val="8"/>
          <w:color w:val="auto"/>
        </w:rPr>
        <w:t>10</w:t>
      </w:r>
    </w:p>
    <w:p>
      <w:pPr>
        <w:spacing w:after="0" w:line="1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 xml:space="preserve">Average net interest rate spread </w:t>
      </w:r>
      <w:r>
        <w:rPr>
          <w:rFonts w:ascii="Times New Roman" w:cs="Times New Roman" w:eastAsia="Times New Roman" w:hAnsi="Times New Roman"/>
          <w:sz w:val="14"/>
          <w:szCs w:val="14"/>
          <w:i w:val="1"/>
          <w:iCs w:val="1"/>
          <w:color w:val="auto"/>
        </w:rPr>
        <w:t>(as of period end)</w:t>
      </w:r>
    </w:p>
    <w:p>
      <w:pPr>
        <w:spacing w:after="0" w:line="11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 xml:space="preserve">Economic return on common equity - unannualized </w:t>
      </w:r>
      <w:r>
        <w:rPr>
          <w:rFonts w:ascii="Times New Roman" w:cs="Times New Roman" w:eastAsia="Times New Roman" w:hAnsi="Times New Roman"/>
          <w:sz w:val="8"/>
          <w:szCs w:val="8"/>
          <w:color w:val="auto"/>
        </w:rPr>
        <w:t>11</w:t>
      </w:r>
    </w:p>
    <w:p>
      <w:pPr>
        <w:spacing w:after="0" w:line="1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 xml:space="preserve">Economic return on tangible common equity - unannualized </w:t>
      </w:r>
      <w:r>
        <w:rPr>
          <w:rFonts w:ascii="Times New Roman" w:cs="Times New Roman" w:eastAsia="Times New Roman" w:hAnsi="Times New Roman"/>
          <w:sz w:val="8"/>
          <w:szCs w:val="8"/>
          <w:color w:val="auto"/>
        </w:rPr>
        <w:t>12</w:t>
      </w:r>
    </w:p>
    <w:p>
      <w:pPr>
        <w:spacing w:after="0" w:line="1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 xml:space="preserve">Average "at risk" leverage </w:t>
      </w:r>
      <w:r>
        <w:rPr>
          <w:rFonts w:ascii="Times New Roman" w:cs="Times New Roman" w:eastAsia="Times New Roman" w:hAnsi="Times New Roman"/>
          <w:sz w:val="8"/>
          <w:szCs w:val="8"/>
          <w:color w:val="auto"/>
        </w:rPr>
        <w:t>13</w:t>
      </w:r>
    </w:p>
    <w:p>
      <w:pPr>
        <w:spacing w:after="0" w:line="1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 xml:space="preserve">Average tangible net book value "at risk" leverage </w:t>
      </w:r>
      <w:r>
        <w:rPr>
          <w:rFonts w:ascii="Times New Roman" w:cs="Times New Roman" w:eastAsia="Times New Roman" w:hAnsi="Times New Roman"/>
          <w:sz w:val="8"/>
          <w:szCs w:val="8"/>
          <w:color w:val="auto"/>
        </w:rPr>
        <w:t>15</w:t>
      </w:r>
    </w:p>
    <w:p>
      <w:pPr>
        <w:spacing w:after="0" w:line="1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 xml:space="preserve">"At risk" leverage </w:t>
      </w:r>
      <w:r>
        <w:rPr>
          <w:rFonts w:ascii="Times New Roman" w:cs="Times New Roman" w:eastAsia="Times New Roman" w:hAnsi="Times New Roman"/>
          <w:sz w:val="14"/>
          <w:szCs w:val="14"/>
          <w:i w:val="1"/>
          <w:iCs w:val="1"/>
          <w:color w:val="auto"/>
        </w:rPr>
        <w:t>(as of period end)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8"/>
          <w:szCs w:val="8"/>
          <w:color w:val="auto"/>
        </w:rPr>
        <w:t>14</w:t>
      </w:r>
    </w:p>
    <w:p>
      <w:pPr>
        <w:spacing w:after="0" w:line="1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 xml:space="preserve">Tangible net book value "at risk" leverage </w:t>
      </w:r>
      <w:r>
        <w:rPr>
          <w:rFonts w:ascii="Times New Roman" w:cs="Times New Roman" w:eastAsia="Times New Roman" w:hAnsi="Times New Roman"/>
          <w:sz w:val="14"/>
          <w:szCs w:val="14"/>
          <w:i w:val="1"/>
          <w:iCs w:val="1"/>
          <w:color w:val="auto"/>
        </w:rPr>
        <w:t>(as of period end)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8"/>
          <w:szCs w:val="8"/>
          <w:color w:val="auto"/>
        </w:rPr>
        <w:t>15</w:t>
      </w:r>
    </w:p>
    <w:p>
      <w:pPr>
        <w:spacing w:after="0" w:line="11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Expenses % of average total assets</w:t>
      </w:r>
    </w:p>
    <w:p>
      <w:pPr>
        <w:spacing w:after="0" w:line="1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Expenses % of average assets, including average net TBA position</w:t>
      </w:r>
    </w:p>
    <w:p>
      <w:pPr>
        <w:spacing w:after="0" w:line="1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Expenses % of average stockholders' equity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1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980" w:type="dxa"/>
            <w:vAlign w:val="bottom"/>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94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top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2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top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22"/>
        </w:trPr>
        <w:tc>
          <w:tcPr>
            <w:tcW w:w="9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$41,986</w:t>
            </w:r>
          </w:p>
        </w:tc>
        <w:tc>
          <w:tcPr>
            <w:tcW w:w="120" w:type="dxa"/>
            <w:vAlign w:val="bottom"/>
          </w:tcPr>
          <w:p>
            <w:pPr>
              <w:spacing w:after="0"/>
              <w:rPr>
                <w:sz w:val="19"/>
                <w:szCs w:val="19"/>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$49,544</w:t>
            </w:r>
          </w:p>
        </w:tc>
        <w:tc>
          <w:tcPr>
            <w:tcW w:w="120" w:type="dxa"/>
            <w:vAlign w:val="bottom"/>
          </w:tcPr>
          <w:p>
            <w:pPr>
              <w:spacing w:after="0"/>
              <w:rPr>
                <w:sz w:val="19"/>
                <w:szCs w:val="19"/>
                <w:color w:val="auto"/>
              </w:rPr>
            </w:pPr>
          </w:p>
        </w:tc>
        <w:tc>
          <w:tcPr>
            <w:tcW w:w="9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$42,102</w:t>
            </w:r>
          </w:p>
        </w:tc>
        <w:tc>
          <w:tcPr>
            <w:tcW w:w="100" w:type="dxa"/>
            <w:vAlign w:val="bottom"/>
          </w:tcPr>
          <w:p>
            <w:pPr>
              <w:spacing w:after="0"/>
              <w:rPr>
                <w:sz w:val="19"/>
                <w:szCs w:val="19"/>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$49,116</w:t>
            </w:r>
          </w:p>
        </w:tc>
      </w:tr>
      <w:tr>
        <w:trPr>
          <w:trHeight w:val="270"/>
        </w:trPr>
        <w:tc>
          <w:tcPr>
            <w:tcW w:w="9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$43,992</w:t>
            </w:r>
          </w:p>
        </w:tc>
        <w:tc>
          <w:tcPr>
            <w:tcW w:w="120" w:type="dxa"/>
            <w:vAlign w:val="bottom"/>
          </w:tcPr>
          <w:p>
            <w:pPr>
              <w:spacing w:after="0"/>
              <w:rPr>
                <w:sz w:val="23"/>
                <w:szCs w:val="23"/>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$51,810</w:t>
            </w:r>
          </w:p>
        </w:tc>
        <w:tc>
          <w:tcPr>
            <w:tcW w:w="120" w:type="dxa"/>
            <w:vAlign w:val="bottom"/>
          </w:tcPr>
          <w:p>
            <w:pPr>
              <w:spacing w:after="0"/>
              <w:rPr>
                <w:sz w:val="23"/>
                <w:szCs w:val="23"/>
                <w:color w:val="auto"/>
              </w:rPr>
            </w:pPr>
          </w:p>
        </w:tc>
        <w:tc>
          <w:tcPr>
            <w:tcW w:w="9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$44,083</w:t>
            </w:r>
          </w:p>
        </w:tc>
        <w:tc>
          <w:tcPr>
            <w:tcW w:w="100" w:type="dxa"/>
            <w:vAlign w:val="bottom"/>
          </w:tcPr>
          <w:p>
            <w:pPr>
              <w:spacing w:after="0"/>
              <w:rPr>
                <w:sz w:val="23"/>
                <w:szCs w:val="23"/>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$51,340</w:t>
            </w:r>
          </w:p>
        </w:tc>
      </w:tr>
      <w:tr>
        <w:trPr>
          <w:trHeight w:val="270"/>
        </w:trPr>
        <w:tc>
          <w:tcPr>
            <w:tcW w:w="9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$16,931</w:t>
            </w:r>
          </w:p>
        </w:tc>
        <w:tc>
          <w:tcPr>
            <w:tcW w:w="12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$8,238</w:t>
            </w:r>
          </w:p>
        </w:tc>
        <w:tc>
          <w:tcPr>
            <w:tcW w:w="120" w:type="dxa"/>
            <w:vAlign w:val="bottom"/>
          </w:tcPr>
          <w:p>
            <w:pPr>
              <w:spacing w:after="0"/>
              <w:rPr>
                <w:sz w:val="23"/>
                <w:szCs w:val="23"/>
                <w:color w:val="auto"/>
              </w:rPr>
            </w:pPr>
          </w:p>
        </w:tc>
        <w:tc>
          <w:tcPr>
            <w:tcW w:w="9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$15,205</w:t>
            </w:r>
          </w:p>
        </w:tc>
        <w:tc>
          <w:tcPr>
            <w:tcW w:w="10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$8,191</w:t>
            </w:r>
          </w:p>
        </w:tc>
      </w:tr>
      <w:tr>
        <w:trPr>
          <w:trHeight w:val="270"/>
        </w:trPr>
        <w:tc>
          <w:tcPr>
            <w:tcW w:w="9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$54,241</w:t>
            </w:r>
          </w:p>
        </w:tc>
        <w:tc>
          <w:tcPr>
            <w:tcW w:w="120" w:type="dxa"/>
            <w:vAlign w:val="bottom"/>
          </w:tcPr>
          <w:p>
            <w:pPr>
              <w:spacing w:after="0"/>
              <w:rPr>
                <w:sz w:val="23"/>
                <w:szCs w:val="23"/>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$59,119</w:t>
            </w:r>
          </w:p>
        </w:tc>
        <w:tc>
          <w:tcPr>
            <w:tcW w:w="120" w:type="dxa"/>
            <w:vAlign w:val="bottom"/>
          </w:tcPr>
          <w:p>
            <w:pPr>
              <w:spacing w:after="0"/>
              <w:rPr>
                <w:sz w:val="23"/>
                <w:szCs w:val="23"/>
                <w:color w:val="auto"/>
              </w:rPr>
            </w:pPr>
          </w:p>
        </w:tc>
        <w:tc>
          <w:tcPr>
            <w:tcW w:w="9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$54,441</w:t>
            </w:r>
          </w:p>
        </w:tc>
        <w:tc>
          <w:tcPr>
            <w:tcW w:w="100" w:type="dxa"/>
            <w:vAlign w:val="bottom"/>
          </w:tcPr>
          <w:p>
            <w:pPr>
              <w:spacing w:after="0"/>
              <w:rPr>
                <w:sz w:val="23"/>
                <w:szCs w:val="23"/>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$57,928</w:t>
            </w:r>
          </w:p>
        </w:tc>
      </w:tr>
      <w:tr>
        <w:trPr>
          <w:trHeight w:val="270"/>
        </w:trPr>
        <w:tc>
          <w:tcPr>
            <w:tcW w:w="9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$38,945</w:t>
            </w:r>
          </w:p>
        </w:tc>
        <w:tc>
          <w:tcPr>
            <w:tcW w:w="120" w:type="dxa"/>
            <w:vAlign w:val="bottom"/>
          </w:tcPr>
          <w:p>
            <w:pPr>
              <w:spacing w:after="0"/>
              <w:rPr>
                <w:sz w:val="23"/>
                <w:szCs w:val="23"/>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$46,948</w:t>
            </w:r>
          </w:p>
        </w:tc>
        <w:tc>
          <w:tcPr>
            <w:tcW w:w="120" w:type="dxa"/>
            <w:vAlign w:val="bottom"/>
          </w:tcPr>
          <w:p>
            <w:pPr>
              <w:spacing w:after="0"/>
              <w:rPr>
                <w:sz w:val="23"/>
                <w:szCs w:val="23"/>
                <w:color w:val="auto"/>
              </w:rPr>
            </w:pPr>
          </w:p>
        </w:tc>
        <w:tc>
          <w:tcPr>
            <w:tcW w:w="9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$39,073</w:t>
            </w:r>
          </w:p>
        </w:tc>
        <w:tc>
          <w:tcPr>
            <w:tcW w:w="100" w:type="dxa"/>
            <w:vAlign w:val="bottom"/>
          </w:tcPr>
          <w:p>
            <w:pPr>
              <w:spacing w:after="0"/>
              <w:rPr>
                <w:sz w:val="23"/>
                <w:szCs w:val="23"/>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$46,437</w:t>
            </w:r>
          </w:p>
        </w:tc>
      </w:tr>
      <w:tr>
        <w:trPr>
          <w:trHeight w:val="270"/>
        </w:trPr>
        <w:tc>
          <w:tcPr>
            <w:tcW w:w="9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$7,552</w:t>
            </w:r>
          </w:p>
        </w:tc>
        <w:tc>
          <w:tcPr>
            <w:tcW w:w="12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$7,722</w:t>
            </w:r>
          </w:p>
        </w:tc>
        <w:tc>
          <w:tcPr>
            <w:tcW w:w="120" w:type="dxa"/>
            <w:vAlign w:val="bottom"/>
          </w:tcPr>
          <w:p>
            <w:pPr>
              <w:spacing w:after="0"/>
              <w:rPr>
                <w:sz w:val="23"/>
                <w:szCs w:val="23"/>
                <w:color w:val="auto"/>
              </w:rPr>
            </w:pPr>
          </w:p>
        </w:tc>
        <w:tc>
          <w:tcPr>
            <w:tcW w:w="9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$7,451</w:t>
            </w:r>
          </w:p>
        </w:tc>
        <w:tc>
          <w:tcPr>
            <w:tcW w:w="10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$7,762</w:t>
            </w:r>
          </w:p>
        </w:tc>
      </w:tr>
      <w:tr>
        <w:trPr>
          <w:trHeight w:val="270"/>
        </w:trPr>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3.70 %</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3.63 %</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3.68 %</w:t>
            </w:r>
          </w:p>
        </w:tc>
        <w:tc>
          <w:tcPr>
            <w:tcW w:w="1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3.63 %</w:t>
            </w:r>
          </w:p>
        </w:tc>
      </w:tr>
      <w:tr>
        <w:trPr>
          <w:trHeight w:val="270"/>
        </w:trPr>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2.66 %</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2.46 %</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2.67 %</w:t>
            </w:r>
          </w:p>
        </w:tc>
        <w:tc>
          <w:tcPr>
            <w:tcW w:w="1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2.39 %</w:t>
            </w:r>
          </w:p>
        </w:tc>
      </w:tr>
      <w:tr>
        <w:trPr>
          <w:trHeight w:val="270"/>
        </w:trPr>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r>
      <w:tr>
        <w:trPr>
          <w:trHeight w:val="270"/>
        </w:trPr>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1.15 %</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1.17 %</w:t>
            </w:r>
          </w:p>
        </w:tc>
        <w:tc>
          <w:tcPr>
            <w:tcW w:w="1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0.84 %</w:t>
            </w:r>
          </w:p>
        </w:tc>
      </w:tr>
      <w:tr>
        <w:trPr>
          <w:trHeight w:val="270"/>
        </w:trPr>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1.46 %</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1.16 %</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1.45 %</w:t>
            </w:r>
          </w:p>
        </w:tc>
        <w:tc>
          <w:tcPr>
            <w:tcW w:w="1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1.05 %</w:t>
            </w:r>
          </w:p>
        </w:tc>
      </w:tr>
      <w:tr>
        <w:trPr>
          <w:trHeight w:val="270"/>
        </w:trPr>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3.70 %</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3.63 %</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3.70 %</w:t>
            </w:r>
          </w:p>
        </w:tc>
        <w:tc>
          <w:tcPr>
            <w:tcW w:w="1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3.63 %</w:t>
            </w:r>
          </w:p>
        </w:tc>
      </w:tr>
      <w:tr>
        <w:trPr>
          <w:trHeight w:val="270"/>
        </w:trPr>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2.84 %</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2.68 %</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2.84 %</w:t>
            </w:r>
          </w:p>
        </w:tc>
        <w:tc>
          <w:tcPr>
            <w:tcW w:w="1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2.68 %</w:t>
            </w:r>
          </w:p>
        </w:tc>
      </w:tr>
      <w:tr>
        <w:trPr>
          <w:trHeight w:val="270"/>
        </w:trPr>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r>
      <w:tr>
        <w:trPr>
          <w:trHeight w:val="270"/>
        </w:trPr>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1.28 %</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1.33 %</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1.28 %</w:t>
            </w:r>
          </w:p>
        </w:tc>
        <w:tc>
          <w:tcPr>
            <w:tcW w:w="1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1.33 %</w:t>
            </w:r>
          </w:p>
        </w:tc>
      </w:tr>
      <w:tr>
        <w:trPr>
          <w:trHeight w:val="270"/>
        </w:trPr>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3.7 %</w:t>
            </w:r>
          </w:p>
        </w:tc>
      </w:tr>
      <w:tr>
        <w:trPr>
          <w:trHeight w:val="270"/>
        </w:trPr>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20" w:type="dxa"/>
            <w:vAlign w:val="bottom"/>
          </w:tcPr>
          <w:p>
            <w:pPr>
              <w:spacing w:after="0"/>
              <w:rPr>
                <w:sz w:val="23"/>
                <w:szCs w:val="23"/>
                <w:color w:val="auto"/>
              </w:rPr>
            </w:pPr>
          </w:p>
        </w:tc>
        <w:tc>
          <w:tcPr>
            <w:tcW w:w="106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N/A</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100" w:type="dxa"/>
            <w:vAlign w:val="bottom"/>
          </w:tcPr>
          <w:p>
            <w:pPr>
              <w:spacing w:after="0"/>
              <w:rPr>
                <w:sz w:val="23"/>
                <w:szCs w:val="23"/>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N/A</w:t>
            </w:r>
          </w:p>
        </w:tc>
      </w:tr>
      <w:tr>
        <w:trPr>
          <w:trHeight w:val="270"/>
        </w:trPr>
        <w:tc>
          <w:tcPr>
            <w:tcW w:w="9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7.4:1</w:t>
            </w:r>
          </w:p>
        </w:tc>
        <w:tc>
          <w:tcPr>
            <w:tcW w:w="120" w:type="dxa"/>
            <w:vAlign w:val="bottom"/>
          </w:tcPr>
          <w:p>
            <w:pPr>
              <w:spacing w:after="0"/>
              <w:rPr>
                <w:sz w:val="23"/>
                <w:szCs w:val="23"/>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7.2:1</w:t>
            </w:r>
          </w:p>
        </w:tc>
        <w:tc>
          <w:tcPr>
            <w:tcW w:w="120" w:type="dxa"/>
            <w:vAlign w:val="bottom"/>
          </w:tcPr>
          <w:p>
            <w:pPr>
              <w:spacing w:after="0"/>
              <w:rPr>
                <w:sz w:val="23"/>
                <w:szCs w:val="23"/>
                <w:color w:val="auto"/>
              </w:rPr>
            </w:pPr>
          </w:p>
        </w:tc>
        <w:tc>
          <w:tcPr>
            <w:tcW w:w="9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7.3:1</w:t>
            </w:r>
          </w:p>
        </w:tc>
        <w:tc>
          <w:tcPr>
            <w:tcW w:w="100" w:type="dxa"/>
            <w:vAlign w:val="bottom"/>
          </w:tcPr>
          <w:p>
            <w:pPr>
              <w:spacing w:after="0"/>
              <w:rPr>
                <w:sz w:val="23"/>
                <w:szCs w:val="23"/>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7.1:1</w:t>
            </w:r>
          </w:p>
        </w:tc>
      </w:tr>
      <w:tr>
        <w:trPr>
          <w:trHeight w:val="270"/>
        </w:trPr>
        <w:tc>
          <w:tcPr>
            <w:tcW w:w="9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8.0:1</w:t>
            </w:r>
          </w:p>
        </w:tc>
        <w:tc>
          <w:tcPr>
            <w:tcW w:w="120" w:type="dxa"/>
            <w:vAlign w:val="bottom"/>
          </w:tcPr>
          <w:p>
            <w:pPr>
              <w:spacing w:after="0"/>
              <w:rPr>
                <w:sz w:val="23"/>
                <w:szCs w:val="23"/>
                <w:color w:val="auto"/>
              </w:rPr>
            </w:pPr>
          </w:p>
        </w:tc>
        <w:tc>
          <w:tcPr>
            <w:tcW w:w="106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N/A</w:t>
            </w:r>
          </w:p>
        </w:tc>
        <w:tc>
          <w:tcPr>
            <w:tcW w:w="9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7.9:1</w:t>
            </w:r>
          </w:p>
        </w:tc>
        <w:tc>
          <w:tcPr>
            <w:tcW w:w="100" w:type="dxa"/>
            <w:vAlign w:val="bottom"/>
          </w:tcPr>
          <w:p>
            <w:pPr>
              <w:spacing w:after="0"/>
              <w:rPr>
                <w:sz w:val="23"/>
                <w:szCs w:val="23"/>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N/A</w:t>
            </w:r>
          </w:p>
        </w:tc>
      </w:tr>
      <w:tr>
        <w:trPr>
          <w:trHeight w:val="270"/>
        </w:trPr>
        <w:tc>
          <w:tcPr>
            <w:tcW w:w="9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7.5:1</w:t>
            </w:r>
          </w:p>
        </w:tc>
        <w:tc>
          <w:tcPr>
            <w:tcW w:w="120" w:type="dxa"/>
            <w:vAlign w:val="bottom"/>
          </w:tcPr>
          <w:p>
            <w:pPr>
              <w:spacing w:after="0"/>
              <w:rPr>
                <w:sz w:val="23"/>
                <w:szCs w:val="23"/>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7.2:1</w:t>
            </w:r>
          </w:p>
        </w:tc>
        <w:tc>
          <w:tcPr>
            <w:tcW w:w="120" w:type="dxa"/>
            <w:vAlign w:val="bottom"/>
          </w:tcPr>
          <w:p>
            <w:pPr>
              <w:spacing w:after="0"/>
              <w:rPr>
                <w:sz w:val="23"/>
                <w:szCs w:val="23"/>
                <w:color w:val="auto"/>
              </w:rPr>
            </w:pPr>
          </w:p>
        </w:tc>
        <w:tc>
          <w:tcPr>
            <w:tcW w:w="9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7.5:1</w:t>
            </w:r>
          </w:p>
        </w:tc>
        <w:tc>
          <w:tcPr>
            <w:tcW w:w="100" w:type="dxa"/>
            <w:vAlign w:val="bottom"/>
          </w:tcPr>
          <w:p>
            <w:pPr>
              <w:spacing w:after="0"/>
              <w:rPr>
                <w:sz w:val="23"/>
                <w:szCs w:val="23"/>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7.2:1</w:t>
            </w:r>
          </w:p>
        </w:tc>
      </w:tr>
      <w:tr>
        <w:trPr>
          <w:trHeight w:val="270"/>
        </w:trPr>
        <w:tc>
          <w:tcPr>
            <w:tcW w:w="9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8.1:1</w:t>
            </w:r>
          </w:p>
        </w:tc>
        <w:tc>
          <w:tcPr>
            <w:tcW w:w="120" w:type="dxa"/>
            <w:vAlign w:val="bottom"/>
          </w:tcPr>
          <w:p>
            <w:pPr>
              <w:spacing w:after="0"/>
              <w:rPr>
                <w:sz w:val="23"/>
                <w:szCs w:val="23"/>
                <w:color w:val="auto"/>
              </w:rPr>
            </w:pPr>
          </w:p>
        </w:tc>
        <w:tc>
          <w:tcPr>
            <w:tcW w:w="106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N/A</w:t>
            </w:r>
          </w:p>
        </w:tc>
        <w:tc>
          <w:tcPr>
            <w:tcW w:w="9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8.1:1</w:t>
            </w:r>
          </w:p>
        </w:tc>
        <w:tc>
          <w:tcPr>
            <w:tcW w:w="100" w:type="dxa"/>
            <w:vAlign w:val="bottom"/>
          </w:tcPr>
          <w:p>
            <w:pPr>
              <w:spacing w:after="0"/>
              <w:rPr>
                <w:sz w:val="23"/>
                <w:szCs w:val="23"/>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N/A</w:t>
            </w:r>
          </w:p>
        </w:tc>
      </w:tr>
      <w:tr>
        <w:trPr>
          <w:trHeight w:val="270"/>
        </w:trPr>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0.12 %</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0.27 %</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0.12 %</w:t>
            </w:r>
          </w:p>
        </w:tc>
        <w:tc>
          <w:tcPr>
            <w:tcW w:w="1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0.25 %</w:t>
            </w:r>
          </w:p>
        </w:tc>
      </w:tr>
      <w:tr>
        <w:trPr>
          <w:trHeight w:val="270"/>
        </w:trPr>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0.09 %</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0.24 %</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0.09 %</w:t>
            </w:r>
          </w:p>
        </w:tc>
        <w:tc>
          <w:tcPr>
            <w:tcW w:w="1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0.22 %</w:t>
            </w:r>
          </w:p>
        </w:tc>
      </w:tr>
      <w:tr>
        <w:trPr>
          <w:trHeight w:val="270"/>
        </w:trPr>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0.85 %</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2.08 %</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0.89 %</w:t>
            </w:r>
          </w:p>
        </w:tc>
        <w:tc>
          <w:tcPr>
            <w:tcW w:w="1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-4233545</wp:posOffset>
            </wp:positionH>
            <wp:positionV relativeFrom="paragraph">
              <wp:posOffset>-3751580</wp:posOffset>
            </wp:positionV>
            <wp:extent cx="684339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43395" cy="171450"/>
                    </a:xfrm>
                    <a:prstGeom prst="rect">
                      <a:avLst/>
                    </a:prstGeom>
                    <a:noFill/>
                  </pic:spPr>
                </pic:pic>
              </a:graphicData>
            </a:graphic>
          </wp:anchor>
        </w:drawing>
        <w:drawing>
          <wp:anchor simplePos="0" relativeHeight="251657728" behindDoc="1" locked="0" layoutInCell="0" allowOverlap="1">
            <wp:simplePos x="0" y="0"/>
            <wp:positionH relativeFrom="column">
              <wp:posOffset>-4233545</wp:posOffset>
            </wp:positionH>
            <wp:positionV relativeFrom="paragraph">
              <wp:posOffset>-3408680</wp:posOffset>
            </wp:positionV>
            <wp:extent cx="684339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43395" cy="171450"/>
                    </a:xfrm>
                    <a:prstGeom prst="rect">
                      <a:avLst/>
                    </a:prstGeom>
                    <a:noFill/>
                  </pic:spPr>
                </pic:pic>
              </a:graphicData>
            </a:graphic>
          </wp:anchor>
        </w:drawing>
        <w:drawing>
          <wp:anchor simplePos="0" relativeHeight="251657728" behindDoc="1" locked="0" layoutInCell="0" allowOverlap="1">
            <wp:simplePos x="0" y="0"/>
            <wp:positionH relativeFrom="column">
              <wp:posOffset>-4233545</wp:posOffset>
            </wp:positionH>
            <wp:positionV relativeFrom="paragraph">
              <wp:posOffset>-3065780</wp:posOffset>
            </wp:positionV>
            <wp:extent cx="684339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43395" cy="171450"/>
                    </a:xfrm>
                    <a:prstGeom prst="rect">
                      <a:avLst/>
                    </a:prstGeom>
                    <a:noFill/>
                  </pic:spPr>
                </pic:pic>
              </a:graphicData>
            </a:graphic>
          </wp:anchor>
        </w:drawing>
        <w:drawing>
          <wp:anchor simplePos="0" relativeHeight="251657728" behindDoc="1" locked="0" layoutInCell="0" allowOverlap="1">
            <wp:simplePos x="0" y="0"/>
            <wp:positionH relativeFrom="column">
              <wp:posOffset>-4233545</wp:posOffset>
            </wp:positionH>
            <wp:positionV relativeFrom="paragraph">
              <wp:posOffset>-2722880</wp:posOffset>
            </wp:positionV>
            <wp:extent cx="684339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43395" cy="171450"/>
                    </a:xfrm>
                    <a:prstGeom prst="rect">
                      <a:avLst/>
                    </a:prstGeom>
                    <a:noFill/>
                  </pic:spPr>
                </pic:pic>
              </a:graphicData>
            </a:graphic>
          </wp:anchor>
        </w:drawing>
        <w:drawing>
          <wp:anchor simplePos="0" relativeHeight="251657728" behindDoc="1" locked="0" layoutInCell="0" allowOverlap="1">
            <wp:simplePos x="0" y="0"/>
            <wp:positionH relativeFrom="column">
              <wp:posOffset>-4233545</wp:posOffset>
            </wp:positionH>
            <wp:positionV relativeFrom="paragraph">
              <wp:posOffset>-2379345</wp:posOffset>
            </wp:positionV>
            <wp:extent cx="684339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43395" cy="171450"/>
                    </a:xfrm>
                    <a:prstGeom prst="rect">
                      <a:avLst/>
                    </a:prstGeom>
                    <a:noFill/>
                  </pic:spPr>
                </pic:pic>
              </a:graphicData>
            </a:graphic>
          </wp:anchor>
        </w:drawing>
        <w:drawing>
          <wp:anchor simplePos="0" relativeHeight="251657728" behindDoc="1" locked="0" layoutInCell="0" allowOverlap="1">
            <wp:simplePos x="0" y="0"/>
            <wp:positionH relativeFrom="column">
              <wp:posOffset>-4233545</wp:posOffset>
            </wp:positionH>
            <wp:positionV relativeFrom="paragraph">
              <wp:posOffset>-2036445</wp:posOffset>
            </wp:positionV>
            <wp:extent cx="684339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43395" cy="171450"/>
                    </a:xfrm>
                    <a:prstGeom prst="rect">
                      <a:avLst/>
                    </a:prstGeom>
                    <a:noFill/>
                  </pic:spPr>
                </pic:pic>
              </a:graphicData>
            </a:graphic>
          </wp:anchor>
        </w:drawing>
        <w:drawing>
          <wp:anchor simplePos="0" relativeHeight="251657728" behindDoc="1" locked="0" layoutInCell="0" allowOverlap="1">
            <wp:simplePos x="0" y="0"/>
            <wp:positionH relativeFrom="column">
              <wp:posOffset>-4233545</wp:posOffset>
            </wp:positionH>
            <wp:positionV relativeFrom="paragraph">
              <wp:posOffset>-1693545</wp:posOffset>
            </wp:positionV>
            <wp:extent cx="684339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43395" cy="171450"/>
                    </a:xfrm>
                    <a:prstGeom prst="rect">
                      <a:avLst/>
                    </a:prstGeom>
                    <a:noFill/>
                  </pic:spPr>
                </pic:pic>
              </a:graphicData>
            </a:graphic>
          </wp:anchor>
        </w:drawing>
        <w:drawing>
          <wp:anchor simplePos="0" relativeHeight="251657728" behindDoc="1" locked="0" layoutInCell="0" allowOverlap="1">
            <wp:simplePos x="0" y="0"/>
            <wp:positionH relativeFrom="column">
              <wp:posOffset>-4233545</wp:posOffset>
            </wp:positionH>
            <wp:positionV relativeFrom="paragraph">
              <wp:posOffset>-1350645</wp:posOffset>
            </wp:positionV>
            <wp:extent cx="684339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43395" cy="171450"/>
                    </a:xfrm>
                    <a:prstGeom prst="rect">
                      <a:avLst/>
                    </a:prstGeom>
                    <a:noFill/>
                  </pic:spPr>
                </pic:pic>
              </a:graphicData>
            </a:graphic>
          </wp:anchor>
        </w:drawing>
        <w:drawing>
          <wp:anchor simplePos="0" relativeHeight="251657728" behindDoc="1" locked="0" layoutInCell="0" allowOverlap="1">
            <wp:simplePos x="0" y="0"/>
            <wp:positionH relativeFrom="column">
              <wp:posOffset>-4233545</wp:posOffset>
            </wp:positionH>
            <wp:positionV relativeFrom="paragraph">
              <wp:posOffset>-1007745</wp:posOffset>
            </wp:positionV>
            <wp:extent cx="684339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43395" cy="171450"/>
                    </a:xfrm>
                    <a:prstGeom prst="rect">
                      <a:avLst/>
                    </a:prstGeom>
                    <a:noFill/>
                  </pic:spPr>
                </pic:pic>
              </a:graphicData>
            </a:graphic>
          </wp:anchor>
        </w:drawing>
        <w:drawing>
          <wp:anchor simplePos="0" relativeHeight="251657728" behindDoc="1" locked="0" layoutInCell="0" allowOverlap="1">
            <wp:simplePos x="0" y="0"/>
            <wp:positionH relativeFrom="column">
              <wp:posOffset>-4233545</wp:posOffset>
            </wp:positionH>
            <wp:positionV relativeFrom="paragraph">
              <wp:posOffset>-664210</wp:posOffset>
            </wp:positionV>
            <wp:extent cx="684339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43395" cy="171450"/>
                    </a:xfrm>
                    <a:prstGeom prst="rect">
                      <a:avLst/>
                    </a:prstGeom>
                    <a:noFill/>
                  </pic:spPr>
                </pic:pic>
              </a:graphicData>
            </a:graphic>
          </wp:anchor>
        </w:drawing>
        <w:drawing>
          <wp:anchor simplePos="0" relativeHeight="251657728" behindDoc="1" locked="0" layoutInCell="0" allowOverlap="1">
            <wp:simplePos x="0" y="0"/>
            <wp:positionH relativeFrom="column">
              <wp:posOffset>-4233545</wp:posOffset>
            </wp:positionH>
            <wp:positionV relativeFrom="paragraph">
              <wp:posOffset>-321310</wp:posOffset>
            </wp:positionV>
            <wp:extent cx="684339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43395" cy="171450"/>
                    </a:xfrm>
                    <a:prstGeom prst="rect">
                      <a:avLst/>
                    </a:prstGeom>
                    <a:noFill/>
                  </pic:spPr>
                </pic:pic>
              </a:graphicData>
            </a:graphic>
          </wp:anchor>
        </w:drawing>
        <w:drawing>
          <wp:anchor simplePos="0" relativeHeight="251657728" behindDoc="1" locked="0" layoutInCell="0" allowOverlap="1">
            <wp:simplePos x="0" y="0"/>
            <wp:positionH relativeFrom="column">
              <wp:posOffset>-4233545</wp:posOffset>
            </wp:positionH>
            <wp:positionV relativeFrom="paragraph">
              <wp:posOffset>-4094480</wp:posOffset>
            </wp:positionV>
            <wp:extent cx="684339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43395" cy="171450"/>
                    </a:xfrm>
                    <a:prstGeom prst="rect">
                      <a:avLst/>
                    </a:prstGeom>
                    <a:noFill/>
                  </pic:spPr>
                </pic:pic>
              </a:graphicData>
            </a:graphic>
          </wp:anchor>
        </w:drawing>
      </w:r>
    </w:p>
    <w:p>
      <w:pPr>
        <w:spacing w:after="0" w:line="64" w:lineRule="exact"/>
        <w:rPr>
          <w:sz w:val="20"/>
          <w:szCs w:val="20"/>
          <w:color w:val="auto"/>
        </w:rPr>
      </w:pPr>
    </w:p>
    <w:p>
      <w:pPr>
        <w:sectPr>
          <w:pgSz w:w="11900" w:h="16838" w:orient="portrait"/>
          <w:cols w:equalWidth="0" w:num="2">
            <w:col w:w="6280" w:space="720"/>
            <w:col w:w="4420"/>
          </w:cols>
          <w:pgMar w:left="240" w:top="804" w:right="239" w:bottom="1440" w:gutter="0" w:footer="0" w:header="0"/>
        </w:sectPr>
      </w:pPr>
    </w:p>
    <w:p>
      <w:pPr>
        <w:spacing w:after="0"/>
        <w:rPr>
          <w:sz w:val="20"/>
          <w:szCs w:val="20"/>
          <w:color w:val="auto"/>
        </w:rPr>
      </w:pPr>
      <w:r>
        <w:rPr>
          <w:rFonts w:ascii="Times New Roman" w:cs="Times New Roman" w:eastAsia="Times New Roman" w:hAnsi="Times New Roman"/>
          <w:sz w:val="14"/>
          <w:szCs w:val="14"/>
          <w:color w:val="auto"/>
        </w:rPr>
        <w:t>_______________________</w:t>
      </w:r>
    </w:p>
    <w:p>
      <w:pPr>
        <w:spacing w:after="0" w:line="17" w:lineRule="exact"/>
        <w:rPr>
          <w:sz w:val="20"/>
          <w:szCs w:val="20"/>
          <w:color w:val="auto"/>
        </w:rPr>
      </w:pPr>
    </w:p>
    <w:p>
      <w:pPr>
        <w:ind w:left="340" w:right="1360" w:hanging="8"/>
        <w:spacing w:after="0" w:line="258" w:lineRule="auto"/>
        <w:tabs>
          <w:tab w:leader="none" w:pos="448"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noted below, average numbers for each period are weighted based on days on our books and records. All percentages are annualized, unless otherwise noted. N/A - Not applicable</w:t>
      </w:r>
    </w:p>
    <w:p>
      <w:pPr>
        <w:spacing w:after="0" w:line="124" w:lineRule="exact"/>
        <w:rPr>
          <w:sz w:val="20"/>
          <w:szCs w:val="20"/>
          <w:color w:val="auto"/>
        </w:rPr>
      </w:pPr>
    </w:p>
    <w:p>
      <w:pPr>
        <w:ind w:left="980" w:hanging="648"/>
        <w:spacing w:after="0" w:line="253" w:lineRule="auto"/>
        <w:tabs>
          <w:tab w:leader="none" w:pos="65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asset value per common share is calculated as our total stockholders' equity, less our Series A and Series B Preferred Stock aggregate liquidation preference, divided by our number of common shares outstanding as of period end.</w:t>
      </w:r>
    </w:p>
    <w:p>
      <w:pPr>
        <w:ind w:left="660" w:hanging="328"/>
        <w:spacing w:after="0"/>
        <w:tabs>
          <w:tab w:leader="none" w:pos="6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Tangible net asset value per common share excludes goodwill and other intangible assets, net.</w:t>
      </w:r>
    </w:p>
    <w:p>
      <w:pPr>
        <w:spacing w:after="0" w:line="1" w:lineRule="exact"/>
        <w:rPr>
          <w:rFonts w:ascii="Times New Roman" w:cs="Times New Roman" w:eastAsia="Times New Roman" w:hAnsi="Times New Roman"/>
          <w:sz w:val="14"/>
          <w:szCs w:val="14"/>
          <w:color w:val="auto"/>
        </w:rPr>
      </w:pPr>
    </w:p>
    <w:p>
      <w:pPr>
        <w:ind w:left="980" w:hanging="648"/>
        <w:spacing w:after="0" w:line="241" w:lineRule="auto"/>
        <w:tabs>
          <w:tab w:leader="none" w:pos="65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We voluntarily discontinued hedge accounting for our interest rate swaps as of September 30, 2011. Please refer to our </w:t>
      </w:r>
      <w:r>
        <w:rPr>
          <w:rFonts w:ascii="Times New Roman" w:cs="Times New Roman" w:eastAsia="Times New Roman" w:hAnsi="Times New Roman"/>
          <w:sz w:val="14"/>
          <w:szCs w:val="14"/>
          <w:i w:val="1"/>
          <w:iCs w:val="1"/>
          <w:color w:val="auto"/>
        </w:rPr>
        <w:t>Interest Expense and Cost of Funds</w:t>
      </w:r>
      <w:r>
        <w:rPr>
          <w:rFonts w:ascii="Times New Roman" w:cs="Times New Roman" w:eastAsia="Times New Roman" w:hAnsi="Times New Roman"/>
          <w:sz w:val="14"/>
          <w:szCs w:val="14"/>
          <w:color w:val="auto"/>
        </w:rPr>
        <w:t xml:space="preserve"> discussion in </w:t>
      </w:r>
      <w:r>
        <w:rPr>
          <w:rFonts w:ascii="Times New Roman" w:cs="Times New Roman" w:eastAsia="Times New Roman" w:hAnsi="Times New Roman"/>
          <w:sz w:val="14"/>
          <w:szCs w:val="14"/>
          <w:i w:val="1"/>
          <w:iCs w:val="1"/>
          <w:color w:val="auto"/>
        </w:rPr>
        <w:t>Management's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Discussion and Analysis of Financial Condition and Results of Operations </w:t>
      </w:r>
      <w:r>
        <w:rPr>
          <w:rFonts w:ascii="Times New Roman" w:cs="Times New Roman" w:eastAsia="Times New Roman" w:hAnsi="Times New Roman"/>
          <w:sz w:val="14"/>
          <w:szCs w:val="14"/>
          <w:color w:val="auto"/>
        </w:rPr>
        <w:t>and Notes 3 of our</w:t>
      </w:r>
      <w:r>
        <w:rPr>
          <w:rFonts w:ascii="Times New Roman" w:cs="Times New Roman" w:eastAsia="Times New Roman" w:hAnsi="Times New Roman"/>
          <w:sz w:val="14"/>
          <w:szCs w:val="14"/>
          <w:i w:val="1"/>
          <w:iCs w:val="1"/>
          <w:color w:val="auto"/>
        </w:rPr>
        <w:t xml:space="preserve"> Consolidated Financial Statements </w:t>
      </w:r>
      <w:r>
        <w:rPr>
          <w:rFonts w:ascii="Times New Roman" w:cs="Times New Roman" w:eastAsia="Times New Roman" w:hAnsi="Times New Roman"/>
          <w:sz w:val="14"/>
          <w:szCs w:val="14"/>
          <w:color w:val="auto"/>
        </w:rPr>
        <w:t>for additional information regarding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discontinuance of hedge accounting.</w:t>
      </w:r>
    </w:p>
    <w:p>
      <w:pPr>
        <w:spacing w:after="0" w:line="1" w:lineRule="exact"/>
        <w:rPr>
          <w:rFonts w:ascii="Times New Roman" w:cs="Times New Roman" w:eastAsia="Times New Roman" w:hAnsi="Times New Roman"/>
          <w:sz w:val="14"/>
          <w:szCs w:val="14"/>
          <w:color w:val="auto"/>
        </w:rPr>
      </w:pPr>
    </w:p>
    <w:p>
      <w:pPr>
        <w:ind w:left="980" w:hanging="648"/>
        <w:spacing w:after="0" w:line="241" w:lineRule="auto"/>
        <w:tabs>
          <w:tab w:leader="none" w:pos="65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mortgage borrowings include repurchase agreements used to fund Agency securities ("Agency repo"), FHLB advances and debt of consolidated VIEs. Amount excludes U.S. Treasury repo agreements and TBA contracts.</w:t>
      </w:r>
    </w:p>
    <w:p>
      <w:pPr>
        <w:ind w:left="660" w:hanging="328"/>
        <w:spacing w:after="0"/>
        <w:tabs>
          <w:tab w:leader="none" w:pos="6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stockholders' equity calculated as our average month-end stockholders' equity during the period.</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coupon for the period was calculated by dividing our total coupon (or cash) interest income on investment securities by our average investment securities held at par.</w:t>
      </w:r>
    </w:p>
    <w:p>
      <w:pPr>
        <w:spacing w:after="0" w:line="1" w:lineRule="exact"/>
        <w:rPr>
          <w:rFonts w:ascii="Times New Roman" w:cs="Times New Roman" w:eastAsia="Times New Roman" w:hAnsi="Times New Roman"/>
          <w:sz w:val="14"/>
          <w:szCs w:val="14"/>
          <w:color w:val="auto"/>
        </w:rPr>
      </w:pPr>
    </w:p>
    <w:p>
      <w:pPr>
        <w:ind w:left="980" w:hanging="648"/>
        <w:spacing w:after="0" w:line="241" w:lineRule="auto"/>
        <w:tabs>
          <w:tab w:leader="none" w:pos="65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asset yield for the period was calculated by dividing our total cash interest income on investment securities, adjusted for amortization of premiums and discounts, by our average amortized cost of investment securities held.</w:t>
      </w:r>
    </w:p>
    <w:p>
      <w:pPr>
        <w:ind w:left="980" w:hanging="648"/>
        <w:spacing w:after="0" w:line="241" w:lineRule="auto"/>
        <w:tabs>
          <w:tab w:leader="none" w:pos="65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cost of funds includes mortgage borrowings and interest rate swap periodic costs. Amount excludes interest rate swap termination fees, forward starting swaps and costs associated with other supplemental hedges, such as interest rate swaptions and U.S. Treasury positions. Average cost of funds for the period was calculated by dividing our total cost of funds by our average mortgage borrowings outstanding for the period.</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TBA dollar roll income/(loss) is net of short TBAs used for hedging purposes and is recognized in gain (loss) on derivative instruments and other securities, net.</w:t>
      </w:r>
    </w:p>
    <w:p>
      <w:pPr>
        <w:spacing w:after="0" w:line="1" w:lineRule="exact"/>
        <w:rPr>
          <w:rFonts w:ascii="Times New Roman" w:cs="Times New Roman" w:eastAsia="Times New Roman" w:hAnsi="Times New Roman"/>
          <w:sz w:val="14"/>
          <w:szCs w:val="14"/>
          <w:color w:val="auto"/>
        </w:rPr>
      </w:pPr>
    </w:p>
    <w:p>
      <w:pPr>
        <w:ind w:left="980" w:hanging="648"/>
        <w:spacing w:after="0" w:line="241" w:lineRule="auto"/>
        <w:tabs>
          <w:tab w:leader="none" w:pos="65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cost of funds as of period end includes mortgage borrowings outstanding and interest rate swap hedges. Amount excludes costs associated with other supplemental hedges such as swaptions, U.S. Treasuries and TBA positions.</w:t>
      </w:r>
    </w:p>
    <w:p>
      <w:pPr>
        <w:ind w:left="980" w:hanging="648"/>
        <w:spacing w:after="0" w:line="241" w:lineRule="auto"/>
        <w:tabs>
          <w:tab w:leader="none" w:pos="65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return on common equity represents the sum of the change in our net asset value per common share and our dividends declared on common stock during the period over our beginning net asset value per common share.</w:t>
      </w:r>
    </w:p>
    <w:p>
      <w:pPr>
        <w:ind w:left="980" w:hanging="648"/>
        <w:spacing w:after="0" w:line="241" w:lineRule="auto"/>
        <w:tabs>
          <w:tab w:leader="none" w:pos="65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return on tangible common equity represents the sum of the change in our tangible net asset value per common share and our dividends declared on common stock during the period over our beginning tangible net asset value per common share.</w:t>
      </w:r>
    </w:p>
    <w:p>
      <w:pPr>
        <w:ind w:left="980" w:hanging="648"/>
        <w:spacing w:after="0" w:line="258" w:lineRule="auto"/>
        <w:tabs>
          <w:tab w:leader="none" w:pos="65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"at risk" leverage is calculated by dividing the sum of our daily weighted average mortgage borrowings and net TBA dollar position (at cost) outstanding for the period by the sum of our average stockholders' equity less our average investment in REIT equity securities for the period. Leverage excludes U.S. Treasury repurchase agreements.</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804" w:right="239" w:bottom="1440" w:gutter="0" w:footer="0" w:header="0"/>
          <w:type w:val="continuous"/>
        </w:sectPr>
      </w:pPr>
    </w:p>
    <w:bookmarkStart w:id="38" w:name="page39"/>
    <w:bookmarkEnd w:id="38"/>
    <w:p>
      <w:pPr>
        <w:ind w:left="980" w:hanging="648"/>
        <w:spacing w:after="0" w:line="249" w:lineRule="auto"/>
        <w:tabs>
          <w:tab w:leader="none" w:pos="65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risk" leverage as of period end is calculated by dividing the sum of our mortgage borrowings outstanding, our receivable/payable for unsettled investment securities and our net TBA dollar roll position outstanding as of period end (at cost) by the sum of our total stockholders' equity less the fair value of investments in REIT equity securities at period end. Leverage excludes U.S. Treasury repurchase agreements.</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Tangible net book value "at risk" leverage includes the components of "at risk" leverage, with stockholders' equity adjusted to exclude goodwill and other intangible assets, net.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Asset Yield</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interest income for the three and six months ended June 30, 2017 and 2016 (dollars in millions):</w:t>
      </w:r>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39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8"/>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7"/>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2017</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2016</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6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2016</w:t>
            </w:r>
          </w:p>
        </w:tc>
        <w:tc>
          <w:tcPr>
            <w:tcW w:w="6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140" w:type="dxa"/>
            <w:vAlign w:val="bottom"/>
          </w:tcPr>
          <w:p>
            <w:pPr>
              <w:spacing w:after="0"/>
              <w:rPr>
                <w:sz w:val="22"/>
                <w:szCs w:val="22"/>
                <w:color w:val="auto"/>
              </w:rPr>
            </w:pPr>
          </w:p>
        </w:tc>
        <w:tc>
          <w:tcPr>
            <w:tcW w:w="98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140" w:type="dxa"/>
            <w:vAlign w:val="bottom"/>
          </w:tcPr>
          <w:p>
            <w:pPr>
              <w:spacing w:after="0"/>
              <w:rPr>
                <w:sz w:val="22"/>
                <w:szCs w:val="22"/>
                <w:color w:val="auto"/>
              </w:rPr>
            </w:pPr>
          </w:p>
        </w:tc>
        <w:tc>
          <w:tcPr>
            <w:tcW w:w="980" w:type="dxa"/>
            <w:vAlign w:val="bottom"/>
            <w:gridSpan w:val="3"/>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120" w:type="dxa"/>
            <w:vAlign w:val="bottom"/>
          </w:tcPr>
          <w:p>
            <w:pPr>
              <w:spacing w:after="0"/>
              <w:rPr>
                <w:sz w:val="22"/>
                <w:szCs w:val="22"/>
                <w:color w:val="auto"/>
              </w:rPr>
            </w:pPr>
          </w:p>
        </w:tc>
        <w:tc>
          <w:tcPr>
            <w:tcW w:w="100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8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Yield</w:t>
            </w:r>
          </w:p>
        </w:tc>
        <w:tc>
          <w:tcPr>
            <w:tcW w:w="0" w:type="dxa"/>
            <w:vAlign w:val="bottom"/>
          </w:tcPr>
          <w:p>
            <w:pPr>
              <w:spacing w:after="0"/>
              <w:rPr>
                <w:sz w:val="1"/>
                <w:szCs w:val="1"/>
                <w:color w:val="auto"/>
              </w:rPr>
            </w:pPr>
          </w:p>
        </w:tc>
      </w:tr>
      <w:tr>
        <w:trPr>
          <w:trHeight w:val="255"/>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Cash/coupon interest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389</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3.70 %</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452</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3.63 %</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774</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3.68 %</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897</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3.63 %</w:t>
            </w:r>
          </w:p>
        </w:tc>
        <w:tc>
          <w:tcPr>
            <w:tcW w:w="0" w:type="dxa"/>
            <w:vAlign w:val="bottom"/>
          </w:tcPr>
          <w:p>
            <w:pPr>
              <w:spacing w:after="0"/>
              <w:rPr>
                <w:sz w:val="1"/>
                <w:szCs w:val="1"/>
                <w:color w:val="auto"/>
              </w:rPr>
            </w:pPr>
          </w:p>
        </w:tc>
      </w:tr>
      <w:tr>
        <w:trPr>
          <w:trHeight w:val="265"/>
        </w:trPr>
        <w:tc>
          <w:tcPr>
            <w:tcW w:w="3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premium amortization</w:t>
            </w:r>
          </w:p>
        </w:tc>
        <w:tc>
          <w:tcPr>
            <w:tcW w:w="1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(185)</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242"/>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2.39 %</w:t>
            </w:r>
          </w:p>
        </w:tc>
        <w:tc>
          <w:tcPr>
            <w:tcW w:w="0" w:type="dxa"/>
            <w:vAlign w:val="bottom"/>
          </w:tcPr>
          <w:p>
            <w:pPr>
              <w:spacing w:after="0"/>
              <w:rPr>
                <w:sz w:val="1"/>
                <w:szCs w:val="1"/>
                <w:color w:val="auto"/>
              </w:rPr>
            </w:pPr>
          </w:p>
        </w:tc>
      </w:tr>
      <w:tr>
        <w:trPr>
          <w:trHeight w:val="20"/>
        </w:trPr>
        <w:tc>
          <w:tcPr>
            <w:tcW w:w="3920" w:type="dxa"/>
            <w:vAlign w:val="bottom"/>
            <w:vMerge w:val="restart"/>
          </w:tcPr>
          <w:p>
            <w:pPr>
              <w:ind w:left="20"/>
              <w:spacing w:after="0" w:line="147" w:lineRule="exact"/>
              <w:rPr>
                <w:sz w:val="20"/>
                <w:szCs w:val="20"/>
                <w:color w:val="auto"/>
              </w:rPr>
            </w:pPr>
            <w:r>
              <w:rPr>
                <w:rFonts w:ascii="Times New Roman" w:cs="Times New Roman" w:eastAsia="Times New Roman" w:hAnsi="Times New Roman"/>
                <w:sz w:val="14"/>
                <w:szCs w:val="14"/>
                <w:color w:val="auto"/>
              </w:rPr>
              <w:t>Weighted average actual portfolio CPR for securities held during</w:t>
            </w: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39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 period</w:t>
            </w: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92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color w:val="auto"/>
              </w:rPr>
              <w:t>Weighted average projected CPR for the remaining life of</w:t>
            </w:r>
          </w:p>
        </w:tc>
        <w:tc>
          <w:tcPr>
            <w:tcW w:w="12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held as of period end</w:t>
            </w:r>
          </w:p>
        </w:tc>
        <w:tc>
          <w:tcPr>
            <w:tcW w:w="12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Average 30-year fixed rate mortgage rate as of period end </w:t>
            </w:r>
            <w:r>
              <w:rPr>
                <w:rFonts w:ascii="Times New Roman" w:cs="Times New Roman" w:eastAsia="Times New Roman" w:hAnsi="Times New Roman"/>
                <w:sz w:val="8"/>
                <w:szCs w:val="8"/>
                <w:color w:val="auto"/>
              </w:rPr>
              <w:t>1</w:t>
            </w: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10-year U.S. Treasury rate as of period end</w:t>
            </w: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_______________________</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Source: Freddie Mac Primary Fixed Mortgage Rate Mortgage Market Survey</w:t>
      </w:r>
    </w:p>
    <w:p>
      <w:pPr>
        <w:spacing w:after="0" w:line="141"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The principal elements impacting our interest income are the size of our average investment portfolio and the yield on our investments. The following is a summary of the estimated impact of each of these elements on the decrease in interest income for the three and six months ended June 30, 2017 compared to the prior year period (in millions):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Impact of Changes in the Principal Elements Impacting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24765</wp:posOffset>
            </wp:positionV>
            <wp:extent cx="69208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20865" cy="889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Periods ended June 30, 2017 vs. June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24765</wp:posOffset>
            </wp:positionV>
            <wp:extent cx="69208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20865" cy="8890"/>
                    </a:xfrm>
                    <a:prstGeom prst="rect">
                      <a:avLst/>
                    </a:prstGeom>
                    <a:noFill/>
                  </pic:spPr>
                </pic:pic>
              </a:graphicData>
            </a:graphic>
          </wp:anchor>
        </w:drawing>
      </w:r>
    </w:p>
    <w:p>
      <w:pPr>
        <w:spacing w:after="0" w:line="103" w:lineRule="exact"/>
        <w:rPr>
          <w:sz w:val="20"/>
          <w:szCs w:val="20"/>
          <w:color w:val="auto"/>
        </w:rPr>
      </w:pPr>
    </w:p>
    <w:tbl>
      <w:tblPr>
        <w:tblLayout w:type="fixed"/>
        <w:tblInd w:w="260" w:type="dxa"/>
        <w:tblCellMar>
          <w:top w:w="0" w:type="dxa"/>
          <w:left w:w="0" w:type="dxa"/>
          <w:bottom w:w="0" w:type="dxa"/>
          <w:right w:w="0" w:type="dxa"/>
        </w:tblCellMar>
      </w:tblPr>
      <w:tr>
        <w:trPr>
          <w:trHeight w:val="194"/>
        </w:trPr>
        <w:tc>
          <w:tcPr>
            <w:tcW w:w="5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Due to Change in Average</w:t>
            </w:r>
          </w:p>
        </w:tc>
        <w:tc>
          <w:tcPr>
            <w:tcW w:w="1080" w:type="dxa"/>
            <w:vAlign w:val="bottom"/>
            <w:tcBorders>
              <w:bottom w:val="single" w:sz="8" w:color="auto"/>
            </w:tcBorders>
          </w:tcPr>
          <w:p>
            <w:pPr>
              <w:spacing w:after="0"/>
              <w:rPr>
                <w:sz w:val="16"/>
                <w:szCs w:val="16"/>
                <w:color w:val="auto"/>
              </w:rPr>
            </w:pPr>
          </w:p>
        </w:tc>
      </w:tr>
      <w:tr>
        <w:trPr>
          <w:trHeight w:val="151"/>
        </w:trPr>
        <w:tc>
          <w:tcPr>
            <w:tcW w:w="5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gridSpan w:val="2"/>
          </w:tcPr>
          <w:p>
            <w:pPr>
              <w:jc w:val="center"/>
              <w:ind w:right="380"/>
              <w:spacing w:after="0" w:line="151" w:lineRule="exact"/>
              <w:rPr>
                <w:sz w:val="20"/>
                <w:szCs w:val="20"/>
                <w:color w:val="auto"/>
              </w:rPr>
            </w:pPr>
            <w:r>
              <w:rPr>
                <w:rFonts w:ascii="Times New Roman" w:cs="Times New Roman" w:eastAsia="Times New Roman" w:hAnsi="Times New Roman"/>
                <w:sz w:val="14"/>
                <w:szCs w:val="14"/>
                <w:b w:val="1"/>
                <w:bCs w:val="1"/>
                <w:color w:val="auto"/>
              </w:rPr>
              <w:t>Total Increase /</w:t>
            </w:r>
          </w:p>
        </w:tc>
        <w:tc>
          <w:tcPr>
            <w:tcW w:w="380" w:type="dxa"/>
            <w:vAlign w:val="bottom"/>
          </w:tcPr>
          <w:p>
            <w:pPr>
              <w:spacing w:after="0"/>
              <w:rPr>
                <w:sz w:val="13"/>
                <w:szCs w:val="13"/>
                <w:color w:val="auto"/>
              </w:rPr>
            </w:pPr>
          </w:p>
        </w:tc>
        <w:tc>
          <w:tcPr>
            <w:tcW w:w="1580" w:type="dxa"/>
            <w:vAlign w:val="bottom"/>
            <w:gridSpan w:val="2"/>
          </w:tcPr>
          <w:p>
            <w:pPr>
              <w:jc w:val="center"/>
              <w:ind w:right="500"/>
              <w:spacing w:after="0" w:line="151" w:lineRule="exact"/>
              <w:rPr>
                <w:sz w:val="20"/>
                <w:szCs w:val="20"/>
                <w:color w:val="auto"/>
              </w:rPr>
            </w:pPr>
            <w:r>
              <w:rPr>
                <w:rFonts w:ascii="Times New Roman" w:cs="Times New Roman" w:eastAsia="Times New Roman" w:hAnsi="Times New Roman"/>
                <w:sz w:val="14"/>
                <w:szCs w:val="14"/>
                <w:b w:val="1"/>
                <w:bCs w:val="1"/>
                <w:color w:val="auto"/>
              </w:rPr>
              <w:t>Portfolio</w:t>
            </w:r>
          </w:p>
        </w:tc>
        <w:tc>
          <w:tcPr>
            <w:tcW w:w="760" w:type="dxa"/>
            <w:vAlign w:val="bottom"/>
          </w:tcPr>
          <w:p>
            <w:pPr>
              <w:spacing w:after="0"/>
              <w:rPr>
                <w:sz w:val="13"/>
                <w:szCs w:val="13"/>
                <w:color w:val="auto"/>
              </w:rPr>
            </w:pPr>
          </w:p>
        </w:tc>
        <w:tc>
          <w:tcPr>
            <w:tcW w:w="1080" w:type="dxa"/>
            <w:vAlign w:val="bottom"/>
          </w:tcPr>
          <w:p>
            <w:pPr>
              <w:jc w:val="right"/>
              <w:ind w:right="688"/>
              <w:spacing w:after="0" w:line="151" w:lineRule="exact"/>
              <w:rPr>
                <w:sz w:val="20"/>
                <w:szCs w:val="20"/>
                <w:color w:val="auto"/>
              </w:rPr>
            </w:pPr>
            <w:r>
              <w:rPr>
                <w:rFonts w:ascii="Times New Roman" w:cs="Times New Roman" w:eastAsia="Times New Roman" w:hAnsi="Times New Roman"/>
                <w:sz w:val="14"/>
                <w:szCs w:val="14"/>
                <w:b w:val="1"/>
                <w:bCs w:val="1"/>
                <w:color w:val="auto"/>
                <w:w w:val="93"/>
              </w:rPr>
              <w:t>Asset</w:t>
            </w:r>
          </w:p>
        </w:tc>
      </w:tr>
      <w:tr>
        <w:trPr>
          <w:trHeight w:val="195"/>
        </w:trPr>
        <w:tc>
          <w:tcPr>
            <w:tcW w:w="5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380" w:type="dxa"/>
            <w:vAlign w:val="bottom"/>
          </w:tcPr>
          <w:p>
            <w:pPr>
              <w:spacing w:after="0"/>
              <w:rPr>
                <w:sz w:val="16"/>
                <w:szCs w:val="16"/>
                <w:color w:val="auto"/>
              </w:rPr>
            </w:pPr>
          </w:p>
        </w:tc>
        <w:tc>
          <w:tcPr>
            <w:tcW w:w="15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9"/>
              </w:rPr>
              <w:t>Size</w:t>
            </w:r>
          </w:p>
        </w:tc>
        <w:tc>
          <w:tcPr>
            <w:tcW w:w="760" w:type="dxa"/>
            <w:vAlign w:val="bottom"/>
          </w:tcPr>
          <w:p>
            <w:pPr>
              <w:spacing w:after="0"/>
              <w:rPr>
                <w:sz w:val="16"/>
                <w:szCs w:val="16"/>
                <w:color w:val="auto"/>
              </w:rPr>
            </w:pPr>
          </w:p>
        </w:tc>
        <w:tc>
          <w:tcPr>
            <w:tcW w:w="1080" w:type="dxa"/>
            <w:vAlign w:val="bottom"/>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w w:val="93"/>
              </w:rPr>
              <w:t>Yield</w:t>
            </w:r>
          </w:p>
        </w:tc>
      </w:tr>
      <w:tr>
        <w:trPr>
          <w:trHeight w:val="255"/>
        </w:trPr>
        <w:tc>
          <w:tcPr>
            <w:tcW w:w="51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Three months ended</w:t>
            </w: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tcBorders>
              <w:top w:val="single" w:sz="8" w:color="CCEEFF"/>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w:t>
            </w:r>
          </w:p>
        </w:tc>
      </w:tr>
      <w:tr>
        <w:trPr>
          <w:trHeight w:val="260"/>
        </w:trPr>
        <w:tc>
          <w:tcPr>
            <w:tcW w:w="5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Six months ended</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20" w:type="dxa"/>
            <w:vAlign w:val="bottom"/>
          </w:tcPr>
          <w:p>
            <w:pPr>
              <w:spacing w:after="0"/>
              <w:rPr>
                <w:sz w:val="22"/>
                <w:szCs w:val="22"/>
                <w:color w:val="auto"/>
              </w:rPr>
            </w:pPr>
          </w:p>
        </w:tc>
        <w:tc>
          <w:tcPr>
            <w:tcW w:w="76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63</w:t>
            </w:r>
          </w:p>
        </w:tc>
      </w:tr>
    </w:tbl>
    <w:p>
      <w:pPr>
        <w:spacing w:after="0" w:line="28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size of our average investment portfolio decreased in par value, compared to the prior year period, by 15% and 14% for the three and six months ended June 30, 2017, respectively, largely due to a relative shift from investments in Agency RMBS to TBA contracts recognized as derivative assets/(liabilities) on our consolidated financial statements.</w:t>
      </w:r>
    </w:p>
    <w:p>
      <w:pPr>
        <w:spacing w:after="0" w:line="41"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Our average asset yield was 2.66% and 2.67% for the three and six months ended June 30, 2017, respectively, compared to 2.46% and 2.39%, respectively, for the prior year period. Our average asset yield includes "catch-up" premium amortization cost due to changes in CPR forecasts of $13 million and $22 million for the three and six months ended June 30, 2017, respectively, compared to $32 million and $87 million, respectively, for the prior year periods. Excluding "catch-up" premium amortization cost, our average asset yield increased to 2.78% and 2.77% for the three and six months ended June 30, 2017, respectively, compared to 2.70% and 2.73%, respectively, for the prior year period, largely to changes in asset composition.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Leverage</w:t>
      </w:r>
    </w:p>
    <w:p>
      <w:pPr>
        <w:spacing w:after="0" w:line="18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Our primary measure of leverage is our tangible net book value "at risk" leverage ratio. Tangible net book value "at risk" leverage is measured as the sum of our mortgage borrowings (consisting of repurchase agreements used to fund our investment securities ("Agency repo"), FHLB advances and debt of consolidated VIEs), net TBA position (at cost) and our net receivable/payable for unsettled investment securities divided by the sum of our total stockholders' equity adjusted to exclude goodwill and other intangible assets related to our acquisition of AMM on July 1, 2016.</w:t>
      </w:r>
    </w:p>
    <w:p>
      <w:pPr>
        <w:spacing w:after="0" w:line="126"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We include our net TBA position in our measure of leverage because a long TBA position carries similar risks as if we had purchased the underlying Agency RMBS and funded the purchases with on-balance sheet funding liabilities. Similarly, a short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576" w:right="239" w:bottom="1440" w:gutter="0" w:footer="0" w:header="0"/>
        </w:sectPr>
      </w:pPr>
    </w:p>
    <w:bookmarkStart w:id="39" w:name="page40"/>
    <w:bookmarkEnd w:id="39"/>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TBA position has substantially the same effect as selling the underlying Agency RMBS and reducing our on-balance sheet funding commitments. (Refer to </w:t>
      </w:r>
      <w:r>
        <w:rPr>
          <w:rFonts w:ascii="Times New Roman" w:cs="Times New Roman" w:eastAsia="Times New Roman" w:hAnsi="Times New Roman"/>
          <w:sz w:val="18"/>
          <w:szCs w:val="18"/>
          <w:i w:val="1"/>
          <w:iCs w:val="1"/>
          <w:color w:val="auto"/>
        </w:rPr>
        <w:t xml:space="preserve">Liquidity and Capital Resources </w:t>
      </w:r>
      <w:r>
        <w:rPr>
          <w:rFonts w:ascii="Times New Roman" w:cs="Times New Roman" w:eastAsia="Times New Roman" w:hAnsi="Times New Roman"/>
          <w:sz w:val="18"/>
          <w:szCs w:val="18"/>
          <w:color w:val="auto"/>
        </w:rPr>
        <w:t>for further discussion of TBA dollar roll positions). Repurchase agreements used to fund short-term investments in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Treasury securities ("U.S. Treasury repo") are excluded from our measure of leverage due to the temporary and highly liquid nature of these investments.</w:t>
      </w:r>
    </w:p>
    <w:p>
      <w:pPr>
        <w:spacing w:after="0" w:line="122"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Our tangible net book value "at risk" leverage was 8.1x and 7.7x as of June 30, 2017 and December 31, 2016, respectively. The table below presents our average and quarter-end mortgage borrowings, net TBA position and leverage ratios for the periods listed below (dollars 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4"/>
            <w:vMerge w:val="restart"/>
          </w:tcPr>
          <w:p>
            <w:pPr>
              <w:jc w:val="right"/>
              <w:ind w:right="270"/>
              <w:spacing w:after="0"/>
              <w:rPr>
                <w:sz w:val="20"/>
                <w:szCs w:val="20"/>
                <w:color w:val="auto"/>
              </w:rPr>
            </w:pPr>
            <w:r>
              <w:rPr>
                <w:rFonts w:ascii="Times New Roman" w:cs="Times New Roman" w:eastAsia="Times New Roman" w:hAnsi="Times New Roman"/>
                <w:sz w:val="13"/>
                <w:szCs w:val="13"/>
                <w:b w:val="1"/>
                <w:bCs w:val="1"/>
                <w:color w:val="auto"/>
              </w:rPr>
              <w:t>Net TBA Position</w:t>
            </w:r>
          </w:p>
        </w:tc>
        <w:tc>
          <w:tcPr>
            <w:tcW w:w="120" w:type="dxa"/>
            <w:vAlign w:val="bottom"/>
          </w:tcPr>
          <w:p>
            <w:pPr>
              <w:spacing w:after="0"/>
              <w:rPr>
                <w:sz w:val="12"/>
                <w:szCs w:val="12"/>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40" w:type="dxa"/>
            <w:vAlign w:val="bottom"/>
            <w:gridSpan w:val="4"/>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restart"/>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Tangible Net</w:t>
            </w: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900" w:type="dxa"/>
            <w:vAlign w:val="bottom"/>
            <w:gridSpan w:val="6"/>
            <w:vMerge w:val="restart"/>
          </w:tcPr>
          <w:p>
            <w:pPr>
              <w:jc w:val="center"/>
              <w:ind w:left="490"/>
              <w:spacing w:after="0"/>
              <w:rPr>
                <w:sz w:val="20"/>
                <w:szCs w:val="20"/>
                <w:color w:val="auto"/>
              </w:rPr>
            </w:pPr>
            <w:r>
              <w:rPr>
                <w:rFonts w:ascii="Times New Roman" w:cs="Times New Roman" w:eastAsia="Times New Roman" w:hAnsi="Times New Roman"/>
                <w:sz w:val="13"/>
                <w:szCs w:val="13"/>
                <w:b w:val="1"/>
                <w:bCs w:val="1"/>
                <w:color w:val="auto"/>
                <w:w w:val="97"/>
              </w:rPr>
              <w:t xml:space="preserve">Mortgage Borrowings </w:t>
            </w:r>
            <w:r>
              <w:rPr>
                <w:rFonts w:ascii="Times New Roman" w:cs="Times New Roman" w:eastAsia="Times New Roman" w:hAnsi="Times New Roman"/>
                <w:sz w:val="8"/>
                <w:szCs w:val="8"/>
                <w:b w:val="1"/>
                <w:bCs w:val="1"/>
                <w:color w:val="auto"/>
                <w:w w:val="97"/>
              </w:rPr>
              <w:t>1</w:t>
            </w: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40" w:type="dxa"/>
            <w:vAlign w:val="bottom"/>
            <w:gridSpan w:val="4"/>
            <w:vMerge w:val="restart"/>
          </w:tcPr>
          <w:p>
            <w:pPr>
              <w:jc w:val="right"/>
              <w:ind w:right="370"/>
              <w:spacing w:after="0"/>
              <w:rPr>
                <w:sz w:val="20"/>
                <w:szCs w:val="20"/>
                <w:color w:val="auto"/>
              </w:rPr>
            </w:pPr>
            <w:r>
              <w:rPr>
                <w:rFonts w:ascii="Times New Roman" w:cs="Times New Roman" w:eastAsia="Times New Roman" w:hAnsi="Times New Roman"/>
                <w:sz w:val="13"/>
                <w:szCs w:val="13"/>
                <w:b w:val="1"/>
                <w:bCs w:val="1"/>
                <w:color w:val="auto"/>
              </w:rPr>
              <w:t xml:space="preserve">Long/(Short) </w:t>
            </w:r>
            <w:r>
              <w:rPr>
                <w:rFonts w:ascii="Times New Roman" w:cs="Times New Roman" w:eastAsia="Times New Roman" w:hAnsi="Times New Roman"/>
                <w:sz w:val="8"/>
                <w:szCs w:val="8"/>
                <w:b w:val="1"/>
                <w:bCs w:val="1"/>
                <w:color w:val="auto"/>
              </w:rPr>
              <w:t>2</w:t>
            </w:r>
          </w:p>
        </w:tc>
        <w:tc>
          <w:tcPr>
            <w:tcW w:w="12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2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gridSpan w:val="6"/>
            <w:vMerge w:val="continue"/>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100"/>
              <w:spacing w:after="0" w:line="109" w:lineRule="exact"/>
              <w:rPr>
                <w:sz w:val="20"/>
                <w:szCs w:val="20"/>
                <w:color w:val="auto"/>
              </w:rPr>
            </w:pPr>
            <w:r>
              <w:rPr>
                <w:rFonts w:ascii="Times New Roman" w:cs="Times New Roman" w:eastAsia="Times New Roman" w:hAnsi="Times New Roman"/>
                <w:sz w:val="12"/>
                <w:szCs w:val="12"/>
                <w:b w:val="1"/>
                <w:bCs w:val="1"/>
                <w:color w:val="auto"/>
              </w:rPr>
              <w:t>Book Value</w:t>
            </w:r>
          </w:p>
        </w:tc>
        <w:tc>
          <w:tcPr>
            <w:tcW w:w="1020" w:type="dxa"/>
            <w:vAlign w:val="bottom"/>
            <w:gridSpan w:val="2"/>
          </w:tcPr>
          <w:p>
            <w:pPr>
              <w:jc w:val="center"/>
              <w:ind w:right="100"/>
              <w:spacing w:after="0" w:line="109" w:lineRule="exact"/>
              <w:rPr>
                <w:sz w:val="20"/>
                <w:szCs w:val="20"/>
                <w:color w:val="auto"/>
              </w:rPr>
            </w:pPr>
            <w:r>
              <w:rPr>
                <w:rFonts w:ascii="Times New Roman" w:cs="Times New Roman" w:eastAsia="Times New Roman" w:hAnsi="Times New Roman"/>
                <w:sz w:val="12"/>
                <w:szCs w:val="12"/>
                <w:b w:val="1"/>
                <w:bCs w:val="1"/>
                <w:color w:val="auto"/>
              </w:rPr>
              <w:t>Average</w:t>
            </w:r>
          </w:p>
        </w:tc>
        <w:tc>
          <w:tcPr>
            <w:tcW w:w="1020" w:type="dxa"/>
            <w:vAlign w:val="bottom"/>
            <w:gridSpan w:val="2"/>
          </w:tcPr>
          <w:p>
            <w:pPr>
              <w:jc w:val="center"/>
              <w:ind w:right="100"/>
              <w:spacing w:after="0" w:line="109" w:lineRule="exact"/>
              <w:rPr>
                <w:sz w:val="20"/>
                <w:szCs w:val="20"/>
                <w:color w:val="auto"/>
              </w:rPr>
            </w:pPr>
            <w:r>
              <w:rPr>
                <w:rFonts w:ascii="Times New Roman" w:cs="Times New Roman" w:eastAsia="Times New Roman" w:hAnsi="Times New Roman"/>
                <w:sz w:val="12"/>
                <w:szCs w:val="12"/>
                <w:b w:val="1"/>
                <w:bCs w:val="1"/>
                <w:color w:val="auto"/>
              </w:rPr>
              <w:t>Tangible Net</w:t>
            </w: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"At Risk"</w:t>
            </w:r>
          </w:p>
        </w:tc>
        <w:tc>
          <w:tcPr>
            <w:tcW w:w="10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8"/>
              </w:rPr>
              <w:t>"At Risk"</w:t>
            </w:r>
          </w:p>
        </w:tc>
        <w:tc>
          <w:tcPr>
            <w:tcW w:w="10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4"/>
              </w:rPr>
              <w:t>Book Value "At</w:t>
            </w:r>
          </w:p>
        </w:tc>
        <w:tc>
          <w:tcPr>
            <w:tcW w:w="9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"At Risk"</w:t>
            </w: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Leverage</w:t>
            </w:r>
          </w:p>
        </w:tc>
        <w:tc>
          <w:tcPr>
            <w:tcW w:w="10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Leverage</w:t>
            </w:r>
          </w:p>
        </w:tc>
        <w:tc>
          <w:tcPr>
            <w:tcW w:w="10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Risk" Leverage</w:t>
            </w: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Leverage</w:t>
            </w: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Average Daily</w:t>
            </w:r>
          </w:p>
        </w:tc>
        <w:tc>
          <w:tcPr>
            <w:tcW w:w="12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Ending</w:t>
            </w:r>
          </w:p>
        </w:tc>
        <w:tc>
          <w:tcPr>
            <w:tcW w:w="12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Daily</w:t>
            </w:r>
          </w:p>
        </w:tc>
        <w:tc>
          <w:tcPr>
            <w:tcW w:w="140" w:type="dxa"/>
            <w:vAlign w:val="bottom"/>
          </w:tcPr>
          <w:p>
            <w:pPr>
              <w:spacing w:after="0"/>
              <w:rPr>
                <w:sz w:val="11"/>
                <w:szCs w:val="11"/>
                <w:color w:val="auto"/>
              </w:rPr>
            </w:pPr>
          </w:p>
        </w:tc>
        <w:tc>
          <w:tcPr>
            <w:tcW w:w="640" w:type="dxa"/>
            <w:vAlign w:val="bottom"/>
          </w:tcPr>
          <w:p>
            <w:pPr>
              <w:jc w:val="right"/>
              <w:ind w:right="110"/>
              <w:spacing w:after="0" w:line="135" w:lineRule="exact"/>
              <w:rPr>
                <w:sz w:val="20"/>
                <w:szCs w:val="20"/>
                <w:color w:val="auto"/>
              </w:rPr>
            </w:pPr>
            <w:r>
              <w:rPr>
                <w:rFonts w:ascii="Times New Roman" w:cs="Times New Roman" w:eastAsia="Times New Roman" w:hAnsi="Times New Roman"/>
                <w:sz w:val="13"/>
                <w:szCs w:val="13"/>
                <w:b w:val="1"/>
                <w:bCs w:val="1"/>
                <w:color w:val="auto"/>
              </w:rPr>
              <w:t>Ending</w:t>
            </w:r>
          </w:p>
        </w:tc>
        <w:tc>
          <w:tcPr>
            <w:tcW w:w="120" w:type="dxa"/>
            <w:vAlign w:val="bottom"/>
          </w:tcPr>
          <w:p>
            <w:pPr>
              <w:spacing w:after="0"/>
              <w:rPr>
                <w:sz w:val="11"/>
                <w:szCs w:val="11"/>
                <w:color w:val="auto"/>
              </w:rPr>
            </w:pPr>
          </w:p>
        </w:tc>
        <w:tc>
          <w:tcPr>
            <w:tcW w:w="10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9"/>
              </w:rPr>
              <w:t>during the</w:t>
            </w:r>
          </w:p>
        </w:tc>
        <w:tc>
          <w:tcPr>
            <w:tcW w:w="10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during the</w:t>
            </w:r>
          </w:p>
        </w:tc>
        <w:tc>
          <w:tcPr>
            <w:tcW w:w="10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3"/>
              </w:rPr>
              <w:t>as of</w:t>
            </w: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as of</w:t>
            </w:r>
          </w:p>
        </w:tc>
        <w:tc>
          <w:tcPr>
            <w:tcW w:w="0" w:type="dxa"/>
            <w:vAlign w:val="bottom"/>
          </w:tcPr>
          <w:p>
            <w:pPr>
              <w:spacing w:after="0"/>
              <w:rPr>
                <w:sz w:val="1"/>
                <w:szCs w:val="1"/>
                <w:color w:val="auto"/>
              </w:rPr>
            </w:pPr>
          </w:p>
        </w:tc>
      </w:tr>
      <w:tr>
        <w:trPr>
          <w:trHeight w:val="176"/>
        </w:trPr>
        <w:tc>
          <w:tcPr>
            <w:tcW w:w="2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Quarter Ended</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9"/>
              </w:rPr>
              <w:t>Daily Amount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 xml:space="preserve">Period </w:t>
            </w:r>
            <w:r>
              <w:rPr>
                <w:rFonts w:ascii="Times New Roman" w:cs="Times New Roman" w:eastAsia="Times New Roman" w:hAnsi="Times New Roman"/>
                <w:sz w:val="8"/>
                <w:szCs w:val="8"/>
                <w:b w:val="1"/>
                <w:bCs w:val="1"/>
                <w:color w:val="auto"/>
                <w:w w:val="95"/>
              </w:rPr>
              <w:t>3</w:t>
            </w: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 xml:space="preserve">Period </w:t>
            </w:r>
            <w:r>
              <w:rPr>
                <w:rFonts w:ascii="Times New Roman" w:cs="Times New Roman" w:eastAsia="Times New Roman" w:hAnsi="Times New Roman"/>
                <w:sz w:val="8"/>
                <w:szCs w:val="8"/>
                <w:b w:val="1"/>
                <w:bCs w:val="1"/>
                <w:color w:val="auto"/>
                <w:w w:val="99"/>
              </w:rPr>
              <w:t>4</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 xml:space="preserve">Period End </w:t>
            </w:r>
            <w:r>
              <w:rPr>
                <w:rFonts w:ascii="Times New Roman" w:cs="Times New Roman" w:eastAsia="Times New Roman" w:hAnsi="Times New Roman"/>
                <w:sz w:val="8"/>
                <w:szCs w:val="8"/>
                <w:b w:val="1"/>
                <w:bCs w:val="1"/>
                <w:color w:val="auto"/>
                <w:w w:val="96"/>
              </w:rPr>
              <w:t>3</w:t>
            </w: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 xml:space="preserve">Period End </w:t>
            </w:r>
            <w:r>
              <w:rPr>
                <w:rFonts w:ascii="Times New Roman" w:cs="Times New Roman" w:eastAsia="Times New Roman" w:hAnsi="Times New Roman"/>
                <w:sz w:val="8"/>
                <w:szCs w:val="8"/>
                <w:b w:val="1"/>
                <w:bCs w:val="1"/>
                <w:color w:val="auto"/>
                <w:w w:val="99"/>
              </w:rPr>
              <w:t>5</w:t>
            </w:r>
          </w:p>
        </w:tc>
        <w:tc>
          <w:tcPr>
            <w:tcW w:w="0" w:type="dxa"/>
            <w:vAlign w:val="bottom"/>
          </w:tcPr>
          <w:p>
            <w:pPr>
              <w:spacing w:after="0"/>
              <w:rPr>
                <w:sz w:val="1"/>
                <w:szCs w:val="1"/>
                <w:color w:val="auto"/>
              </w:rPr>
            </w:pPr>
          </w:p>
        </w:tc>
      </w:tr>
      <w:tr>
        <w:trPr>
          <w:trHeight w:val="257"/>
        </w:trPr>
        <w:tc>
          <w:tcPr>
            <w:tcW w:w="2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June 30, 2017</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38,945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40,112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39,463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16,931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17,283</w:t>
            </w:r>
          </w:p>
        </w:tc>
        <w:tc>
          <w:tcPr>
            <w:tcW w:w="102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8.0:1</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7.4:1</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8.1:1</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7.5:1</w:t>
            </w:r>
          </w:p>
        </w:tc>
        <w:tc>
          <w:tcPr>
            <w:tcW w:w="0" w:type="dxa"/>
            <w:vAlign w:val="bottom"/>
          </w:tcPr>
          <w:p>
            <w:pPr>
              <w:spacing w:after="0"/>
              <w:rPr>
                <w:sz w:val="1"/>
                <w:szCs w:val="1"/>
                <w:color w:val="auto"/>
              </w:rPr>
            </w:pPr>
          </w:p>
        </w:tc>
      </w:tr>
      <w:tr>
        <w:trPr>
          <w:trHeight w:val="265"/>
        </w:trPr>
        <w:tc>
          <w:tcPr>
            <w:tcW w:w="28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March 31, 2017</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39,203</w:t>
            </w:r>
          </w:p>
        </w:tc>
        <w:tc>
          <w:tcPr>
            <w:tcW w:w="120" w:type="dxa"/>
            <w:vAlign w:val="bottom"/>
          </w:tcPr>
          <w:p>
            <w:pPr>
              <w:spacing w:after="0"/>
              <w:rPr>
                <w:sz w:val="23"/>
                <w:szCs w:val="23"/>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41,221</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39,809</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13,460</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14,377</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7.8:1</w:t>
            </w:r>
          </w:p>
        </w:tc>
        <w:tc>
          <w:tcPr>
            <w:tcW w:w="1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7.2:1</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8.0:1</w:t>
            </w:r>
          </w:p>
        </w:tc>
        <w:tc>
          <w:tcPr>
            <w:tcW w:w="12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7.4:1</w:t>
            </w:r>
          </w:p>
        </w:tc>
        <w:tc>
          <w:tcPr>
            <w:tcW w:w="0" w:type="dxa"/>
            <w:vAlign w:val="bottom"/>
          </w:tcPr>
          <w:p>
            <w:pPr>
              <w:spacing w:after="0"/>
              <w:rPr>
                <w:sz w:val="1"/>
                <w:szCs w:val="1"/>
                <w:color w:val="auto"/>
              </w:rPr>
            </w:pPr>
          </w:p>
        </w:tc>
      </w:tr>
      <w:tr>
        <w:trPr>
          <w:trHeight w:val="275"/>
        </w:trPr>
        <w:tc>
          <w:tcPr>
            <w:tcW w:w="2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December 31, 2016</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41,031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42,157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41,183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14,141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11,312</w:t>
            </w:r>
          </w:p>
        </w:tc>
        <w:tc>
          <w:tcPr>
            <w:tcW w:w="102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7.8:1</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7.3:1</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7.7:1</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7.1:1</w:t>
            </w:r>
          </w:p>
        </w:tc>
        <w:tc>
          <w:tcPr>
            <w:tcW w:w="0" w:type="dxa"/>
            <w:vAlign w:val="bottom"/>
          </w:tcPr>
          <w:p>
            <w:pPr>
              <w:spacing w:after="0"/>
              <w:rPr>
                <w:sz w:val="1"/>
                <w:szCs w:val="1"/>
                <w:color w:val="auto"/>
              </w:rPr>
            </w:pPr>
          </w:p>
        </w:tc>
      </w:tr>
      <w:tr>
        <w:trPr>
          <w:trHeight w:val="265"/>
        </w:trPr>
        <w:tc>
          <w:tcPr>
            <w:tcW w:w="28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September 30, 2016</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44,401</w:t>
            </w:r>
          </w:p>
        </w:tc>
        <w:tc>
          <w:tcPr>
            <w:tcW w:w="120" w:type="dxa"/>
            <w:vAlign w:val="bottom"/>
          </w:tcPr>
          <w:p>
            <w:pPr>
              <w:spacing w:after="0"/>
              <w:rPr>
                <w:sz w:val="23"/>
                <w:szCs w:val="23"/>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46,555</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41,154</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10,748</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15,540</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7.6:1</w:t>
            </w:r>
          </w:p>
        </w:tc>
        <w:tc>
          <w:tcPr>
            <w:tcW w:w="1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7.1:1</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7.7:1</w:t>
            </w:r>
          </w:p>
        </w:tc>
        <w:tc>
          <w:tcPr>
            <w:tcW w:w="12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7.2:1</w:t>
            </w:r>
          </w:p>
        </w:tc>
        <w:tc>
          <w:tcPr>
            <w:tcW w:w="0" w:type="dxa"/>
            <w:vAlign w:val="bottom"/>
          </w:tcPr>
          <w:p>
            <w:pPr>
              <w:spacing w:after="0"/>
              <w:rPr>
                <w:sz w:val="1"/>
                <w:szCs w:val="1"/>
                <w:color w:val="auto"/>
              </w:rPr>
            </w:pPr>
          </w:p>
        </w:tc>
      </w:tr>
      <w:tr>
        <w:trPr>
          <w:trHeight w:val="275"/>
        </w:trPr>
        <w:tc>
          <w:tcPr>
            <w:tcW w:w="2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June 30, 2016</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46,948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48,875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45,502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8,238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6,975</w:t>
            </w: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N/A</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7.2:1</w:t>
            </w:r>
          </w:p>
        </w:tc>
        <w:tc>
          <w:tcPr>
            <w:tcW w:w="1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7.2:1</w:t>
            </w:r>
          </w:p>
        </w:tc>
        <w:tc>
          <w:tcPr>
            <w:tcW w:w="0" w:type="dxa"/>
            <w:vAlign w:val="bottom"/>
          </w:tcPr>
          <w:p>
            <w:pPr>
              <w:spacing w:after="0"/>
              <w:rPr>
                <w:sz w:val="1"/>
                <w:szCs w:val="1"/>
                <w:color w:val="auto"/>
              </w:rPr>
            </w:pPr>
          </w:p>
        </w:tc>
      </w:tr>
      <w:tr>
        <w:trPr>
          <w:trHeight w:val="260"/>
        </w:trPr>
        <w:tc>
          <w:tcPr>
            <w:tcW w:w="28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March 31, 2016</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45,926</w:t>
            </w:r>
          </w:p>
        </w:tc>
        <w:tc>
          <w:tcPr>
            <w:tcW w:w="12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49,767</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48,875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8,144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5,983</w:t>
            </w:r>
          </w:p>
        </w:tc>
        <w:tc>
          <w:tcPr>
            <w:tcW w:w="12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N/A</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7.0:1</w:t>
            </w:r>
          </w:p>
        </w:tc>
        <w:tc>
          <w:tcPr>
            <w:tcW w:w="100" w:type="dxa"/>
            <w:vAlign w:val="bottom"/>
          </w:tcPr>
          <w:p>
            <w:pPr>
              <w:spacing w:after="0"/>
              <w:rPr>
                <w:sz w:val="22"/>
                <w:szCs w:val="22"/>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7.3:1</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_______________________</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8"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Mortgage borrowings includes Agency repo, FHLB advances and debt of consolidated VIEs. Amounts exclude U.S. Treasury repo agreements.</w:t>
      </w:r>
    </w:p>
    <w:p>
      <w:pPr>
        <w:spacing w:after="0" w:line="17"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Daily average and ending net TBA position outstanding measured at cost.</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Tangible net book value "at risk" leverage includes the components of "at risk" leverage with stockholders' equity adjusted to exclude goodwill and other intangible assets, net.</w:t>
      </w:r>
    </w:p>
    <w:p>
      <w:pPr>
        <w:spacing w:after="0" w:line="1" w:lineRule="exact"/>
        <w:rPr>
          <w:rFonts w:ascii="Times New Roman" w:cs="Times New Roman" w:eastAsia="Times New Roman" w:hAnsi="Times New Roman"/>
          <w:sz w:val="14"/>
          <w:szCs w:val="14"/>
          <w:color w:val="auto"/>
        </w:rPr>
      </w:pPr>
    </w:p>
    <w:p>
      <w:pPr>
        <w:ind w:left="660" w:right="20" w:hanging="328"/>
        <w:spacing w:after="0" w:line="241" w:lineRule="auto"/>
        <w:tabs>
          <w:tab w:leader="none" w:pos="6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"at risk" leverage during the period was calculated by dividing the sum of our daily weighted average mortgage borrowings and net TBA position (at cost) outstanding during the period by the sum of our average month-end stockholders' equity less our average investment in REIT equity securities for the period.</w:t>
      </w:r>
    </w:p>
    <w:p>
      <w:pPr>
        <w:jc w:val="both"/>
        <w:ind w:left="660" w:hanging="328"/>
        <w:spacing w:after="0" w:line="250" w:lineRule="auto"/>
        <w:tabs>
          <w:tab w:leader="none" w:pos="6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risk" leverage as of period end is calculated by dividing the sum of our mortgage borrowings outstanding, our receivable/payable for unsettled investment securities and our net TBA dollar roll position outstanding as of period end (at cost) by the sum of our total stockholders' equity less the fair value of investments in REIT equity securities at period end. Leverage excludes U.S. Treasury repurchase agreements.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and Cost of Funds</w:t>
      </w:r>
    </w:p>
    <w:p>
      <w:pPr>
        <w:spacing w:after="0" w:line="18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Our interest expense is comprised of interest expense on Agency repo agreements and other mortgage borrowings. Prior to fiscal year 2017, interest expense also includes the reclassification of accumulated OCI into interest expense related to previously de-designated interest rate swaps.</w:t>
      </w:r>
    </w:p>
    <w:p>
      <w:pPr>
        <w:spacing w:after="0" w:line="10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"adjusted net interest expense," also referred to as our "cost of funds" when stated as a percentage of our mortgage borrowings outstanding, includes periodic interest costs on our interest rate swaps reported in gain/loss on derivative instruments and other securities, net in our consolidated statements of comprehensive income. Our cost of funds does not include swap termination fees paid or received, forward starting swaps or the impact of other supplemental hedges, such as swaptions and U.S. Treasury positions. Our cost of funds also does not include the implied financing cost of our net TBA dollar roll position, although it includes interest rate swap hedge costs related to our TBA dollar roll funded assets. Consequently, our cost of funds measured as a percentage of our outstanding mortgage borrowings is higher than if we allocated a portion of our swap hedge costs to our TBA dollar roll funded assets.</w:t>
      </w:r>
    </w:p>
    <w:p>
      <w:pPr>
        <w:spacing w:after="0" w:line="18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Our average cost of funds was 1.51% and 1.50% of our average mortgage borrowings for the three and six months ended June 30, 2017, respectively, compared to 1.46% and 1.55% for the prior year period, respectively. The table below presents a reconciliation of our interest expense (the most comparable GAAP financial measure) to our adjusted net interest expense and cost of funds (non-GAAP financial measures) for the three and six months ended June 30, 2017 and 2016 (dollars in millions):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742" w:right="239" w:bottom="1440" w:gutter="0" w:footer="0" w:header="0"/>
        </w:sectPr>
      </w:pPr>
    </w:p>
    <w:bookmarkStart w:id="40" w:name="page41"/>
    <w:bookmarkEnd w:id="40"/>
    <w:tbl>
      <w:tblPr>
        <w:tblLayout w:type="fixed"/>
        <w:tblInd w:w="1100" w:type="dxa"/>
        <w:tblCellMar>
          <w:top w:w="0" w:type="dxa"/>
          <w:left w:w="0" w:type="dxa"/>
          <w:bottom w:w="0" w:type="dxa"/>
          <w:right w:w="0" w:type="dxa"/>
        </w:tblCellMar>
      </w:tblPr>
      <w:tr>
        <w:trPr>
          <w:trHeight w:val="195"/>
        </w:trPr>
        <w:tc>
          <w:tcPr>
            <w:tcW w:w="3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9"/>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9"/>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2016</w:t>
            </w:r>
          </w:p>
        </w:tc>
        <w:tc>
          <w:tcPr>
            <w:tcW w:w="4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2016</w:t>
            </w:r>
          </w:p>
        </w:tc>
        <w:tc>
          <w:tcPr>
            <w:tcW w:w="4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Net Interest Expense and Cost of Funds</w:t>
            </w:r>
          </w:p>
        </w:tc>
        <w:tc>
          <w:tcPr>
            <w:tcW w:w="100" w:type="dxa"/>
            <w:vAlign w:val="bottom"/>
          </w:tcPr>
          <w:p>
            <w:pPr>
              <w:spacing w:after="0"/>
              <w:rPr>
                <w:sz w:val="22"/>
                <w:szCs w:val="22"/>
                <w:color w:val="auto"/>
              </w:rPr>
            </w:pPr>
          </w:p>
        </w:tc>
        <w:tc>
          <w:tcPr>
            <w:tcW w:w="66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8"/>
                <w:szCs w:val="8"/>
                <w:b w:val="1"/>
                <w:bCs w:val="1"/>
                <w:color w:val="auto"/>
              </w:rPr>
              <w:t>1</w:t>
            </w:r>
          </w:p>
        </w:tc>
        <w:tc>
          <w:tcPr>
            <w:tcW w:w="120" w:type="dxa"/>
            <w:vAlign w:val="bottom"/>
          </w:tcPr>
          <w:p>
            <w:pPr>
              <w:spacing w:after="0"/>
              <w:rPr>
                <w:sz w:val="22"/>
                <w:szCs w:val="22"/>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8"/>
                <w:szCs w:val="8"/>
                <w:b w:val="1"/>
                <w:bCs w:val="1"/>
                <w:color w:val="auto"/>
              </w:rPr>
              <w:t>1</w:t>
            </w:r>
          </w:p>
        </w:tc>
        <w:tc>
          <w:tcPr>
            <w:tcW w:w="100" w:type="dxa"/>
            <w:vAlign w:val="bottom"/>
          </w:tcPr>
          <w:p>
            <w:pPr>
              <w:spacing w:after="0"/>
              <w:rPr>
                <w:sz w:val="22"/>
                <w:szCs w:val="22"/>
                <w:color w:val="auto"/>
              </w:rPr>
            </w:pPr>
          </w:p>
        </w:tc>
        <w:tc>
          <w:tcPr>
            <w:tcW w:w="66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8"/>
                <w:szCs w:val="8"/>
                <w:b w:val="1"/>
                <w:bCs w:val="1"/>
                <w:color w:val="auto"/>
              </w:rPr>
              <w:t>1</w:t>
            </w:r>
          </w:p>
        </w:tc>
        <w:tc>
          <w:tcPr>
            <w:tcW w:w="100" w:type="dxa"/>
            <w:vAlign w:val="bottom"/>
          </w:tcPr>
          <w:p>
            <w:pPr>
              <w:spacing w:after="0"/>
              <w:rPr>
                <w:sz w:val="22"/>
                <w:szCs w:val="22"/>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8"/>
                <w:szCs w:val="8"/>
                <w:b w:val="1"/>
                <w:bCs w:val="1"/>
                <w:color w:val="auto"/>
              </w:rPr>
              <w:t>1</w:t>
            </w:r>
          </w:p>
        </w:tc>
        <w:tc>
          <w:tcPr>
            <w:tcW w:w="0" w:type="dxa"/>
            <w:vAlign w:val="bottom"/>
          </w:tcPr>
          <w:p>
            <w:pPr>
              <w:spacing w:after="0"/>
              <w:rPr>
                <w:sz w:val="1"/>
                <w:szCs w:val="1"/>
                <w:color w:val="auto"/>
              </w:rPr>
            </w:pPr>
          </w:p>
        </w:tc>
      </w:tr>
      <w:tr>
        <w:trPr>
          <w:trHeight w:val="264"/>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32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Interest expense on mortgage borrowings</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0.73%</w:t>
            </w:r>
          </w:p>
        </w:tc>
        <w:tc>
          <w:tcPr>
            <w:tcW w:w="0" w:type="dxa"/>
            <w:vAlign w:val="bottom"/>
          </w:tcPr>
          <w:p>
            <w:pPr>
              <w:spacing w:after="0"/>
              <w:rPr>
                <w:sz w:val="1"/>
                <w:szCs w:val="1"/>
                <w:color w:val="auto"/>
              </w:rPr>
            </w:pPr>
          </w:p>
        </w:tc>
      </w:tr>
      <w:tr>
        <w:trPr>
          <w:trHeight w:val="153"/>
        </w:trPr>
        <w:tc>
          <w:tcPr>
            <w:tcW w:w="3280" w:type="dxa"/>
            <w:vAlign w:val="bottom"/>
            <w:gridSpan w:val="2"/>
          </w:tcPr>
          <w:p>
            <w:pPr>
              <w:ind w:left="360"/>
              <w:spacing w:after="0" w:line="153" w:lineRule="exact"/>
              <w:rPr>
                <w:sz w:val="20"/>
                <w:szCs w:val="20"/>
                <w:color w:val="auto"/>
              </w:rPr>
            </w:pPr>
            <w:r>
              <w:rPr>
                <w:rFonts w:ascii="Times New Roman" w:cs="Times New Roman" w:eastAsia="Times New Roman" w:hAnsi="Times New Roman"/>
                <w:sz w:val="14"/>
                <w:szCs w:val="14"/>
                <w:color w:val="auto"/>
              </w:rPr>
              <w:t>Periodic interest costs of interest rate swaps</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80" w:type="dxa"/>
            <w:vAlign w:val="bottom"/>
            <w:gridSpan w:val="2"/>
          </w:tcPr>
          <w:p>
            <w:pPr>
              <w:ind w:left="520"/>
              <w:spacing w:after="0" w:line="149" w:lineRule="exact"/>
              <w:rPr>
                <w:sz w:val="20"/>
                <w:szCs w:val="20"/>
                <w:color w:val="auto"/>
              </w:rPr>
            </w:pPr>
            <w:r>
              <w:rPr>
                <w:rFonts w:ascii="Times New Roman" w:cs="Times New Roman" w:eastAsia="Times New Roman" w:hAnsi="Times New Roman"/>
                <w:sz w:val="14"/>
                <w:szCs w:val="14"/>
                <w:color w:val="auto"/>
              </w:rPr>
              <w:t>previously designated as hedges under</w:t>
            </w:r>
          </w:p>
        </w:tc>
        <w:tc>
          <w:tcPr>
            <w:tcW w:w="240" w:type="dxa"/>
            <w:vAlign w:val="bottom"/>
          </w:tcPr>
          <w:p>
            <w:pPr>
              <w:spacing w:after="0"/>
              <w:rPr>
                <w:sz w:val="12"/>
                <w:szCs w:val="12"/>
                <w:color w:val="auto"/>
              </w:rPr>
            </w:pPr>
          </w:p>
        </w:tc>
        <w:tc>
          <w:tcPr>
            <w:tcW w:w="68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0" w:type="dxa"/>
            <w:vAlign w:val="bottom"/>
          </w:tcPr>
          <w:p>
            <w:pPr>
              <w:spacing w:after="0"/>
              <w:rPr>
                <w:sz w:val="1"/>
                <w:szCs w:val="1"/>
                <w:color w:val="auto"/>
              </w:rPr>
            </w:pPr>
          </w:p>
        </w:tc>
      </w:tr>
      <w:tr>
        <w:trPr>
          <w:trHeight w:val="193"/>
        </w:trPr>
        <w:tc>
          <w:tcPr>
            <w:tcW w:w="328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GAAP, net</w:t>
            </w:r>
          </w:p>
        </w:tc>
        <w:tc>
          <w:tcPr>
            <w:tcW w:w="24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32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interest expense</w:t>
            </w:r>
          </w:p>
        </w:tc>
        <w:tc>
          <w:tcPr>
            <w:tcW w:w="240" w:type="dxa"/>
            <w:vAlign w:val="bottom"/>
            <w:tcBorders>
              <w:top w:val="single" w:sz="8" w:color="auto"/>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0.86%</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0.86%</w:t>
            </w:r>
          </w:p>
        </w:tc>
        <w:tc>
          <w:tcPr>
            <w:tcW w:w="0" w:type="dxa"/>
            <w:vAlign w:val="bottom"/>
          </w:tcPr>
          <w:p>
            <w:pPr>
              <w:spacing w:after="0"/>
              <w:rPr>
                <w:sz w:val="1"/>
                <w:szCs w:val="1"/>
                <w:color w:val="auto"/>
              </w:rPr>
            </w:pPr>
          </w:p>
        </w:tc>
      </w:tr>
      <w:tr>
        <w:trPr>
          <w:trHeight w:val="153"/>
        </w:trPr>
        <w:tc>
          <w:tcPr>
            <w:tcW w:w="3280" w:type="dxa"/>
            <w:vAlign w:val="bottom"/>
            <w:gridSpan w:val="2"/>
          </w:tcPr>
          <w:p>
            <w:pPr>
              <w:ind w:left="360"/>
              <w:spacing w:after="0" w:line="153" w:lineRule="exact"/>
              <w:rPr>
                <w:sz w:val="20"/>
                <w:szCs w:val="20"/>
                <w:color w:val="auto"/>
              </w:rPr>
            </w:pPr>
            <w:r>
              <w:rPr>
                <w:rFonts w:ascii="Times New Roman" w:cs="Times New Roman" w:eastAsia="Times New Roman" w:hAnsi="Times New Roman"/>
                <w:sz w:val="14"/>
                <w:szCs w:val="14"/>
                <w:color w:val="auto"/>
              </w:rPr>
              <w:t>Periodic interest costs of interest rate swaps</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80" w:type="dxa"/>
            <w:vAlign w:val="bottom"/>
            <w:gridSpan w:val="2"/>
          </w:tcPr>
          <w:p>
            <w:pPr>
              <w:ind w:left="520"/>
              <w:spacing w:after="0" w:line="149" w:lineRule="exact"/>
              <w:rPr>
                <w:sz w:val="20"/>
                <w:szCs w:val="20"/>
                <w:color w:val="auto"/>
              </w:rPr>
            </w:pPr>
            <w:r>
              <w:rPr>
                <w:rFonts w:ascii="Times New Roman" w:cs="Times New Roman" w:eastAsia="Times New Roman" w:hAnsi="Times New Roman"/>
                <w:sz w:val="14"/>
                <w:szCs w:val="14"/>
                <w:color w:val="auto"/>
              </w:rPr>
              <w:t>reported in gain (loss) on derivative</w:t>
            </w:r>
          </w:p>
        </w:tc>
        <w:tc>
          <w:tcPr>
            <w:tcW w:w="240" w:type="dxa"/>
            <w:vAlign w:val="bottom"/>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0.36%</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0.60%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0.41%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0.67%</w:t>
            </w:r>
          </w:p>
        </w:tc>
        <w:tc>
          <w:tcPr>
            <w:tcW w:w="0" w:type="dxa"/>
            <w:vAlign w:val="bottom"/>
          </w:tcPr>
          <w:p>
            <w:pPr>
              <w:spacing w:after="0"/>
              <w:rPr>
                <w:sz w:val="1"/>
                <w:szCs w:val="1"/>
                <w:color w:val="auto"/>
              </w:rPr>
            </w:pPr>
          </w:p>
        </w:tc>
      </w:tr>
      <w:tr>
        <w:trPr>
          <w:trHeight w:val="193"/>
        </w:trPr>
        <w:tc>
          <w:tcPr>
            <w:tcW w:w="328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4"/>
                <w:szCs w:val="14"/>
                <w:color w:val="auto"/>
              </w:rPr>
              <w:t>instruments and other securities, net</w:t>
            </w:r>
          </w:p>
        </w:tc>
        <w:tc>
          <w:tcPr>
            <w:tcW w:w="2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280" w:type="dxa"/>
            <w:vAlign w:val="bottom"/>
            <w:gridSpan w:val="2"/>
            <w:shd w:val="clear" w:color="auto" w:fill="CCEEFF"/>
          </w:tcPr>
          <w:p>
            <w:pPr>
              <w:ind w:left="20"/>
              <w:spacing w:after="0" w:line="136" w:lineRule="exact"/>
              <w:rPr>
                <w:sz w:val="20"/>
                <w:szCs w:val="20"/>
                <w:color w:val="auto"/>
              </w:rPr>
            </w:pPr>
            <w:r>
              <w:rPr>
                <w:rFonts w:ascii="Times New Roman" w:cs="Times New Roman" w:eastAsia="Times New Roman" w:hAnsi="Times New Roman"/>
                <w:sz w:val="14"/>
                <w:szCs w:val="14"/>
                <w:b w:val="1"/>
                <w:bCs w:val="1"/>
                <w:color w:val="auto"/>
              </w:rPr>
              <w:t>Total adjusted net interest expense and cost of</w:t>
            </w:r>
          </w:p>
        </w:tc>
        <w:tc>
          <w:tcPr>
            <w:tcW w:w="2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2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shd w:val="clear" w:color="auto" w:fill="CCEEFF"/>
          </w:tcPr>
          <w:p>
            <w:pPr>
              <w:spacing w:after="0"/>
              <w:rPr>
                <w:sz w:val="11"/>
                <w:szCs w:val="11"/>
                <w:color w:val="auto"/>
              </w:rPr>
            </w:pPr>
          </w:p>
        </w:tc>
        <w:tc>
          <w:tcPr>
            <w:tcW w:w="2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r>
        <w:trPr>
          <w:trHeight w:val="187"/>
        </w:trPr>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funds</w:t>
            </w: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4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4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vMerge w:val="continue"/>
            <w:shd w:val="clear" w:color="auto" w:fill="CCEEFF"/>
          </w:tcPr>
          <w:p>
            <w:pPr>
              <w:spacing w:after="0"/>
              <w:rPr>
                <w:sz w:val="16"/>
                <w:szCs w:val="16"/>
                <w:color w:val="auto"/>
              </w:rPr>
            </w:pPr>
          </w:p>
        </w:tc>
        <w:tc>
          <w:tcPr>
            <w:tcW w:w="4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4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-79375</wp:posOffset>
            </wp:positionV>
            <wp:extent cx="37731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ind w:left="660" w:hanging="328"/>
        <w:spacing w:after="0"/>
        <w:tabs>
          <w:tab w:leader="none" w:pos="6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 of our average mortgage borrowings outstanding for the period annualized.</w:t>
      </w:r>
    </w:p>
    <w:p>
      <w:pPr>
        <w:spacing w:after="0" w:line="20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principal elements impacting our adjusted net interest expense are the size of our average mortgage borrowings and interest rate swap portfolio (excluding forward starting swaps) outstanding during the period, the average interest rate on our borrowings and the average net interest rate paid/received on our interest rate swaps. The following is a summary of the estimated impact of these elements on our adjusted net interest expense for the three and six months ended June 30, 2017, compared to the prior year period (in millions):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Impact of Changes in the Principal Elements of Adjusted Net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24765</wp:posOffset>
            </wp:positionV>
            <wp:extent cx="69037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Periods ended June 30, 2017 vs. June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24765</wp:posOffset>
            </wp:positionV>
            <wp:extent cx="69037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103" w:lineRule="exact"/>
        <w:rPr>
          <w:sz w:val="20"/>
          <w:szCs w:val="20"/>
          <w:color w:val="auto"/>
        </w:rPr>
      </w:pPr>
    </w:p>
    <w:tbl>
      <w:tblPr>
        <w:tblLayout w:type="fixed"/>
        <w:tblInd w:w="280" w:type="dxa"/>
        <w:tblCellMar>
          <w:top w:w="0" w:type="dxa"/>
          <w:left w:w="0" w:type="dxa"/>
          <w:bottom w:w="0" w:type="dxa"/>
          <w:right w:w="0" w:type="dxa"/>
        </w:tblCellMar>
      </w:tblPr>
      <w:tr>
        <w:trPr>
          <w:trHeight w:val="194"/>
        </w:trPr>
        <w:tc>
          <w:tcPr>
            <w:tcW w:w="6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Due to Change in Average</w:t>
            </w:r>
          </w:p>
        </w:tc>
        <w:tc>
          <w:tcPr>
            <w:tcW w:w="420" w:type="dxa"/>
            <w:vAlign w:val="bottom"/>
            <w:tcBorders>
              <w:bottom w:val="single" w:sz="8" w:color="auto"/>
            </w:tcBorders>
          </w:tcPr>
          <w:p>
            <w:pPr>
              <w:spacing w:after="0"/>
              <w:rPr>
                <w:sz w:val="16"/>
                <w:szCs w:val="16"/>
                <w:color w:val="auto"/>
              </w:rPr>
            </w:pPr>
          </w:p>
        </w:tc>
      </w:tr>
      <w:tr>
        <w:trPr>
          <w:trHeight w:val="151"/>
        </w:trPr>
        <w:tc>
          <w:tcPr>
            <w:tcW w:w="6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center"/>
              <w:ind w:right="260"/>
              <w:spacing w:after="0" w:line="151" w:lineRule="exact"/>
              <w:rPr>
                <w:sz w:val="20"/>
                <w:szCs w:val="20"/>
                <w:color w:val="auto"/>
              </w:rPr>
            </w:pPr>
            <w:r>
              <w:rPr>
                <w:rFonts w:ascii="Times New Roman" w:cs="Times New Roman" w:eastAsia="Times New Roman" w:hAnsi="Times New Roman"/>
                <w:sz w:val="14"/>
                <w:szCs w:val="14"/>
                <w:b w:val="1"/>
                <w:bCs w:val="1"/>
                <w:color w:val="auto"/>
              </w:rPr>
              <w:t>Total Increase /</w:t>
            </w:r>
          </w:p>
        </w:tc>
        <w:tc>
          <w:tcPr>
            <w:tcW w:w="120" w:type="dxa"/>
            <w:vAlign w:val="bottom"/>
          </w:tcPr>
          <w:p>
            <w:pPr>
              <w:spacing w:after="0"/>
              <w:rPr>
                <w:sz w:val="13"/>
                <w:szCs w:val="13"/>
                <w:color w:val="auto"/>
              </w:rPr>
            </w:pPr>
          </w:p>
        </w:tc>
        <w:tc>
          <w:tcPr>
            <w:tcW w:w="1400" w:type="dxa"/>
            <w:vAlign w:val="bottom"/>
            <w:gridSpan w:val="2"/>
          </w:tcPr>
          <w:p>
            <w:pPr>
              <w:jc w:val="center"/>
              <w:ind w:right="240"/>
              <w:spacing w:after="0" w:line="151" w:lineRule="exact"/>
              <w:rPr>
                <w:sz w:val="20"/>
                <w:szCs w:val="20"/>
                <w:color w:val="auto"/>
              </w:rPr>
            </w:pPr>
            <w:r>
              <w:rPr>
                <w:rFonts w:ascii="Times New Roman" w:cs="Times New Roman" w:eastAsia="Times New Roman" w:hAnsi="Times New Roman"/>
                <w:sz w:val="14"/>
                <w:szCs w:val="14"/>
                <w:b w:val="1"/>
                <w:bCs w:val="1"/>
                <w:color w:val="auto"/>
              </w:rPr>
              <w:t>Borrowing / Swap</w:t>
            </w:r>
          </w:p>
        </w:tc>
        <w:tc>
          <w:tcPr>
            <w:tcW w:w="1280" w:type="dxa"/>
            <w:vAlign w:val="bottom"/>
            <w:gridSpan w:val="2"/>
          </w:tcPr>
          <w:p>
            <w:pPr>
              <w:jc w:val="right"/>
              <w:ind w:right="8"/>
              <w:spacing w:after="0" w:line="151" w:lineRule="exact"/>
              <w:rPr>
                <w:sz w:val="20"/>
                <w:szCs w:val="20"/>
                <w:color w:val="auto"/>
              </w:rPr>
            </w:pPr>
            <w:r>
              <w:rPr>
                <w:rFonts w:ascii="Times New Roman" w:cs="Times New Roman" w:eastAsia="Times New Roman" w:hAnsi="Times New Roman"/>
                <w:sz w:val="14"/>
                <w:szCs w:val="14"/>
                <w:b w:val="1"/>
                <w:bCs w:val="1"/>
                <w:color w:val="auto"/>
              </w:rPr>
              <w:t>Borrowing / Swap</w:t>
            </w:r>
          </w:p>
        </w:tc>
      </w:tr>
      <w:tr>
        <w:trPr>
          <w:trHeight w:val="195"/>
        </w:trPr>
        <w:tc>
          <w:tcPr>
            <w:tcW w:w="6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2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Rate</w:t>
            </w:r>
          </w:p>
        </w:tc>
        <w:tc>
          <w:tcPr>
            <w:tcW w:w="420" w:type="dxa"/>
            <w:vAlign w:val="bottom"/>
          </w:tcPr>
          <w:p>
            <w:pPr>
              <w:spacing w:after="0"/>
              <w:rPr>
                <w:sz w:val="16"/>
                <w:szCs w:val="16"/>
                <w:color w:val="auto"/>
              </w:rPr>
            </w:pPr>
          </w:p>
        </w:tc>
      </w:tr>
      <w:tr>
        <w:trPr>
          <w:trHeight w:val="269"/>
        </w:trPr>
        <w:tc>
          <w:tcPr>
            <w:tcW w:w="6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Borders>
              <w:top w:val="single" w:sz="8" w:color="auto"/>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spacing w:after="0"/>
              <w:rPr>
                <w:sz w:val="23"/>
                <w:szCs w:val="23"/>
                <w:color w:val="auto"/>
              </w:rPr>
            </w:pPr>
          </w:p>
        </w:tc>
      </w:tr>
      <w:tr>
        <w:trPr>
          <w:trHeight w:val="265"/>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 on mortgage borrowings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23"/>
                <w:szCs w:val="23"/>
                <w:color w:val="auto"/>
              </w:rPr>
            </w:pPr>
          </w:p>
        </w:tc>
        <w:tc>
          <w:tcPr>
            <w:tcW w:w="860" w:type="dxa"/>
            <w:vAlign w:val="bottom"/>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38</w:t>
            </w:r>
          </w:p>
        </w:tc>
      </w:tr>
      <w:tr>
        <w:trPr>
          <w:trHeight w:val="27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Periodic interest rate swap costs</w:t>
            </w:r>
          </w:p>
        </w:tc>
        <w:tc>
          <w:tcPr>
            <w:tcW w:w="1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282"/>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change in adjusted net interest expense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Borders>
              <w:bottom w:val="single" w:sz="8" w:color="CCEEFF"/>
            </w:tcBorders>
          </w:tcPr>
          <w:p>
            <w:pPr>
              <w:spacing w:after="0"/>
              <w:rPr>
                <w:sz w:val="24"/>
                <w:szCs w:val="24"/>
                <w:color w:val="auto"/>
              </w:rPr>
            </w:pPr>
          </w:p>
        </w:tc>
        <w:tc>
          <w:tcPr>
            <w:tcW w:w="860" w:type="dxa"/>
            <w:vAlign w:val="bottom"/>
            <w:tcBorders>
              <w:bottom w:val="single" w:sz="8" w:color="auto"/>
            </w:tcBorders>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64"/>
        </w:trPr>
        <w:tc>
          <w:tcPr>
            <w:tcW w:w="65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r>
      <w:tr>
        <w:trPr>
          <w:trHeight w:val="265"/>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75"/>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 on mortgage borrowings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67</w:t>
            </w:r>
          </w:p>
        </w:tc>
      </w:tr>
      <w:tr>
        <w:trPr>
          <w:trHeight w:val="265"/>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Periodic interest rate swap costs</w:t>
            </w:r>
          </w:p>
        </w:tc>
        <w:tc>
          <w:tcPr>
            <w:tcW w:w="1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Borders>
              <w:bottom w:val="single" w:sz="8" w:color="CCEEFF"/>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w:t>
            </w:r>
          </w:p>
        </w:tc>
      </w:tr>
      <w:tr>
        <w:trPr>
          <w:trHeight w:val="242"/>
        </w:trPr>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change in adjusted net interest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20"/>
        </w:trPr>
        <w:tc>
          <w:tcPr>
            <w:tcW w:w="6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average interest rate on our mortgage borrowings increased for the current year periods commensurate with increases in the federal funds rate. The size of our average borrowings outstanding decreased compared to the prior year periods largely due to the relative shift from Agency RMBS to TBA holdings. The decrease in our periodic swap cost was due to both a decline in the average rate paid and an increase in the floating rate received on our pay-fixed rate receive-floating interest rate swaps. The size of our interest rate swap portfolio increased relative to our mortgage borrowings as a function of our larger TBA dollar roll position.</w:t>
      </w:r>
    </w:p>
    <w:p>
      <w:pPr>
        <w:spacing w:after="0" w:line="184"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table below presents a summary of our average mortgage borrowings and our average interest rates swaps outstanding, excluding forward starting swaps, for the three and six months ended June 30, 2017 and 2016 (dollars in millions):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6"/>
                <w:szCs w:val="16"/>
                <w:color w:val="auto"/>
              </w:rPr>
            </w:pPr>
          </w:p>
        </w:tc>
        <w:tc>
          <w:tcPr>
            <w:tcW w:w="2240" w:type="dxa"/>
            <w:vAlign w:val="bottom"/>
            <w:gridSpan w:val="4"/>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37"/>
        </w:trPr>
        <w:tc>
          <w:tcPr>
            <w:tcW w:w="6280" w:type="dxa"/>
            <w:vAlign w:val="bottom"/>
            <w:gridSpan w:val="2"/>
          </w:tcPr>
          <w:p>
            <w:pPr>
              <w:ind w:left="40"/>
              <w:spacing w:after="0" w:line="137" w:lineRule="exact"/>
              <w:rPr>
                <w:sz w:val="20"/>
                <w:szCs w:val="20"/>
                <w:color w:val="auto"/>
              </w:rPr>
            </w:pPr>
            <w:r>
              <w:rPr>
                <w:rFonts w:ascii="Times New Roman" w:cs="Times New Roman" w:eastAsia="Times New Roman" w:hAnsi="Times New Roman"/>
                <w:sz w:val="14"/>
                <w:szCs w:val="14"/>
                <w:b w:val="1"/>
                <w:bCs w:val="1"/>
                <w:color w:val="auto"/>
              </w:rPr>
              <w:t>Average Ratio of Interest Rate Swaps Outstanding (Excluding Forward Starting Swaps) to</w:t>
            </w:r>
          </w:p>
        </w:tc>
        <w:tc>
          <w:tcPr>
            <w:tcW w:w="2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195"/>
        </w:trPr>
        <w:tc>
          <w:tcPr>
            <w:tcW w:w="6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Mortgage Borrowings Outstanding</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6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Average mortgage borrowings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38,945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46,948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39,073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46,437</w:t>
            </w:r>
          </w:p>
        </w:tc>
        <w:tc>
          <w:tcPr>
            <w:tcW w:w="0" w:type="dxa"/>
            <w:vAlign w:val="bottom"/>
          </w:tcPr>
          <w:p>
            <w:pPr>
              <w:spacing w:after="0"/>
              <w:rPr>
                <w:sz w:val="1"/>
                <w:szCs w:val="1"/>
                <w:color w:val="auto"/>
              </w:rPr>
            </w:pPr>
          </w:p>
        </w:tc>
      </w:tr>
      <w:tr>
        <w:trPr>
          <w:trHeight w:val="265"/>
        </w:trPr>
        <w:tc>
          <w:tcPr>
            <w:tcW w:w="62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color w:val="auto"/>
              </w:rPr>
              <w:t>Average notional amount of interest rate swaps (excluding forward starting swaps)</w:t>
            </w: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36,549</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33,742</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36,161</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34,776</w:t>
            </w:r>
          </w:p>
        </w:tc>
        <w:tc>
          <w:tcPr>
            <w:tcW w:w="0" w:type="dxa"/>
            <w:vAlign w:val="bottom"/>
          </w:tcPr>
          <w:p>
            <w:pPr>
              <w:spacing w:after="0"/>
              <w:rPr>
                <w:sz w:val="1"/>
                <w:szCs w:val="1"/>
                <w:color w:val="auto"/>
              </w:rPr>
            </w:pPr>
          </w:p>
        </w:tc>
      </w:tr>
      <w:tr>
        <w:trPr>
          <w:trHeight w:val="242"/>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Average ratio of interest rate swaps to mortgage borrowings</w:t>
            </w:r>
          </w:p>
        </w:tc>
        <w:tc>
          <w:tcPr>
            <w:tcW w:w="2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75 %</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Average pay rate</w:t>
            </w: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1.52 %</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1.60 %</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1.50 %</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1.68 %</w:t>
            </w:r>
          </w:p>
        </w:tc>
        <w:tc>
          <w:tcPr>
            <w:tcW w:w="0" w:type="dxa"/>
            <w:vAlign w:val="bottom"/>
          </w:tcPr>
          <w:p>
            <w:pPr>
              <w:spacing w:after="0"/>
              <w:rPr>
                <w:sz w:val="1"/>
                <w:szCs w:val="1"/>
                <w:color w:val="auto"/>
              </w:rPr>
            </w:pPr>
          </w:p>
        </w:tc>
      </w:tr>
      <w:tr>
        <w:trPr>
          <w:trHeight w:val="265"/>
        </w:trPr>
        <w:tc>
          <w:tcPr>
            <w:tcW w:w="62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color w:val="auto"/>
              </w:rPr>
              <w:t>Average receive rate</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(0.64)%</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(0.59)%</w:t>
            </w:r>
          </w:p>
        </w:tc>
        <w:tc>
          <w:tcPr>
            <w:tcW w:w="0" w:type="dxa"/>
            <w:vAlign w:val="bottom"/>
          </w:tcPr>
          <w:p>
            <w:pPr>
              <w:spacing w:after="0"/>
              <w:rPr>
                <w:sz w:val="1"/>
                <w:szCs w:val="1"/>
                <w:color w:val="auto"/>
              </w:rPr>
            </w:pPr>
          </w:p>
        </w:tc>
      </w:tr>
      <w:tr>
        <w:trPr>
          <w:trHeight w:val="242"/>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Average net pay/(receive) rate</w:t>
            </w:r>
          </w:p>
        </w:tc>
        <w:tc>
          <w:tcPr>
            <w:tcW w:w="2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0.38 %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0.96 %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0.45 %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1.09 %</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885" w:right="239" w:bottom="1440" w:gutter="0" w:footer="0" w:header="0"/>
        </w:sectPr>
      </w:pPr>
    </w:p>
    <w:bookmarkStart w:id="41" w:name="page42"/>
    <w:bookmarkEnd w:id="41"/>
    <w:p>
      <w:pPr>
        <w:jc w:val="both"/>
        <w:ind w:left="60" w:firstLine="486"/>
        <w:spacing w:after="0" w:line="258" w:lineRule="auto"/>
        <w:rPr>
          <w:sz w:val="20"/>
          <w:szCs w:val="20"/>
          <w:color w:val="auto"/>
        </w:rPr>
      </w:pPr>
      <w:r>
        <w:rPr>
          <w:rFonts w:ascii="Times New Roman" w:cs="Times New Roman" w:eastAsia="Times New Roman" w:hAnsi="Times New Roman"/>
          <w:sz w:val="18"/>
          <w:szCs w:val="18"/>
          <w:color w:val="auto"/>
        </w:rPr>
        <w:t>For the three and six months ended June 30, 2017, we had an average forward starting swap balance of $2.5 billion and $1.5 billion, respectively, compared to $3.4 billion and $3.6 billion, respectively, for the prior year period. Forward starting interest rate swaps do not impact our adjusted net interest expense and cost of funds until they commence accruing net interest settlements on their forward start dates. Including forward starting swaps and our net TBA position, our average ratio of interest rate swaps outstanding to our average mortgage borrowings and net TBA position (at cost) was 70% and 69% for the three and six months ended June 30, 2017, respectively, compared to 67% and 70%, respectively, for the prior year period.</w:t>
      </w:r>
    </w:p>
    <w:p>
      <w:pPr>
        <w:spacing w:after="0" w:line="272" w:lineRule="exact"/>
        <w:rPr>
          <w:sz w:val="20"/>
          <w:szCs w:val="20"/>
          <w:color w:val="auto"/>
        </w:rPr>
      </w:pPr>
    </w:p>
    <w:tbl>
      <w:tblPr>
        <w:tblLayout w:type="fixed"/>
        <w:tblInd w:w="140" w:type="dxa"/>
        <w:tblCellMar>
          <w:top w:w="0" w:type="dxa"/>
          <w:left w:w="0" w:type="dxa"/>
          <w:bottom w:w="0" w:type="dxa"/>
          <w:right w:w="0" w:type="dxa"/>
        </w:tblCellMar>
      </w:tblPr>
      <w:tr>
        <w:trPr>
          <w:trHeight w:val="194"/>
        </w:trPr>
        <w:tc>
          <w:tcPr>
            <w:tcW w:w="7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6"/>
                <w:szCs w:val="16"/>
                <w:color w:val="auto"/>
              </w:rPr>
            </w:pPr>
          </w:p>
        </w:tc>
        <w:tc>
          <w:tcPr>
            <w:tcW w:w="1820" w:type="dxa"/>
            <w:vAlign w:val="bottom"/>
            <w:gridSpan w:val="4"/>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37"/>
        </w:trPr>
        <w:tc>
          <w:tcPr>
            <w:tcW w:w="7140" w:type="dxa"/>
            <w:vAlign w:val="bottom"/>
            <w:gridSpan w:val="2"/>
          </w:tcPr>
          <w:p>
            <w:pPr>
              <w:ind w:left="40"/>
              <w:spacing w:after="0" w:line="137" w:lineRule="exact"/>
              <w:rPr>
                <w:sz w:val="20"/>
                <w:szCs w:val="20"/>
                <w:color w:val="auto"/>
              </w:rPr>
            </w:pPr>
            <w:r>
              <w:rPr>
                <w:rFonts w:ascii="Times New Roman" w:cs="Times New Roman" w:eastAsia="Times New Roman" w:hAnsi="Times New Roman"/>
                <w:sz w:val="14"/>
                <w:szCs w:val="14"/>
                <w:b w:val="1"/>
                <w:bCs w:val="1"/>
                <w:color w:val="auto"/>
              </w:rPr>
              <w:t>Average Ratio of Interest Rate Swaps Outstanding (Including Forward Starting Swaps) to Mortgage Borrowings</w:t>
            </w:r>
          </w:p>
        </w:tc>
        <w:tc>
          <w:tcPr>
            <w:tcW w:w="2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195"/>
        </w:trPr>
        <w:tc>
          <w:tcPr>
            <w:tcW w:w="7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and Net TBA Position</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7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Average mortgage borrowings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38,945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46,948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39,073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46,437</w:t>
            </w:r>
          </w:p>
        </w:tc>
        <w:tc>
          <w:tcPr>
            <w:tcW w:w="0" w:type="dxa"/>
            <w:vAlign w:val="bottom"/>
          </w:tcPr>
          <w:p>
            <w:pPr>
              <w:spacing w:after="0"/>
              <w:rPr>
                <w:sz w:val="1"/>
                <w:szCs w:val="1"/>
                <w:color w:val="auto"/>
              </w:rPr>
            </w:pPr>
          </w:p>
        </w:tc>
      </w:tr>
      <w:tr>
        <w:trPr>
          <w:trHeight w:val="265"/>
        </w:trPr>
        <w:tc>
          <w:tcPr>
            <w:tcW w:w="714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color w:val="auto"/>
              </w:rPr>
              <w:t>Average net TBA position - at cost</w:t>
            </w:r>
          </w:p>
        </w:tc>
        <w:tc>
          <w:tcPr>
            <w:tcW w:w="2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16,931</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8,238</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15,205</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8,191</w:t>
            </w:r>
          </w:p>
        </w:tc>
        <w:tc>
          <w:tcPr>
            <w:tcW w:w="0" w:type="dxa"/>
            <w:vAlign w:val="bottom"/>
          </w:tcPr>
          <w:p>
            <w:pPr>
              <w:spacing w:after="0"/>
              <w:rPr>
                <w:sz w:val="1"/>
                <w:szCs w:val="1"/>
                <w:color w:val="auto"/>
              </w:rPr>
            </w:pPr>
          </w:p>
        </w:tc>
      </w:tr>
      <w:tr>
        <w:trPr>
          <w:trHeight w:val="255"/>
        </w:trPr>
        <w:tc>
          <w:tcPr>
            <w:tcW w:w="7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average mortgage borrowings and net TBA position</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55,876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55,186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54,278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54,628</w:t>
            </w:r>
          </w:p>
        </w:tc>
        <w:tc>
          <w:tcPr>
            <w:tcW w:w="0" w:type="dxa"/>
            <w:vAlign w:val="bottom"/>
          </w:tcPr>
          <w:p>
            <w:pPr>
              <w:spacing w:after="0"/>
              <w:rPr>
                <w:sz w:val="1"/>
                <w:szCs w:val="1"/>
                <w:color w:val="auto"/>
              </w:rPr>
            </w:pPr>
          </w:p>
        </w:tc>
      </w:tr>
      <w:tr>
        <w:trPr>
          <w:trHeight w:val="265"/>
        </w:trPr>
        <w:tc>
          <w:tcPr>
            <w:tcW w:w="714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color w:val="auto"/>
              </w:rPr>
              <w:t>Average notional amount of interest rate swaps (including forward starting swaps)</w:t>
            </w: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39,043</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37,105</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37,689</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38,418</w:t>
            </w:r>
          </w:p>
        </w:tc>
        <w:tc>
          <w:tcPr>
            <w:tcW w:w="0" w:type="dxa"/>
            <w:vAlign w:val="bottom"/>
          </w:tcPr>
          <w:p>
            <w:pPr>
              <w:spacing w:after="0"/>
              <w:rPr>
                <w:sz w:val="1"/>
                <w:szCs w:val="1"/>
                <w:color w:val="auto"/>
              </w:rPr>
            </w:pPr>
          </w:p>
        </w:tc>
      </w:tr>
      <w:tr>
        <w:trPr>
          <w:trHeight w:val="242"/>
        </w:trPr>
        <w:tc>
          <w:tcPr>
            <w:tcW w:w="7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Average ratio of interest rate swaps to mortgage borrowings and net TBA position</w:t>
            </w:r>
          </w:p>
        </w:tc>
        <w:tc>
          <w:tcPr>
            <w:tcW w:w="2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Spread and Dollar Roll Income</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table below presents a reconciliation of our net interest income (the most comparable GAAP financial measure) to our net spread and dollar roll income and to our net spread and dollar roll income, excluding estimated "catch-up" premium amortization cost, (non-GAAP financial measures) for the three and six months ended June 30, 2017 and 2016 (dollars in millions):</w:t>
      </w:r>
    </w:p>
    <w:p>
      <w:pPr>
        <w:spacing w:after="0" w:line="184"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178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100" w:type="dxa"/>
            <w:vAlign w:val="bottom"/>
          </w:tcPr>
          <w:p>
            <w:pPr>
              <w:spacing w:after="0"/>
              <w:rPr>
                <w:sz w:val="13"/>
                <w:szCs w:val="13"/>
                <w:color w:val="auto"/>
              </w:rPr>
            </w:pPr>
          </w:p>
        </w:tc>
        <w:tc>
          <w:tcPr>
            <w:tcW w:w="1580" w:type="dxa"/>
            <w:vAlign w:val="bottom"/>
            <w:gridSpan w:val="5"/>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Six Months Ended June</w:t>
            </w:r>
          </w:p>
        </w:tc>
        <w:tc>
          <w:tcPr>
            <w:tcW w:w="0" w:type="dxa"/>
            <w:vAlign w:val="bottom"/>
          </w:tcPr>
          <w:p>
            <w:pPr>
              <w:spacing w:after="0"/>
              <w:rPr>
                <w:sz w:val="1"/>
                <w:szCs w:val="1"/>
                <w:color w:val="auto"/>
              </w:rPr>
            </w:pPr>
          </w:p>
        </w:tc>
      </w:tr>
      <w:tr>
        <w:trPr>
          <w:trHeight w:val="195"/>
        </w:trPr>
        <w:tc>
          <w:tcPr>
            <w:tcW w:w="5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30,</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7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2017</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2017</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55"/>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interest income</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413</w:t>
            </w:r>
          </w:p>
        </w:tc>
        <w:tc>
          <w:tcPr>
            <w:tcW w:w="0" w:type="dxa"/>
            <w:vAlign w:val="bottom"/>
          </w:tcPr>
          <w:p>
            <w:pPr>
              <w:spacing w:after="0"/>
              <w:rPr>
                <w:sz w:val="1"/>
                <w:szCs w:val="1"/>
                <w:color w:val="auto"/>
              </w:rPr>
            </w:pPr>
          </w:p>
        </w:tc>
      </w:tr>
      <w:tr>
        <w:trPr>
          <w:trHeight w:val="265"/>
        </w:trPr>
        <w:tc>
          <w:tcPr>
            <w:tcW w:w="57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 xml:space="preserve">Periodic interest costs of interest rate swaps, net </w:t>
            </w:r>
            <w:r>
              <w:rPr>
                <w:rFonts w:ascii="Times New Roman" w:cs="Times New Roman" w:eastAsia="Times New Roman" w:hAnsi="Times New Roman"/>
                <w:sz w:val="8"/>
                <w:szCs w:val="8"/>
                <w:color w:val="auto"/>
              </w:rPr>
              <w:t>1</w:t>
            </w:r>
          </w:p>
        </w:tc>
        <w:tc>
          <w:tcPr>
            <w:tcW w:w="1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275"/>
        </w:trPr>
        <w:tc>
          <w:tcPr>
            <w:tcW w:w="5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 xml:space="preserve">TBA dollar roll income </w:t>
            </w:r>
            <w:r>
              <w:rPr>
                <w:rFonts w:ascii="Times New Roman" w:cs="Times New Roman" w:eastAsia="Times New Roman" w:hAnsi="Times New Roman"/>
                <w:sz w:val="8"/>
                <w:szCs w:val="8"/>
                <w:color w:val="auto"/>
              </w:rPr>
              <w:t>1</w:t>
            </w:r>
          </w:p>
        </w:tc>
        <w:tc>
          <w:tcPr>
            <w:tcW w:w="16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265"/>
        </w:trPr>
        <w:tc>
          <w:tcPr>
            <w:tcW w:w="57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Management fee income</w:t>
            </w:r>
          </w:p>
        </w:tc>
        <w:tc>
          <w:tcPr>
            <w:tcW w:w="1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5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 xml:space="preserve">Dividend from REIT equity securities </w:t>
            </w:r>
            <w:r>
              <w:rPr>
                <w:rFonts w:ascii="Times New Roman" w:cs="Times New Roman" w:eastAsia="Times New Roman" w:hAnsi="Times New Roman"/>
                <w:sz w:val="8"/>
                <w:szCs w:val="8"/>
                <w:color w:val="auto"/>
              </w:rPr>
              <w:t>1</w:t>
            </w:r>
          </w:p>
        </w:tc>
        <w:tc>
          <w:tcPr>
            <w:tcW w:w="16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5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net interest and dollar roll income</w:t>
            </w: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351</w:t>
            </w:r>
          </w:p>
        </w:tc>
        <w:tc>
          <w:tcPr>
            <w:tcW w:w="0" w:type="dxa"/>
            <w:vAlign w:val="bottom"/>
          </w:tcPr>
          <w:p>
            <w:pPr>
              <w:spacing w:after="0"/>
              <w:rPr>
                <w:sz w:val="1"/>
                <w:szCs w:val="1"/>
                <w:color w:val="auto"/>
              </w:rPr>
            </w:pPr>
          </w:p>
        </w:tc>
      </w:tr>
      <w:tr>
        <w:trPr>
          <w:trHeight w:val="275"/>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57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270"/>
        </w:trPr>
        <w:tc>
          <w:tcPr>
            <w:tcW w:w="5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Non-recurring transaction costs</w:t>
            </w:r>
          </w:p>
        </w:tc>
        <w:tc>
          <w:tcPr>
            <w:tcW w:w="16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50"/>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Adjusted Operating Expenses</w:t>
            </w:r>
          </w:p>
        </w:tc>
        <w:tc>
          <w:tcPr>
            <w:tcW w:w="1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255"/>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spread and dollar roll income</w:t>
            </w:r>
          </w:p>
        </w:tc>
        <w:tc>
          <w:tcPr>
            <w:tcW w:w="16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287</w:t>
            </w:r>
          </w:p>
        </w:tc>
        <w:tc>
          <w:tcPr>
            <w:tcW w:w="0" w:type="dxa"/>
            <w:vAlign w:val="bottom"/>
          </w:tcPr>
          <w:p>
            <w:pPr>
              <w:spacing w:after="0"/>
              <w:rPr>
                <w:sz w:val="1"/>
                <w:szCs w:val="1"/>
                <w:color w:val="auto"/>
              </w:rPr>
            </w:pPr>
          </w:p>
        </w:tc>
      </w:tr>
      <w:tr>
        <w:trPr>
          <w:trHeight w:val="265"/>
        </w:trPr>
        <w:tc>
          <w:tcPr>
            <w:tcW w:w="57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Dividend on preferred stock</w:t>
            </w:r>
          </w:p>
        </w:tc>
        <w:tc>
          <w:tcPr>
            <w:tcW w:w="16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55"/>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spread and dollar roll income available to common stockholders</w:t>
            </w:r>
          </w:p>
        </w:tc>
        <w:tc>
          <w:tcPr>
            <w:tcW w:w="16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273</w:t>
            </w:r>
          </w:p>
        </w:tc>
        <w:tc>
          <w:tcPr>
            <w:tcW w:w="0" w:type="dxa"/>
            <w:vAlign w:val="bottom"/>
          </w:tcPr>
          <w:p>
            <w:pPr>
              <w:spacing w:after="0"/>
              <w:rPr>
                <w:sz w:val="1"/>
                <w:szCs w:val="1"/>
                <w:color w:val="auto"/>
              </w:rPr>
            </w:pPr>
          </w:p>
        </w:tc>
      </w:tr>
      <w:tr>
        <w:trPr>
          <w:trHeight w:val="265"/>
        </w:trPr>
        <w:tc>
          <w:tcPr>
            <w:tcW w:w="57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Estimated "catch-up" premium amortization cost due to change in CPR forecast</w:t>
            </w:r>
          </w:p>
        </w:tc>
        <w:tc>
          <w:tcPr>
            <w:tcW w:w="16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138"/>
        </w:trPr>
        <w:tc>
          <w:tcPr>
            <w:tcW w:w="57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Net spread and dollar roll income, excluding "catch-up" premium amortization, available to</w:t>
            </w: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32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187</w:t>
            </w:r>
          </w:p>
        </w:tc>
        <w:tc>
          <w:tcPr>
            <w:tcW w:w="12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32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360</w:t>
            </w:r>
          </w:p>
        </w:tc>
        <w:tc>
          <w:tcPr>
            <w:tcW w:w="0" w:type="dxa"/>
            <w:vAlign w:val="bottom"/>
          </w:tcPr>
          <w:p>
            <w:pPr>
              <w:spacing w:after="0"/>
              <w:rPr>
                <w:sz w:val="1"/>
                <w:szCs w:val="1"/>
                <w:color w:val="auto"/>
              </w:rPr>
            </w:pPr>
          </w:p>
        </w:tc>
      </w:tr>
      <w:tr>
        <w:trPr>
          <w:trHeight w:val="185"/>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stockholders</w:t>
            </w:r>
          </w:p>
        </w:tc>
        <w:tc>
          <w:tcPr>
            <w:tcW w:w="160" w:type="dxa"/>
            <w:vAlign w:val="bottom"/>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320" w:type="dxa"/>
            <w:vAlign w:val="bottom"/>
            <w:gridSpan w:val="3"/>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320" w:type="dxa"/>
            <w:vAlign w:val="bottom"/>
            <w:gridSpan w:val="3"/>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basic</w:t>
            </w:r>
          </w:p>
        </w:tc>
        <w:tc>
          <w:tcPr>
            <w:tcW w:w="16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346.4</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331.0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338.8</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332.7</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diluted</w:t>
            </w:r>
          </w:p>
        </w:tc>
        <w:tc>
          <w:tcPr>
            <w:tcW w:w="1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346.5</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331.0</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338.9</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332.7</w:t>
            </w: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spread and dollar roll income per common share - basic and diluted</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0.63</w:t>
            </w:r>
          </w:p>
        </w:tc>
        <w:tc>
          <w:tcPr>
            <w:tcW w:w="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0.82</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line="147" w:lineRule="exact"/>
              <w:rPr>
                <w:sz w:val="20"/>
                <w:szCs w:val="20"/>
                <w:color w:val="auto"/>
              </w:rPr>
            </w:pPr>
            <w:r>
              <w:rPr>
                <w:rFonts w:ascii="Times New Roman" w:cs="Times New Roman" w:eastAsia="Times New Roman" w:hAnsi="Times New Roman"/>
                <w:sz w:val="14"/>
                <w:szCs w:val="14"/>
                <w:color w:val="auto"/>
              </w:rPr>
              <w:t>Net spread and dollar roll income, excluding "catch-up" premium amortization, per common</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40" w:type="dxa"/>
            <w:vAlign w:val="bottom"/>
            <w:vMerge w:val="continue"/>
          </w:tcPr>
          <w:p>
            <w:pPr>
              <w:spacing w:after="0"/>
              <w:rPr>
                <w:sz w:val="9"/>
                <w:szCs w:val="9"/>
                <w:color w:val="auto"/>
              </w:rPr>
            </w:pP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0.67</w:t>
            </w:r>
          </w:p>
        </w:tc>
        <w:tc>
          <w:tcPr>
            <w:tcW w:w="3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0.56</w:t>
            </w:r>
          </w:p>
        </w:tc>
        <w:tc>
          <w:tcPr>
            <w:tcW w:w="12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3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188"/>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 - basic and diluted</w:t>
            </w:r>
          </w:p>
        </w:tc>
        <w:tc>
          <w:tcPr>
            <w:tcW w:w="16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320" w:type="dxa"/>
            <w:vAlign w:val="bottom"/>
            <w:gridSpan w:val="3"/>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320" w:type="dxa"/>
            <w:vAlign w:val="bottom"/>
            <w:gridSpan w:val="3"/>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-1270</wp:posOffset>
            </wp:positionV>
            <wp:extent cx="21951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-95885</wp:posOffset>
            </wp:positionV>
            <wp:extent cx="21951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ind w:left="660" w:hanging="328"/>
        <w:spacing w:after="0"/>
        <w:tabs>
          <w:tab w:leader="none" w:pos="6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Reported in gain (loss) on derivative instruments and other securities, net in our consolidated statements of comprehensive income</w:t>
      </w:r>
    </w:p>
    <w:p>
      <w:pPr>
        <w:spacing w:after="0" w:line="15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Net spread and dollar roll income, excluding "catch-up" premium amortization adjustments, for the three and six months ended June 30, 2017 was $0.67 and $1.31 per common share, respectively, compared to $0.56 and $1.08 per common share, respectively, for the prior year period. The increase relative to the prior year period was due to the combination of lower operating costs as a function of our management internalization during the third quarter of 2016, higher TBA dollar roll income and a lower aggregate cost of funds, including the implied funding cost on our TBA position.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959" w:right="239" w:bottom="1440" w:gutter="0" w:footer="0" w:header="0"/>
        </w:sectPr>
      </w:pPr>
    </w:p>
    <w:bookmarkStart w:id="42" w:name="page43"/>
    <w:bookmarkEnd w:id="42"/>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average net interest rate spread and dollar roll income (i.e., the difference between the average yield on our assets and our average cost of funds inclusive of TBAs), excluding "catch-up" premium amortization cost, was 1.55% and 1.53% for the three and six months ended June 30, 2017, respectively, compared to 1.38% and 1.35%, respectively, for the prior year period. Including catch-up premium amortization adjustments, our net interest rate spread and dollar roll income was 1.46% and 1.45% for the three and six months ended June 30, 2017, respectively, compared to 1.16% and 1.05%, respectively, for the prior year period.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(Loss) on Sale of Investment Securities, Net</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our net gain (loss) on sale of investment securities for the three and six months ended June 30, 2017 and 2016 (in millions):</w:t>
      </w:r>
    </w:p>
    <w:p>
      <w:pPr>
        <w:spacing w:after="0" w:line="250" w:lineRule="exact"/>
        <w:rPr>
          <w:sz w:val="20"/>
          <w:szCs w:val="20"/>
          <w:color w:val="auto"/>
        </w:rPr>
      </w:pPr>
    </w:p>
    <w:tbl>
      <w:tblPr>
        <w:tblLayout w:type="fixed"/>
        <w:tblInd w:w="1600" w:type="dxa"/>
        <w:tblCellMar>
          <w:top w:w="0" w:type="dxa"/>
          <w:left w:w="0" w:type="dxa"/>
          <w:bottom w:w="0" w:type="dxa"/>
          <w:right w:w="0" w:type="dxa"/>
        </w:tblCellMar>
      </w:tblPr>
      <w:tr>
        <w:trPr>
          <w:trHeight w:val="195"/>
        </w:trPr>
        <w:tc>
          <w:tcPr>
            <w:tcW w:w="4240" w:type="dxa"/>
            <w:vAlign w:val="bottom"/>
          </w:tcPr>
          <w:p>
            <w:pPr>
              <w:spacing w:after="0"/>
              <w:rPr>
                <w:sz w:val="16"/>
                <w:szCs w:val="16"/>
                <w:color w:val="auto"/>
              </w:rPr>
            </w:pPr>
          </w:p>
        </w:tc>
        <w:tc>
          <w:tcPr>
            <w:tcW w:w="206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6"/>
                <w:szCs w:val="16"/>
                <w:color w:val="auto"/>
              </w:rPr>
            </w:pPr>
          </w:p>
        </w:tc>
        <w:tc>
          <w:tcPr>
            <w:tcW w:w="1840" w:type="dxa"/>
            <w:vAlign w:val="bottom"/>
            <w:gridSpan w:val="4"/>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424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55"/>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securities sold, at cost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(11,023)</w:t>
            </w:r>
          </w:p>
        </w:tc>
      </w:tr>
      <w:tr>
        <w:trPr>
          <w:trHeight w:val="265"/>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xml:space="preserve">Proceeds from sale </w:t>
            </w:r>
            <w:r>
              <w:rPr>
                <w:rFonts w:ascii="Times New Roman" w:cs="Times New Roman" w:eastAsia="Times New Roman" w:hAnsi="Times New Roman"/>
                <w:sz w:val="8"/>
                <w:szCs w:val="8"/>
                <w:color w:val="auto"/>
              </w:rPr>
              <w:t>1</w:t>
            </w: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3,002</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7,563</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8,286</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11,076</w:t>
            </w:r>
          </w:p>
        </w:tc>
      </w:tr>
      <w:tr>
        <w:trPr>
          <w:trHeight w:val="242"/>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gain (loss) on sale of investment securities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w:t>
            </w: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64"/>
        </w:trPr>
        <w:tc>
          <w:tcPr>
            <w:tcW w:w="4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gain on sale of investment securities</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w:t>
            </w:r>
          </w:p>
        </w:tc>
      </w:tr>
      <w:tr>
        <w:trPr>
          <w:trHeight w:val="265"/>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loss on sale of investment securities</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42"/>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gain (loss) on sale of investment securities</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w:t>
            </w:r>
          </w:p>
        </w:tc>
      </w:tr>
    </w:tbl>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-95885</wp:posOffset>
            </wp:positionV>
            <wp:extent cx="25387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ind w:left="660" w:hanging="328"/>
        <w:spacing w:after="0"/>
        <w:tabs>
          <w:tab w:leader="none" w:pos="6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Proceeds include cash received during the period, plus receivable for investment securities sold during the period as of period end.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(Loss) on Derivative Instruments and Other Securities, Net</w:t>
      </w:r>
    </w:p>
    <w:p>
      <w:pPr>
        <w:spacing w:after="0" w:line="189"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our gain (loss) on derivative instruments and other securities, net for the three and six months ended June 30, 2017 and 2016 (in millions):</w:t>
      </w:r>
    </w:p>
    <w:p>
      <w:pPr>
        <w:spacing w:after="0" w:line="250" w:lineRule="exact"/>
        <w:rPr>
          <w:sz w:val="20"/>
          <w:szCs w:val="20"/>
          <w:color w:val="auto"/>
        </w:rPr>
      </w:pPr>
    </w:p>
    <w:tbl>
      <w:tblPr>
        <w:tblLayout w:type="fixed"/>
        <w:tblInd w:w="720" w:type="dxa"/>
        <w:tblCellMar>
          <w:top w:w="0" w:type="dxa"/>
          <w:left w:w="0" w:type="dxa"/>
          <w:bottom w:w="0" w:type="dxa"/>
          <w:right w:w="0" w:type="dxa"/>
        </w:tblCellMar>
      </w:tblPr>
      <w:tr>
        <w:trPr>
          <w:trHeight w:val="195"/>
        </w:trPr>
        <w:tc>
          <w:tcPr>
            <w:tcW w:w="6100" w:type="dxa"/>
            <w:vAlign w:val="bottom"/>
          </w:tcPr>
          <w:p>
            <w:pPr>
              <w:spacing w:after="0"/>
              <w:rPr>
                <w:sz w:val="16"/>
                <w:szCs w:val="16"/>
                <w:color w:val="auto"/>
              </w:rPr>
            </w:pPr>
          </w:p>
        </w:tc>
        <w:tc>
          <w:tcPr>
            <w:tcW w:w="200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6"/>
                <w:szCs w:val="16"/>
                <w:color w:val="auto"/>
              </w:rPr>
            </w:pPr>
          </w:p>
        </w:tc>
        <w:tc>
          <w:tcPr>
            <w:tcW w:w="1780" w:type="dxa"/>
            <w:vAlign w:val="bottom"/>
            <w:gridSpan w:val="4"/>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6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55"/>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Periodic interest costs of interest rate swaps, net</w:t>
            </w:r>
          </w:p>
        </w:tc>
        <w:tc>
          <w:tcPr>
            <w:tcW w:w="2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r>
      <w:tr>
        <w:trPr>
          <w:trHeight w:val="259"/>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Realized gain (loss) on derivative instruments and other securities, net:</w:t>
            </w: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75"/>
        </w:trPr>
        <w:tc>
          <w:tcPr>
            <w:tcW w:w="610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TBA securities - dollar roll income, net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94</w:t>
            </w:r>
          </w:p>
        </w:tc>
      </w:tr>
      <w:tr>
        <w:trPr>
          <w:trHeight w:val="265"/>
        </w:trPr>
        <w:tc>
          <w:tcPr>
            <w:tcW w:w="6100" w:type="dxa"/>
            <w:vAlign w:val="bottom"/>
          </w:tcPr>
          <w:p>
            <w:pPr>
              <w:ind w:left="1180"/>
              <w:spacing w:after="0"/>
              <w:rPr>
                <w:sz w:val="20"/>
                <w:szCs w:val="20"/>
                <w:color w:val="auto"/>
              </w:rPr>
            </w:pPr>
            <w:r>
              <w:rPr>
                <w:rFonts w:ascii="Times New Roman" w:cs="Times New Roman" w:eastAsia="Times New Roman" w:hAnsi="Times New Roman"/>
                <w:sz w:val="14"/>
                <w:szCs w:val="14"/>
                <w:color w:val="auto"/>
              </w:rPr>
              <w:t>TBA securities - mark-to-market net gain (loss)</w:t>
            </w: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147</w:t>
            </w:r>
          </w:p>
        </w:tc>
      </w:tr>
      <w:tr>
        <w:trPr>
          <w:trHeight w:val="275"/>
        </w:trPr>
        <w:tc>
          <w:tcPr>
            <w:tcW w:w="610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Payer swaptions</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65"/>
        </w:trPr>
        <w:tc>
          <w:tcPr>
            <w:tcW w:w="6100" w:type="dxa"/>
            <w:vAlign w:val="bottom"/>
          </w:tcPr>
          <w:p>
            <w:pPr>
              <w:ind w:left="1180"/>
              <w:spacing w:after="0"/>
              <w:rPr>
                <w:sz w:val="20"/>
                <w:szCs w:val="20"/>
                <w:color w:val="auto"/>
              </w:rPr>
            </w:pPr>
            <w:r>
              <w:rPr>
                <w:rFonts w:ascii="Times New Roman" w:cs="Times New Roman" w:eastAsia="Times New Roman" w:hAnsi="Times New Roman"/>
                <w:sz w:val="14"/>
                <w:szCs w:val="14"/>
                <w:color w:val="auto"/>
              </w:rPr>
              <w:t>U.S. Treasury securities - long position</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w:t>
            </w:r>
          </w:p>
        </w:tc>
      </w:tr>
      <w:tr>
        <w:trPr>
          <w:trHeight w:val="275"/>
        </w:trPr>
        <w:tc>
          <w:tcPr>
            <w:tcW w:w="610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U.S. Treasury securities - short position</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265"/>
        </w:trPr>
        <w:tc>
          <w:tcPr>
            <w:tcW w:w="6100" w:type="dxa"/>
            <w:vAlign w:val="bottom"/>
          </w:tcPr>
          <w:p>
            <w:pPr>
              <w:ind w:left="1180"/>
              <w:spacing w:after="0"/>
              <w:rPr>
                <w:sz w:val="20"/>
                <w:szCs w:val="20"/>
                <w:color w:val="auto"/>
              </w:rPr>
            </w:pPr>
            <w:r>
              <w:rPr>
                <w:rFonts w:ascii="Times New Roman" w:cs="Times New Roman" w:eastAsia="Times New Roman" w:hAnsi="Times New Roman"/>
                <w:sz w:val="14"/>
                <w:szCs w:val="14"/>
                <w:color w:val="auto"/>
              </w:rPr>
              <w:t>U.S. Treasury futures - short position</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275"/>
        </w:trPr>
        <w:tc>
          <w:tcPr>
            <w:tcW w:w="610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Interest rate swaps - termination fees and CME variation margin settlements, net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w:t>
            </w:r>
          </w:p>
        </w:tc>
      </w:tr>
      <w:tr>
        <w:trPr>
          <w:trHeight w:val="265"/>
        </w:trPr>
        <w:tc>
          <w:tcPr>
            <w:tcW w:w="6100" w:type="dxa"/>
            <w:vAlign w:val="bottom"/>
            <w:tcBorders>
              <w:bottom w:val="single" w:sz="8" w:color="CCEEFF"/>
            </w:tcBorders>
          </w:tcPr>
          <w:p>
            <w:pPr>
              <w:ind w:left="118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w:t>
            </w:r>
          </w:p>
        </w:tc>
      </w:tr>
      <w:tr>
        <w:trPr>
          <w:trHeight w:val="255"/>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realized gain (loss) on derivative instruments and other securities, net</w:t>
            </w:r>
          </w:p>
        </w:tc>
        <w:tc>
          <w:tcPr>
            <w:tcW w:w="2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w:t>
            </w:r>
          </w:p>
        </w:tc>
      </w:tr>
      <w:tr>
        <w:trPr>
          <w:trHeight w:val="259"/>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gain (loss) on derivative instruments and other securities, net:</w:t>
            </w: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75"/>
        </w:trPr>
        <w:tc>
          <w:tcPr>
            <w:tcW w:w="610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TBA securities - mark-to-market net gain (loss)</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83</w:t>
            </w:r>
          </w:p>
        </w:tc>
      </w:tr>
      <w:tr>
        <w:trPr>
          <w:trHeight w:val="265"/>
        </w:trPr>
        <w:tc>
          <w:tcPr>
            <w:tcW w:w="6100" w:type="dxa"/>
            <w:vAlign w:val="bottom"/>
          </w:tcPr>
          <w:p>
            <w:pPr>
              <w:ind w:left="1180"/>
              <w:spacing w:after="0"/>
              <w:rPr>
                <w:sz w:val="20"/>
                <w:szCs w:val="20"/>
                <w:color w:val="auto"/>
              </w:rPr>
            </w:pPr>
            <w:r>
              <w:rPr>
                <w:rFonts w:ascii="Times New Roman" w:cs="Times New Roman" w:eastAsia="Times New Roman" w:hAnsi="Times New Roman"/>
                <w:sz w:val="14"/>
                <w:szCs w:val="14"/>
                <w:color w:val="auto"/>
              </w:rPr>
              <w:t>Interest rate swaps</w:t>
            </w: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w:t>
            </w:r>
          </w:p>
        </w:tc>
      </w:tr>
      <w:tr>
        <w:trPr>
          <w:trHeight w:val="275"/>
        </w:trPr>
        <w:tc>
          <w:tcPr>
            <w:tcW w:w="610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Payer swaptions</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w:t>
            </w:r>
          </w:p>
        </w:tc>
      </w:tr>
      <w:tr>
        <w:trPr>
          <w:trHeight w:val="265"/>
        </w:trPr>
        <w:tc>
          <w:tcPr>
            <w:tcW w:w="6100" w:type="dxa"/>
            <w:vAlign w:val="bottom"/>
          </w:tcPr>
          <w:p>
            <w:pPr>
              <w:ind w:left="1180"/>
              <w:spacing w:after="0"/>
              <w:rPr>
                <w:sz w:val="20"/>
                <w:szCs w:val="20"/>
                <w:color w:val="auto"/>
              </w:rPr>
            </w:pPr>
            <w:r>
              <w:rPr>
                <w:rFonts w:ascii="Times New Roman" w:cs="Times New Roman" w:eastAsia="Times New Roman" w:hAnsi="Times New Roman"/>
                <w:sz w:val="14"/>
                <w:szCs w:val="14"/>
                <w:color w:val="auto"/>
              </w:rPr>
              <w:t>U.S. Treasury securities - short position</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r>
      <w:tr>
        <w:trPr>
          <w:trHeight w:val="275"/>
        </w:trPr>
        <w:tc>
          <w:tcPr>
            <w:tcW w:w="610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U.S. Treasury futures - short position</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265"/>
        </w:trPr>
        <w:tc>
          <w:tcPr>
            <w:tcW w:w="6100" w:type="dxa"/>
            <w:vAlign w:val="bottom"/>
          </w:tcPr>
          <w:p>
            <w:pPr>
              <w:ind w:left="1180"/>
              <w:spacing w:after="0"/>
              <w:rPr>
                <w:sz w:val="20"/>
                <w:szCs w:val="20"/>
                <w:color w:val="auto"/>
              </w:rPr>
            </w:pPr>
            <w:r>
              <w:rPr>
                <w:rFonts w:ascii="Times New Roman" w:cs="Times New Roman" w:eastAsia="Times New Roman" w:hAnsi="Times New Roman"/>
                <w:sz w:val="14"/>
                <w:szCs w:val="14"/>
                <w:color w:val="auto"/>
              </w:rPr>
              <w:t>Debt of consolidated VIEs</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75"/>
        </w:trPr>
        <w:tc>
          <w:tcPr>
            <w:tcW w:w="610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REIT equity securities</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w:t>
            </w:r>
          </w:p>
        </w:tc>
      </w:tr>
      <w:tr>
        <w:trPr>
          <w:trHeight w:val="265"/>
        </w:trPr>
        <w:tc>
          <w:tcPr>
            <w:tcW w:w="6100" w:type="dxa"/>
            <w:vAlign w:val="bottom"/>
          </w:tcPr>
          <w:p>
            <w:pPr>
              <w:ind w:left="118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50"/>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unrealized loss on derivative instruments and other securities, net</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w:t>
            </w:r>
          </w:p>
        </w:tc>
      </w:tr>
      <w:tr>
        <w:trPr>
          <w:trHeight w:val="242"/>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loss on derivative instruments and other securities, net</w:t>
            </w:r>
          </w:p>
        </w:tc>
        <w:tc>
          <w:tcPr>
            <w:tcW w:w="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(1,311)</w:t>
            </w:r>
          </w:p>
        </w:tc>
      </w:tr>
      <w:tr>
        <w:trPr>
          <w:trHeight w:val="20"/>
        </w:trPr>
        <w:tc>
          <w:tcPr>
            <w:tcW w:w="6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For further details regarding our use of derivative instruments and related activity refer to Notes 3 and 6 of our Consolidated Financial Statements in this Form 10-Q.</w:t>
      </w:r>
    </w:p>
    <w:p>
      <w:pPr>
        <w:sectPr>
          <w:pgSz w:w="11900" w:h="16838" w:orient="portrait"/>
          <w:cols w:equalWidth="0" w:num="1">
            <w:col w:w="11420"/>
          </w:cols>
          <w:pgMar w:left="240" w:top="742"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742" w:right="2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75"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Prior to our acquisition of AMM and related management internalization on July 1, 2016, we paid our Manager a management fee payable monthly in arrears in an amount equal to one-twelfth of 1.25% of our month-end stockholders' equity, as defined in our management agreement. Following our management internalization, we no longer incur a management fee, but we incur expenses associated with an internally managed organization, including compensation expense previously borne by our Manager. For the three and six months ended June 30, 2016, we incurred management fees of $25 million and $52 million, respectively. For three and six months ended June 30, 2017, we incurred compensation and benefits expense of $10 million and $20 million, respectively, consisting of base salary, annual incentive and employee retention bonus accruals, benefits expense and long-term incentive compensation costs.</w:t>
      </w:r>
    </w:p>
    <w:p>
      <w:pPr>
        <w:spacing w:after="0" w:line="13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For the three and six months ended June 30, 2017, we incurred other operating expenses of $6 million and $13 million, respectively, compared to $15 million and $21 million, respectively, for the prior year period. Excluding non-recurring acquisition costs, we incurred other operating expenses of $6 million and $12 million, respectively, for the prior year period. Other operating expenses primarily consist of prime broker fees; clearing, settlement and regulatory fees incurred by BES; information technology costs; accounting, legal and Board of Director fees; amortization of intangible assets associated with our acquisition of AMM; and other general overhead expenses.</w:t>
      </w:r>
    </w:p>
    <w:p>
      <w:pPr>
        <w:spacing w:after="0" w:line="13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Our total annualized operating expense as a percentage of our average stockholders' equity was 0.85% and 0.89% for the three and six months ended June 30, 2017, compared to 2.08% and 1.89%, respectively, for the prior year period. Excluding non-recurring acquisition costs, our total operating expense as a percentage of our stockholders' equity was 1.61% and 1.65%, respectively, for the prior year period.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and Income Taxes</w:t>
      </w:r>
    </w:p>
    <w:p>
      <w:pPr>
        <w:spacing w:after="0" w:line="18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For the three months ended June 30, 2017 and 2016, we had estimated taxable income available to common stockholders of $46 million and $73 million (or $0.13 and $0.22 per common share), respectively. For the six months ended June 30, 2017 and 2016, we had estimated taxable income available to common stockholders of $76 million and $147 million (or $0.22 and $0.44 per common share), respectively. Income as determined under GAAP differs from income as determined under tax rules because of both temporary and permanent differences in income and expense recognition. The primary differences are</w:t>
      </w:r>
    </w:p>
    <w:p>
      <w:pPr>
        <w:spacing w:after="0" w:line="3" w:lineRule="exact"/>
        <w:rPr>
          <w:sz w:val="20"/>
          <w:szCs w:val="20"/>
          <w:color w:val="auto"/>
        </w:rPr>
      </w:pPr>
    </w:p>
    <w:p>
      <w:pPr>
        <w:jc w:val="both"/>
        <w:ind w:firstLine="8"/>
        <w:spacing w:after="0" w:line="252" w:lineRule="auto"/>
        <w:tabs>
          <w:tab w:leader="none" w:pos="23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unrealized gains and losses on derivative instruments and other securities marked-to-market in current income for GAAP purposes, but excluded from taxable income until realized or settled, (ii) timing differences, both temporary and potentially permanent, in the recognition of certain realized gains and losses and (iii) temporary differences related to the amortization of premiums and discounts on investments. Furthermore, our estimated taxable income is subject to potential adjustments up to the time of filing our appropriate tax returns, which occurs after the end of our fiscal year. The following is a reconciliation of our GAAP net income to our estimated taxable income for the three and six months ended June 30, 2017 and 2016 (dollars in millions, except per share amounts):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738" w:right="239" w:bottom="1440" w:gutter="0" w:footer="0" w:header="0"/>
        </w:sectPr>
      </w:pPr>
    </w:p>
    <w:bookmarkStart w:id="44" w:name="page45"/>
    <w:bookmarkEnd w:id="44"/>
    <w:tbl>
      <w:tblPr>
        <w:tblLayout w:type="fixed"/>
        <w:tblInd w:w="86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100" w:type="dxa"/>
            <w:vAlign w:val="bottom"/>
          </w:tcPr>
          <w:p>
            <w:pPr>
              <w:spacing w:after="0"/>
              <w:rPr>
                <w:sz w:val="13"/>
                <w:szCs w:val="13"/>
                <w:color w:val="auto"/>
              </w:rPr>
            </w:pPr>
          </w:p>
        </w:tc>
        <w:tc>
          <w:tcPr>
            <w:tcW w:w="17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95"/>
        </w:trPr>
        <w:tc>
          <w:tcPr>
            <w:tcW w:w="58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3"/>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8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2017</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55"/>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34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w:t>
            </w:r>
          </w:p>
        </w:tc>
        <w:tc>
          <w:tcPr>
            <w:tcW w:w="0" w:type="dxa"/>
            <w:vAlign w:val="bottom"/>
          </w:tcPr>
          <w:p>
            <w:pPr>
              <w:spacing w:after="0"/>
              <w:rPr>
                <w:sz w:val="1"/>
                <w:szCs w:val="1"/>
                <w:color w:val="auto"/>
              </w:rPr>
            </w:pPr>
          </w:p>
        </w:tc>
      </w:tr>
      <w:tr>
        <w:trPr>
          <w:trHeight w:val="265"/>
        </w:trPr>
        <w:tc>
          <w:tcPr>
            <w:tcW w:w="5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Estimated book to tax differences:</w:t>
            </w: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Premium amortization, net</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265"/>
        </w:trPr>
        <w:tc>
          <w:tcPr>
            <w:tcW w:w="5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Realized gain/loss, net</w:t>
            </w: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484</w:t>
            </w:r>
          </w:p>
        </w:tc>
        <w:tc>
          <w:tcPr>
            <w:tcW w:w="0" w:type="dxa"/>
            <w:vAlign w:val="bottom"/>
          </w:tcPr>
          <w:p>
            <w:pPr>
              <w:spacing w:after="0"/>
              <w:rPr>
                <w:sz w:val="1"/>
                <w:szCs w:val="1"/>
                <w:color w:val="auto"/>
              </w:rPr>
            </w:pPr>
          </w:p>
        </w:tc>
      </w:tr>
      <w:tr>
        <w:trPr>
          <w:trHeight w:val="275"/>
        </w:trPr>
        <w:tc>
          <w:tcPr>
            <w:tcW w:w="5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Net capital loss/(utilization of net capital loss carryforward)</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0" w:type="dxa"/>
            <w:vAlign w:val="bottom"/>
          </w:tcPr>
          <w:p>
            <w:pPr>
              <w:spacing w:after="0"/>
              <w:rPr>
                <w:sz w:val="1"/>
                <w:szCs w:val="1"/>
                <w:color w:val="auto"/>
              </w:rPr>
            </w:pPr>
          </w:p>
        </w:tc>
      </w:tr>
      <w:tr>
        <w:trPr>
          <w:trHeight w:val="265"/>
        </w:trPr>
        <w:tc>
          <w:tcPr>
            <w:tcW w:w="5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Unrealized gain/loss, net</w:t>
            </w: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698</w:t>
            </w:r>
          </w:p>
        </w:tc>
        <w:tc>
          <w:tcPr>
            <w:tcW w:w="0" w:type="dxa"/>
            <w:vAlign w:val="bottom"/>
          </w:tcPr>
          <w:p>
            <w:pPr>
              <w:spacing w:after="0"/>
              <w:rPr>
                <w:sz w:val="1"/>
                <w:szCs w:val="1"/>
                <w:color w:val="auto"/>
              </w:rPr>
            </w:pPr>
          </w:p>
        </w:tc>
      </w:tr>
      <w:tr>
        <w:trPr>
          <w:trHeight w:val="270"/>
        </w:trPr>
        <w:tc>
          <w:tcPr>
            <w:tcW w:w="5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50"/>
        </w:trPr>
        <w:tc>
          <w:tcPr>
            <w:tcW w:w="5880" w:type="dxa"/>
            <w:vAlign w:val="bottom"/>
            <w:tcBorders>
              <w:bottom w:val="single" w:sz="8" w:color="CCEEFF"/>
            </w:tcBorders>
          </w:tcPr>
          <w:p>
            <w:pPr>
              <w:ind w:left="840"/>
              <w:spacing w:after="0"/>
              <w:rPr>
                <w:sz w:val="20"/>
                <w:szCs w:val="20"/>
                <w:color w:val="auto"/>
              </w:rPr>
            </w:pPr>
            <w:r>
              <w:rPr>
                <w:rFonts w:ascii="Times New Roman" w:cs="Times New Roman" w:eastAsia="Times New Roman" w:hAnsi="Times New Roman"/>
                <w:sz w:val="14"/>
                <w:szCs w:val="14"/>
                <w:color w:val="auto"/>
              </w:rPr>
              <w:t>Total book to tax differences</w:t>
            </w: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1,068</w:t>
            </w:r>
          </w:p>
        </w:tc>
        <w:tc>
          <w:tcPr>
            <w:tcW w:w="0" w:type="dxa"/>
            <w:vAlign w:val="bottom"/>
          </w:tcPr>
          <w:p>
            <w:pPr>
              <w:spacing w:after="0"/>
              <w:rPr>
                <w:sz w:val="1"/>
                <w:szCs w:val="1"/>
                <w:color w:val="auto"/>
              </w:rPr>
            </w:pPr>
          </w:p>
        </w:tc>
      </w:tr>
      <w:tr>
        <w:trPr>
          <w:trHeight w:val="255"/>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Estimated REIT taxable income</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161</w:t>
            </w:r>
          </w:p>
        </w:tc>
        <w:tc>
          <w:tcPr>
            <w:tcW w:w="0" w:type="dxa"/>
            <w:vAlign w:val="bottom"/>
          </w:tcPr>
          <w:p>
            <w:pPr>
              <w:spacing w:after="0"/>
              <w:rPr>
                <w:sz w:val="1"/>
                <w:szCs w:val="1"/>
                <w:color w:val="auto"/>
              </w:rPr>
            </w:pPr>
          </w:p>
        </w:tc>
      </w:tr>
      <w:tr>
        <w:trPr>
          <w:trHeight w:val="265"/>
        </w:trPr>
        <w:tc>
          <w:tcPr>
            <w:tcW w:w="58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Dividend on preferred stock</w:t>
            </w:r>
          </w:p>
        </w:tc>
        <w:tc>
          <w:tcPr>
            <w:tcW w:w="1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42"/>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Estimated REIT taxable income available to common stockholders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34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basic</w:t>
            </w: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346.4</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331.0</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338.8</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332.7</w:t>
            </w:r>
          </w:p>
        </w:tc>
        <w:tc>
          <w:tcPr>
            <w:tcW w:w="0" w:type="dxa"/>
            <w:vAlign w:val="bottom"/>
          </w:tcPr>
          <w:p>
            <w:pPr>
              <w:spacing w:after="0"/>
              <w:rPr>
                <w:sz w:val="1"/>
                <w:szCs w:val="1"/>
                <w:color w:val="auto"/>
              </w:rPr>
            </w:pPr>
          </w:p>
        </w:tc>
      </w:tr>
      <w:tr>
        <w:trPr>
          <w:trHeight w:val="210"/>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 - diluted</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346.5</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331.0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338.9</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332.7</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Estimated REIT taxable income per common share - basic and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34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0.22</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0.22</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0.44</w:t>
            </w:r>
          </w:p>
        </w:tc>
        <w:tc>
          <w:tcPr>
            <w:tcW w:w="0" w:type="dxa"/>
            <w:vAlign w:val="bottom"/>
          </w:tcPr>
          <w:p>
            <w:pPr>
              <w:spacing w:after="0"/>
              <w:rPr>
                <w:sz w:val="1"/>
                <w:szCs w:val="1"/>
                <w:color w:val="auto"/>
              </w:rPr>
            </w:pPr>
          </w:p>
        </w:tc>
      </w:tr>
      <w:tr>
        <w:trPr>
          <w:trHeight w:val="264"/>
        </w:trPr>
        <w:tc>
          <w:tcPr>
            <w:tcW w:w="58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spacing w:after="0"/>
              <w:rPr>
                <w:sz w:val="22"/>
                <w:szCs w:val="22"/>
                <w:color w:val="auto"/>
              </w:rPr>
            </w:pPr>
          </w:p>
        </w:tc>
        <w:tc>
          <w:tcPr>
            <w:tcW w:w="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5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Beginning cumulative non-deductible net capital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34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585</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452</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684</w:t>
            </w:r>
          </w:p>
        </w:tc>
        <w:tc>
          <w:tcPr>
            <w:tcW w:w="0" w:type="dxa"/>
            <w:vAlign w:val="bottom"/>
          </w:tcPr>
          <w:p>
            <w:pPr>
              <w:spacing w:after="0"/>
              <w:rPr>
                <w:sz w:val="1"/>
                <w:szCs w:val="1"/>
                <w:color w:val="auto"/>
              </w:rPr>
            </w:pPr>
          </w:p>
        </w:tc>
      </w:tr>
      <w:tr>
        <w:trPr>
          <w:trHeight w:val="27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capital loss / (Utilization of net capital loss carryforward)</w:t>
            </w:r>
          </w:p>
        </w:tc>
        <w:tc>
          <w:tcPr>
            <w:tcW w:w="1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0" w:type="dxa"/>
            <w:vAlign w:val="bottom"/>
          </w:tcPr>
          <w:p>
            <w:pPr>
              <w:spacing w:after="0"/>
              <w:rPr>
                <w:sz w:val="1"/>
                <w:szCs w:val="1"/>
                <w:color w:val="auto"/>
              </w:rPr>
            </w:pPr>
          </w:p>
        </w:tc>
      </w:tr>
      <w:tr>
        <w:trPr>
          <w:trHeight w:val="250"/>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Ending cumulative non-deductible net capital loss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486</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496</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486</w:t>
            </w:r>
          </w:p>
        </w:tc>
        <w:tc>
          <w:tcPr>
            <w:tcW w:w="0" w:type="dxa"/>
            <w:vAlign w:val="bottom"/>
          </w:tcPr>
          <w:p>
            <w:pPr>
              <w:spacing w:after="0"/>
              <w:rPr>
                <w:sz w:val="1"/>
                <w:szCs w:val="1"/>
                <w:color w:val="auto"/>
              </w:rPr>
            </w:pPr>
          </w:p>
        </w:tc>
      </w:tr>
      <w:tr>
        <w:trPr>
          <w:trHeight w:val="242"/>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cumulative non-deductible net capital loss per ending common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34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June 30, 2017, we had $0.5 billion (or $1.39 per common share) of net capital loss carryforwards, which expire beginning in fiscal year 2019.</w:t>
      </w:r>
    </w:p>
    <w:p>
      <w:pPr>
        <w:spacing w:after="0" w:line="171"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summarizes dividends declared on our Series A Preferred Stock, depositary shares underlying our Series B Preferred Stock and common stock during the six months ended June 30, 2017 and 2016:</w:t>
      </w:r>
    </w:p>
    <w:p>
      <w:pPr>
        <w:spacing w:after="0" w:line="205" w:lineRule="exact"/>
        <w:rPr>
          <w:sz w:val="20"/>
          <w:szCs w:val="20"/>
          <w:color w:val="auto"/>
        </w:rPr>
      </w:pPr>
    </w:p>
    <w:tbl>
      <w:tblPr>
        <w:tblLayout w:type="fixed"/>
        <w:tblInd w:w="1200" w:type="dxa"/>
        <w:tblCellMar>
          <w:top w:w="0" w:type="dxa"/>
          <w:left w:w="0" w:type="dxa"/>
          <w:bottom w:w="0" w:type="dxa"/>
          <w:right w:w="0" w:type="dxa"/>
        </w:tblCellMar>
      </w:tblPr>
      <w:tr>
        <w:trPr>
          <w:trHeight w:val="212"/>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2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Dividends Declared per Share</w:t>
            </w:r>
          </w:p>
        </w:tc>
        <w:tc>
          <w:tcPr>
            <w:tcW w:w="136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7"/>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Series B Preferred</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Series A Preferred</w:t>
            </w:r>
          </w:p>
        </w:tc>
        <w:tc>
          <w:tcPr>
            <w:tcW w:w="12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Stock (Per</w:t>
            </w: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2"/>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14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Depositary Share)</w:t>
            </w:r>
          </w:p>
        </w:tc>
        <w:tc>
          <w:tcPr>
            <w:tcW w:w="180" w:type="dxa"/>
            <w:vAlign w:val="bottom"/>
          </w:tcPr>
          <w:p>
            <w:pPr>
              <w:spacing w:after="0"/>
              <w:rPr>
                <w:sz w:val="18"/>
                <w:szCs w:val="18"/>
                <w:color w:val="auto"/>
              </w:rPr>
            </w:pPr>
          </w:p>
        </w:tc>
        <w:tc>
          <w:tcPr>
            <w:tcW w:w="13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Common Stock</w:t>
            </w:r>
          </w:p>
        </w:tc>
      </w:tr>
      <w:tr>
        <w:trPr>
          <w:trHeight w:val="33"/>
        </w:trPr>
        <w:tc>
          <w:tcPr>
            <w:tcW w:w="4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31, 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0.50000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0.484375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0.54</w:t>
            </w:r>
          </w:p>
        </w:tc>
      </w:tr>
      <w:tr>
        <w:trPr>
          <w:trHeight w:val="237"/>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June 30, 2017</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0.50000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0.484375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0.54</w:t>
            </w:r>
          </w:p>
        </w:tc>
      </w:tr>
      <w:tr>
        <w:trPr>
          <w:trHeight w:val="33"/>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0.968750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311"/>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31, 2016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0.484375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0.60</w:t>
            </w:r>
          </w:p>
        </w:tc>
      </w:tr>
      <w:tr>
        <w:trPr>
          <w:trHeight w:val="237"/>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June 30, 2016</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0.50000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0.484375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0.60</w:t>
            </w:r>
          </w:p>
        </w:tc>
      </w:tr>
      <w:tr>
        <w:trPr>
          <w:trHeight w:val="33"/>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0.968750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tax characterization of our fiscal year 2017 dividends will be determined and reported to stockholders on their annual Form 1099-DIV statement after the end of the year.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Comprehensive Income</w:t>
      </w:r>
    </w:p>
    <w:p>
      <w:pPr>
        <w:spacing w:after="0" w:line="17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Other comprehensive income primarily consists of unrealized gains on our Agency RMBS designated as "available-for-sale," net of reversals of prior period unrealized gains and losses upon realization. For the three and six months ended June 30, 2017, we had other comprehensive income of $121 million and $167 million, respectively, and, for the three and six months June 30, 2016, $382 million and $1.2 billion, respectively, commensurate with the decline in long-term interest rates during the current and prior year periods.</w:t>
      </w:r>
    </w:p>
    <w:p>
      <w:pPr>
        <w:sectPr>
          <w:pgSz w:w="11900" w:h="16838" w:orient="portrait"/>
          <w:cols w:equalWidth="0" w:num="1">
            <w:col w:w="11420"/>
          </w:cols>
          <w:pgMar w:left="240" w:top="805" w:right="2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805" w:right="2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Our primary sources of funds are borrowings under master repurchase agreements, asset sales, receipts of monthly principal and interest payments on our investment portfolio and equity offerings. We also enter into TBA contracts as a means of acquiring or disposing of Agency securities and utilize TBA dollar roll transactions to finance Agency RMBS purchases. Because the level of our borrowings can be adjusted on a daily basis, the level of cash and cash equivalents carried on our balance sheet is significantly less important than the potential liquidity available under our borrowing arrangements. Our leverage will vary periodically depending on market conditions and our assessment of risks and returns. We generally would expect our leverage to be within six to eleven times the amount of our tangible stockholders' equity. However, under certain market conditions, we may operate at leverage levels outside of this range for extended periods of time.</w:t>
      </w:r>
    </w:p>
    <w:p>
      <w:pPr>
        <w:spacing w:after="0" w:line="13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currently believe that we have sufficient liquidity and capital resources available for the acquisition of additional investments, repayments on borrowings, maintenance of any margin requirements and the payment of cash dividends as required for our continued qualification as a REIT. We currently expect to distribute 100% of our taxable income so that we are not subject to U.S. federal and state corporate income taxes. Our REIT distribution requirement of at least 90% of our taxable income limits our ability to retain earnings and thereby replenish or increase capital from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Capital</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June 30, 2017 and December 31, 2016, our mortgage borrowings and net TBA position consisted of the following ($ in millions):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3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Mortgage Funding</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255"/>
        </w:trPr>
        <w:tc>
          <w:tcPr>
            <w:tcW w:w="6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Repurchase agreements used to fund Agency RMBS </w:t>
            </w:r>
            <w:r>
              <w:rPr>
                <w:rFonts w:ascii="Times New Roman" w:cs="Times New Roman" w:eastAsia="Times New Roman" w:hAnsi="Times New Roman"/>
                <w:sz w:val="8"/>
                <w:szCs w:val="8"/>
                <w:b w:val="1"/>
                <w:bCs w:val="1"/>
                <w:color w:val="auto"/>
              </w:rPr>
              <w:t>1</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39,058</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37,686</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265"/>
        </w:trPr>
        <w:tc>
          <w:tcPr>
            <w:tcW w:w="60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FHLB advances</w:t>
            </w:r>
          </w:p>
        </w:tc>
        <w:tc>
          <w:tcPr>
            <w:tcW w:w="240" w:type="dxa"/>
            <w:vAlign w:val="bottom"/>
          </w:tcPr>
          <w:p>
            <w:pPr>
              <w:spacing w:after="0"/>
              <w:rPr>
                <w:sz w:val="23"/>
                <w:szCs w:val="23"/>
                <w:color w:val="auto"/>
              </w:rPr>
            </w:pPr>
          </w:p>
        </w:tc>
        <w:tc>
          <w:tcPr>
            <w:tcW w:w="1600" w:type="dxa"/>
            <w:vAlign w:val="bottom"/>
            <w:gridSpan w:val="3"/>
          </w:tcPr>
          <w:p>
            <w:pPr>
              <w:jc w:val="right"/>
              <w:ind w:right="7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3,037</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70"/>
        </w:trPr>
        <w:tc>
          <w:tcPr>
            <w:tcW w:w="6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Debt of consolidated variable interest entities, at fair value</w:t>
            </w: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405</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460</w:t>
            </w:r>
          </w:p>
        </w:tc>
        <w:tc>
          <w:tcPr>
            <w:tcW w:w="12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50"/>
        </w:trPr>
        <w:tc>
          <w:tcPr>
            <w:tcW w:w="60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Total mortgage borrowings</w:t>
            </w:r>
          </w:p>
        </w:tc>
        <w:tc>
          <w:tcPr>
            <w:tcW w:w="24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39,463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41,183</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270"/>
        </w:trPr>
        <w:tc>
          <w:tcPr>
            <w:tcW w:w="6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TBA position, at cost</w:t>
            </w: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17,283</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11,312</w:t>
            </w:r>
          </w:p>
        </w:tc>
        <w:tc>
          <w:tcPr>
            <w:tcW w:w="12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42"/>
        </w:trPr>
        <w:tc>
          <w:tcPr>
            <w:tcW w:w="60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Total mortgage funding</w:t>
            </w: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56,746</w:t>
            </w:r>
          </w:p>
        </w:tc>
        <w:tc>
          <w:tcPr>
            <w:tcW w:w="1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52,495</w:t>
            </w:r>
          </w:p>
        </w:tc>
        <w:tc>
          <w:tcPr>
            <w:tcW w:w="12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______________________</w:t>
            </w:r>
          </w:p>
        </w:tc>
        <w:tc>
          <w:tcPr>
            <w:tcW w:w="10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594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1. Excludes repurchase agreements used to fund U.S. Treasury securities of $0 million and $172 million as of June 30, 2017 and December 31, 2016, respectively.</w:t>
      </w:r>
    </w:p>
    <w:p>
      <w:pPr>
        <w:spacing w:after="0" w:line="15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Our tangible net book value "at risk" leverage was 8.1x and 7.7x as of June 30, 2017 and December 31, 2016, measured as the sum of our total mortgage borrowings, net TBA position (at cost) and net payable for unsettled investment securities divided by the sum of our total stockholders' equity adjusted to exclude goodwill and other intangible assets.</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Repurchase Agreements</w:t>
      </w:r>
    </w:p>
    <w:p>
      <w:pPr>
        <w:spacing w:after="0" w:line="173"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As part of our investment strategy, we borrow against our investment portfolio pursuant to master repurchase agreements. We expect that the majority of our borrowings under such master repurchase agreements will have maturities ranging up to one year, but we may have longer-term borrowings ranging up to five years or longer. Borrowings under our master repurchase agreements with maturities greater than 90 days will typically have floating rates of interest based on LIBOR plus or minus a fixed spread.</w:t>
      </w:r>
    </w:p>
    <w:p>
      <w:pPr>
        <w:spacing w:after="0" w:line="12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As of June 30, 2017, we had $39.1 billion of repurchase agreements outstanding used to fund acquisitions of investment securities with a weighted average cost of funds of 1.27% and a weighted average remaining days-to-maturity of 154 days, compared $37.7 billion, 0.98% and 187 days, respectively, as of December 31, 2016.</w:t>
      </w:r>
    </w:p>
    <w:p>
      <w:pPr>
        <w:spacing w:after="0" w:line="12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To limit our exposure to counterparty credit risk, we diversify our funding across multiple counterparties and by counterparty region. Our wholly-owned captive broker-dealer, Bethesda Securities, also has direct access to bilateral and triparty funding, including the General Collateral Finance Repo service offered by the FICC, which provides us greater depth and diversity of funding at favorable terms relative to traditional bilateral repurchase agreement funding. As of June 30, 2017, $9.9 billion of our repurchase agreement funding was accessed through Bethesda Securities.</w:t>
      </w:r>
    </w:p>
    <w:p>
      <w:pPr>
        <w:spacing w:after="0" w:line="126"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As of June 30, 2017, we had master repurchase agreements with 40 financial institutions located throughout North America, Europe and Asia, including counterparties accessed through Bethesda Securities. As of June 30, 2017, our maximum amount at risk with any counterparty related to our repurchase agreements was less than 5% of our stockholders' equity, and our top five repo counterparties represented less than 11% of our stockholders' equity. The table below includes a summary of our repurchase agreement funding by number of repo counterparties and counterparty region as of June 30, 2017. For further details regarding</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738" w:right="239" w:bottom="1440" w:gutter="0" w:footer="0" w:header="0"/>
        </w:sectPr>
      </w:pPr>
    </w:p>
    <w:bookmarkStart w:id="46" w:name="page47"/>
    <w:bookmarkEnd w:id="46"/>
    <w:p>
      <w:pPr>
        <w:jc w:val="both"/>
        <w:spacing w:after="0" w:line="282" w:lineRule="auto"/>
        <w:rPr>
          <w:sz w:val="20"/>
          <w:szCs w:val="20"/>
          <w:color w:val="auto"/>
        </w:rPr>
      </w:pPr>
      <w:r>
        <w:rPr>
          <w:rFonts w:ascii="Times New Roman" w:cs="Times New Roman" w:eastAsia="Times New Roman" w:hAnsi="Times New Roman"/>
          <w:sz w:val="18"/>
          <w:szCs w:val="18"/>
          <w:color w:val="auto"/>
        </w:rPr>
        <w:t>our borrowings under repurchase agreements and concentration of credit risk as of June 30, 2017, please refer to Notes 5 and 7 to our Consolidated Financial Statements in this Form 10-Q.</w:t>
      </w:r>
    </w:p>
    <w:p>
      <w:pPr>
        <w:spacing w:after="0" w:line="250" w:lineRule="exact"/>
        <w:rPr>
          <w:sz w:val="20"/>
          <w:szCs w:val="20"/>
          <w:color w:val="auto"/>
        </w:rPr>
      </w:pPr>
    </w:p>
    <w:tbl>
      <w:tblPr>
        <w:tblLayout w:type="fixed"/>
        <w:tblInd w:w="2720" w:type="dxa"/>
        <w:tblCellMar>
          <w:top w:w="0" w:type="dxa"/>
          <w:left w:w="0" w:type="dxa"/>
          <w:bottom w:w="0" w:type="dxa"/>
          <w:right w:w="0" w:type="dxa"/>
        </w:tblCellMar>
      </w:tblPr>
      <w:tr>
        <w:trPr>
          <w:trHeight w:val="195"/>
        </w:trPr>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tcBorders>
              <w:bottom w:val="single" w:sz="8" w:color="auto"/>
            </w:tcBorders>
            <w:gridSpan w:val="3"/>
          </w:tcPr>
          <w:p>
            <w:pPr>
              <w:ind w:left="106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Counter-</w:t>
            </w: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49"/>
        </w:trPr>
        <w:tc>
          <w:tcPr>
            <w:tcW w:w="2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Counter-Party Region</w:t>
            </w:r>
          </w:p>
        </w:tc>
        <w:tc>
          <w:tcPr>
            <w:tcW w:w="100" w:type="dxa"/>
            <w:vAlign w:val="bottom"/>
            <w:vMerge w:val="restart"/>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Repurchase</w:t>
            </w:r>
          </w:p>
        </w:tc>
        <w:tc>
          <w:tcPr>
            <w:tcW w:w="0" w:type="dxa"/>
            <w:vAlign w:val="bottom"/>
          </w:tcPr>
          <w:p>
            <w:pPr>
              <w:spacing w:after="0"/>
              <w:rPr>
                <w:sz w:val="1"/>
                <w:szCs w:val="1"/>
                <w:color w:val="auto"/>
              </w:rPr>
            </w:pPr>
          </w:p>
        </w:tc>
      </w:tr>
      <w:tr>
        <w:trPr>
          <w:trHeight w:val="195"/>
        </w:trPr>
        <w:tc>
          <w:tcPr>
            <w:tcW w:w="2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Parties</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Agreement Funding</w:t>
            </w:r>
          </w:p>
        </w:tc>
        <w:tc>
          <w:tcPr>
            <w:tcW w:w="0" w:type="dxa"/>
            <w:vAlign w:val="bottom"/>
          </w:tcPr>
          <w:p>
            <w:pPr>
              <w:spacing w:after="0"/>
              <w:rPr>
                <w:sz w:val="1"/>
                <w:szCs w:val="1"/>
                <w:color w:val="auto"/>
              </w:rPr>
            </w:pPr>
          </w:p>
        </w:tc>
      </w:tr>
      <w:tr>
        <w:trPr>
          <w:trHeight w:val="255"/>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North America</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22</w:t>
            </w: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265"/>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13</w:t>
            </w:r>
          </w:p>
        </w:tc>
        <w:tc>
          <w:tcPr>
            <w:tcW w:w="10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70"/>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Asia</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5</w:t>
            </w:r>
          </w:p>
        </w:tc>
        <w:tc>
          <w:tcPr>
            <w:tcW w:w="100" w:type="dxa"/>
            <w:vAlign w:val="bottom"/>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37"/>
        </w:trPr>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40</w:t>
            </w:r>
          </w:p>
        </w:tc>
        <w:tc>
          <w:tcPr>
            <w:tcW w:w="10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Amounts available to be borrowed under our repurchase agreements are dependent upon lender collateral requirements and the lender's determination of the fair value of the securities pledged as collateral, which fluctuates with changes in interest rates, credit quality and liquidity conditions within the investment banking, mortgage finance and real estate industries. In addition, our counterparties apply a "haircut" to our pledged collateral, which means our collateral is valued at slightly less than market value. This haircut reflects the underlying risk of the specific collateral and protects our counterparty against a change in its value, but conversely subjects us to counterparty risk and limits the amount we can borrow against our investment securities. Our master repurchase agreements do not specify the haircut; rather haircuts are determined on an individual repurchase transaction basis. Throughout the six months ended June 30, 2017, haircuts on our pledged collateral remained stable and, as of June 30, 2017, our weighted average haircut was approximately 4.7% of the value of our collateral, inclusive of collateral funded through Bethesda Securities.</w:t>
      </w:r>
    </w:p>
    <w:p>
      <w:pPr>
        <w:spacing w:after="0" w:line="131"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Under our repurchase agreements, we may be required to pledge additional assets to the repurchase agreement counterparties in the event the estimated fair value of the existing pledged collateral under such agreements declines and such counterparties demand additional collateral (a "margin call"), which may take the form of additional securities or cash. Specifically, margin calls would result from a decline in the value of our securities securing our repurchase agreements and prepayments on the mortgages securing such securities. Similarly, if the estimated fair value of our investment securities increases due to changes in interest rates or other factors, counterparties may release collateral back to us. Our repurchase agreements generally provide that the valuations of securities securing our repurchase agreements are to be obtained from a generally recognized source agreed to by the parties. However, in certain circumstances under certain of our repurchase agreements our lenders have the sole discretion to determine their value. In such instances, our lenders are required to act in good faith in making determinations of value. Our repurchase agreements generally provide that in the event of a margin call, we must provide additional securities or cash on the same business day that a margin call is made if the lender provides us notice prior to the margin notice deadline on such day.</w:t>
      </w:r>
    </w:p>
    <w:p>
      <w:pPr>
        <w:spacing w:after="0" w:line="13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As of June 30, 2017, we had met all of our margin requirements and we had unrestricted cash and cash equivalents of $1.1 billion and unpledged securities of approximately $2.8 billion, including securities pledged to us and unpledged interests in our consolidated VIEs, available to meet margin calls on our repurchase agreements and other funding liabilities, derivative instruments and for other corporate purposes.</w:t>
      </w:r>
    </w:p>
    <w:p>
      <w:pPr>
        <w:spacing w:after="0" w:line="122"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Although we believe we will have adequate sources of liquidity available to us through repurchase agreement financing to execute our business strategy, there can be no assurances that repurchase agreement financing will be available to us upon the maturity of our current repurchase agreements to allow us to renew or replace our repurchase agreement financing on favorable terms or at all. If our repurchase agreement lenders default on their obligations to resell the underlying collateral back to us at the end of the term, we could incur a loss equal to the difference between the value of the collateral and the cash we originally received.</w:t>
      </w:r>
    </w:p>
    <w:p>
      <w:pPr>
        <w:spacing w:after="0" w:line="130"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To help manage the adverse impact of interest rate changes on the value of our investment portfolio as well as our cash flows, we utilize an interest rate risk management strategy under which we use derivative financial instruments. In particular, we attempt to mitigate the risk of the cost of our variable rate liabilities increasing at a faster rate than the earnings of our long-term fixed rate assets during a period of rising interest rates. The principal derivative instruments that we use are interest rate swaps, supplemented with the use of interest rate swaptions, U.S. Treasury securities, U.S. Treasury futures contracts, TBA securities and other instruments. Please refer to Notes 3 and 6 to our Consolidated Financial Statements in this Form 10-Q for further details regarding our use of derivative instruments.</w:t>
      </w:r>
    </w:p>
    <w:p>
      <w:pPr>
        <w:spacing w:after="0" w:line="13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Our derivative agreements typically require that we pledge/receive collateral on such agreements to/from our counterparties in a similar manner as we are required to under our repurchase agreements. Our counterparties, or the central clearing agency, typically have the sole discretion to determine the value of the derivative instruments and the value of the collateral securing such instruments. In the event of a margin call, we must provide additional collateral generally on the same or next business day. We minimize counterparty credit risk associated with our derivative instruments by limiting our counterparties to central clearing</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742" w:right="239" w:bottom="1440" w:gutter="0" w:footer="0" w:header="0"/>
        </w:sectPr>
      </w:pPr>
    </w:p>
    <w:bookmarkStart w:id="47" w:name="page48"/>
    <w:bookmarkEnd w:id="47"/>
    <w:p>
      <w:pPr>
        <w:jc w:val="both"/>
        <w:spacing w:after="0" w:line="256" w:lineRule="auto"/>
        <w:rPr>
          <w:sz w:val="20"/>
          <w:szCs w:val="20"/>
          <w:color w:val="auto"/>
        </w:rPr>
      </w:pPr>
      <w:r>
        <w:rPr>
          <w:rFonts w:ascii="Times New Roman" w:cs="Times New Roman" w:eastAsia="Times New Roman" w:hAnsi="Times New Roman"/>
          <w:sz w:val="18"/>
          <w:szCs w:val="18"/>
          <w:color w:val="auto"/>
        </w:rPr>
        <w:t>exchanges and major financial institutions with acceptable credit ratings and by monitoring positions with individual counterparties. Excluding centrally cleared derivative instruments, as of June 30, 2017, our amount at risk with any counterparty related to our interest rate swap and swaption agreements was less than 1% of our stockholders' equity. In the case of centrally cleared derivative instruments, we could be exposed to credit risk if the central clearing agency or a clearing member defaults on its respective obligation to perform under the contract. However, we believe that the risk is minimal due to the exchanges' initial and daily mark to market margin requirements and clearinghouse guarantee funds and other resources that are available in the event of a clearing member default.</w:t>
      </w:r>
    </w:p>
    <w:p>
      <w:pPr>
        <w:spacing w:after="0" w:line="1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TBA Dollar Roll Transactions</w:t>
      </w:r>
    </w:p>
    <w:p>
      <w:pPr>
        <w:spacing w:after="0" w:line="173"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TBA dollar roll transactions represent a form of off-balance sheet financing accounted for as derivative instruments and we may use them as a means of leveraging (or deleveraging) our investment portfolio through the use of long (or short) TBA contracts (see Notes 3 and 6 to our Consolidated Financial Statements in this Form 10-Q).</w:t>
      </w:r>
    </w:p>
    <w:p>
      <w:pPr>
        <w:spacing w:after="0" w:line="122" w:lineRule="exact"/>
        <w:rPr>
          <w:sz w:val="20"/>
          <w:szCs w:val="20"/>
          <w:color w:val="auto"/>
        </w:rPr>
      </w:pPr>
    </w:p>
    <w:p>
      <w:pPr>
        <w:jc w:val="both"/>
        <w:ind w:right="20" w:firstLine="432"/>
        <w:spacing w:after="0" w:line="258" w:lineRule="auto"/>
        <w:rPr>
          <w:sz w:val="20"/>
          <w:szCs w:val="20"/>
          <w:color w:val="auto"/>
        </w:rPr>
      </w:pPr>
      <w:r>
        <w:rPr>
          <w:rFonts w:ascii="Times New Roman" w:cs="Times New Roman" w:eastAsia="Times New Roman" w:hAnsi="Times New Roman"/>
          <w:sz w:val="18"/>
          <w:szCs w:val="18"/>
          <w:color w:val="auto"/>
        </w:rPr>
        <w:t>Under certain market conditions, it may be uneconomical for us to roll our TBA contracts into future months and we may need to take or make physical delivery of the underlying securities. If we were required to take physical delivery to settle a long TBA contract, we would have to fund our total purchase commitment with cash or other financing sources and our liquidity position could be negatively impacted. As of June 30, 2017, we had a net long TBA position with a total market value and a total cost basis of $17.3 billion and a net carrying value of $(12) million recognized in derivative assets/(liabilities), at fair value, on our Consolidated Balance Sheets in this Form 10-Q.</w:t>
      </w:r>
    </w:p>
    <w:p>
      <w:pPr>
        <w:spacing w:after="0" w:line="130"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Our TBA dollar roll contracts are also subject to margin requirements governed by the Mortgage-Backed Securities Division ("MBSD") of the FICC and by our prime brokerage agreements, which may establish margin levels in excess of the MBSD. Such provisions require that we establish an initial margin based on the notional value of the TBA contract, which is subject to increase if the estimated fair value of our TBA contract or the estimated fair value of our pledged collateral declines. The MBSD has the sole discretion to determine the value of our TBA contracts and of the pledged collateral securing such contracts. In the event of a margin call, we must generally provide additional collateral on the same business day.</w:t>
      </w:r>
    </w:p>
    <w:p>
      <w:pPr>
        <w:spacing w:after="0" w:line="13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Settlement of our TBA obligations by taking delivery of the underlying securities as well as satisfying margin requirements could negatively impact our liquidity position. However, since we do not use TBA dollar roll transactions as our primary source of financing, we believe that we will have adequate sources of liquidity to meet such obligations.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Federal Home Loan Bank Advances</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February 2017, our wholly-owned captive insurance subsidiary's membership to the FHLB of Des Moines was terminated pursuant to the FHFA's final rule on changes to regulations concerning FHLB membership criteria released in January 2016. All of our outstanding FHLB advances were repaid prior to termination.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Bethesda Securities Regulatory Capital Requirements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Bethesda Securities is subject to regulations of the securities business that include but are not limited to trade practices, capital structure, recordkeeping and conduct of directors, officers and employees. As a self-clearing registered broker-dealer, Bethesda Securities is required to maintain minimum net regulatory capital as defined by SEC Rule 15c3-1 (the "Rule"). As of June 30, 2017, the minimum net capital required was $0.3 million and Bethesda Securities had excess net capital of $200.6 million. Regulatory capital in excess of the minimum required by the Rule is held to meet levels required by clearing organizations, the clearing bank and other repo counterparties.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Sales and TBA Eligible Securities</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maintain a portfolio of highly liquid mortgage-backed securities. We may sell our Agency securities through the TBA market by delivering them into TBA contracts, subject to "good delivery" provisions promulgated by the Securities Industry and Financial Markets Association ("SIFMA"). We may alternatively sell Agency securities that have more unique attributes on a specified basis when such securities trade at a premium over generic TBA securities or if the securities are not otherwise eligible for TBA delivery. Since the TBA market is the second most liquid market (second to the U.S. Treasury market), maintaining a significant level of Agency securities eligible for TBA delivery enhances our liquidity profile and provides price support for our TBA eligible securities at or above generic TBA prices. As of June 30, 2017, approximately 88% of our fixed rate Agency RMBS portfolio was eligible for TBA delivery.</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742"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Capital</w:t>
      </w:r>
    </w:p>
    <w:p>
      <w:pPr>
        <w:spacing w:after="0" w:line="17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To the extent we raise additional equity capital through our at-the-market equity issuance program ("ATM Program") or follow-on equity offerings, or under our dividend reinvestment and direct stock purchase plan, we may use cash proceeds from such transactions to purchase additional investment securities, to make scheduled payments of principal and interest on our funding liabilities and for other general corporate purposes.</w:t>
      </w:r>
    </w:p>
    <w:p>
      <w:pPr>
        <w:spacing w:after="0" w:line="122"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During May 2017, we completed a follow-on public offering of 24.5 million shares of our common stock for proceeds of $503 million, or $20.53 per common share, net of offering costs. Our Board of Directors has also authorized us to from time-to-time publicly offer and sell shares of our common stock under our ATM Program in an aggregate amount of up to $750 million of shares of our common stock, subject to U.S. Federal securities laws. As of June 30, 2017, $750 million remained available for issuance under our ATM Program. There can be no assurance, however, that we will be able to raise additional equity capital at any particular time or on any particular terms. Furthermore, when the trading price of our common stock is significantly less than our estimate of our current tangible net asset value per common share, among other conditions, we may repurchase shares of our common stock, subject to the provisions of our stock repurchase program (see Note 10 to our Consolidated Financial Statements in this Form 10-Q).</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As of June 30, 2017, we did not maintain any relationships with unconsolidated entities or financial partnerships, such as entities often referred to as structured finance, or special purpose or variable interest entities, established for the purpose of facilitating off-balance sheet arrangements or other contractually narrow or limited purposes. Furthermore, as of June 30, 2017, we had not guaranteed any obligations of unconsolidated entities or entered into any commitment or intent to provide funding to any such entities.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This document contains "forward-looking statements" (within the meaning of the Private Securities Litigation Reform Act of 1995) that inherently involve risks and uncertainties. Our actual results and liquidity can differ materially from those anticipated in these forward-looking statements because of changes in the level and composition of our investments and other factors. These factors may include, but are not limited to, changes in general economic conditions, the availability of suitable investments from both an investment return and regulatory perspective, the availability of new investment capital, fluctuations in interest rates and levels of mortgage prepayments, deterioration in credit quality and ratings, the effectiveness of risk management strategies, the impact of leverage, liquidity of secondary markets and credit markets, increases in costs and other general competitive factors.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738"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Market risk is the exposure to loss resulting from changes in market factors such as interest rates, foreign currency exchange rates, commodity prices and equity prices. The primary market risks that we are exposed to are interest rate, prepayment, spread, liquidity, extension and credit risk.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Interest rate risk is highly sensitive to many factors, including governmental monetary and tax policies, domestic and international economic and political considerations and other factors beyond our control.</w:t>
      </w:r>
    </w:p>
    <w:p>
      <w:pPr>
        <w:spacing w:after="0" w:line="10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Changes in the general level of interest rates can affect our net interest income, which is the difference between the interest income earned on interest-earning assets and the interest expense incurred in connection with our interest-bearing liabilities, by affecting the spread between our interest-earning assets and interest-bearing liabilities. Changes in the level of interest rates can also affect the rate of prepayments of our securities and the value of the mortgage securities that constitute our investment portfolio, which affects our net income and ability to realize gains from the sale of these assets and impacts our ability and the amount that we can borrow against these securities.</w:t>
      </w:r>
    </w:p>
    <w:p>
      <w:pPr>
        <w:spacing w:after="0" w:line="130"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utilize a variety of strategies to limit the effects of changes in interest rates on our operations. The principal instruments that we use are interest rate swaps and swaptions. We also utilize U.S. Treasury securities and U.S. Treasury futures contracts, primarily through short sales, as well as TBA contracts. We may also purchase or write put or call options on TBA securities and utilize other types of derivative instruments. Derivative instruments may expose us to certain risks, including the risk that losses on a hedge position will reduce the funds available for payments to holders of our common stock and that the losses may exceed the amount we invested in the instruments.</w:t>
      </w:r>
    </w:p>
    <w:p>
      <w:pPr>
        <w:spacing w:after="0" w:line="130"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Our profitability and the value of our investment portfolio (including derivatives used for hedging purposes) may be adversely affected during any period as a result of changing interest rates including changes in the forward yield curve.</w:t>
      </w:r>
    </w:p>
    <w:p>
      <w:pPr>
        <w:spacing w:after="0" w:line="10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Primary measures of an instrument's price sensitivity to interest rate fluctuations are its duration and convexity. Duration measures the estimated percentage change in market value of our mortgage assets or our hedge portfolio that would be caused by a parallel change in short and long-term interest rates. The duration of our investment portfolio changes with interest rates and tends to increase when interest rates rise and decrease when interest rates fall. This "negative convexity" generally increases the interest rate exposure of our investment portfolio in excess of what is measured by duration alone.</w:t>
      </w:r>
    </w:p>
    <w:p>
      <w:pPr>
        <w:spacing w:after="0" w:line="12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estimate the duration and convexity of our portfolio using both a third-party risk management system and market data. We review the duration estimates from the third-party model and may make adjustments based on our judgment. These adjustments are intended to better reflect the unique characteristics and market trading conventions associated with certain types of securities.</w:t>
      </w:r>
    </w:p>
    <w:p>
      <w:pPr>
        <w:spacing w:after="0" w:line="12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table below quantifies the estimated changes in (i) net interest income (including periodic interest costs on our interest rate swaps); (ii) the fair value of our investment portfolio (including derivatives and other securities used for hedging purposes); and (iii) our tangible net asset value as of June 30, 2017 and December 31, 2016 should interest rates go up or down by 50 and 100 basis points, assuming instantaneous parallel shifts in the yield curve and including the impact of both duration and convexity.</w:t>
      </w:r>
    </w:p>
    <w:p>
      <w:pPr>
        <w:spacing w:after="0" w:line="12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All changes in income and value in the table below are measured as percentage changes from the base interest rate scenario. The base interest rate scenario assumes interest rates and prepayment projections as of June 30, 2017 and December 31, 2016. We apply a floor of 0% for the down rate scenarios on our interest bearing liabilities and the variable leg of our interest rate swaps, such that any hypothetical interest rate decrease would have a limited positive impact on our funding costs beyond a certain level.</w:t>
      </w:r>
    </w:p>
    <w:p>
      <w:pPr>
        <w:spacing w:after="0" w:line="126"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Actual results could differ materially from estimates, especially in the current market environment. To the extent that these estimates or other assumptions do not hold true, which is likely in a period of high price volatility, actual results will likely differ materially from projections. Moreover, if different models were employed in the analysis, materially different projections could result. Lastly, while the table below reflects the estimated impact of interest rate changes on a static portfolio, we actively manage our portfolio and we continuously make adjustments to the size and composition of our asset and hedge portfolio.</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738" w:right="2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Interest Rate Sensitivity </w:t>
      </w:r>
      <w:r>
        <w:rPr>
          <w:rFonts w:ascii="Times New Roman" w:cs="Times New Roman" w:eastAsia="Times New Roman" w:hAnsi="Times New Roman"/>
          <w:sz w:val="8"/>
          <w:szCs w:val="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24765</wp:posOffset>
            </wp:positionV>
            <wp:extent cx="44938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493895" cy="8890"/>
                    </a:xfrm>
                    <a:prstGeom prst="rect">
                      <a:avLst/>
                    </a:prstGeom>
                    <a:noFill/>
                  </pic:spPr>
                </pic:pic>
              </a:graphicData>
            </a:graphic>
          </wp:anchor>
        </w:drawing>
      </w:r>
    </w:p>
    <w:p>
      <w:pPr>
        <w:spacing w:after="0" w:line="103" w:lineRule="exact"/>
        <w:rPr>
          <w:sz w:val="20"/>
          <w:szCs w:val="20"/>
          <w:color w:val="auto"/>
        </w:rPr>
      </w:pPr>
    </w:p>
    <w:tbl>
      <w:tblPr>
        <w:tblLayout w:type="fixed"/>
        <w:tblInd w:w="2180" w:type="dxa"/>
        <w:tblCellMar>
          <w:top w:w="0" w:type="dxa"/>
          <w:left w:w="0" w:type="dxa"/>
          <w:bottom w:w="0" w:type="dxa"/>
          <w:right w:w="0" w:type="dxa"/>
        </w:tblCellMar>
      </w:tblPr>
      <w:tr>
        <w:trPr>
          <w:trHeight w:val="195"/>
        </w:trPr>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80" w:type="dxa"/>
            <w:vAlign w:val="bottom"/>
            <w:tcBorders>
              <w:bottom w:val="single" w:sz="8" w:color="auto"/>
            </w:tcBorders>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Percentage Change in Projected</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Net Interest</w:t>
            </w:r>
          </w:p>
        </w:tc>
        <w:tc>
          <w:tcPr>
            <w:tcW w:w="11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Portfolio</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Tangible Net</w:t>
            </w:r>
          </w:p>
        </w:tc>
        <w:tc>
          <w:tcPr>
            <w:tcW w:w="0" w:type="dxa"/>
            <w:vAlign w:val="bottom"/>
          </w:tcPr>
          <w:p>
            <w:pPr>
              <w:spacing w:after="0"/>
              <w:rPr>
                <w:sz w:val="1"/>
                <w:szCs w:val="1"/>
                <w:color w:val="auto"/>
              </w:rPr>
            </w:pPr>
          </w:p>
        </w:tc>
      </w:tr>
      <w:tr>
        <w:trPr>
          <w:trHeight w:val="149"/>
        </w:trPr>
        <w:tc>
          <w:tcPr>
            <w:tcW w:w="3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 in Interest Rate</w:t>
            </w:r>
          </w:p>
        </w:tc>
        <w:tc>
          <w:tcPr>
            <w:tcW w:w="100" w:type="dxa"/>
            <w:vAlign w:val="bottom"/>
            <w:vMerge w:val="restart"/>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Asset</w:t>
            </w:r>
          </w:p>
        </w:tc>
        <w:tc>
          <w:tcPr>
            <w:tcW w:w="0" w:type="dxa"/>
            <w:vAlign w:val="bottom"/>
          </w:tcPr>
          <w:p>
            <w:pPr>
              <w:spacing w:after="0"/>
              <w:rPr>
                <w:sz w:val="1"/>
                <w:szCs w:val="1"/>
                <w:color w:val="auto"/>
              </w:rPr>
            </w:pPr>
          </w:p>
        </w:tc>
      </w:tr>
      <w:tr>
        <w:trPr>
          <w:trHeight w:val="195"/>
        </w:trPr>
        <w:tc>
          <w:tcPr>
            <w:tcW w:w="3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Income </w:t>
            </w:r>
            <w:r>
              <w:rPr>
                <w:rFonts w:ascii="Times New Roman" w:cs="Times New Roman" w:eastAsia="Times New Roman" w:hAnsi="Times New Roman"/>
                <w:sz w:val="8"/>
                <w:szCs w:val="8"/>
                <w:b w:val="1"/>
                <w:bCs w:val="1"/>
                <w:color w:val="auto"/>
              </w:rPr>
              <w:t>2</w:t>
            </w: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Value </w:t>
            </w:r>
            <w:r>
              <w:rPr>
                <w:rFonts w:ascii="Times New Roman" w:cs="Times New Roman" w:eastAsia="Times New Roman" w:hAnsi="Times New Roman"/>
                <w:sz w:val="8"/>
                <w:szCs w:val="8"/>
                <w:b w:val="1"/>
                <w:bCs w:val="1"/>
                <w:color w:val="auto"/>
              </w:rPr>
              <w:t>3,4</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Value </w:t>
            </w:r>
            <w:r>
              <w:rPr>
                <w:rFonts w:ascii="Times New Roman" w:cs="Times New Roman" w:eastAsia="Times New Roman" w:hAnsi="Times New Roman"/>
                <w:sz w:val="8"/>
                <w:szCs w:val="8"/>
                <w:b w:val="1"/>
                <w:bCs w:val="1"/>
                <w:color w:val="auto"/>
              </w:rPr>
              <w:t>3,5</w:t>
            </w:r>
          </w:p>
        </w:tc>
        <w:tc>
          <w:tcPr>
            <w:tcW w:w="0" w:type="dxa"/>
            <w:vAlign w:val="bottom"/>
          </w:tcPr>
          <w:p>
            <w:pPr>
              <w:spacing w:after="0"/>
              <w:rPr>
                <w:sz w:val="1"/>
                <w:szCs w:val="1"/>
                <w:color w:val="auto"/>
              </w:rPr>
            </w:pPr>
          </w:p>
        </w:tc>
      </w:tr>
      <w:tr>
        <w:trPr>
          <w:trHeight w:val="269"/>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June 30, 2017</w:t>
            </w: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-100 Basis Points</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-16.1%</w:t>
            </w:r>
          </w:p>
        </w:tc>
        <w:tc>
          <w:tcPr>
            <w:tcW w:w="12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275"/>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 Basis Points</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-7.1%</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0.0%</w:t>
            </w: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65"/>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+50 Basis Points</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75"/>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+100 Basis Points</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324"/>
        </w:trPr>
        <w:tc>
          <w:tcPr>
            <w:tcW w:w="3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2016</w:t>
            </w: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-100 Basis Points</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-9.7%</w:t>
            </w:r>
          </w:p>
        </w:tc>
        <w:tc>
          <w:tcPr>
            <w:tcW w:w="12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275"/>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 Basis Points</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265"/>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+50 Basis Points</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275"/>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+100 Basis Points</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 w:lineRule="exact"/>
        <w:rPr>
          <w:sz w:val="20"/>
          <w:szCs w:val="20"/>
          <w:color w:val="auto"/>
        </w:rPr>
      </w:pPr>
    </w:p>
    <w:p>
      <w:pPr>
        <w:ind w:left="660" w:right="20" w:hanging="328"/>
        <w:spacing w:after="0" w:line="241" w:lineRule="auto"/>
        <w:tabs>
          <w:tab w:leader="none" w:pos="6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rate sensitivity is derived from models that are dependent on inputs and assumptions provided by third parties, assumes there are no changes in mortgage spreads and assumes a static portfolio. Actual results could differ materially from these estimates.</w:t>
      </w:r>
    </w:p>
    <w:p>
      <w:pPr>
        <w:jc w:val="both"/>
        <w:ind w:left="660" w:hanging="328"/>
        <w:spacing w:after="0" w:line="241" w:lineRule="auto"/>
        <w:tabs>
          <w:tab w:leader="none" w:pos="6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estimated dollar change in net interest income expressed as a percent of net interest income based on asset yields and cost of funds as of such date. It includes the effect of periodic interest costs on our interest rate swaps, but excludes costs associated with our forward starting swaps and other supplemental hedges, such as swaptions and U.S. Treasury securities. Amounts also exclude costs associated with our TBA position and TBA dollar roll income/loss, which are accounted for as derivative instruments in accordance with GAAP. Base case scenario assumes interest rates and forecasted CPR of 9% and 8% as of June 30, 2017 and December 31, 2016, respectively. As of June 30, 2017, rate shock scenarios assume a forecasted CPR of 12%, 10%, 8% and 7% for the -100, -50, +50 and +100 basis points scenarios, respectively. As of December 31, 2016, rate shock scenarios assume a forecasted CPR of 10%, 9%, 7% and 7% for such scenarios, respectively. Estimated dollar change in net interest income does not include the impact of retroactive "catch-up" premium amortization adjustments due to changes in our forecasted CPR. Down rate scenarios assume a floor of 0% for anticipated interest rates.</w:t>
      </w:r>
    </w:p>
    <w:p>
      <w:pPr>
        <w:spacing w:after="0" w:line="2"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effect of derivatives and other securities used for hedging purposes.</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dollar change in investment portfolio value expressed as a percent of the total fair value of our investment portfolio as of such date.</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dollar change in portfolio value expressed as a percent of tangible stockholders' equity, net of the Series A and Series B Preferred Stock liquidation preference, as of such date.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Prepayment Risk</w:t>
      </w:r>
    </w:p>
    <w:p>
      <w:pPr>
        <w:spacing w:after="0" w:line="175"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Because residential borrowers have the option to prepay their mortgage loans at par at any time, we face the risk that we will experience a return of principal on our investments faster than anticipated. Various factors affect the rate at which mortgage prepayments occur, including changes in the level of and directional trends in housing prices, interest rates, general economic conditions, loan age and size, loan-to-value ratio, the location of the property and social and demographic conditions. Additionally, changes to GSE underwriting practices or other governmental programs could also significantly impact prepayment rates or expectations. Also, the pace at which the loans underlying our securities become seriously delinquent or are modified and the timing of GSE repurchases of such loans from our securities can materially impact the rate of prepayments. Generally, prepayments on residential mortgage-backed securities increase during periods of falling mortgage interest rates and decrease during periods of rising mortgage interest rates. However, this may not always be the case.</w:t>
      </w:r>
    </w:p>
    <w:p>
      <w:pPr>
        <w:spacing w:after="0" w:line="131"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We may reinvest principal repayments at a yield that is lower or higher than the yield on the repaid investment, thus affecting our net interest income by altering the average yield on our assets. We also amortize or accrete premiums and discounts associated with the purchase of mortgage securities into interest income over the projected lives of the securities, including contractual payments and estimated prepayments using the effective interest method. Our policy for estimating prepayment speeds for calculating the effective yield is to evaluate published prepayment data for similar securities, market consensus and current market conditions. If the actual prepayment experienced differs from our estimate of prepayments, we will be required to make an adjustment to the amortization or accretion of premiums and discounts that would have an impact on future income.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Spread Risk</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When the market spread between the yield on our investment securities and benchmark interest rates widens, our net book value could decline if the value of our investment securities fall by more than the offsetting fair value increases on our hedging instruments tied to the underlying benchmark interest rates. We refer to this as "spread risk" or "basis risk." The spread risk associated with our mortgage assets and the resulting fluctuations in fair value of these securities can occur independent of changes in benchmark interest rates and may relate to other factors impacting the mortgage and fixed income markets, such as actual or</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817" w:right="239" w:bottom="1440" w:gutter="0" w:footer="0" w:header="0"/>
        </w:sectPr>
      </w:pPr>
    </w:p>
    <w:bookmarkStart w:id="51" w:name="page52"/>
    <w:bookmarkEnd w:id="51"/>
    <w:p>
      <w:pPr>
        <w:jc w:val="both"/>
        <w:spacing w:after="0" w:line="266" w:lineRule="auto"/>
        <w:rPr>
          <w:sz w:val="20"/>
          <w:szCs w:val="20"/>
          <w:color w:val="auto"/>
        </w:rPr>
      </w:pPr>
      <w:r>
        <w:rPr>
          <w:rFonts w:ascii="Times New Roman" w:cs="Times New Roman" w:eastAsia="Times New Roman" w:hAnsi="Times New Roman"/>
          <w:sz w:val="18"/>
          <w:szCs w:val="18"/>
          <w:color w:val="auto"/>
        </w:rPr>
        <w:t>anticipated monetary policy actions by the Federal Reserve, market liquidity, or changes in required rates of return on different assets. Consequently, while we use interest rate swaps and other supplemental hedges to attempt to protect against moves in interest rates, such instruments typically will not protect our net book value against spread risk.</w:t>
      </w:r>
    </w:p>
    <w:p>
      <w:pPr>
        <w:spacing w:after="0" w:line="12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table below quantifies the estimated changes in the fair value of our investment portfolio (including derivatives and other securities used for hedging purposes) and in our tangible net asset value as of June 30, 2017 and December 31, 2016 should spreads widen or tighten by 10 and 25 basis points. The estimated impact of changes in spreads is in addition to our interest rate shock sensitivity included in the interest rate shock table above. The table below assumes a spread duration of 5.3 and 5.4 years as of June 30, 2017 and December 31, 2016, respectively, based on interest rates and prices as of such dates. However, our portfolio's sensitivity of mortgage spread changes will vary with changes in interest rates and in the size and composition of our investment portfolio. Therefore, actual results could differ materially from our estimates.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Spread Sensitivity </w:t>
      </w:r>
      <w:r>
        <w:rPr>
          <w:rFonts w:ascii="Times New Roman" w:cs="Times New Roman" w:eastAsia="Times New Roman" w:hAnsi="Times New Roman"/>
          <w:sz w:val="8"/>
          <w:szCs w:val="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24765</wp:posOffset>
            </wp:positionV>
            <wp:extent cx="37306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730625" cy="8890"/>
                    </a:xfrm>
                    <a:prstGeom prst="rect">
                      <a:avLst/>
                    </a:prstGeom>
                    <a:noFill/>
                  </pic:spPr>
                </pic:pic>
              </a:graphicData>
            </a:graphic>
          </wp:anchor>
        </w:drawing>
      </w:r>
    </w:p>
    <w:p>
      <w:pPr>
        <w:spacing w:after="0" w:line="103" w:lineRule="exact"/>
        <w:rPr>
          <w:sz w:val="20"/>
          <w:szCs w:val="20"/>
          <w:color w:val="auto"/>
        </w:rPr>
      </w:pPr>
    </w:p>
    <w:tbl>
      <w:tblPr>
        <w:tblLayout w:type="fixed"/>
        <w:tblInd w:w="2780" w:type="dxa"/>
        <w:tblCellMar>
          <w:top w:w="0" w:type="dxa"/>
          <w:left w:w="0" w:type="dxa"/>
          <w:bottom w:w="0" w:type="dxa"/>
          <w:right w:w="0" w:type="dxa"/>
        </w:tblCellMar>
      </w:tblPr>
      <w:tr>
        <w:trPr>
          <w:trHeight w:val="195"/>
        </w:trPr>
        <w:tc>
          <w:tcPr>
            <w:tcW w:w="3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Percentage Change in Projected</w:t>
            </w: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Portfolio</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Tangible Net Asset</w:t>
            </w:r>
          </w:p>
        </w:tc>
        <w:tc>
          <w:tcPr>
            <w:tcW w:w="0" w:type="dxa"/>
            <w:vAlign w:val="bottom"/>
          </w:tcPr>
          <w:p>
            <w:pPr>
              <w:spacing w:after="0"/>
              <w:rPr>
                <w:sz w:val="1"/>
                <w:szCs w:val="1"/>
                <w:color w:val="auto"/>
              </w:rPr>
            </w:pPr>
          </w:p>
        </w:tc>
      </w:tr>
      <w:tr>
        <w:trPr>
          <w:trHeight w:val="149"/>
        </w:trPr>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 in MBS Spread</w:t>
            </w:r>
          </w:p>
        </w:tc>
        <w:tc>
          <w:tcPr>
            <w:tcW w:w="120" w:type="dxa"/>
            <w:vAlign w:val="bottom"/>
            <w:vMerge w:val="restart"/>
          </w:tcPr>
          <w:p>
            <w:pPr>
              <w:spacing w:after="0"/>
              <w:rPr>
                <w:sz w:val="12"/>
                <w:szCs w:val="12"/>
                <w:color w:val="auto"/>
              </w:rPr>
            </w:pPr>
          </w:p>
        </w:tc>
        <w:tc>
          <w:tcPr>
            <w:tcW w:w="14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Value </w:t>
            </w:r>
            <w:r>
              <w:rPr>
                <w:rFonts w:ascii="Times New Roman" w:cs="Times New Roman" w:eastAsia="Times New Roman" w:hAnsi="Times New Roman"/>
                <w:sz w:val="8"/>
                <w:szCs w:val="8"/>
                <w:b w:val="1"/>
                <w:bCs w:val="1"/>
                <w:color w:val="auto"/>
              </w:rPr>
              <w:t>2,3</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Value </w:t>
            </w:r>
            <w:r>
              <w:rPr>
                <w:rFonts w:ascii="Times New Roman" w:cs="Times New Roman" w:eastAsia="Times New Roman" w:hAnsi="Times New Roman"/>
                <w:sz w:val="8"/>
                <w:szCs w:val="8"/>
                <w:b w:val="1"/>
                <w:bCs w:val="1"/>
                <w:color w:val="auto"/>
              </w:rPr>
              <w:t>2,4</w:t>
            </w:r>
          </w:p>
        </w:tc>
        <w:tc>
          <w:tcPr>
            <w:tcW w:w="0" w:type="dxa"/>
            <w:vAlign w:val="bottom"/>
          </w:tcPr>
          <w:p>
            <w:pPr>
              <w:spacing w:after="0"/>
              <w:rPr>
                <w:sz w:val="1"/>
                <w:szCs w:val="1"/>
                <w:color w:val="auto"/>
              </w:rPr>
            </w:pPr>
          </w:p>
        </w:tc>
      </w:tr>
      <w:tr>
        <w:trPr>
          <w:trHeight w:val="269"/>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June 30, 2017</w:t>
            </w: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-25 Basis Points</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275"/>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 Basis Points</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265"/>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 Basis Points</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275"/>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+25 Basis Points</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324"/>
        </w:trPr>
        <w:tc>
          <w:tcPr>
            <w:tcW w:w="3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2016</w:t>
            </w: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-25 Basis Points</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275"/>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 Basis Points</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260"/>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 Basis Points</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270"/>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+25 Basis Points</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-164465</wp:posOffset>
            </wp:positionV>
            <wp:extent cx="373062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730625" cy="1714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________________</w:t>
      </w:r>
    </w:p>
    <w:p>
      <w:pPr>
        <w:spacing w:after="0" w:line="4" w:lineRule="exact"/>
        <w:rPr>
          <w:sz w:val="20"/>
          <w:szCs w:val="20"/>
          <w:color w:val="auto"/>
        </w:rPr>
      </w:pPr>
    </w:p>
    <w:p>
      <w:pPr>
        <w:ind w:left="660" w:hanging="328"/>
        <w:spacing w:after="0" w:line="241" w:lineRule="auto"/>
        <w:tabs>
          <w:tab w:leader="none" w:pos="6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Spread sensitivity is derived from models that are dependent on inputs and assumptions provided by third parties, assumes there are no changes in interest rates and assumes a static portfolio. Actual results could differ materially from these estimates.</w:t>
      </w:r>
    </w:p>
    <w:p>
      <w:pPr>
        <w:ind w:left="660" w:hanging="328"/>
        <w:spacing w:after="0"/>
        <w:tabs>
          <w:tab w:leader="none" w:pos="6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effect of derivatives and other securities used for hedging purposes.</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dollar change in investment portfolio value expressed as a percent of the total fair value of our investment portfolio as of such date.</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dollar change in portfolio value expressed as a percent of tangible stockholders' equity, net of the Series A and Series B Preferred Stock liquidation preference, as of such date.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Risk</w:t>
      </w:r>
    </w:p>
    <w:p>
      <w:pPr>
        <w:spacing w:after="0" w:line="175"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The primary liquidity risk for us arises from financing long-term assets with shorter-term borrowings through repurchase agreements and other short-term funding agreements. As of June 30, 2017, we had unrestricted cash and cash equivalents of $1.1 billion and unpledged securities of approximately $2.8 billion, including securities pledged to us and unpledged interests in our consolidated VIEs, available to meet margin calls on our funding liabilities and derivative contracts and for other corporate purposes. However, should the value of our collateral or the value of our derivative instruments suddenly decrease, margin calls relating to our funding liabilities and derivative agreements could increase, causing an adverse change in our liquidity position. Furthermore, there is no assurance that we will always be able to renew (or roll) our short-term funding liabilities. In addition, our counterparties have the option to increase our haircuts (margin requirements) on the assets we pledge against our funding liabilities, thereby reducing the amount that can be borrowed against an asset even if they agree to renew or roll such funding liabilities. Significantly higher haircuts can reduce our ability to leverage our portfolio or even force us to sell assets, especially if correlated with asset price declines or faster prepayment rates on our assets.</w:t>
      </w:r>
    </w:p>
    <w:p>
      <w:pPr>
        <w:spacing w:after="0" w:line="13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addition, we often utilize TBA dollar roll transactions as a means of investing in and financing Agency RMBS. Under certain economic conditions it may be uneconomical to roll our TBA dollar roll transactions prior to the settlement date and we could have to take physical delivery of the underlying securities and settle our obligations for cash, which could negatively impact our liquidity position, result in defaults or force us to sell assets under adverse conditions.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Extension Risk</w:t>
      </w:r>
    </w:p>
    <w:p>
      <w:pPr>
        <w:spacing w:after="0" w:line="175"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The projected weighted-average life and estimated duration, or interest rate sensitivity, of our investments is based on our assumptions regarding the rate at which the borrowers will prepay the underlying mortgage loans. In general, we use interest rate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742" w:right="239" w:bottom="1440" w:gutter="0" w:footer="0" w:header="0"/>
        </w:sectPr>
      </w:pPr>
    </w:p>
    <w:bookmarkStart w:id="52" w:name="page53"/>
    <w:bookmarkEnd w:id="52"/>
    <w:p>
      <w:pPr>
        <w:jc w:val="both"/>
        <w:spacing w:after="0" w:line="266" w:lineRule="auto"/>
        <w:rPr>
          <w:sz w:val="20"/>
          <w:szCs w:val="20"/>
          <w:color w:val="auto"/>
        </w:rPr>
      </w:pPr>
      <w:r>
        <w:rPr>
          <w:rFonts w:ascii="Times New Roman" w:cs="Times New Roman" w:eastAsia="Times New Roman" w:hAnsi="Times New Roman"/>
          <w:sz w:val="18"/>
          <w:szCs w:val="18"/>
          <w:color w:val="auto"/>
        </w:rPr>
        <w:t>swaps and swaptions to help manage our funding cost on our investments in the event that interest rates rise. These swaps (or swaptions) allow us to reduce our funding exposure on the notional amount of the swap for a specified period of time by establishing a fixed rate to pay in exchange for receiving a floating rate that generally tracks our financing costs under our funding liabilities.</w:t>
      </w:r>
    </w:p>
    <w:p>
      <w:pPr>
        <w:spacing w:after="0" w:line="12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However, if prepayment rates decrease in a rising interest rate environment, the average life or duration of our fixed rate assets generally extends. This could have a negative impact on our results from operations, as our interest rate swap maturities are fixed and will, therefore, cover a smaller percentage of our funding exposure on our mortgage assets to the extent that their average lives increase due to slower prepayments. This situation may also cause the market value of our fixed rate securities to decline by more than otherwise would be the case while most of our hedging instruments would not receive any incremental offsetting gains. In extreme situations, we may be forced to sell assets to maintain adequate liquidity, which could cause us to incur realized losses.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75"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We are exposed to credit risk related to our CRT and non-Agency investments, certain derivative transactions, and our collateral held by funding and derivative counterparties. We accept credit exposure at levels we deem prudent as an integral part of our investment and hedging strategy. We seek to manage this risk through prudent asset selection, pre-acquisition due diligence, post-acquisition performance monitoring, sale of assets where we have identified negative credit trends and the use of various types of credit enhancements. We may also use non-recourse financing, which limits our exposure to credit losses to the specific securities subject to the non-recourse financing. Our overall management of credit exposure may also include the use of credit default swaps or other financial derivatives that we believe are appropriate. Additionally, we may vary the percentage mix of our investments or our duration gap, when we believe credit performance is inversely correlated with changes in interest rates, in an effort to actively adjust our credit exposure and to improve the risk/return profile of our investment portfolio.</w:t>
      </w:r>
    </w:p>
    <w:p>
      <w:pPr>
        <w:spacing w:after="0" w:line="13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Our credit risk related to certain derivative transactions is largely mitigated through daily adjustments to collateral pledged based on changes in market value and we limit our counterparties to major financial institutions with acceptable credit ratings. There is no guarantee that our efforts to manage credit risk will be successful and we could suffer losses if credit performance is worse than our expectations or if economic conditions worsen.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742" w:right="2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94"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Securities Exchange Act of 1934, as amended (the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as promulgated under the Exchange Act and the rules and regulations thereunder.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5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including our Chief Executive Officer and Chief Financial Officer, evaluated the effectiveness of the design and operation of our disclosure controls and procedures as of June 30, 2017. Based on the foregoing, our Chief Executive Officer and Chief Financial Officer concluded that our disclosure controls and procedures were effective.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9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 13a-15(f) of the Exchange Act) that occurred during the last fiscal quarter that have materially affected, or are reasonably likely to materially affect, our internal control over financial reporting.</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10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 xml:space="preserve">Neither we, nor any of our consolidated subsidiaries, are currently subject to any material litigation nor, to our knowledge, is any litigation threatened against us or any consolidated subsidiary, in each case, that is expected to have a material adverse effect on our business, financial condition or operations. See also </w:t>
      </w:r>
      <w:r>
        <w:rPr>
          <w:rFonts w:ascii="Times New Roman" w:cs="Times New Roman" w:eastAsia="Times New Roman" w:hAnsi="Times New Roman"/>
          <w:sz w:val="18"/>
          <w:szCs w:val="18"/>
          <w:i w:val="1"/>
          <w:iCs w:val="1"/>
          <w:color w:val="auto"/>
        </w:rPr>
        <w:t>"Loss Contingencies"</w:t>
      </w:r>
      <w:r>
        <w:rPr>
          <w:rFonts w:ascii="Times New Roman" w:cs="Times New Roman" w:eastAsia="Times New Roman" w:hAnsi="Times New Roman"/>
          <w:sz w:val="18"/>
          <w:szCs w:val="18"/>
          <w:color w:val="auto"/>
        </w:rPr>
        <w:t xml:space="preserve"> in Note 3 to our Consolidated Financial Statements included in this Form 10-Q.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7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our Annual Report on Form 10-K for the year ended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Defaults upon Senior Securities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94" w:lineRule="exact"/>
        <w:rPr>
          <w:sz w:val="20"/>
          <w:szCs w:val="20"/>
          <w:color w:val="auto"/>
        </w:rPr>
      </w:pPr>
    </w:p>
    <w:p>
      <w:pPr>
        <w:jc w:val="center"/>
        <w:ind w:right="9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Exhibits and Financial Statement Schedules</w:t>
      </w:r>
    </w:p>
    <w:p>
      <w:pPr>
        <w:spacing w:after="0" w:line="17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(a)</w:t>
        <w:tab/>
        <w:t>Exhibit Index</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576" w:right="239" w:bottom="1440" w:gutter="0" w:footer="0" w:header="0"/>
        </w:sectPr>
      </w:pPr>
    </w:p>
    <w:bookmarkStart w:id="54" w:name="page55"/>
    <w:bookmarkEnd w:id="54"/>
    <w:p>
      <w:pPr>
        <w:ind w:left="40"/>
        <w:spacing w:after="0"/>
        <w:tabs>
          <w:tab w:leader="none" w:pos="1280" w:val="left"/>
        </w:tabs>
        <w:rPr>
          <w:sz w:val="20"/>
          <w:szCs w:val="20"/>
          <w:color w:val="auto"/>
        </w:rPr>
      </w:pPr>
      <w:r>
        <w:rPr>
          <w:rFonts w:ascii="Times New Roman" w:cs="Times New Roman" w:eastAsia="Times New Roman" w:hAnsi="Times New Roman"/>
          <w:sz w:val="14"/>
          <w:szCs w:val="14"/>
          <w:b w:val="1"/>
          <w:bCs w:val="1"/>
          <w:u w:val="single" w:color="auto"/>
          <w:color w:val="auto"/>
        </w:rPr>
        <w:t>Exhibit 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170" w:lineRule="exact"/>
        <w:rPr>
          <w:sz w:val="20"/>
          <w:szCs w:val="20"/>
          <w:color w:val="auto"/>
        </w:rPr>
      </w:pPr>
    </w:p>
    <w:p>
      <w:pPr>
        <w:ind w:left="1300" w:right="100" w:hanging="449"/>
        <w:spacing w:after="0" w:line="282" w:lineRule="auto"/>
        <w:rPr>
          <w:rFonts w:ascii="Times New Roman" w:cs="Times New Roman" w:eastAsia="Times New Roman" w:hAnsi="Times New Roman"/>
          <w:sz w:val="18"/>
          <w:szCs w:val="18"/>
          <w:color w:val="auto"/>
        </w:rPr>
      </w:pPr>
      <w:hyperlink r:id="rId40">
        <w:r>
          <w:rPr>
            <w:rFonts w:ascii="Times New Roman" w:cs="Times New Roman" w:eastAsia="Times New Roman" w:hAnsi="Times New Roman"/>
            <w:sz w:val="18"/>
            <w:szCs w:val="18"/>
            <w:color w:val="auto"/>
          </w:rPr>
          <w:t>*3.1 AGNC Investment Corp. Amended and Restated Certificate of Incorporation, as amended, incorporated herein by reference to Exhibit 3.1</w:t>
        </w:r>
      </w:hyperlink>
      <w:r>
        <w:rPr>
          <w:rFonts w:ascii="Times New Roman" w:cs="Times New Roman" w:eastAsia="Times New Roman" w:hAnsi="Times New Roman"/>
          <w:sz w:val="18"/>
          <w:szCs w:val="18"/>
          <w:color w:val="auto"/>
        </w:rPr>
        <w:t xml:space="preserve"> </w:t>
      </w:r>
      <w:hyperlink r:id="rId40">
        <w:r>
          <w:rPr>
            <w:rFonts w:ascii="Times New Roman" w:cs="Times New Roman" w:eastAsia="Times New Roman" w:hAnsi="Times New Roman"/>
            <w:sz w:val="18"/>
            <w:szCs w:val="18"/>
            <w:color w:val="auto"/>
          </w:rPr>
          <w:t>of Form 10-Q for the quarter ended September 30, 2016 (File No. 001-34057), filed November 7, 2016.</w:t>
        </w:r>
      </w:hyperlink>
    </w:p>
    <w:p>
      <w:pPr>
        <w:spacing w:after="0" w:line="121" w:lineRule="exact"/>
        <w:rPr>
          <w:sz w:val="20"/>
          <w:szCs w:val="20"/>
          <w:color w:val="auto"/>
        </w:rPr>
      </w:pPr>
    </w:p>
    <w:p>
      <w:pPr>
        <w:ind w:left="1300" w:right="60" w:hanging="449"/>
        <w:spacing w:after="0" w:line="282" w:lineRule="auto"/>
        <w:rPr>
          <w:rFonts w:ascii="Times New Roman" w:cs="Times New Roman" w:eastAsia="Times New Roman" w:hAnsi="Times New Roman"/>
          <w:sz w:val="18"/>
          <w:szCs w:val="18"/>
          <w:color w:val="auto"/>
        </w:rPr>
      </w:pPr>
      <w:hyperlink r:id="rId41">
        <w:r>
          <w:rPr>
            <w:rFonts w:ascii="Times New Roman" w:cs="Times New Roman" w:eastAsia="Times New Roman" w:hAnsi="Times New Roman"/>
            <w:sz w:val="18"/>
            <w:szCs w:val="18"/>
            <w:color w:val="auto"/>
          </w:rPr>
          <w:t>*3.2 AGNC Investment Corp. Third Amended and Restated Bylaws, as amended, incorporated herein by reference to Exhibit 3.2 of Form 10-Q</w:t>
        </w:r>
      </w:hyperlink>
      <w:r>
        <w:rPr>
          <w:rFonts w:ascii="Times New Roman" w:cs="Times New Roman" w:eastAsia="Times New Roman" w:hAnsi="Times New Roman"/>
          <w:sz w:val="18"/>
          <w:szCs w:val="18"/>
          <w:color w:val="auto"/>
        </w:rPr>
        <w:t xml:space="preserve"> </w:t>
      </w:r>
      <w:hyperlink r:id="rId41">
        <w:r>
          <w:rPr>
            <w:rFonts w:ascii="Times New Roman" w:cs="Times New Roman" w:eastAsia="Times New Roman" w:hAnsi="Times New Roman"/>
            <w:sz w:val="18"/>
            <w:szCs w:val="18"/>
            <w:color w:val="auto"/>
          </w:rPr>
          <w:t>for the quarter ended September 30, 2016 (File No. 001-34057), filed November 7, 2016.</w:t>
        </w:r>
      </w:hyperlink>
    </w:p>
    <w:p>
      <w:pPr>
        <w:spacing w:after="0" w:line="121" w:lineRule="exact"/>
        <w:rPr>
          <w:sz w:val="20"/>
          <w:szCs w:val="20"/>
          <w:color w:val="auto"/>
        </w:rPr>
      </w:pPr>
    </w:p>
    <w:p>
      <w:pPr>
        <w:ind w:left="1300" w:hanging="449"/>
        <w:spacing w:after="0" w:line="282" w:lineRule="auto"/>
        <w:rPr>
          <w:rFonts w:ascii="Times New Roman" w:cs="Times New Roman" w:eastAsia="Times New Roman" w:hAnsi="Times New Roman"/>
          <w:sz w:val="18"/>
          <w:szCs w:val="18"/>
          <w:color w:val="auto"/>
        </w:rPr>
      </w:pPr>
      <w:hyperlink r:id="rId42">
        <w:r>
          <w:rPr>
            <w:rFonts w:ascii="Times New Roman" w:cs="Times New Roman" w:eastAsia="Times New Roman" w:hAnsi="Times New Roman"/>
            <w:sz w:val="18"/>
            <w:szCs w:val="18"/>
            <w:color w:val="auto"/>
          </w:rPr>
          <w:t>*3.3 Certificate of Designations of 8.000% Series A Cumulative Redeemable Preferred Stock, incorporated herein by reference to Exhibit 3.1 of</w:t>
        </w:r>
      </w:hyperlink>
      <w:r>
        <w:rPr>
          <w:rFonts w:ascii="Times New Roman" w:cs="Times New Roman" w:eastAsia="Times New Roman" w:hAnsi="Times New Roman"/>
          <w:sz w:val="18"/>
          <w:szCs w:val="18"/>
          <w:color w:val="auto"/>
        </w:rPr>
        <w:t xml:space="preserve"> </w:t>
      </w:r>
      <w:hyperlink r:id="rId42">
        <w:r>
          <w:rPr>
            <w:rFonts w:ascii="Times New Roman" w:cs="Times New Roman" w:eastAsia="Times New Roman" w:hAnsi="Times New Roman"/>
            <w:sz w:val="18"/>
            <w:szCs w:val="18"/>
            <w:color w:val="auto"/>
          </w:rPr>
          <w:t>Form 8-K (File No 001-34057), filed April 3, 2012.</w:t>
        </w:r>
      </w:hyperlink>
    </w:p>
    <w:p>
      <w:pPr>
        <w:spacing w:after="0" w:line="121" w:lineRule="exact"/>
        <w:rPr>
          <w:sz w:val="20"/>
          <w:szCs w:val="20"/>
          <w:color w:val="auto"/>
        </w:rPr>
      </w:pPr>
    </w:p>
    <w:p>
      <w:pPr>
        <w:ind w:left="1300" w:right="20" w:hanging="449"/>
        <w:spacing w:after="0" w:line="282" w:lineRule="auto"/>
        <w:rPr>
          <w:rFonts w:ascii="Times New Roman" w:cs="Times New Roman" w:eastAsia="Times New Roman" w:hAnsi="Times New Roman"/>
          <w:sz w:val="18"/>
          <w:szCs w:val="18"/>
          <w:color w:val="auto"/>
        </w:rPr>
      </w:pPr>
      <w:hyperlink r:id="rId43">
        <w:r>
          <w:rPr>
            <w:rFonts w:ascii="Times New Roman" w:cs="Times New Roman" w:eastAsia="Times New Roman" w:hAnsi="Times New Roman"/>
            <w:sz w:val="18"/>
            <w:szCs w:val="18"/>
            <w:color w:val="auto"/>
          </w:rPr>
          <w:t>*3.4 Certificate of Designations of 7.750% Series B Cumulative Redeemable Preferred Stock, incorporated herein by reference to Exhibit 3.4 of</w:t>
        </w:r>
      </w:hyperlink>
      <w:r>
        <w:rPr>
          <w:rFonts w:ascii="Times New Roman" w:cs="Times New Roman" w:eastAsia="Times New Roman" w:hAnsi="Times New Roman"/>
          <w:sz w:val="18"/>
          <w:szCs w:val="18"/>
          <w:color w:val="auto"/>
        </w:rPr>
        <w:t xml:space="preserve"> </w:t>
      </w:r>
      <w:hyperlink r:id="rId43">
        <w:r>
          <w:rPr>
            <w:rFonts w:ascii="Times New Roman" w:cs="Times New Roman" w:eastAsia="Times New Roman" w:hAnsi="Times New Roman"/>
            <w:sz w:val="18"/>
            <w:szCs w:val="18"/>
            <w:color w:val="auto"/>
          </w:rPr>
          <w:t>Form 8-A (File No. 001-34057), filed May 7, 2014.</w:t>
        </w:r>
      </w:hyperlink>
    </w:p>
    <w:p>
      <w:pPr>
        <w:spacing w:after="0" w:line="121" w:lineRule="exact"/>
        <w:rPr>
          <w:sz w:val="20"/>
          <w:szCs w:val="20"/>
          <w:color w:val="auto"/>
        </w:rPr>
      </w:pPr>
    </w:p>
    <w:p>
      <w:pPr>
        <w:ind w:left="1300" w:right="280" w:hanging="449"/>
        <w:spacing w:after="0" w:line="266" w:lineRule="auto"/>
        <w:rPr>
          <w:rFonts w:ascii="Times New Roman" w:cs="Times New Roman" w:eastAsia="Times New Roman" w:hAnsi="Times New Roman"/>
          <w:sz w:val="18"/>
          <w:szCs w:val="18"/>
          <w:color w:val="auto"/>
        </w:rPr>
      </w:pPr>
      <w:hyperlink r:id="rId40">
        <w:r>
          <w:rPr>
            <w:rFonts w:ascii="Times New Roman" w:cs="Times New Roman" w:eastAsia="Times New Roman" w:hAnsi="Times New Roman"/>
            <w:sz w:val="18"/>
            <w:szCs w:val="18"/>
            <w:color w:val="auto"/>
          </w:rPr>
          <w:t>*4.1 Instruments defining the rights of holders of securities: See Article IV of our Amended and Restated Certificate of Incorporation, as</w:t>
        </w:r>
      </w:hyperlink>
      <w:r>
        <w:rPr>
          <w:rFonts w:ascii="Times New Roman" w:cs="Times New Roman" w:eastAsia="Times New Roman" w:hAnsi="Times New Roman"/>
          <w:sz w:val="18"/>
          <w:szCs w:val="18"/>
          <w:color w:val="auto"/>
        </w:rPr>
        <w:t xml:space="preserve"> </w:t>
      </w:r>
      <w:hyperlink r:id="rId40">
        <w:r>
          <w:rPr>
            <w:rFonts w:ascii="Times New Roman" w:cs="Times New Roman" w:eastAsia="Times New Roman" w:hAnsi="Times New Roman"/>
            <w:sz w:val="18"/>
            <w:szCs w:val="18"/>
            <w:color w:val="auto"/>
          </w:rPr>
          <w:t>amended, incorporated herein by reference to Exhibit 3.1 of Form 10-Q for the quarter ended September 30, 2016 (File No. 001-34057)</w:t>
        </w:r>
      </w:hyperlink>
      <w:r>
        <w:rPr>
          <w:rFonts w:ascii="Times New Roman" w:cs="Times New Roman" w:eastAsia="Times New Roman" w:hAnsi="Times New Roman"/>
          <w:sz w:val="18"/>
          <w:szCs w:val="18"/>
          <w:color w:val="auto"/>
        </w:rPr>
        <w:t xml:space="preserve"> </w:t>
      </w:r>
      <w:hyperlink r:id="rId40">
        <w:r>
          <w:rPr>
            <w:rFonts w:ascii="Times New Roman" w:cs="Times New Roman" w:eastAsia="Times New Roman" w:hAnsi="Times New Roman"/>
            <w:sz w:val="18"/>
            <w:szCs w:val="18"/>
            <w:color w:val="auto"/>
          </w:rPr>
          <w:t>filed November 7, 2016.</w:t>
        </w:r>
      </w:hyperlink>
    </w:p>
    <w:p>
      <w:pPr>
        <w:spacing w:after="0" w:line="136" w:lineRule="exact"/>
        <w:rPr>
          <w:rFonts w:ascii="Times New Roman" w:cs="Times New Roman" w:eastAsia="Times New Roman" w:hAnsi="Times New Roman"/>
          <w:sz w:val="18"/>
          <w:szCs w:val="18"/>
          <w:color w:val="auto"/>
        </w:rPr>
      </w:pPr>
    </w:p>
    <w:p>
      <w:pPr>
        <w:ind w:left="1300" w:right="640" w:hanging="449"/>
        <w:spacing w:after="0" w:line="266" w:lineRule="auto"/>
        <w:rPr>
          <w:rFonts w:ascii="Times New Roman" w:cs="Times New Roman" w:eastAsia="Times New Roman" w:hAnsi="Times New Roman"/>
          <w:sz w:val="18"/>
          <w:szCs w:val="18"/>
          <w:color w:val="auto"/>
        </w:rPr>
      </w:pPr>
      <w:hyperlink r:id="rId41">
        <w:r>
          <w:rPr>
            <w:rFonts w:ascii="Times New Roman" w:cs="Times New Roman" w:eastAsia="Times New Roman" w:hAnsi="Times New Roman"/>
            <w:sz w:val="18"/>
            <w:szCs w:val="18"/>
            <w:color w:val="auto"/>
          </w:rPr>
          <w:t>*4.2 Instruments defining the rights of holders of securities: See Article VI of our Third Amended and Restated Bylaws, as amended,</w:t>
        </w:r>
      </w:hyperlink>
      <w:r>
        <w:rPr>
          <w:rFonts w:ascii="Times New Roman" w:cs="Times New Roman" w:eastAsia="Times New Roman" w:hAnsi="Times New Roman"/>
          <w:sz w:val="18"/>
          <w:szCs w:val="18"/>
          <w:color w:val="auto"/>
        </w:rPr>
        <w:t xml:space="preserve"> </w:t>
      </w:r>
      <w:hyperlink r:id="rId41">
        <w:r>
          <w:rPr>
            <w:rFonts w:ascii="Times New Roman" w:cs="Times New Roman" w:eastAsia="Times New Roman" w:hAnsi="Times New Roman"/>
            <w:sz w:val="18"/>
            <w:szCs w:val="18"/>
            <w:color w:val="auto"/>
          </w:rPr>
          <w:t>incorporated herein by reference to Exhibit 3.2 of Form 10-Q for the quarter ended September 30, 2016 (File No. 001-34057) filed</w:t>
        </w:r>
      </w:hyperlink>
      <w:r>
        <w:rPr>
          <w:rFonts w:ascii="Times New Roman" w:cs="Times New Roman" w:eastAsia="Times New Roman" w:hAnsi="Times New Roman"/>
          <w:sz w:val="18"/>
          <w:szCs w:val="18"/>
          <w:color w:val="auto"/>
        </w:rPr>
        <w:t xml:space="preserve"> </w:t>
      </w:r>
      <w:hyperlink r:id="rId41">
        <w:r>
          <w:rPr>
            <w:rFonts w:ascii="Times New Roman" w:cs="Times New Roman" w:eastAsia="Times New Roman" w:hAnsi="Times New Roman"/>
            <w:sz w:val="18"/>
            <w:szCs w:val="18"/>
            <w:color w:val="auto"/>
          </w:rPr>
          <w:t>November 7, 2016.</w:t>
        </w:r>
      </w:hyperlink>
    </w:p>
    <w:p>
      <w:pPr>
        <w:spacing w:after="0" w:line="136"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hyperlink r:id="rId44">
        <w:r>
          <w:rPr>
            <w:rFonts w:ascii="Times New Roman" w:cs="Times New Roman" w:eastAsia="Times New Roman" w:hAnsi="Times New Roman"/>
            <w:sz w:val="18"/>
            <w:szCs w:val="18"/>
            <w:color w:val="auto"/>
          </w:rPr>
          <w:t>*4.3  Form of Certificate for Common Stock, incorporated herein by reference to Exhibit 4.3 of Form 10-Q for the quarter ended September 30,</w:t>
        </w:r>
      </w:hyperlink>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hyperlink r:id="rId44">
        <w:r>
          <w:rPr>
            <w:rFonts w:ascii="Times New Roman" w:cs="Times New Roman" w:eastAsia="Times New Roman" w:hAnsi="Times New Roman"/>
            <w:sz w:val="18"/>
            <w:szCs w:val="18"/>
            <w:color w:val="auto"/>
          </w:rPr>
          <w:t>2016 (File No. 001-34057), filed November 7, 2016.</w:t>
        </w:r>
      </w:hyperlink>
    </w:p>
    <w:p>
      <w:pPr>
        <w:spacing w:after="0" w:line="166" w:lineRule="exact"/>
        <w:rPr>
          <w:rFonts w:ascii="Times New Roman" w:cs="Times New Roman" w:eastAsia="Times New Roman" w:hAnsi="Times New Roman"/>
          <w:sz w:val="18"/>
          <w:szCs w:val="18"/>
          <w:color w:val="auto"/>
        </w:rPr>
      </w:pPr>
    </w:p>
    <w:p>
      <w:pPr>
        <w:ind w:left="1300" w:hanging="449"/>
        <w:spacing w:after="0" w:line="282" w:lineRule="auto"/>
        <w:rPr>
          <w:rFonts w:ascii="Times New Roman" w:cs="Times New Roman" w:eastAsia="Times New Roman" w:hAnsi="Times New Roman"/>
          <w:sz w:val="18"/>
          <w:szCs w:val="18"/>
          <w:color w:val="auto"/>
        </w:rPr>
      </w:pPr>
      <w:hyperlink r:id="rId45">
        <w:r>
          <w:rPr>
            <w:rFonts w:ascii="Times New Roman" w:cs="Times New Roman" w:eastAsia="Times New Roman" w:hAnsi="Times New Roman"/>
            <w:sz w:val="18"/>
            <w:szCs w:val="18"/>
            <w:color w:val="auto"/>
          </w:rPr>
          <w:t>*4.4 Specimen 8.000% Series A Cumulative Redeemable Preferred Stock Certificate, incorporated herein by reference to Exhibit 4.1 of Form 8-</w:t>
        </w:r>
      </w:hyperlink>
      <w:hyperlink r:id="rId45">
        <w:r>
          <w:rPr>
            <w:rFonts w:ascii="Times New Roman" w:cs="Times New Roman" w:eastAsia="Times New Roman" w:hAnsi="Times New Roman"/>
            <w:sz w:val="18"/>
            <w:szCs w:val="18"/>
            <w:color w:val="auto"/>
          </w:rPr>
          <w:t>K (File No. 001-34057), filed April 3, 2012.</w:t>
        </w:r>
      </w:hyperlink>
    </w:p>
    <w:p>
      <w:pPr>
        <w:spacing w:after="0" w:line="121" w:lineRule="exact"/>
        <w:rPr>
          <w:sz w:val="20"/>
          <w:szCs w:val="20"/>
          <w:color w:val="auto"/>
        </w:rPr>
      </w:pPr>
    </w:p>
    <w:p>
      <w:pPr>
        <w:ind w:left="1300" w:hanging="449"/>
        <w:spacing w:after="0" w:line="282" w:lineRule="auto"/>
        <w:rPr>
          <w:rFonts w:ascii="Times New Roman" w:cs="Times New Roman" w:eastAsia="Times New Roman" w:hAnsi="Times New Roman"/>
          <w:sz w:val="18"/>
          <w:szCs w:val="18"/>
          <w:color w:val="auto"/>
        </w:rPr>
      </w:pPr>
      <w:hyperlink r:id="rId46">
        <w:r>
          <w:rPr>
            <w:rFonts w:ascii="Times New Roman" w:cs="Times New Roman" w:eastAsia="Times New Roman" w:hAnsi="Times New Roman"/>
            <w:sz w:val="18"/>
            <w:szCs w:val="18"/>
            <w:color w:val="auto"/>
          </w:rPr>
          <w:t>*4.5 Specimen 7.750% Series B Cumulative Redeemable Preferred Stock Certificate, incorporated herein by reference to Exhibit 4.1 of Form 8-</w:t>
        </w:r>
      </w:hyperlink>
      <w:hyperlink r:id="rId46">
        <w:r>
          <w:rPr>
            <w:rFonts w:ascii="Times New Roman" w:cs="Times New Roman" w:eastAsia="Times New Roman" w:hAnsi="Times New Roman"/>
            <w:sz w:val="18"/>
            <w:szCs w:val="18"/>
            <w:color w:val="auto"/>
          </w:rPr>
          <w:t>A (File No. 001-34057), filed May 7, 2014.</w:t>
        </w:r>
      </w:hyperlink>
    </w:p>
    <w:p>
      <w:pPr>
        <w:spacing w:after="0" w:line="121" w:lineRule="exact"/>
        <w:rPr>
          <w:sz w:val="20"/>
          <w:szCs w:val="20"/>
          <w:color w:val="auto"/>
        </w:rPr>
      </w:pPr>
    </w:p>
    <w:p>
      <w:pPr>
        <w:ind w:left="1300" w:right="100" w:hanging="449"/>
        <w:spacing w:after="0" w:line="282" w:lineRule="auto"/>
        <w:rPr>
          <w:rFonts w:ascii="Times New Roman" w:cs="Times New Roman" w:eastAsia="Times New Roman" w:hAnsi="Times New Roman"/>
          <w:sz w:val="18"/>
          <w:szCs w:val="18"/>
          <w:color w:val="auto"/>
        </w:rPr>
      </w:pPr>
      <w:hyperlink r:id="rId47">
        <w:r>
          <w:rPr>
            <w:rFonts w:ascii="Times New Roman" w:cs="Times New Roman" w:eastAsia="Times New Roman" w:hAnsi="Times New Roman"/>
            <w:sz w:val="18"/>
            <w:szCs w:val="18"/>
            <w:color w:val="auto"/>
          </w:rPr>
          <w:t>*4.6 Deposit Agreement, dated May 8, 2014, among American Capital Agency Corp., Computershare Inc. and Computershare Trust Company,</w:t>
        </w:r>
      </w:hyperlink>
      <w:r>
        <w:rPr>
          <w:rFonts w:ascii="Times New Roman" w:cs="Times New Roman" w:eastAsia="Times New Roman" w:hAnsi="Times New Roman"/>
          <w:sz w:val="18"/>
          <w:szCs w:val="18"/>
          <w:color w:val="auto"/>
        </w:rPr>
        <w:t xml:space="preserve"> </w:t>
      </w:r>
      <w:hyperlink r:id="rId47">
        <w:r>
          <w:rPr>
            <w:rFonts w:ascii="Times New Roman" w:cs="Times New Roman" w:eastAsia="Times New Roman" w:hAnsi="Times New Roman"/>
            <w:sz w:val="18"/>
            <w:szCs w:val="18"/>
            <w:color w:val="auto"/>
          </w:rPr>
          <w:t>N.A., jointly as depositary, incorporated herein by reference to Exhibit 4.2 of Form 8-K (File No. 001-34067), filed May 8, 2014.</w:t>
        </w:r>
      </w:hyperlink>
    </w:p>
    <w:p>
      <w:pPr>
        <w:spacing w:after="0" w:line="12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*4.7  Form of Depositary Receipt, incorporated herein by reference to Exhibit 4.3 of Form 8-K (File No. 001-34067), filed May 8, 2014.</w:t>
      </w:r>
    </w:p>
    <w:p>
      <w:pPr>
        <w:spacing w:after="0" w:line="185" w:lineRule="exact"/>
        <w:rPr>
          <w:sz w:val="20"/>
          <w:szCs w:val="20"/>
          <w:color w:val="auto"/>
        </w:rPr>
      </w:pPr>
    </w:p>
    <w:p>
      <w:pPr>
        <w:ind w:left="1300" w:right="380" w:hanging="324"/>
        <w:spacing w:after="0" w:line="282"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AGNC Investment Corp. 2016 Equity and Incentive Compensation Plan Restricted Stock Unit Agreement for Non-Employee Directors, filed herewith.</w:t>
      </w:r>
    </w:p>
    <w:p>
      <w:pPr>
        <w:spacing w:after="0" w:line="121" w:lineRule="exact"/>
        <w:rPr>
          <w:sz w:val="20"/>
          <w:szCs w:val="20"/>
          <w:color w:val="auto"/>
        </w:rPr>
      </w:pPr>
    </w:p>
    <w:p>
      <w:pPr>
        <w:ind w:left="840" w:right="3300" w:firstLine="136"/>
        <w:spacing w:after="0" w:line="454" w:lineRule="auto"/>
        <w:tabs>
          <w:tab w:leader="none" w:pos="129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AGNC Investment Corp. Code of Ethics and Conduct, adopted, July 20, 2017, filed herewith. 31.1 Certification of CEO Pursuant to Section 302(a) of the Sarbanes-Oxley Act of 2002.</w:t>
      </w: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  Certification of CFO Pursuant to Section 302(a) of the Sarbanes-Oxley Act of 2002.</w:t>
      </w:r>
    </w:p>
    <w:p>
      <w:pPr>
        <w:spacing w:after="0" w:line="184" w:lineRule="exact"/>
        <w:rPr>
          <w:rFonts w:ascii="Times New Roman" w:cs="Times New Roman" w:eastAsia="Times New Roman" w:hAnsi="Times New Roman"/>
          <w:sz w:val="18"/>
          <w:szCs w:val="18"/>
          <w:color w:val="auto"/>
        </w:rPr>
      </w:pPr>
    </w:p>
    <w:p>
      <w:pPr>
        <w:ind w:left="1300" w:hanging="32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 of CEO and CFO Pursuant to Section 906 of the Sarbanes-Oxley Act of 2002.</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101.INS**  XBRL Instance Document</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101.SCH**  XBRL Taxonomy Extension Schema Document</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101.CAL**  XBRL Taxonomy Extension Calculation Linkbase Document</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101.LAB**  XBRL Taxonomy Extension Labels Linkbase Document</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101.PRE**  XBRL Taxonomy Extension Presentation Linkbase Document</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101.DEF**  XBRL Taxonomy Extension Definition Linkbase Document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2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Previously filed</w:t>
      </w:r>
    </w:p>
    <w:p>
      <w:pPr>
        <w:spacing w:after="0" w:line="9" w:lineRule="exact"/>
        <w:rPr>
          <w:sz w:val="20"/>
          <w:szCs w:val="20"/>
          <w:color w:val="auto"/>
        </w:rPr>
      </w:pPr>
    </w:p>
    <w:p>
      <w:pPr>
        <w:ind w:left="660" w:right="160" w:hanging="652"/>
        <w:spacing w:after="0" w:line="261"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being furnished rather than filed, and shall not be deemed incorporated by reference into any filing, in accordance with Item 601 of Regulation S-K</w:t>
      </w:r>
    </w:p>
    <w:p>
      <w:pPr>
        <w:spacing w:after="0" w:line="179" w:lineRule="exact"/>
        <w:rPr>
          <w:rFonts w:ascii="Times New Roman" w:cs="Times New Roman" w:eastAsia="Times New Roman" w:hAnsi="Times New Roman"/>
          <w:sz w:val="18"/>
          <w:szCs w:val="18"/>
          <w:color w:val="auto"/>
        </w:rPr>
      </w:pPr>
    </w:p>
    <w:p>
      <w:pPr>
        <w:ind w:left="880" w:hanging="467"/>
        <w:spacing w:after="0"/>
        <w:tabs>
          <w:tab w:leader="none" w:pos="8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7"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exhibits filed herewith.</w:t>
      </w:r>
    </w:p>
    <w:p>
      <w:pPr>
        <w:sectPr>
          <w:pgSz w:w="11900" w:h="16838" w:orient="portrait"/>
          <w:cols w:equalWidth="0" w:num="1">
            <w:col w:w="11340"/>
          </w:cols>
          <w:pgMar w:left="240" w:top="736" w:right="31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340"/>
          </w:cols>
          <w:pgMar w:left="240" w:top="736" w:right="319" w:bottom="1440" w:gutter="0" w:footer="0" w:header="0"/>
          <w:type w:val="continuous"/>
        </w:sectPr>
      </w:pPr>
    </w:p>
    <w:bookmarkStart w:id="55" w:name="page56"/>
    <w:bookmarkEnd w:id="55"/>
    <w:p>
      <w:pPr>
        <w:ind w:left="467" w:right="6419" w:hanging="467"/>
        <w:spacing w:after="0" w:line="282" w:lineRule="auto"/>
        <w:tabs>
          <w:tab w:leader="none" w:pos="46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financial statement schedules None.</w:t>
      </w:r>
    </w:p>
    <w:p>
      <w:pPr>
        <w:spacing w:after="0" w:line="18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9806"/>
          </w:cols>
          <w:pgMar w:left="653" w:top="580" w:right="1440" w:bottom="1440" w:gutter="0" w:footer="0" w:header="0"/>
        </w:sectPr>
      </w:pPr>
    </w:p>
    <w:bookmarkStart w:id="56" w:name="page57"/>
    <w:bookmarkEnd w:id="5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29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AGNC I</w:t>
      </w:r>
      <w:r>
        <w:rPr>
          <w:rFonts w:ascii="Times New Roman" w:cs="Times New Roman" w:eastAsia="Times New Roman" w:hAnsi="Times New Roman"/>
          <w:sz w:val="14"/>
          <w:szCs w:val="14"/>
          <w:color w:val="auto"/>
        </w:rPr>
        <w:t>NVESTMENT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ORP</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5640"/>
        <w:spacing w:after="0"/>
        <w:tabs>
          <w:tab w:leader="none" w:pos="8180" w:val="left"/>
          <w:tab w:leader="none" w:pos="8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G</w:t>
      </w:r>
      <w:r>
        <w:rPr>
          <w:rFonts w:ascii="Times New Roman" w:cs="Times New Roman" w:eastAsia="Times New Roman" w:hAnsi="Times New Roman"/>
          <w:sz w:val="14"/>
          <w:szCs w:val="14"/>
          <w:color w:val="auto"/>
        </w:rPr>
        <w:t>ARY</w:t>
      </w:r>
      <w:r>
        <w:rPr>
          <w:rFonts w:ascii="Times New Roman" w:cs="Times New Roman" w:eastAsia="Times New Roman" w:hAnsi="Times New Roman"/>
          <w:sz w:val="18"/>
          <w:szCs w:val="18"/>
          <w:color w:val="auto"/>
        </w:rPr>
        <w:t xml:space="preserve"> K</w:t>
      </w:r>
      <w:r>
        <w:rPr>
          <w:rFonts w:ascii="Times New Roman" w:cs="Times New Roman" w:eastAsia="Times New Roman" w:hAnsi="Times New Roman"/>
          <w:sz w:val="14"/>
          <w:szCs w:val="14"/>
          <w:color w:val="auto"/>
        </w:rPr>
        <w: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33274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0"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4"/>
          <w:szCs w:val="14"/>
          <w:b w:val="1"/>
          <w:bCs w:val="1"/>
          <w:color w:val="auto"/>
        </w:rPr>
        <w:t>Gary Kain</w:t>
      </w:r>
    </w:p>
    <w:p>
      <w:pPr>
        <w:jc w:val="center"/>
        <w:ind w:left="6140"/>
        <w:spacing w:after="0" w:line="229" w:lineRule="auto"/>
        <w:rPr>
          <w:sz w:val="20"/>
          <w:szCs w:val="20"/>
          <w:color w:val="auto"/>
        </w:rPr>
      </w:pPr>
      <w:r>
        <w:rPr>
          <w:rFonts w:ascii="Times New Roman" w:cs="Times New Roman" w:eastAsia="Times New Roman" w:hAnsi="Times New Roman"/>
          <w:sz w:val="14"/>
          <w:szCs w:val="14"/>
          <w:b w:val="1"/>
          <w:bCs w:val="1"/>
          <w:color w:val="auto"/>
        </w:rPr>
        <w:t>Chief Executive Officer, President and</w:t>
      </w:r>
    </w:p>
    <w:p>
      <w:pPr>
        <w:spacing w:after="0" w:line="1"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4"/>
          <w:szCs w:val="14"/>
          <w:b w:val="1"/>
          <w:bCs w:val="1"/>
          <w:color w:val="auto"/>
        </w:rPr>
        <w:t>Chief Investment Officer (Principal Executive Officer)</w:t>
      </w:r>
    </w:p>
    <w:p>
      <w:pPr>
        <w:spacing w:after="0" w:line="30"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August 3, 2017</w:t>
      </w:r>
    </w:p>
    <w:p>
      <w:pPr>
        <w:spacing w:after="0" w:line="306" w:lineRule="exact"/>
        <w:rPr>
          <w:sz w:val="20"/>
          <w:szCs w:val="20"/>
          <w:color w:val="auto"/>
        </w:rPr>
      </w:pPr>
    </w:p>
    <w:p>
      <w:pPr>
        <w:ind w:left="8020"/>
        <w:spacing w:after="0"/>
        <w:tabs>
          <w:tab w:leader="none" w:pos="8340" w:val="left"/>
        </w:tabs>
        <w:rPr>
          <w:sz w:val="20"/>
          <w:szCs w:val="20"/>
          <w:color w:val="auto"/>
        </w:rPr>
      </w:pPr>
      <w:r>
        <w:rPr>
          <w:rFonts w:ascii="Times New Roman" w:cs="Times New Roman" w:eastAsia="Times New Roman" w:hAnsi="Times New Roman"/>
          <w:sz w:val="18"/>
          <w:szCs w:val="18"/>
          <w:color w:val="auto"/>
        </w:rPr>
        <w:t>/s/</w:t>
        <w:tab/>
        <w:t>P</w:t>
      </w:r>
      <w:r>
        <w:rPr>
          <w:rFonts w:ascii="Times New Roman" w:cs="Times New Roman" w:eastAsia="Times New Roman" w:hAnsi="Times New Roman"/>
          <w:sz w:val="14"/>
          <w:szCs w:val="14"/>
          <w:color w:val="auto"/>
        </w:rPr>
        <w:t>ETER</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EDERICO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33274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0"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4"/>
          <w:szCs w:val="14"/>
          <w:b w:val="1"/>
          <w:bCs w:val="1"/>
          <w:color w:val="auto"/>
        </w:rPr>
        <w:t>Peter Federico</w:t>
      </w:r>
    </w:p>
    <w:p>
      <w:pPr>
        <w:jc w:val="center"/>
        <w:ind w:left="6180"/>
        <w:spacing w:after="0" w:line="229" w:lineRule="auto"/>
        <w:rPr>
          <w:sz w:val="20"/>
          <w:szCs w:val="20"/>
          <w:color w:val="auto"/>
        </w:rPr>
      </w:pPr>
      <w:r>
        <w:rPr>
          <w:rFonts w:ascii="Times New Roman" w:cs="Times New Roman" w:eastAsia="Times New Roman" w:hAnsi="Times New Roman"/>
          <w:sz w:val="14"/>
          <w:szCs w:val="14"/>
          <w:b w:val="1"/>
          <w:bCs w:val="1"/>
          <w:color w:val="auto"/>
        </w:rPr>
        <w:t>Chief Financial Officer and</w:t>
      </w:r>
    </w:p>
    <w:p>
      <w:pPr>
        <w:spacing w:after="0" w:line="1"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4"/>
          <w:szCs w:val="14"/>
          <w:b w:val="1"/>
          <w:bCs w:val="1"/>
          <w:color w:val="auto"/>
        </w:rPr>
        <w:t>Executive Vice President (Principal Financial Officer)</w:t>
      </w:r>
    </w:p>
    <w:p>
      <w:pPr>
        <w:spacing w:after="0" w:line="30"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August 3,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380"/>
          </w:cols>
          <w:pgMar w:left="240" w:top="576" w:right="27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10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2016 EQUITY AND INCENTIVE COMPENSATION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AGREEMENT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RESTRICTED STOCK UNIT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is entered into as of </w:t>
      </w:r>
      <w:r>
        <w:rPr>
          <w:rFonts w:ascii="Times New Roman" w:cs="Times New Roman" w:eastAsia="Times New Roman" w:hAnsi="Times New Roman"/>
          <w:sz w:val="18"/>
          <w:szCs w:val="18"/>
          <w:b w:val="1"/>
          <w:bCs w:val="1"/>
          <w:color w:val="auto"/>
        </w:rPr>
        <w:t>[______________]</w:t>
      </w:r>
      <w:r>
        <w:rPr>
          <w:rFonts w:ascii="Times New Roman" w:cs="Times New Roman" w:eastAsia="Times New Roman" w:hAnsi="Times New Roman"/>
          <w:sz w:val="18"/>
          <w:szCs w:val="18"/>
          <w:color w:val="auto"/>
        </w:rPr>
        <w:t>, 2017 (the “</w:t>
      </w:r>
      <w:r>
        <w:rPr>
          <w:rFonts w:ascii="Times New Roman" w:cs="Times New Roman" w:eastAsia="Times New Roman" w:hAnsi="Times New Roman"/>
          <w:sz w:val="18"/>
          <w:szCs w:val="18"/>
          <w:u w:val="single" w:color="auto"/>
          <w:color w:val="auto"/>
        </w:rPr>
        <w:t>Date of Grant</w:t>
      </w:r>
      <w:r>
        <w:rPr>
          <w:rFonts w:ascii="Times New Roman" w:cs="Times New Roman" w:eastAsia="Times New Roman" w:hAnsi="Times New Roman"/>
          <w:sz w:val="18"/>
          <w:szCs w:val="18"/>
          <w:color w:val="auto"/>
        </w:rPr>
        <w:t>”), by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between AGNC Investment Corp.,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[_______________]</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Grantee</w:t>
      </w:r>
      <w:r>
        <w:rPr>
          <w:rFonts w:ascii="Times New Roman" w:cs="Times New Roman" w:eastAsia="Times New Roman" w:hAnsi="Times New Roman"/>
          <w:sz w:val="18"/>
          <w:szCs w:val="18"/>
          <w:color w:val="auto"/>
        </w:rPr>
        <w:t>”).</w:t>
      </w:r>
    </w:p>
    <w:p>
      <w:pPr>
        <w:spacing w:after="0" w:line="230" w:lineRule="exact"/>
        <w:rPr>
          <w:sz w:val="20"/>
          <w:szCs w:val="20"/>
          <w:color w:val="auto"/>
        </w:rPr>
      </w:pPr>
    </w:p>
    <w:p>
      <w:pPr>
        <w:ind w:right="520" w:firstLine="8"/>
        <w:spacing w:after="0" w:line="297" w:lineRule="auto"/>
        <w:tabs>
          <w:tab w:leader="none" w:pos="78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Certain Definitions</w:t>
      </w:r>
      <w:r>
        <w:rPr>
          <w:rFonts w:ascii="Times New Roman" w:cs="Times New Roman" w:eastAsia="Times New Roman" w:hAnsi="Times New Roman"/>
          <w:sz w:val="18"/>
          <w:szCs w:val="18"/>
          <w:color w:val="auto"/>
        </w:rPr>
        <w:t>. Capitalized terms used, but not otherwise defined, in this Agreement will have the meanings given to such terms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2016 Equity and Incentive Compensation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w:t>
      </w:r>
    </w:p>
    <w:p>
      <w:pPr>
        <w:jc w:val="both"/>
        <w:ind w:right="80" w:firstLine="8"/>
        <w:spacing w:after="0" w:line="297" w:lineRule="auto"/>
        <w:tabs>
          <w:tab w:leader="none" w:pos="78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Grant of RSUs</w:t>
      </w:r>
      <w:r>
        <w:rPr>
          <w:rFonts w:ascii="Times New Roman" w:cs="Times New Roman" w:eastAsia="Times New Roman" w:hAnsi="Times New Roman"/>
          <w:sz w:val="18"/>
          <w:szCs w:val="18"/>
          <w:color w:val="auto"/>
        </w:rPr>
        <w:t>. Subject to and upon the terms, conditions and restrictions set forth in this Agreement and in the Plan, the Company hereby grants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Grantee </w:t>
      </w:r>
      <w:r>
        <w:rPr>
          <w:rFonts w:ascii="Times New Roman" w:cs="Times New Roman" w:eastAsia="Times New Roman" w:hAnsi="Times New Roman"/>
          <w:sz w:val="18"/>
          <w:szCs w:val="18"/>
          <w:b w:val="1"/>
          <w:bCs w:val="1"/>
          <w:color w:val="auto"/>
        </w:rPr>
        <w:t>[_____]</w:t>
      </w:r>
      <w:r>
        <w:rPr>
          <w:rFonts w:ascii="Times New Roman" w:cs="Times New Roman" w:eastAsia="Times New Roman" w:hAnsi="Times New Roman"/>
          <w:sz w:val="18"/>
          <w:szCs w:val="18"/>
          <w:color w:val="auto"/>
        </w:rPr>
        <w:t xml:space="preserve"> Restricted Stock Units (the “</w:t>
      </w:r>
      <w:r>
        <w:rPr>
          <w:rFonts w:ascii="Times New Roman" w:cs="Times New Roman" w:eastAsia="Times New Roman" w:hAnsi="Times New Roman"/>
          <w:sz w:val="18"/>
          <w:szCs w:val="18"/>
          <w:u w:val="single" w:color="auto"/>
          <w:color w:val="auto"/>
        </w:rPr>
        <w:t>RSUs</w:t>
      </w:r>
      <w:r>
        <w:rPr>
          <w:rFonts w:ascii="Times New Roman" w:cs="Times New Roman" w:eastAsia="Times New Roman" w:hAnsi="Times New Roman"/>
          <w:sz w:val="18"/>
          <w:szCs w:val="18"/>
          <w:color w:val="auto"/>
        </w:rPr>
        <w:t>”). Each RSU shall represent the right of Grantee to receive one share of Common Stock subject to and upon the terms and conditions of this Agreement.</w:t>
      </w:r>
    </w:p>
    <w:p>
      <w:pPr>
        <w:spacing w:after="0" w:line="1" w:lineRule="exact"/>
        <w:rPr>
          <w:rFonts w:ascii="Times New Roman" w:cs="Times New Roman" w:eastAsia="Times New Roman" w:hAnsi="Times New Roman"/>
          <w:sz w:val="18"/>
          <w:szCs w:val="18"/>
          <w:color w:val="auto"/>
        </w:rPr>
      </w:pPr>
    </w:p>
    <w:p>
      <w:pPr>
        <w:ind w:firstLine="8"/>
        <w:spacing w:after="0" w:line="297" w:lineRule="auto"/>
        <w:tabs>
          <w:tab w:leader="none" w:pos="78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Restrictions on Transfer of RSUs</w:t>
      </w:r>
      <w:r>
        <w:rPr>
          <w:rFonts w:ascii="Times New Roman" w:cs="Times New Roman" w:eastAsia="Times New Roman" w:hAnsi="Times New Roman"/>
          <w:sz w:val="18"/>
          <w:szCs w:val="18"/>
          <w:color w:val="auto"/>
        </w:rPr>
        <w:t>. Neither the RSUs evidenced hereby nor any interest therein or in the shares of Common Stock underlying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RSUs shall be transferable prior to payment to Grantee pursuant to Section 7 hereof, other than as described in Section 15 of the Plan.</w:t>
      </w:r>
    </w:p>
    <w:p>
      <w:pPr>
        <w:ind w:left="800" w:hanging="792"/>
        <w:spacing w:after="0"/>
        <w:tabs>
          <w:tab w:leader="none" w:pos="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Vesting</w:t>
      </w:r>
      <w:r>
        <w:rPr>
          <w:rFonts w:ascii="Times New Roman" w:cs="Times New Roman" w:eastAsia="Times New Roman" w:hAnsi="Times New Roman"/>
          <w:sz w:val="18"/>
          <w:szCs w:val="18"/>
          <w:color w:val="auto"/>
        </w:rPr>
        <w:t>. The RSUs covered by this Agreement shall become nonforfeitable and payable to Grantee pursuant to Section 7 hereof on the date that is</w:t>
      </w:r>
    </w:p>
    <w:p>
      <w:pPr>
        <w:spacing w:after="0" w:line="53" w:lineRule="exact"/>
        <w:rPr>
          <w:rFonts w:ascii="Times New Roman" w:cs="Times New Roman" w:eastAsia="Times New Roman" w:hAnsi="Times New Roman"/>
          <w:sz w:val="18"/>
          <w:szCs w:val="18"/>
          <w:color w:val="auto"/>
        </w:rPr>
      </w:pPr>
    </w:p>
    <w:p>
      <w:pPr>
        <w:ind w:right="60" w:firstLine="8"/>
        <w:spacing w:after="0" w:line="295" w:lineRule="auto"/>
        <w:tabs>
          <w:tab w:leader="none" w:pos="22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following the Date of Grant if Grantee remains in continuous service with the Company or any of its Subsidiaries (or any of their successors) as of each such date.</w:t>
      </w:r>
    </w:p>
    <w:p>
      <w:pPr>
        <w:ind w:right="20" w:firstLine="8"/>
        <w:spacing w:after="0" w:line="297" w:lineRule="auto"/>
        <w:tabs>
          <w:tab w:leader="none" w:pos="78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Accelerated Vesting</w:t>
      </w:r>
      <w:r>
        <w:rPr>
          <w:rFonts w:ascii="Times New Roman" w:cs="Times New Roman" w:eastAsia="Times New Roman" w:hAnsi="Times New Roman"/>
          <w:sz w:val="18"/>
          <w:szCs w:val="18"/>
          <w:color w:val="auto"/>
        </w:rPr>
        <w:t>. Notwithstanding the provisions of Section 4 hereof, all of the RSUs covered by this Agreement that have not already vested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become nonforfeitable pursuant to Section 4 hereof will become nonforfeitable and payable to Grantee pursuant to Section 7 hereof earlier than the time provided in Section 4 hereof upon the occurrence of a Change of Control, but only if such event also constitutes a “change in the ownership,” “change in effective control” and/or a “change in the ownership of a substantial portion of assets” of the Company, as those terms are defined under Treasury Regulations Section 1.409A-3(i)(5).</w:t>
      </w:r>
    </w:p>
    <w:p>
      <w:pPr>
        <w:spacing w:after="0" w:line="2" w:lineRule="exact"/>
        <w:rPr>
          <w:rFonts w:ascii="Times New Roman" w:cs="Times New Roman" w:eastAsia="Times New Roman" w:hAnsi="Times New Roman"/>
          <w:sz w:val="18"/>
          <w:szCs w:val="18"/>
          <w:color w:val="auto"/>
        </w:rPr>
      </w:pPr>
    </w:p>
    <w:p>
      <w:pPr>
        <w:ind w:right="40" w:firstLine="8"/>
        <w:spacing w:after="0" w:line="297" w:lineRule="auto"/>
        <w:tabs>
          <w:tab w:leader="none" w:pos="78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Forfeiture</w:t>
      </w:r>
      <w:r>
        <w:rPr>
          <w:rFonts w:ascii="Times New Roman" w:cs="Times New Roman" w:eastAsia="Times New Roman" w:hAnsi="Times New Roman"/>
          <w:sz w:val="18"/>
          <w:szCs w:val="18"/>
          <w:color w:val="auto"/>
        </w:rPr>
        <w:t>. Except to the extent the RSUs covered by this Agreement have become nonforfeitable pursuant to Section 4 or Section 5 hereof,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RSUs covered by this Agreement shall be forfeited automatically and without further notice, and shall no longer be considered covered by this Agreement, on the date of Grantee’s termination of continuous service.</w:t>
      </w:r>
    </w:p>
    <w:p>
      <w:pPr>
        <w:spacing w:after="0" w:line="1" w:lineRule="exact"/>
        <w:rPr>
          <w:rFonts w:ascii="Times New Roman" w:cs="Times New Roman" w:eastAsia="Times New Roman" w:hAnsi="Times New Roman"/>
          <w:sz w:val="18"/>
          <w:szCs w:val="18"/>
          <w:color w:val="auto"/>
        </w:rPr>
      </w:pPr>
    </w:p>
    <w:p>
      <w:pPr>
        <w:ind w:left="800" w:hanging="792"/>
        <w:spacing w:after="0"/>
        <w:tabs>
          <w:tab w:leader="none" w:pos="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Form and Time of Payment of RSUs</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right="40" w:firstLine="656"/>
        <w:spacing w:after="0" w:line="292" w:lineRule="auto"/>
        <w:tabs>
          <w:tab w:leader="none" w:pos="1496"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w:t>
      </w:r>
      <w:r>
        <w:rPr>
          <w:rFonts w:ascii="Times New Roman" w:cs="Times New Roman" w:eastAsia="Times New Roman" w:hAnsi="Times New Roman"/>
          <w:sz w:val="18"/>
          <w:szCs w:val="18"/>
          <w:color w:val="auto"/>
        </w:rPr>
        <w:t>. Payment in respect of the RSUs, after and to the extent they have become nonforfeitable pursuant to Section 4 or Section 5 hereof, shall be made in the form of shares of Common Stock. Payment shall only be made in whole shares of Common Stock; any fractional shares shall be paid to Grantee in cash. The Company’s obligations to Grantee with respect to the RSUs will be satisfied in full upon the issuance of the shares of Common Stock (or, with respect to fractional shares, upon the payment in cash) corresponding to such RSUs. Grantee agrees that he or she will cooperate with the Company to facilitate payment of the RSUs, which cooperation may include being required to maintain a brokerage account with the Plan’s recordkeeper.</w:t>
      </w:r>
    </w:p>
    <w:p>
      <w:pPr>
        <w:spacing w:after="0" w:line="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Timing</w:t>
      </w:r>
      <w:r>
        <w:rPr>
          <w:rFonts w:ascii="Times New Roman" w:cs="Times New Roman" w:eastAsia="Times New Roman" w:hAnsi="Times New Roman"/>
          <w:sz w:val="18"/>
          <w:szCs w:val="18"/>
          <w:color w:val="auto"/>
        </w:rPr>
        <w:t>.</w:t>
      </w:r>
    </w:p>
    <w:p>
      <w:pPr>
        <w:spacing w:after="0" w:line="31" w:lineRule="exact"/>
        <w:rPr>
          <w:rFonts w:ascii="Times New Roman" w:cs="Times New Roman" w:eastAsia="Times New Roman" w:hAnsi="Times New Roman"/>
          <w:sz w:val="18"/>
          <w:szCs w:val="18"/>
          <w:color w:val="auto"/>
        </w:rPr>
      </w:pPr>
    </w:p>
    <w:p>
      <w:pPr>
        <w:ind w:left="660" w:right="300" w:firstLine="645"/>
        <w:spacing w:after="0" w:line="297" w:lineRule="auto"/>
        <w:tabs>
          <w:tab w:leader="none" w:pos="2126"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RSUs that become nonforfeitable pursuant to Section 4 hereof shall be paid within ten (10) days following the date on which such RSUs become nonforfeitable.</w:t>
      </w:r>
    </w:p>
    <w:p>
      <w:pPr>
        <w:ind w:left="2180" w:hanging="875"/>
        <w:spacing w:after="0"/>
        <w:tabs>
          <w:tab w:leader="none" w:pos="2180"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RSUs that become nonforfeitable pursuant to Section 5 hereof shall be paid on the date of such Change of Control.</w:t>
      </w:r>
    </w:p>
    <w:p>
      <w:pPr>
        <w:spacing w:after="0" w:line="27" w:lineRule="exact"/>
        <w:rPr>
          <w:sz w:val="20"/>
          <w:szCs w:val="20"/>
          <w:color w:val="auto"/>
        </w:rPr>
      </w:pPr>
    </w:p>
    <w:p>
      <w:pPr>
        <w:ind w:right="120" w:firstLine="648"/>
        <w:spacing w:after="0" w:line="231" w:lineRule="auto"/>
        <w:rPr>
          <w:sz w:val="20"/>
          <w:szCs w:val="20"/>
          <w:color w:val="auto"/>
        </w:rPr>
      </w:pPr>
      <w:r>
        <w:rPr>
          <w:rFonts w:ascii="Times New Roman" w:cs="Times New Roman" w:eastAsia="Times New Roman" w:hAnsi="Times New Roman"/>
          <w:sz w:val="18"/>
          <w:szCs w:val="18"/>
          <w:color w:val="auto"/>
        </w:rPr>
        <w:t xml:space="preserve">Notwithstanding the foregoing, if Grantee has made a permitted deferral election with respect to any RSUs covered by this Agreement within 30 days following the Date of Grant, such RSUs shall be paid at the time set forth in such deferral election. </w:t>
      </w:r>
      <w:r>
        <w:rPr>
          <w:rFonts w:ascii="Times New Roman" w:cs="Times New Roman" w:eastAsia="Times New Roman" w:hAnsi="Times New Roman"/>
          <w:sz w:val="18"/>
          <w:szCs w:val="18"/>
          <w:b w:val="1"/>
          <w:bCs w:val="1"/>
          <w:color w:val="auto"/>
        </w:rPr>
        <w:t>If Grantee fails to return a valid deferral election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by the 30</w:t>
      </w:r>
      <w:r>
        <w:rPr>
          <w:rFonts w:ascii="Times New Roman" w:cs="Times New Roman" w:eastAsia="Times New Roman" w:hAnsi="Times New Roman"/>
          <w:sz w:val="25"/>
          <w:szCs w:val="25"/>
          <w:b w:val="1"/>
          <w:bCs w:val="1"/>
          <w:color w:val="auto"/>
          <w:vertAlign w:val="superscript"/>
        </w:rPr>
        <w:t>th</w:t>
      </w:r>
      <w:r>
        <w:rPr>
          <w:rFonts w:ascii="Times New Roman" w:cs="Times New Roman" w:eastAsia="Times New Roman" w:hAnsi="Times New Roman"/>
          <w:sz w:val="18"/>
          <w:szCs w:val="18"/>
          <w:b w:val="1"/>
          <w:bCs w:val="1"/>
          <w:color w:val="auto"/>
        </w:rPr>
        <w:t xml:space="preserve"> day following the Date of Grant, he or she will be deemed to have elected not to defer payment of any RSUs. Under applicable tax rules, late deferral elections are not permitted.</w:t>
      </w:r>
    </w:p>
    <w:p>
      <w:pPr>
        <w:spacing w:after="0" w:line="197"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Dividend Equivalents; Other Rights</w:t>
      </w:r>
      <w:r>
        <w:rPr>
          <w:rFonts w:ascii="Times New Roman" w:cs="Times New Roman" w:eastAsia="Times New Roman" w:hAnsi="Times New Roman"/>
          <w:sz w:val="18"/>
          <w:szCs w:val="18"/>
          <w:color w:val="auto"/>
        </w:rPr>
        <w:t>.</w:t>
      </w:r>
    </w:p>
    <w:p>
      <w:pPr>
        <w:spacing w:after="0" w:line="40" w:lineRule="exact"/>
        <w:rPr>
          <w:rFonts w:ascii="Times New Roman" w:cs="Times New Roman" w:eastAsia="Times New Roman" w:hAnsi="Times New Roman"/>
          <w:sz w:val="18"/>
          <w:szCs w:val="18"/>
          <w:color w:val="auto"/>
        </w:rPr>
      </w:pPr>
    </w:p>
    <w:p>
      <w:pPr>
        <w:ind w:right="100" w:firstLine="656"/>
        <w:spacing w:after="0" w:line="302" w:lineRule="auto"/>
        <w:tabs>
          <w:tab w:leader="none" w:pos="149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Date of Grant and until the earlier of (i) the time when the RSUs become nonforfeitable and are paid to Grantee in accordance with Section 7 hereof or (ii) the time when Grantee’s right to receive shares of Common Stock in payment of the RSUs is forfeited in accordance with Section 6 hereof, on the date that the Company pays a cash dividend (if any) or other cash distribution to holders of shares of Common Stock generally, Grantee shall be entitled to a number of additional RSUs determined by dividing (A) the product of (x) the dollar amount of such cash dividend or other cash distribution paid per share of Common Stock on such date and (y) the total number of RSUs (including dividend equivalents credited thereon) previously credited to Grantee pursuant to this Agreement as of such date, to the extent such RSUs have not become nonforfeitable and paid to Grantee in accordance with Section 7 hereof, by (B) the Market Value per Share on such</w:t>
      </w:r>
    </w:p>
    <w:p>
      <w:pPr>
        <w:sectPr>
          <w:pgSz w:w="11900" w:h="16838" w:orient="portrait"/>
          <w:cols w:equalWidth="0" w:num="1">
            <w:col w:w="11420"/>
          </w:cols>
          <w:pgMar w:left="240" w:top="576" w:right="239" w:bottom="1440" w:gutter="0" w:footer="0" w:header="0"/>
        </w:sectPr>
      </w:pPr>
    </w:p>
    <w:bookmarkStart w:id="58" w:name="page59"/>
    <w:bookmarkEnd w:id="58"/>
    <w:p>
      <w:pPr>
        <w:ind w:right="260"/>
        <w:spacing w:after="0" w:line="297" w:lineRule="auto"/>
        <w:rPr>
          <w:sz w:val="20"/>
          <w:szCs w:val="20"/>
          <w:color w:val="auto"/>
        </w:rPr>
      </w:pPr>
      <w:r>
        <w:rPr>
          <w:rFonts w:ascii="Times New Roman" w:cs="Times New Roman" w:eastAsia="Times New Roman" w:hAnsi="Times New Roman"/>
          <w:sz w:val="18"/>
          <w:szCs w:val="18"/>
          <w:color w:val="auto"/>
        </w:rPr>
        <w:t>date. Such dividend equivalents (if any) shall be subject to the same applicable terms and conditions (including vesting, forfeitability, dividend equivalents and payment) as apply to the RSUs as to which the dividend equivalents were credited.</w:t>
      </w:r>
    </w:p>
    <w:p>
      <w:pPr>
        <w:spacing w:after="0" w:line="1" w:lineRule="exact"/>
        <w:rPr>
          <w:sz w:val="20"/>
          <w:szCs w:val="20"/>
          <w:color w:val="auto"/>
        </w:rPr>
      </w:pPr>
    </w:p>
    <w:p>
      <w:pPr>
        <w:ind w:right="100" w:firstLine="656"/>
        <w:spacing w:after="0" w:line="297" w:lineRule="auto"/>
        <w:tabs>
          <w:tab w:leader="none" w:pos="1506"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Grantee shall have no rights of ownership in the shares of Common Stock underlying the RSUs and no right to vote the shares of Common Stock underlying the RSUs until the date on which the shares of Common Stock underlying the RSUs are issued or transferred to Grantee pursuant to Section 7 hereof.</w:t>
      </w:r>
    </w:p>
    <w:p>
      <w:pPr>
        <w:spacing w:after="0" w:line="1" w:lineRule="exact"/>
        <w:rPr>
          <w:rFonts w:ascii="Times New Roman" w:cs="Times New Roman" w:eastAsia="Times New Roman" w:hAnsi="Times New Roman"/>
          <w:sz w:val="18"/>
          <w:szCs w:val="18"/>
          <w:color w:val="auto"/>
        </w:rPr>
      </w:pPr>
    </w:p>
    <w:p>
      <w:pPr>
        <w:ind w:right="60" w:firstLine="656"/>
        <w:spacing w:after="0" w:line="295" w:lineRule="auto"/>
        <w:tabs>
          <w:tab w:leader="none" w:pos="1496"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under this Agreement will be merely that of an unfunded and unsecured promise of the Company to deliver shares of Common Stock or pay cash in the future, and the rights of Grantee will be no greater than that of an unsecured general creditor. No assets of the Company will be held or set aside as security for the obligations of the Company under this Agreement.</w:t>
      </w:r>
    </w:p>
    <w:p>
      <w:pPr>
        <w:spacing w:after="0" w:line="2" w:lineRule="exact"/>
        <w:rPr>
          <w:rFonts w:ascii="Times New Roman" w:cs="Times New Roman" w:eastAsia="Times New Roman" w:hAnsi="Times New Roman"/>
          <w:sz w:val="18"/>
          <w:szCs w:val="18"/>
          <w:color w:val="auto"/>
        </w:rPr>
      </w:pPr>
    </w:p>
    <w:p>
      <w:pPr>
        <w:ind w:right="100" w:firstLine="8"/>
        <w:spacing w:after="0" w:line="297" w:lineRule="auto"/>
        <w:tabs>
          <w:tab w:leader="none" w:pos="78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Right to Future Awards or Employment</w:t>
      </w:r>
      <w:r>
        <w:rPr>
          <w:rFonts w:ascii="Times New Roman" w:cs="Times New Roman" w:eastAsia="Times New Roman" w:hAnsi="Times New Roman"/>
          <w:sz w:val="18"/>
          <w:szCs w:val="18"/>
          <w:color w:val="auto"/>
        </w:rPr>
        <w:t>. The grant of the RSUs under this Agreement to Grantee is a voluntary, discretionary award being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made on a one-time basis and it does not constitute a commitment to make any future awards. The grant of the RSUs and any payments made hereunder will not be considered salary or other compensation for purposes of any severance pay or similar allowance, except as otherwise required by law. Nothing contained in this Agreement shall confer upon Grantee any right to remain in continuous service with the Company or any of its Subsidiaries, nor limit or affect in any manner the right of the Company or any of its Subsidiaries to terminate the continuous service or adjust the compensation of Grantee. Neither this Agreement nor any other action taken in connection herewith shall constitute or be evidence of any agreement or understanding, express or implied, that Grantee is an employee of the Company or any subsidiary of the Company.</w:t>
      </w:r>
    </w:p>
    <w:p>
      <w:pPr>
        <w:spacing w:after="0" w:line="3" w:lineRule="exact"/>
        <w:rPr>
          <w:rFonts w:ascii="Times New Roman" w:cs="Times New Roman" w:eastAsia="Times New Roman" w:hAnsi="Times New Roman"/>
          <w:sz w:val="18"/>
          <w:szCs w:val="18"/>
          <w:color w:val="auto"/>
        </w:rPr>
      </w:pPr>
    </w:p>
    <w:p>
      <w:pPr>
        <w:ind w:right="160" w:firstLine="8"/>
        <w:spacing w:after="0" w:line="297" w:lineRule="auto"/>
        <w:tabs>
          <w:tab w:leader="none" w:pos="87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Adjustments</w:t>
      </w:r>
      <w:r>
        <w:rPr>
          <w:rFonts w:ascii="Times New Roman" w:cs="Times New Roman" w:eastAsia="Times New Roman" w:hAnsi="Times New Roman"/>
          <w:sz w:val="18"/>
          <w:szCs w:val="18"/>
          <w:color w:val="auto"/>
        </w:rPr>
        <w:t>. The number of shares of Common Stock issuable for each RSU and the other terms and conditions of the grant evidenced by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are subject to adjustment as provided in Section 11 of the Plan.</w:t>
      </w:r>
    </w:p>
    <w:p>
      <w:pPr>
        <w:ind w:firstLine="8"/>
        <w:spacing w:after="0" w:line="297" w:lineRule="auto"/>
        <w:tabs>
          <w:tab w:leader="none" w:pos="86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Withholding Taxes</w:t>
      </w:r>
      <w:r>
        <w:rPr>
          <w:rFonts w:ascii="Times New Roman" w:cs="Times New Roman" w:eastAsia="Times New Roman" w:hAnsi="Times New Roman"/>
          <w:sz w:val="18"/>
          <w:szCs w:val="18"/>
          <w:color w:val="auto"/>
        </w:rPr>
        <w:t>. By signing this Agreement, Grantee represents that he or she has reviewed with his or her own tax advisors the federal,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local and foreign tax consequences of the transactions contemplated by this Agreement and that he or she is relying solely on such advisors and not on any statements or representations of the Company or any of its agents. Grantee understands and agrees that he or she (and not the Company) shall be responsible for any tax liability that may arise as a result of the transaction contemplated by this Agreement, to the extent Grantee does not become an employee of the Company.</w:t>
      </w:r>
    </w:p>
    <w:p>
      <w:pPr>
        <w:spacing w:after="0" w:line="2" w:lineRule="exact"/>
        <w:rPr>
          <w:rFonts w:ascii="Times New Roman" w:cs="Times New Roman" w:eastAsia="Times New Roman" w:hAnsi="Times New Roman"/>
          <w:sz w:val="18"/>
          <w:szCs w:val="18"/>
          <w:color w:val="auto"/>
        </w:rPr>
      </w:pPr>
    </w:p>
    <w:p>
      <w:pPr>
        <w:ind w:right="280" w:firstLine="8"/>
        <w:spacing w:after="0" w:line="297" w:lineRule="auto"/>
        <w:tabs>
          <w:tab w:leader="none" w:pos="87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 With Law</w:t>
      </w:r>
      <w:r>
        <w:rPr>
          <w:rFonts w:ascii="Times New Roman" w:cs="Times New Roman" w:eastAsia="Times New Roman" w:hAnsi="Times New Roman"/>
          <w:sz w:val="18"/>
          <w:szCs w:val="18"/>
          <w:color w:val="auto"/>
        </w:rPr>
        <w:t>. The Company shall make reasonable efforts to comply with all applicable federal and state securities laws;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however, notwithstanding any other provision of the Plan and this Agreement, the Company shall not be obligated to issue any of the shares of Common Stock pursuant to this Agreement if the issuance thereof would result in a violation of any such law.</w:t>
      </w:r>
    </w:p>
    <w:p>
      <w:pPr>
        <w:spacing w:after="0" w:line="1" w:lineRule="exact"/>
        <w:rPr>
          <w:rFonts w:ascii="Times New Roman" w:cs="Times New Roman" w:eastAsia="Times New Roman" w:hAnsi="Times New Roman"/>
          <w:sz w:val="18"/>
          <w:szCs w:val="18"/>
          <w:color w:val="auto"/>
        </w:rPr>
      </w:pPr>
    </w:p>
    <w:p>
      <w:pPr>
        <w:ind w:right="20" w:firstLine="8"/>
        <w:spacing w:after="0" w:line="317" w:lineRule="auto"/>
        <w:tabs>
          <w:tab w:leader="none" w:pos="873"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Amendments</w:t>
      </w:r>
      <w:r>
        <w:rPr>
          <w:rFonts w:ascii="Times New Roman" w:cs="Times New Roman" w:eastAsia="Times New Roman" w:hAnsi="Times New Roman"/>
          <w:sz w:val="17"/>
          <w:szCs w:val="17"/>
          <w:color w:val="auto"/>
        </w:rPr>
        <w:t>. Any amendment to the Plan shall be deemed to be an amendment to this Agreement to the extent that the amendment is applicable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hereto; provided, however, that (a) no amendment shall adversely affect the rights of Grantee under this Agreement without Grantee’s written consent and</w:t>
      </w:r>
    </w:p>
    <w:p>
      <w:pPr>
        <w:ind w:right="660"/>
        <w:spacing w:after="0" w:line="2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Grantee’s consent shall not be required to an amendment that is deemed necessary by the Company to ensure exemption from or compliance with Section 409A of the Code.</w:t>
      </w:r>
    </w:p>
    <w:p>
      <w:pPr>
        <w:ind w:firstLine="8"/>
        <w:spacing w:after="0" w:line="297" w:lineRule="auto"/>
        <w:tabs>
          <w:tab w:leader="none" w:pos="87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In the event that one or more of the provisions of this Agreement shall be invalidated for any reason by a court of competent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any provision so invalidated shall be deemed to be separable from the other provisions hereof, and the remaining provisions hereof shall continue to be valid and fully enforceable.</w:t>
      </w:r>
    </w:p>
    <w:p>
      <w:pPr>
        <w:spacing w:after="0" w:line="1" w:lineRule="exact"/>
        <w:rPr>
          <w:rFonts w:ascii="Times New Roman" w:cs="Times New Roman" w:eastAsia="Times New Roman" w:hAnsi="Times New Roman"/>
          <w:sz w:val="18"/>
          <w:szCs w:val="18"/>
          <w:color w:val="auto"/>
        </w:rPr>
      </w:pPr>
    </w:p>
    <w:p>
      <w:pPr>
        <w:ind w:right="180" w:firstLine="8"/>
        <w:spacing w:after="0" w:line="297" w:lineRule="auto"/>
        <w:tabs>
          <w:tab w:leader="none" w:pos="87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Relation to Plan</w:t>
      </w:r>
      <w:r>
        <w:rPr>
          <w:rFonts w:ascii="Times New Roman" w:cs="Times New Roman" w:eastAsia="Times New Roman" w:hAnsi="Times New Roman"/>
          <w:sz w:val="18"/>
          <w:szCs w:val="18"/>
          <w:color w:val="auto"/>
        </w:rPr>
        <w:t>. This Agreement is subject to the terms and conditions of the Plan. To the extent not expressly set forth in this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of the Plan shall govern.</w:t>
      </w:r>
    </w:p>
    <w:p>
      <w:pPr>
        <w:ind w:firstLine="8"/>
        <w:spacing w:after="0" w:line="297" w:lineRule="auto"/>
        <w:tabs>
          <w:tab w:leader="none" w:pos="87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Acknowledgement</w:t>
      </w:r>
      <w:r>
        <w:rPr>
          <w:rFonts w:ascii="Times New Roman" w:cs="Times New Roman" w:eastAsia="Times New Roman" w:hAnsi="Times New Roman"/>
          <w:sz w:val="18"/>
          <w:szCs w:val="18"/>
          <w:color w:val="auto"/>
        </w:rPr>
        <w:t>. Grantee acknowledges that Grantee (a) has received a copy of the Plan, (b) has had an opportunity to review the terms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the Plan, (c) understands the terms and conditions of this Agreement and the Plan and (d) agrees to such terms and conditions.</w:t>
      </w:r>
    </w:p>
    <w:p>
      <w:pPr>
        <w:ind w:right="180" w:firstLine="8"/>
        <w:spacing w:after="0" w:line="297" w:lineRule="auto"/>
        <w:tabs>
          <w:tab w:leader="none" w:pos="87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Successors and Assigns</w:t>
      </w:r>
      <w:r>
        <w:rPr>
          <w:rFonts w:ascii="Times New Roman" w:cs="Times New Roman" w:eastAsia="Times New Roman" w:hAnsi="Times New Roman"/>
          <w:sz w:val="18"/>
          <w:szCs w:val="18"/>
          <w:color w:val="auto"/>
        </w:rPr>
        <w:t>. Without limiting Section 3 hereof, the provisions of this Agreement shall inure to the benefit of, and be binding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successors, administrators, heirs, legal representatives and assigns of Grantee, and the successors and assigns of the Company.</w:t>
      </w:r>
    </w:p>
    <w:p>
      <w:pPr>
        <w:ind w:right="140" w:firstLine="8"/>
        <w:spacing w:after="0" w:line="297" w:lineRule="auto"/>
        <w:tabs>
          <w:tab w:leader="none" w:pos="87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This Agreement shall be governed by and construed in accordance with the internal substantive laws of the State of Delaware,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giving effect to any principle of law that would result in the application of the law of any other jurisdiction.</w:t>
      </w:r>
    </w:p>
    <w:p>
      <w:pPr>
        <w:ind w:firstLine="8"/>
        <w:spacing w:after="0" w:line="297" w:lineRule="auto"/>
        <w:tabs>
          <w:tab w:leader="none" w:pos="87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Any notice to the Company provided for herein shall be in writing (including electronically) to the Company, marked Attention: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Counsel, and any notice to Grantee shall be addressed to Grantee at Grantee’s address on file with the Company at the time of such notice. Except as otherwise provided herein, any written notice shall be deemed to be duly given if and when delivered personally or deposited in the United States mail, postage and fees prepaid, and addressed as aforesaid. Any party may change the address to which notices are to be given hereunder by written notice to the other party as herein specified (provided that for this purpose any mailed notice shall be deemed given on the third business day following deposit of the same in the United States mail).</w:t>
      </w:r>
    </w:p>
    <w:p>
      <w:pPr>
        <w:spacing w:after="0" w:line="2" w:lineRule="exact"/>
        <w:rPr>
          <w:rFonts w:ascii="Times New Roman" w:cs="Times New Roman" w:eastAsia="Times New Roman" w:hAnsi="Times New Roman"/>
          <w:sz w:val="18"/>
          <w:szCs w:val="18"/>
          <w:color w:val="auto"/>
        </w:rPr>
      </w:pPr>
    </w:p>
    <w:p>
      <w:pPr>
        <w:ind w:right="20" w:firstLine="8"/>
        <w:spacing w:after="0" w:line="309" w:lineRule="auto"/>
        <w:tabs>
          <w:tab w:leader="none" w:pos="87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Electronic Delivery</w:t>
      </w:r>
      <w:r>
        <w:rPr>
          <w:rFonts w:ascii="Times New Roman" w:cs="Times New Roman" w:eastAsia="Times New Roman" w:hAnsi="Times New Roman"/>
          <w:sz w:val="18"/>
          <w:szCs w:val="18"/>
          <w:color w:val="auto"/>
        </w:rPr>
        <w:t>. The Company may, in its sole discretion, deliver any documents related to the RSUs and Grantee’s participation in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future awards that may be granted under the Plan, by electronic means. Grantee hereby consents to receive such documents by electronic delivery and, if requested, agrees to participate in the Plan through an online or electronic system established and maintained by the Company or another third party designated by the Company.</w:t>
      </w:r>
    </w:p>
    <w:p>
      <w:pPr>
        <w:sectPr>
          <w:pgSz w:w="11900" w:h="16838" w:orient="portrait"/>
          <w:cols w:equalWidth="0" w:num="1">
            <w:col w:w="11400"/>
          </w:cols>
          <w:pgMar w:left="240" w:top="607" w:right="259" w:bottom="1440" w:gutter="0" w:footer="0" w:header="0"/>
        </w:sectPr>
      </w:pPr>
    </w:p>
    <w:bookmarkStart w:id="59" w:name="page60"/>
    <w:bookmarkEnd w:id="59"/>
    <w:p>
      <w:pPr>
        <w:ind w:firstLine="8"/>
        <w:spacing w:after="0" w:line="297" w:lineRule="auto"/>
        <w:tabs>
          <w:tab w:leader="none" w:pos="87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409A of the Code</w:t>
      </w:r>
      <w:r>
        <w:rPr>
          <w:rFonts w:ascii="Times New Roman" w:cs="Times New Roman" w:eastAsia="Times New Roman" w:hAnsi="Times New Roman"/>
          <w:sz w:val="18"/>
          <w:szCs w:val="18"/>
          <w:color w:val="auto"/>
        </w:rPr>
        <w:t>. To the extent applicable, it is intended that this Agreement and the Plan comply with or be exempt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Section 409A of the Code. This Agreement and the Plan shall be administered in a manner consistent with this intent, and any provision that would cause this Agreement or the Plan to fail to comply with or be exempt from Section 409A of the Code shall have no force or effect until amended to comply with or be exempt from Section 409A of the Code (which amendment may be retroactive to the extent permitted by Section 409A of the Code and may be made by the Company without the consent of Grantee). Any reference in this Agreement to Section 409A of the Code will also include any proposed, temporary or final regulations, or any other guidance, promulgated with respect to such Section by the U.S. Department of the Treasury or the Internal Revenue Service. Notwithstanding anything in this Agreement or the Plan to the contrary, all payments made to Grantee pursuant to this Agreement will be made within the short-term deferral period specified in Treasury Regulations Section 1.409A-1(b)(4).</w:t>
      </w:r>
    </w:p>
    <w:p>
      <w:pPr>
        <w:spacing w:after="0" w:line="3" w:lineRule="exact"/>
        <w:rPr>
          <w:rFonts w:ascii="Times New Roman" w:cs="Times New Roman" w:eastAsia="Times New Roman" w:hAnsi="Times New Roman"/>
          <w:sz w:val="18"/>
          <w:szCs w:val="18"/>
          <w:color w:val="auto"/>
        </w:rPr>
      </w:pPr>
    </w:p>
    <w:p>
      <w:pPr>
        <w:ind w:right="340" w:firstLine="8"/>
        <w:spacing w:after="0" w:line="315" w:lineRule="auto"/>
        <w:tabs>
          <w:tab w:leader="none" w:pos="873"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Counterparts</w:t>
      </w:r>
      <w:r>
        <w:rPr>
          <w:rFonts w:ascii="Times New Roman" w:cs="Times New Roman" w:eastAsia="Times New Roman" w:hAnsi="Times New Roman"/>
          <w:sz w:val="17"/>
          <w:szCs w:val="17"/>
          <w:color w:val="auto"/>
        </w:rPr>
        <w:t>. This Agreement may be executed in one or more counterparts (including facsimile and other electronically transmitted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counterparts), each of which shall be deemed to be an original but all of which together will constitute one and the same agreement.</w:t>
      </w:r>
      <w:r>
        <w:rPr>
          <w:rFonts w:ascii="Times New Roman" w:cs="Times New Roman" w:eastAsia="Times New Roman" w:hAnsi="Times New Roman"/>
          <w:sz w:val="17"/>
          <w:szCs w:val="17"/>
          <w:b w:val="1"/>
          <w:bCs w:val="1"/>
          <w:color w:val="auto"/>
        </w:rPr>
        <w:t>[SIGNATURES ON</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color w:val="auto"/>
        </w:rPr>
        <w:t>FOLLOWING PAGE]</w:t>
      </w:r>
    </w:p>
    <w:p>
      <w:pPr>
        <w:sectPr>
          <w:pgSz w:w="11900" w:h="16838" w:orient="portrait"/>
          <w:cols w:equalWidth="0" w:num="1">
            <w:col w:w="11360"/>
          </w:cols>
          <w:pgMar w:left="240" w:top="603" w:right="299" w:bottom="1440" w:gutter="0" w:footer="0" w:header="0"/>
        </w:sectPr>
      </w:pPr>
    </w:p>
    <w:bookmarkStart w:id="60" w:name="page61"/>
    <w:bookmarkEnd w:id="60"/>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Agreement to be executed on its behalf by its duly authorized officer and Grantee has executed this Agreement, as of the Date of Grant.</w:t>
      </w:r>
    </w:p>
    <w:p>
      <w:pPr>
        <w:spacing w:after="0" w:line="37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200" w:lineRule="exact"/>
        <w:rPr>
          <w:sz w:val="20"/>
          <w:szCs w:val="20"/>
          <w:color w:val="auto"/>
        </w:rPr>
      </w:pPr>
    </w:p>
    <w:p>
      <w:pPr>
        <w:spacing w:after="0" w:line="24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2874645</wp:posOffset>
            </wp:positionH>
            <wp:positionV relativeFrom="paragraph">
              <wp:posOffset>-7620</wp:posOffset>
            </wp:positionV>
            <wp:extent cx="6000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Name: Gary Kain</w:t>
      </w:r>
    </w:p>
    <w:p>
      <w:pPr>
        <w:spacing w:after="0" w:line="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391795</wp:posOffset>
            </wp:positionV>
            <wp:extent cx="7429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7429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GRANTEE’S SIGNATURE</w:t>
      </w:r>
    </w:p>
    <w:p>
      <w:pPr>
        <w:spacing w:after="0" w:line="22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Print Name: _________________</w:t>
      </w:r>
    </w:p>
    <w:p>
      <w:pPr>
        <w:sectPr>
          <w:pgSz w:w="11900" w:h="16838" w:orient="portrait"/>
          <w:cols w:equalWidth="0" w:num="1">
            <w:col w:w="10960"/>
          </w:cols>
          <w:pgMar w:left="240" w:top="580" w:right="69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14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AGNC INVESTMENT CORP. CODE OF ETHICS AND CONDUCT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Adopted: July 20, 2017</w:t>
      </w:r>
    </w:p>
    <w:p>
      <w:pPr>
        <w:spacing w:after="0" w:line="225"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INTRODUCTION</w:t>
      </w:r>
    </w:p>
    <w:p>
      <w:pPr>
        <w:spacing w:after="0" w:line="31" w:lineRule="exact"/>
        <w:rPr>
          <w:rFonts w:ascii="Times New Roman" w:cs="Times New Roman" w:eastAsia="Times New Roman" w:hAnsi="Times New Roman"/>
          <w:sz w:val="18"/>
          <w:szCs w:val="18"/>
          <w:color w:val="auto"/>
        </w:rPr>
      </w:pPr>
    </w:p>
    <w:p>
      <w:pPr>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AGNC Investment Corp. (“AGNC”) has adopted this Code of Ethics and Conduct to communicate to all AGNC people the ethical and legal standards that we expect you to observe when dealing with AGNC, your AGNC colleagues, and others with whom we do business.</w:t>
      </w:r>
    </w:p>
    <w:p>
      <w:pPr>
        <w:spacing w:after="0" w:line="179"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Throughout this Code, we use the terms “AGNC people,” “you” and “your” to refer to all of AGNC’s and its subsidiaries’ directors, executive officers, employees and independent contractors, and the terms “AGNC,” the “company,” “we” and “our” to refer to AGNC and its subsidiaries. We use the term “Code” to refer to this document, as it may be amended from time to time.</w:t>
      </w:r>
    </w:p>
    <w:p>
      <w:pPr>
        <w:spacing w:after="0" w:line="176"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all AGNC people to act ethically and obey the law. When you encounter ethical or legal issues where you are not certain about the correct course of action, you should use principles described in this Code as guideposts in deciding how to proceed. We have adopted this Code to give you guidance for resolving these ethical and legal issues. In particular, this Code addresses the following general topics:</w:t>
      </w:r>
    </w:p>
    <w:p>
      <w:pPr>
        <w:spacing w:after="0" w:line="203" w:lineRule="exact"/>
        <w:rPr>
          <w:rFonts w:ascii="Times New Roman" w:cs="Times New Roman" w:eastAsia="Times New Roman" w:hAnsi="Times New Roman"/>
          <w:sz w:val="18"/>
          <w:szCs w:val="18"/>
          <w:color w:val="auto"/>
        </w:rPr>
      </w:pPr>
    </w:p>
    <w:p>
      <w:pPr>
        <w:ind w:left="2020" w:hanging="715"/>
        <w:spacing w:after="0"/>
        <w:tabs>
          <w:tab w:leader="none" w:pos="20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Observing all laws and regulations</w:t>
      </w:r>
    </w:p>
    <w:p>
      <w:pPr>
        <w:spacing w:after="0" w:line="49" w:lineRule="exact"/>
        <w:rPr>
          <w:rFonts w:ascii="Times New Roman" w:cs="Times New Roman" w:eastAsia="Times New Roman" w:hAnsi="Times New Roman"/>
          <w:sz w:val="18"/>
          <w:szCs w:val="18"/>
          <w:color w:val="auto"/>
        </w:rPr>
      </w:pPr>
    </w:p>
    <w:p>
      <w:pPr>
        <w:ind w:left="2020" w:hanging="715"/>
        <w:spacing w:after="0"/>
        <w:tabs>
          <w:tab w:leader="none" w:pos="20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Avoiding conflicts of interest</w:t>
      </w:r>
    </w:p>
    <w:p>
      <w:pPr>
        <w:spacing w:after="0" w:line="49" w:lineRule="exact"/>
        <w:rPr>
          <w:rFonts w:ascii="Times New Roman" w:cs="Times New Roman" w:eastAsia="Times New Roman" w:hAnsi="Times New Roman"/>
          <w:sz w:val="18"/>
          <w:szCs w:val="18"/>
          <w:color w:val="auto"/>
        </w:rPr>
      </w:pPr>
    </w:p>
    <w:p>
      <w:pPr>
        <w:ind w:left="2020" w:hanging="715"/>
        <w:spacing w:after="0"/>
        <w:tabs>
          <w:tab w:leader="none" w:pos="20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accurate and complete company records</w:t>
      </w:r>
    </w:p>
    <w:p>
      <w:pPr>
        <w:spacing w:after="0" w:line="49" w:lineRule="exact"/>
        <w:rPr>
          <w:rFonts w:ascii="Times New Roman" w:cs="Times New Roman" w:eastAsia="Times New Roman" w:hAnsi="Times New Roman"/>
          <w:sz w:val="18"/>
          <w:szCs w:val="18"/>
          <w:color w:val="auto"/>
        </w:rPr>
      </w:pPr>
    </w:p>
    <w:p>
      <w:pPr>
        <w:ind w:left="2020" w:hanging="715"/>
        <w:spacing w:after="0"/>
        <w:tabs>
          <w:tab w:leader="none" w:pos="20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confidential information</w:t>
      </w:r>
    </w:p>
    <w:p>
      <w:pPr>
        <w:spacing w:after="0" w:line="27"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18"/>
          <w:szCs w:val="18"/>
          <w:color w:val="auto"/>
        </w:rPr>
        <w:t>Because rapid changes in our industry and in the law constantly present new issues, we cannot create guidelines that address all circumstances or constitute the definitive answer on any question. When you are in doubt about the correct or best course of action, or have questions about the Code, you should always consider consulting your supervisor, the Chief Compliance Officer of the company (the “Chief Compliance Officer”) or the Legal team for guidance.</w:t>
      </w:r>
    </w:p>
    <w:p>
      <w:pPr>
        <w:spacing w:after="0" w:line="18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We firmly believe that a strong commitment to ethical and legal conduct is essential for us successfully to achieve our purpose and vision. We therefore require all AGNC people to comply with this Code. To help ensure this compliance, we have established a procedure for reporting suspected violations of this Code. Any violations of this Code may result in disciplinary action, including termination of employment or contract, as applicable. These matters are described in more detail at the end of this Code.</w:t>
      </w:r>
    </w:p>
    <w:p>
      <w:pPr>
        <w:spacing w:after="0" w:line="176" w:lineRule="exact"/>
        <w:rPr>
          <w:sz w:val="20"/>
          <w:szCs w:val="20"/>
          <w:color w:val="auto"/>
        </w:rPr>
      </w:pPr>
    </w:p>
    <w:p>
      <w:pPr>
        <w:ind w:left="660" w:hanging="652"/>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OBSERVING ALL LAWS, RULES AND REGULATIONS</w:t>
      </w:r>
    </w:p>
    <w:p>
      <w:pPr>
        <w:spacing w:after="0" w:line="3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GENERALLY</w:t>
      </w:r>
    </w:p>
    <w:p>
      <w:pPr>
        <w:spacing w:after="0" w:line="9" w:lineRule="exact"/>
        <w:rPr>
          <w:rFonts w:ascii="Times New Roman" w:cs="Times New Roman" w:eastAsia="Times New Roman" w:hAnsi="Times New Roman"/>
          <w:sz w:val="18"/>
          <w:szCs w:val="18"/>
          <w:color w:val="auto"/>
        </w:rPr>
      </w:pPr>
    </w:p>
    <w:p>
      <w:pPr>
        <w:jc w:val="both"/>
        <w:ind w:left="13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you to comply with all applicable local, state and federal laws, rules and regulations, both domestic and international, and refrain from illegal, dishonest or unethical conduct. Although laws, rules and regulations may sometimes be ambiguous and difficult to interpret, we expect you to make a good-faith effort to follow both the letter and the spirit of the law.</w:t>
      </w:r>
    </w:p>
    <w:p>
      <w:pPr>
        <w:spacing w:after="0" w:line="186" w:lineRule="exact"/>
        <w:rPr>
          <w:rFonts w:ascii="Times New Roman" w:cs="Times New Roman" w:eastAsia="Times New Roman" w:hAnsi="Times New Roman"/>
          <w:sz w:val="18"/>
          <w:szCs w:val="18"/>
          <w:color w:val="auto"/>
        </w:rPr>
      </w:pPr>
    </w:p>
    <w:p>
      <w:pPr>
        <w:jc w:val="both"/>
        <w:ind w:left="130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we expect you to comply with all AGNC policies and procedures that apply to you. These include, but are not limited to, our policies on securities trading, political contributions, equal opportunity, harassment, drug-free workplace, computer usage and information technology, data protection and expense reimbursement and travel, as well as our internal financial controls and procedures. We may modify or update these policies and procedures in the future, and adopt new company policies and procedures from time to time. You are also expected to observe the terms of any confidentiality agreement, employment agreement, consulting agreement or other similar agreement that applies to you. If you previously signed one of these agreements with AGNC, it remains in full force and effect.</w:t>
      </w:r>
    </w:p>
    <w:p>
      <w:pPr>
        <w:spacing w:after="0" w:line="18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BRIBES AND KICKBACKS</w:t>
      </w:r>
    </w:p>
    <w:p>
      <w:pPr>
        <w:spacing w:after="0" w:line="31" w:lineRule="exact"/>
        <w:rPr>
          <w:rFonts w:ascii="Times New Roman" w:cs="Times New Roman" w:eastAsia="Times New Roman" w:hAnsi="Times New Roman"/>
          <w:sz w:val="18"/>
          <w:szCs w:val="18"/>
          <w:color w:val="auto"/>
        </w:rPr>
      </w:pPr>
    </w:p>
    <w:p>
      <w:pPr>
        <w:jc w:val="both"/>
        <w:ind w:left="13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Bribery is illegal and subject to criminal penalties in the United States and many other countries. Bribery is forbidden under the U.S. Foreign Corrupt Practices Act (the “FCPA”), which is described in more detail in Section B.3 of this Code, and other laws, rules and regulations. You may not give any bribes, kickbacks or other similar considerations to any person or organization to attract business. All decisions regarding the investing of our assets or the purchasing of goods and services must be made on the basis of applicable investment or acquisition criteria, and in a way that preserves AGNC’s integrity.</w:t>
      </w:r>
    </w:p>
    <w:p>
      <w:pPr>
        <w:sectPr>
          <w:pgSz w:w="11900" w:h="16838" w:orient="portrait"/>
          <w:cols w:equalWidth="0" w:num="1">
            <w:col w:w="11420"/>
          </w:cols>
          <w:pgMar w:left="240" w:top="576" w:right="239" w:bottom="1440" w:gutter="0" w:footer="0" w:header="0"/>
        </w:sectPr>
      </w:pPr>
    </w:p>
    <w:bookmarkStart w:id="62" w:name="page63"/>
    <w:bookmarkEnd w:id="62"/>
    <w:p>
      <w:pPr>
        <w:jc w:val="both"/>
        <w:ind w:left="644"/>
        <w:spacing w:after="0" w:line="266" w:lineRule="auto"/>
        <w:rPr>
          <w:sz w:val="20"/>
          <w:szCs w:val="20"/>
          <w:color w:val="auto"/>
        </w:rPr>
      </w:pPr>
      <w:r>
        <w:rPr>
          <w:rFonts w:ascii="Times New Roman" w:cs="Times New Roman" w:eastAsia="Times New Roman" w:hAnsi="Times New Roman"/>
          <w:sz w:val="18"/>
          <w:szCs w:val="18"/>
          <w:color w:val="auto"/>
        </w:rPr>
        <w:t>Fees, commissions or other amounts paid to outside consultants, agents or other third parties must be fully disclosed in our investment process or otherwise to our Chief Compliance Officer and must be legal, proper and reasonable in relation to customary commercial practice. Payments to these persons should never be used to accomplish indirectly what AGNC could not properly or legally do directly.</w:t>
      </w:r>
    </w:p>
    <w:p>
      <w:pPr>
        <w:spacing w:after="0" w:line="176" w:lineRule="exact"/>
        <w:rPr>
          <w:sz w:val="20"/>
          <w:szCs w:val="20"/>
          <w:color w:val="auto"/>
        </w:rPr>
      </w:pPr>
    </w:p>
    <w:p>
      <w:pPr>
        <w:jc w:val="both"/>
        <w:ind w:left="644"/>
        <w:spacing w:after="0" w:line="282" w:lineRule="auto"/>
        <w:rPr>
          <w:sz w:val="20"/>
          <w:szCs w:val="20"/>
          <w:color w:val="auto"/>
        </w:rPr>
      </w:pPr>
      <w:r>
        <w:rPr>
          <w:rFonts w:ascii="Times New Roman" w:cs="Times New Roman" w:eastAsia="Times New Roman" w:hAnsi="Times New Roman"/>
          <w:sz w:val="18"/>
          <w:szCs w:val="18"/>
          <w:color w:val="auto"/>
        </w:rPr>
        <w:t>You should also be familiar with, and observe, the provisions of Section C.3 of this Code relating to Gifts, Gratuities and Entertainment, because the giving or receiving of such items could constitute an illegal bribe or kickback under certain circumstances.</w:t>
      </w:r>
    </w:p>
    <w:p>
      <w:pPr>
        <w:spacing w:after="0" w:line="158" w:lineRule="exact"/>
        <w:rPr>
          <w:sz w:val="20"/>
          <w:szCs w:val="20"/>
          <w:color w:val="auto"/>
        </w:rPr>
      </w:pPr>
    </w:p>
    <w:p>
      <w:pPr>
        <w:ind w:left="644" w:hanging="644"/>
        <w:spacing w:after="0"/>
        <w:tabs>
          <w:tab w:leader="none" w:pos="64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INTERNATIONAL ISSUES</w:t>
      </w:r>
    </w:p>
    <w:p>
      <w:pPr>
        <w:spacing w:after="0" w:line="31" w:lineRule="exact"/>
        <w:rPr>
          <w:rFonts w:ascii="Times New Roman" w:cs="Times New Roman" w:eastAsia="Times New Roman" w:hAnsi="Times New Roman"/>
          <w:sz w:val="18"/>
          <w:szCs w:val="18"/>
          <w:color w:val="auto"/>
        </w:rPr>
      </w:pPr>
    </w:p>
    <w:p>
      <w:pPr>
        <w:ind w:left="644"/>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expected to comply with the legal requirements and ethical standards of each country in which you conduct AGNC business, as well as with all U.S. laws applicable in other countries.</w:t>
      </w:r>
    </w:p>
    <w:p>
      <w:pPr>
        <w:spacing w:after="0" w:line="179" w:lineRule="exact"/>
        <w:rPr>
          <w:rFonts w:ascii="Times New Roman" w:cs="Times New Roman" w:eastAsia="Times New Roman" w:hAnsi="Times New Roman"/>
          <w:sz w:val="18"/>
          <w:szCs w:val="18"/>
          <w:color w:val="auto"/>
        </w:rPr>
      </w:pPr>
    </w:p>
    <w:p>
      <w:pPr>
        <w:jc w:val="both"/>
        <w:ind w:left="644"/>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FCPA applies to business transactions both inside the United States and in other countries. Its requirements relate to accurate and complete financial books and records, transactions with foreign government officials and restrictions on the use of funds for unlawful or improper purposes. Because violation of the FCPA can bring severe penalties, including criminal fines for the company and individuals and jail terms, it is essential that you become familiar with the FCPA’s requirements if you are involved in investment transactions or other business in a foreign country. Other statutes that may affect our international investments include, but are not limited to, the Anti-Bribery and Fair Competition Act and the Export Administration Act. If you have any questions regarding these legal requirements, please contact a member of our Legal team.</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7"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POLITICAL ACTIVITY</w:t>
      </w:r>
    </w:p>
    <w:p>
      <w:pPr>
        <w:spacing w:after="0" w:line="31" w:lineRule="exact"/>
        <w:rPr>
          <w:rFonts w:ascii="Times New Roman" w:cs="Times New Roman" w:eastAsia="Times New Roman" w:hAnsi="Times New Roman"/>
          <w:sz w:val="18"/>
          <w:szCs w:val="18"/>
          <w:color w:val="auto"/>
        </w:rPr>
      </w:pPr>
    </w:p>
    <w:p>
      <w:pPr>
        <w:jc w:val="both"/>
        <w:ind w:left="644"/>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make contributions or payments that could be considered a contribution to political parties or candidates or to intermediary organizations such as political action committees. However, you are free to exercise your right to make personal political contributions within legal limits, except to the extent these contributions are otherwise prohibited or restricted by other AGNC policies. You should not make these contributions in a way that might appear to be an endorsement or contribution by AGNC. You should be certain that you understand, and are complying with, all such laws, rules and regulations before making any political contributions. We will not reimburse you for political contributions in any way.</w:t>
      </w:r>
    </w:p>
    <w:p>
      <w:pPr>
        <w:spacing w:after="0" w:line="186"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ANTITRUST</w:t>
      </w:r>
    </w:p>
    <w:p>
      <w:pPr>
        <w:spacing w:after="0" w:line="31" w:lineRule="exact"/>
        <w:rPr>
          <w:rFonts w:ascii="Times New Roman" w:cs="Times New Roman" w:eastAsia="Times New Roman" w:hAnsi="Times New Roman"/>
          <w:sz w:val="18"/>
          <w:szCs w:val="18"/>
          <w:color w:val="auto"/>
        </w:rPr>
      </w:pPr>
    </w:p>
    <w:p>
      <w:pPr>
        <w:jc w:val="both"/>
        <w:ind w:left="644"/>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Antitrust laws generally prohibit agreements or actions that restrain trade or reduce competition. The free enterprise system rests on the notion that free and open competition is the best way to ensure an adequate supply of products and services at reasonable prices. We expect you to adhere to both the spirit and the letter of the antitrust laws of the United States and with all applicable antitrust laws governing competition in any country in which AGNC does business. Violation of antitrust laws can result in severe civil and criminal penalties, including imprisonment for individuals, and AGNC can be subjected to substantial fines and damage awards.</w:t>
      </w:r>
    </w:p>
    <w:p>
      <w:pPr>
        <w:spacing w:after="0" w:line="183" w:lineRule="exact"/>
        <w:rPr>
          <w:rFonts w:ascii="Times New Roman" w:cs="Times New Roman" w:eastAsia="Times New Roman" w:hAnsi="Times New Roman"/>
          <w:sz w:val="18"/>
          <w:szCs w:val="18"/>
          <w:color w:val="auto"/>
        </w:rPr>
      </w:pPr>
    </w:p>
    <w:p>
      <w:pPr>
        <w:ind w:left="1304" w:hanging="655"/>
        <w:spacing w:after="0"/>
        <w:tabs>
          <w:tab w:leader="none" w:pos="130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Agreements with Competitors</w:t>
      </w:r>
    </w:p>
    <w:p>
      <w:pPr>
        <w:spacing w:after="0" w:line="31" w:lineRule="exact"/>
        <w:rPr>
          <w:rFonts w:ascii="Times New Roman" w:cs="Times New Roman" w:eastAsia="Times New Roman" w:hAnsi="Times New Roman"/>
          <w:sz w:val="18"/>
          <w:szCs w:val="18"/>
          <w:color w:val="auto"/>
        </w:rPr>
      </w:pPr>
    </w:p>
    <w:p>
      <w:pPr>
        <w:ind w:left="1304"/>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agreements, arrangements or understandings between AGNC and its competitors (whether oral or in writing) should be avoided:</w:t>
      </w:r>
    </w:p>
    <w:p>
      <w:pPr>
        <w:spacing w:after="0" w:line="179" w:lineRule="exact"/>
        <w:rPr>
          <w:rFonts w:ascii="Times New Roman" w:cs="Times New Roman" w:eastAsia="Times New Roman" w:hAnsi="Times New Roman"/>
          <w:sz w:val="18"/>
          <w:szCs w:val="18"/>
          <w:color w:val="auto"/>
        </w:rPr>
      </w:pPr>
    </w:p>
    <w:p>
      <w:pPr>
        <w:ind w:left="1624" w:hanging="327"/>
        <w:spacing w:after="0"/>
        <w:tabs>
          <w:tab w:leader="none" w:pos="1624"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that affect the price or other terms or conditions of sale of products or the terms on which we invest;</w:t>
      </w:r>
    </w:p>
    <w:p>
      <w:pPr>
        <w:spacing w:after="0" w:line="27" w:lineRule="exact"/>
        <w:rPr>
          <w:rFonts w:ascii="Times New Roman" w:cs="Times New Roman" w:eastAsia="Times New Roman" w:hAnsi="Times New Roman"/>
          <w:sz w:val="18"/>
          <w:szCs w:val="18"/>
          <w:color w:val="auto"/>
        </w:rPr>
      </w:pPr>
    </w:p>
    <w:p>
      <w:pPr>
        <w:ind w:left="1624" w:right="340" w:hanging="327"/>
        <w:spacing w:after="0" w:line="250" w:lineRule="auto"/>
        <w:tabs>
          <w:tab w:leader="none" w:pos="1624"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regarding the companies in which AGNC or its managed companies will, or will not, invest or sell or provide services;</w:t>
      </w:r>
    </w:p>
    <w:p>
      <w:pPr>
        <w:ind w:left="1624" w:hanging="327"/>
        <w:spacing w:after="0"/>
        <w:tabs>
          <w:tab w:leader="none" w:pos="1624"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to refuse to invest in or sell to particular businesses or to refuse to buy from particular businesses; and</w:t>
      </w:r>
    </w:p>
    <w:p>
      <w:pPr>
        <w:spacing w:after="0" w:line="9" w:lineRule="exact"/>
        <w:rPr>
          <w:rFonts w:ascii="Times New Roman" w:cs="Times New Roman" w:eastAsia="Times New Roman" w:hAnsi="Times New Roman"/>
          <w:sz w:val="18"/>
          <w:szCs w:val="18"/>
          <w:color w:val="auto"/>
        </w:rPr>
      </w:pPr>
    </w:p>
    <w:p>
      <w:pPr>
        <w:ind w:left="1624" w:hanging="327"/>
        <w:spacing w:after="0"/>
        <w:tabs>
          <w:tab w:leader="none" w:pos="1624"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that limit the types of investments that AGNC will make.</w:t>
      </w:r>
    </w:p>
    <w:p>
      <w:pPr>
        <w:spacing w:after="0" w:line="9" w:lineRule="exact"/>
        <w:rPr>
          <w:sz w:val="20"/>
          <w:szCs w:val="20"/>
          <w:color w:val="auto"/>
        </w:rPr>
      </w:pPr>
    </w:p>
    <w:p>
      <w:pPr>
        <w:jc w:val="both"/>
        <w:ind w:left="1304"/>
        <w:spacing w:after="0" w:line="254" w:lineRule="auto"/>
        <w:rPr>
          <w:sz w:val="20"/>
          <w:szCs w:val="20"/>
          <w:color w:val="auto"/>
        </w:rPr>
      </w:pPr>
      <w:r>
        <w:rPr>
          <w:rFonts w:ascii="Times New Roman" w:cs="Times New Roman" w:eastAsia="Times New Roman" w:hAnsi="Times New Roman"/>
          <w:sz w:val="18"/>
          <w:szCs w:val="18"/>
          <w:color w:val="auto"/>
        </w:rPr>
        <w:t>Contacts with our competitors are sensitive and risky, because courts can infer an agreement or collusion from these contacts when they are followed by common action or behavior. We recognize that we may need to work with our competitors in the regular course of our business. In all contacts with our competitors, you are expected to avoid discussing prices, costs, competition, division of markets, marketing plans or studies, or any other proprietary or confidential information.</w:t>
      </w:r>
    </w:p>
    <w:p>
      <w:pPr>
        <w:sectPr>
          <w:pgSz w:w="11900" w:h="16838" w:orient="portrait"/>
          <w:cols w:equalWidth="0" w:num="1">
            <w:col w:w="10764"/>
          </w:cols>
          <w:pgMar w:left="896" w:top="580" w:right="239" w:bottom="1440" w:gutter="0" w:footer="0" w:header="0"/>
        </w:sectPr>
      </w:pPr>
    </w:p>
    <w:bookmarkStart w:id="63" w:name="page64"/>
    <w:bookmarkEnd w:id="63"/>
    <w:p>
      <w:pPr>
        <w:ind w:left="1304"/>
        <w:spacing w:after="0" w:line="282" w:lineRule="auto"/>
        <w:rPr>
          <w:sz w:val="20"/>
          <w:szCs w:val="20"/>
          <w:color w:val="auto"/>
        </w:rPr>
      </w:pPr>
      <w:r>
        <w:rPr>
          <w:rFonts w:ascii="Times New Roman" w:cs="Times New Roman" w:eastAsia="Times New Roman" w:hAnsi="Times New Roman"/>
          <w:sz w:val="18"/>
          <w:szCs w:val="18"/>
          <w:color w:val="auto"/>
        </w:rPr>
        <w:t>If any competitor initiates a discussion with you involving the subjects above, you should immediately excuse yourself from the conversation and report the matter to the Chief Compliance Officer or a member of the Legal team.</w:t>
      </w:r>
    </w:p>
    <w:p>
      <w:pPr>
        <w:spacing w:after="0" w:line="200" w:lineRule="exact"/>
        <w:rPr>
          <w:sz w:val="20"/>
          <w:szCs w:val="20"/>
          <w:color w:val="auto"/>
        </w:rPr>
      </w:pPr>
    </w:p>
    <w:p>
      <w:pPr>
        <w:spacing w:after="0" w:line="390" w:lineRule="exact"/>
        <w:rPr>
          <w:sz w:val="20"/>
          <w:szCs w:val="20"/>
          <w:color w:val="auto"/>
        </w:rPr>
      </w:pPr>
    </w:p>
    <w:p>
      <w:pPr>
        <w:ind w:left="644" w:hanging="644"/>
        <w:spacing w:after="0"/>
        <w:tabs>
          <w:tab w:leader="none" w:pos="64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SECURITIES LAWS AND INSIDER TRADING</w:t>
      </w:r>
    </w:p>
    <w:p>
      <w:pPr>
        <w:spacing w:after="0" w:line="31" w:lineRule="exact"/>
        <w:rPr>
          <w:rFonts w:ascii="Times New Roman" w:cs="Times New Roman" w:eastAsia="Times New Roman" w:hAnsi="Times New Roman"/>
          <w:sz w:val="18"/>
          <w:szCs w:val="18"/>
          <w:color w:val="auto"/>
        </w:rPr>
      </w:pPr>
    </w:p>
    <w:p>
      <w:pPr>
        <w:jc w:val="both"/>
        <w:ind w:left="644"/>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securities laws are built on the premise that a purchaser and a seller of securities should have equal access to important information regarding the company whose securities they are trading. Consequently, federal securities laws forbid an investor from purchasing or selling securities based upon inside information not available to the other party.</w:t>
      </w:r>
    </w:p>
    <w:p>
      <w:pPr>
        <w:spacing w:after="0" w:line="186" w:lineRule="exact"/>
        <w:rPr>
          <w:rFonts w:ascii="Times New Roman" w:cs="Times New Roman" w:eastAsia="Times New Roman" w:hAnsi="Times New Roman"/>
          <w:sz w:val="18"/>
          <w:szCs w:val="18"/>
          <w:color w:val="auto"/>
        </w:rPr>
      </w:pPr>
    </w:p>
    <w:p>
      <w:pPr>
        <w:jc w:val="both"/>
        <w:ind w:left="644"/>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consequences of insider trading violations can be severe. AGNC people who trade on inside information, or who communicate (or tip) this information to others so that they may trade, may face a civil penalty of up to three times the profit gained (or loss avoided), a substantial criminal fine and a jail term of up to ten years. Additionally, if we or our senior officers do not take appropriate steps to prevent AGNC people from insider trading, we may also face severe legal consequences, including, among other things, substantial criminal penalties.</w:t>
      </w:r>
    </w:p>
    <w:p>
      <w:pPr>
        <w:spacing w:after="0" w:line="179" w:lineRule="exact"/>
        <w:rPr>
          <w:rFonts w:ascii="Times New Roman" w:cs="Times New Roman" w:eastAsia="Times New Roman" w:hAnsi="Times New Roman"/>
          <w:sz w:val="18"/>
          <w:szCs w:val="18"/>
          <w:color w:val="auto"/>
        </w:rPr>
      </w:pPr>
    </w:p>
    <w:p>
      <w:pPr>
        <w:ind w:left="1304" w:hanging="655"/>
        <w:spacing w:after="0"/>
        <w:tabs>
          <w:tab w:leader="none" w:pos="130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Policy Statement</w:t>
      </w:r>
    </w:p>
    <w:p>
      <w:pPr>
        <w:spacing w:after="0" w:line="31" w:lineRule="exact"/>
        <w:rPr>
          <w:rFonts w:ascii="Times New Roman" w:cs="Times New Roman" w:eastAsia="Times New Roman" w:hAnsi="Times New Roman"/>
          <w:sz w:val="18"/>
          <w:szCs w:val="18"/>
          <w:color w:val="auto"/>
        </w:rPr>
      </w:pPr>
    </w:p>
    <w:p>
      <w:pPr>
        <w:jc w:val="both"/>
        <w:ind w:left="1304"/>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AGNC people who have material, nonpublic (i.e., inside) information about AGNC should not buy or sell AGNC securities (including derivative securities such as put and call options) until a reasonable time after the inside information has been publicly disclosed. You also should not disclose inside information to others outside AGNC until a reasonable time after the information has been publicly disclosed. In addition, it is never appropriate for you to advise others to buy or sell AGNC securities.</w:t>
      </w:r>
    </w:p>
    <w:p>
      <w:pPr>
        <w:spacing w:after="0" w:line="185" w:lineRule="exact"/>
        <w:rPr>
          <w:rFonts w:ascii="Times New Roman" w:cs="Times New Roman" w:eastAsia="Times New Roman" w:hAnsi="Times New Roman"/>
          <w:sz w:val="18"/>
          <w:szCs w:val="18"/>
          <w:color w:val="auto"/>
        </w:rPr>
      </w:pPr>
    </w:p>
    <w:p>
      <w:pPr>
        <w:ind w:left="130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further believe that it is highly inappropriate for any AGNC person to sell short AGNC stock or engage in other transactions where the person will earn a profit based on a decline in AGNC’s stock price.</w:t>
      </w:r>
    </w:p>
    <w:p>
      <w:pPr>
        <w:spacing w:after="0" w:line="161" w:lineRule="exact"/>
        <w:rPr>
          <w:rFonts w:ascii="Times New Roman" w:cs="Times New Roman" w:eastAsia="Times New Roman" w:hAnsi="Times New Roman"/>
          <w:sz w:val="18"/>
          <w:szCs w:val="18"/>
          <w:color w:val="auto"/>
        </w:rPr>
      </w:pPr>
    </w:p>
    <w:p>
      <w:pPr>
        <w:ind w:left="130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rules also apply to the use of material, nonpublic information about other companies (including, for example, our clients, competitors and potential business partners).</w:t>
      </w:r>
    </w:p>
    <w:p>
      <w:pPr>
        <w:spacing w:after="0" w:line="161" w:lineRule="exact"/>
        <w:rPr>
          <w:rFonts w:ascii="Times New Roman" w:cs="Times New Roman" w:eastAsia="Times New Roman" w:hAnsi="Times New Roman"/>
          <w:sz w:val="18"/>
          <w:szCs w:val="18"/>
          <w:color w:val="auto"/>
        </w:rPr>
      </w:pPr>
    </w:p>
    <w:p>
      <w:pPr>
        <w:ind w:left="130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you, these rules apply to your spouse, children and any other family members living with you in your household.</w:t>
      </w:r>
    </w:p>
    <w:p>
      <w:pPr>
        <w:spacing w:after="0" w:line="221" w:lineRule="exact"/>
        <w:rPr>
          <w:rFonts w:ascii="Times New Roman" w:cs="Times New Roman" w:eastAsia="Times New Roman" w:hAnsi="Times New Roman"/>
          <w:sz w:val="18"/>
          <w:szCs w:val="18"/>
          <w:color w:val="auto"/>
        </w:rPr>
      </w:pPr>
    </w:p>
    <w:p>
      <w:pPr>
        <w:ind w:left="1304" w:hanging="655"/>
        <w:spacing w:after="0"/>
        <w:tabs>
          <w:tab w:leader="none" w:pos="130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Further Explanation</w:t>
      </w:r>
    </w:p>
    <w:p>
      <w:pPr>
        <w:spacing w:after="0" w:line="31" w:lineRule="exact"/>
        <w:rPr>
          <w:rFonts w:ascii="Times New Roman" w:cs="Times New Roman" w:eastAsia="Times New Roman" w:hAnsi="Times New Roman"/>
          <w:sz w:val="18"/>
          <w:szCs w:val="18"/>
          <w:color w:val="auto"/>
        </w:rPr>
      </w:pPr>
    </w:p>
    <w:p>
      <w:pPr>
        <w:jc w:val="both"/>
        <w:ind w:left="1944" w:hanging="647"/>
        <w:spacing w:after="0" w:line="250" w:lineRule="auto"/>
        <w:tabs>
          <w:tab w:leader="none" w:pos="1944"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What is inside information? </w:t>
      </w:r>
      <w:r>
        <w:rPr>
          <w:rFonts w:ascii="Times New Roman" w:cs="Times New Roman" w:eastAsia="Times New Roman" w:hAnsi="Times New Roman"/>
          <w:sz w:val="18"/>
          <w:szCs w:val="18"/>
          <w:color w:val="auto"/>
        </w:rPr>
        <w:t>Inside information is material information about an entity, including AGNC, that has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publicly disclosed. For instance, this information could relate to AGNC’s investments, financial condition, earnings or business, or to any important development in which we may be involved.</w:t>
      </w:r>
    </w:p>
    <w:p>
      <w:pPr>
        <w:spacing w:after="0" w:line="1" w:lineRule="exact"/>
        <w:rPr>
          <w:rFonts w:ascii="Times New Roman" w:cs="Times New Roman" w:eastAsia="Times New Roman" w:hAnsi="Times New Roman"/>
          <w:sz w:val="18"/>
          <w:szCs w:val="18"/>
          <w:color w:val="auto"/>
        </w:rPr>
      </w:pPr>
    </w:p>
    <w:p>
      <w:pPr>
        <w:jc w:val="both"/>
        <w:ind w:left="1944" w:hanging="647"/>
        <w:spacing w:after="0" w:line="250" w:lineRule="auto"/>
        <w:tabs>
          <w:tab w:leader="none" w:pos="1944"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What information is material? </w:t>
      </w:r>
      <w:r>
        <w:rPr>
          <w:rFonts w:ascii="Times New Roman" w:cs="Times New Roman" w:eastAsia="Times New Roman" w:hAnsi="Times New Roman"/>
          <w:sz w:val="18"/>
          <w:szCs w:val="18"/>
          <w:color w:val="auto"/>
        </w:rPr>
        <w:t>Information is material if it is information that a reasonable investor might consider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important in deciding whether to buy, sell or hold securities. Examples of information that may be material include: financial results or forecasts; a significant proposed acquisition or sale of a business; a stock split; significant litigation; and changes in customary earnings trends.</w:t>
      </w:r>
    </w:p>
    <w:p>
      <w:pPr>
        <w:spacing w:after="0" w:line="1" w:lineRule="exact"/>
        <w:rPr>
          <w:rFonts w:ascii="Times New Roman" w:cs="Times New Roman" w:eastAsia="Times New Roman" w:hAnsi="Times New Roman"/>
          <w:sz w:val="18"/>
          <w:szCs w:val="18"/>
          <w:color w:val="auto"/>
        </w:rPr>
      </w:pPr>
    </w:p>
    <w:p>
      <w:pPr>
        <w:jc w:val="both"/>
        <w:ind w:left="1944" w:hanging="647"/>
        <w:spacing w:after="0" w:line="250" w:lineRule="auto"/>
        <w:tabs>
          <w:tab w:leader="none" w:pos="1944"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What information is nonpublic? </w:t>
      </w:r>
      <w:r>
        <w:rPr>
          <w:rFonts w:ascii="Times New Roman" w:cs="Times New Roman" w:eastAsia="Times New Roman" w:hAnsi="Times New Roman"/>
          <w:sz w:val="18"/>
          <w:szCs w:val="18"/>
          <w:color w:val="auto"/>
        </w:rPr>
        <w:t>Information is nonpublic until the time it has been effectively disclosed to the public.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disclosure generally occurs when information is included in a press release, is revealed during a conference call to which the general public has been invited to participate or is included in our public filings with the U.S. Securities and Exchange Commission. Under certain circumstances, effective disclosure may occur by other means.</w:t>
      </w:r>
    </w:p>
    <w:p>
      <w:pPr>
        <w:spacing w:after="0" w:line="1" w:lineRule="exact"/>
        <w:rPr>
          <w:rFonts w:ascii="Times New Roman" w:cs="Times New Roman" w:eastAsia="Times New Roman" w:hAnsi="Times New Roman"/>
          <w:sz w:val="18"/>
          <w:szCs w:val="18"/>
          <w:color w:val="auto"/>
        </w:rPr>
      </w:pPr>
    </w:p>
    <w:p>
      <w:pPr>
        <w:jc w:val="both"/>
        <w:ind w:left="1944" w:hanging="647"/>
        <w:spacing w:after="0" w:line="250" w:lineRule="auto"/>
        <w:tabs>
          <w:tab w:leader="none" w:pos="1944"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What is a reasonable waiting period before purchases and sales can be made? </w:t>
      </w:r>
      <w:r>
        <w:rPr>
          <w:rFonts w:ascii="Times New Roman" w:cs="Times New Roman" w:eastAsia="Times New Roman" w:hAnsi="Times New Roman"/>
          <w:sz w:val="18"/>
          <w:szCs w:val="18"/>
          <w:color w:val="auto"/>
        </w:rPr>
        <w:t>The investing public must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sufficient time to analyze the information that has been disclosed before those possessing previously nonpublic information can trade. For matters disclosed in an AGNC press release or conference call, a good rule of thumb is that purchases and sales can be made beginning 24 hours after the disclosure.</w:t>
      </w:r>
    </w:p>
    <w:p>
      <w:pPr>
        <w:spacing w:after="0" w:line="1" w:lineRule="exact"/>
        <w:rPr>
          <w:rFonts w:ascii="Times New Roman" w:cs="Times New Roman" w:eastAsia="Times New Roman" w:hAnsi="Times New Roman"/>
          <w:sz w:val="18"/>
          <w:szCs w:val="18"/>
          <w:color w:val="auto"/>
        </w:rPr>
      </w:pPr>
    </w:p>
    <w:p>
      <w:pPr>
        <w:ind w:left="1944" w:hanging="647"/>
        <w:spacing w:after="0" w:line="261" w:lineRule="auto"/>
        <w:tabs>
          <w:tab w:leader="none" w:pos="1944"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What transactions are prohibited? </w:t>
      </w:r>
      <w:r>
        <w:rPr>
          <w:rFonts w:ascii="Times New Roman" w:cs="Times New Roman" w:eastAsia="Times New Roman" w:hAnsi="Times New Roman"/>
          <w:sz w:val="18"/>
          <w:szCs w:val="18"/>
          <w:color w:val="auto"/>
        </w:rPr>
        <w:t>An AGNC person who has inside information about AGNC or another company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prohibited from: (a) trading in AGNC’s or the other company’s</w:t>
      </w:r>
    </w:p>
    <w:p>
      <w:pPr>
        <w:sectPr>
          <w:pgSz w:w="11900" w:h="16838" w:orient="portrait"/>
          <w:cols w:equalWidth="0" w:num="1">
            <w:col w:w="10764"/>
          </w:cols>
          <w:pgMar w:left="896" w:top="580" w:right="239" w:bottom="1440" w:gutter="0" w:footer="0" w:header="0"/>
        </w:sectPr>
      </w:pPr>
    </w:p>
    <w:bookmarkStart w:id="64" w:name="page65"/>
    <w:bookmarkEnd w:id="64"/>
    <w:p>
      <w:pPr>
        <w:jc w:val="both"/>
        <w:ind w:left="2592"/>
        <w:spacing w:after="0" w:line="288" w:lineRule="auto"/>
        <w:rPr>
          <w:sz w:val="20"/>
          <w:szCs w:val="20"/>
          <w:color w:val="auto"/>
        </w:rPr>
      </w:pPr>
      <w:r>
        <w:rPr>
          <w:rFonts w:ascii="Times New Roman" w:cs="Times New Roman" w:eastAsia="Times New Roman" w:hAnsi="Times New Roman"/>
          <w:sz w:val="18"/>
          <w:szCs w:val="18"/>
          <w:color w:val="auto"/>
        </w:rPr>
        <w:t>securities (including derivative securities such as put and call options); (b) having others trade in AGNC’s or the other company’s securities for your benefit; and (c) disclosing the inside information to (or tipping) anyone else who might then trade. These prohibitions continue for as long as the information remains material and nonpublic.</w:t>
      </w:r>
    </w:p>
    <w:p>
      <w:pPr>
        <w:spacing w:after="0" w:line="2" w:lineRule="exact"/>
        <w:rPr>
          <w:sz w:val="20"/>
          <w:szCs w:val="20"/>
          <w:color w:val="auto"/>
        </w:rPr>
      </w:pPr>
    </w:p>
    <w:p>
      <w:pPr>
        <w:jc w:val="both"/>
        <w:ind w:left="2592" w:hanging="647"/>
        <w:spacing w:after="0" w:line="252" w:lineRule="auto"/>
        <w:tabs>
          <w:tab w:leader="none" w:pos="2592" w:val="left"/>
        </w:tabs>
        <w:numPr>
          <w:ilvl w:val="3"/>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What transactions are allowed? </w:t>
      </w:r>
      <w:r>
        <w:rPr>
          <w:rFonts w:ascii="Times New Roman" w:cs="Times New Roman" w:eastAsia="Times New Roman" w:hAnsi="Times New Roman"/>
          <w:sz w:val="18"/>
          <w:szCs w:val="18"/>
          <w:color w:val="auto"/>
        </w:rPr>
        <w:t>An AGNC person who has inside information about AGNC may, nonetheless, usually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AGNC stock options for cash (but may not sell the option shares he or she receives upon the exercise). These cash option exercise purchases are allowed because the other party to the transactions is AGNC itself, and because the option exercise purchase price does not vary with the market, but, rather, is fixed in advance under the terms of the option plan. Additionally, certain transactions that occur under an automatic investment plan, such as a dividend reinvestment plan or a company approved Rule 10b5-1 plan, if any, are permitted in such circumstances. You should contact the Chief Compliance Officer or a member of our Legal team with any questions.</w:t>
      </w:r>
    </w:p>
    <w:p>
      <w:pPr>
        <w:spacing w:after="0" w:line="4" w:lineRule="exact"/>
        <w:rPr>
          <w:rFonts w:ascii="Times New Roman" w:cs="Times New Roman" w:eastAsia="Times New Roman" w:hAnsi="Times New Roman"/>
          <w:sz w:val="18"/>
          <w:szCs w:val="18"/>
          <w:color w:val="auto"/>
        </w:rPr>
      </w:pPr>
    </w:p>
    <w:p>
      <w:pPr>
        <w:ind w:left="1952" w:hanging="655"/>
        <w:spacing w:after="0"/>
        <w:tabs>
          <w:tab w:leader="none" w:pos="1952"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Blackout Period for Trading in AGNC Securities</w:t>
      </w:r>
    </w:p>
    <w:p>
      <w:pPr>
        <w:spacing w:after="0" w:line="9" w:lineRule="exact"/>
        <w:rPr>
          <w:rFonts w:ascii="Times New Roman" w:cs="Times New Roman" w:eastAsia="Times New Roman" w:hAnsi="Times New Roman"/>
          <w:sz w:val="18"/>
          <w:szCs w:val="18"/>
          <w:color w:val="auto"/>
        </w:rPr>
      </w:pPr>
    </w:p>
    <w:p>
      <w:pPr>
        <w:jc w:val="both"/>
        <w:ind w:left="1952"/>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our general Insider Trading Policy, which is summarized above, we may institute from time to time blackout periods during which AGNC persons will be precluded from trading in AGNC securities (including derivative securities such as put and call options). The Chief Compliance Officer will typically be responsible for implementing such practices.</w:t>
      </w:r>
    </w:p>
    <w:p>
      <w:pPr>
        <w:spacing w:after="0" w:line="182"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AVOIDING CONFLICTS OF INTEREST</w:t>
      </w:r>
    </w:p>
    <w:p>
      <w:pPr>
        <w:spacing w:after="0" w:line="31"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GENERALLY</w:t>
      </w:r>
    </w:p>
    <w:p>
      <w:pPr>
        <w:spacing w:after="0" w:line="9" w:lineRule="exact"/>
        <w:rPr>
          <w:rFonts w:ascii="Times New Roman" w:cs="Times New Roman" w:eastAsia="Times New Roman" w:hAnsi="Times New Roman"/>
          <w:sz w:val="18"/>
          <w:szCs w:val="18"/>
          <w:color w:val="auto"/>
        </w:rPr>
      </w:pPr>
    </w:p>
    <w:p>
      <w:pPr>
        <w:jc w:val="both"/>
        <w:ind w:left="1292"/>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AGNC people have a duty of loyalty to act in the best interests of the company. We expect you to avoid situations and relationships that involve actual or potential conflicts of interest. Generally, a conflict of interest arises whenever your personal interests diverge from your responsibilities to AGNC or from AGNC’s best interests. Put another way, a conflict of interest is created whenever an activity, association or relationship of yours might impair your independent exercise of judgment in AGNC’s best interest.</w:t>
      </w:r>
    </w:p>
    <w:p>
      <w:pPr>
        <w:spacing w:after="0" w:line="185" w:lineRule="exact"/>
        <w:rPr>
          <w:rFonts w:ascii="Times New Roman" w:cs="Times New Roman" w:eastAsia="Times New Roman" w:hAnsi="Times New Roman"/>
          <w:sz w:val="18"/>
          <w:szCs w:val="18"/>
          <w:color w:val="auto"/>
        </w:rPr>
      </w:pPr>
    </w:p>
    <w:p>
      <w:pPr>
        <w:ind w:left="12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Examples of situations that could be perceived as conflicts of interest and should be avoided include:</w:t>
      </w:r>
    </w:p>
    <w:p>
      <w:pPr>
        <w:spacing w:after="0" w:line="225" w:lineRule="exact"/>
        <w:rPr>
          <w:sz w:val="20"/>
          <w:szCs w:val="20"/>
          <w:color w:val="auto"/>
        </w:rPr>
      </w:pPr>
    </w:p>
    <w:p>
      <w:pPr>
        <w:ind w:left="2272" w:hanging="327"/>
        <w:spacing w:after="0"/>
        <w:tabs>
          <w:tab w:leader="none" w:pos="2272"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AGNC’s business with a company owned, partially owned or controlled by you or a member of your family;</w:t>
      </w:r>
    </w:p>
    <w:p>
      <w:pPr>
        <w:spacing w:after="0" w:line="27" w:lineRule="exact"/>
        <w:rPr>
          <w:rFonts w:ascii="Times New Roman" w:cs="Times New Roman" w:eastAsia="Times New Roman" w:hAnsi="Times New Roman"/>
          <w:sz w:val="18"/>
          <w:szCs w:val="18"/>
          <w:color w:val="auto"/>
        </w:rPr>
      </w:pPr>
    </w:p>
    <w:p>
      <w:pPr>
        <w:ind w:left="2272" w:right="580" w:hanging="327"/>
        <w:spacing w:after="0" w:line="250" w:lineRule="auto"/>
        <w:tabs>
          <w:tab w:leader="none" w:pos="2272"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more than one percent of the stock of a company that competes or does business with AGNC (other than indirect ownership as a result of owning a widely-held mutual fund);</w:t>
      </w:r>
    </w:p>
    <w:p>
      <w:pPr>
        <w:ind w:left="2272" w:right="280" w:hanging="327"/>
        <w:spacing w:after="0" w:line="250" w:lineRule="auto"/>
        <w:tabs>
          <w:tab w:leader="none" w:pos="2272"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as an employee or a consultant for a competitor, regulatory government entity, investment company or supplier of AGNC (other than as part of your AGNC employment);</w:t>
      </w:r>
    </w:p>
    <w:p>
      <w:pPr>
        <w:ind w:left="2272" w:right="180" w:hanging="327"/>
        <w:spacing w:after="0" w:line="250" w:lineRule="auto"/>
        <w:tabs>
          <w:tab w:leader="none" w:pos="2272"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Doing any work for a third party that may adversely affect your performance or judgment on the job or diminish your ability to devote the necessary time and attention to your duties; and</w:t>
      </w:r>
    </w:p>
    <w:p>
      <w:pPr>
        <w:ind w:left="1292" w:firstLine="653"/>
        <w:spacing w:after="0" w:line="254" w:lineRule="auto"/>
        <w:tabs>
          <w:tab w:leader="none" w:pos="226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Appropriating or diverting to yourself or others any business opportunity or idea in which AGNC might have an interest. These situations (and others like them), where your loyalties to AGNC could be compromised, must be avoided. If you believe that you are involved in a potential conflict of interest, we expect you to discuss it with your supervisor or the Chief Compliance Officer. If a conflict is determined to exist, you must disengage from the conflict situation or terminate your employment.</w:t>
      </w:r>
    </w:p>
    <w:p>
      <w:pPr>
        <w:spacing w:after="0" w:line="181"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USE OF OUR ASSETS</w:t>
      </w:r>
    </w:p>
    <w:p>
      <w:pPr>
        <w:spacing w:after="0" w:line="31" w:lineRule="exact"/>
        <w:rPr>
          <w:rFonts w:ascii="Times New Roman" w:cs="Times New Roman" w:eastAsia="Times New Roman" w:hAnsi="Times New Roman"/>
          <w:sz w:val="18"/>
          <w:szCs w:val="18"/>
          <w:color w:val="auto"/>
        </w:rPr>
      </w:pPr>
    </w:p>
    <w:p>
      <w:pPr>
        <w:ind w:left="12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responsible for the proper use of AGNC’s physical resources and property, as well as its proprietary information.</w:t>
      </w:r>
    </w:p>
    <w:p>
      <w:pPr>
        <w:spacing w:after="0" w:line="206" w:lineRule="exact"/>
        <w:rPr>
          <w:rFonts w:ascii="Times New Roman" w:cs="Times New Roman" w:eastAsia="Times New Roman" w:hAnsi="Times New Roman"/>
          <w:sz w:val="18"/>
          <w:szCs w:val="18"/>
          <w:color w:val="auto"/>
        </w:rPr>
      </w:pPr>
    </w:p>
    <w:p>
      <w:pPr>
        <w:jc w:val="both"/>
        <w:ind w:left="1292"/>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offices, equipment, supplies and other resources may not be used for activities that are not related to your employment with AGNC, except for any activities that have been approved in writing in advance by us, or for personal usage that is minor in amount and reasonable. If you are found to be engaging in, or attempting, theft of any AGNC property, including documents, equipment, intellectual property, personal property of other employees, cash or any other items of value, you may be subject to immediate termination of your employment or contract and possible criminal proceedings. We expect you to report any theft or attempted theft to your supervisor or the Chief Compliance Officer.</w:t>
      </w:r>
    </w:p>
    <w:p>
      <w:pPr>
        <w:spacing w:after="0" w:line="187" w:lineRule="exact"/>
        <w:rPr>
          <w:rFonts w:ascii="Times New Roman" w:cs="Times New Roman" w:eastAsia="Times New Roman" w:hAnsi="Times New Roman"/>
          <w:sz w:val="18"/>
          <w:szCs w:val="18"/>
          <w:color w:val="auto"/>
        </w:rPr>
      </w:pPr>
    </w:p>
    <w:p>
      <w:pPr>
        <w:jc w:val="both"/>
        <w:ind w:left="1292"/>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words, slogans, symbols, logos or other devices used to identify AGNC and its proprietary methods and services are important business tools and valuable assets, which require care in their use and treatment. You may not negotiate or enter into any agreement respecting AGNC’s trademarks, service marks or logos without</w:t>
      </w:r>
    </w:p>
    <w:p>
      <w:pPr>
        <w:sectPr>
          <w:pgSz w:w="11900" w:h="16838" w:orient="portrait"/>
          <w:cols w:equalWidth="0" w:num="1">
            <w:col w:w="11412"/>
          </w:cols>
          <w:pgMar w:left="248" w:top="607" w:right="239" w:bottom="1440" w:gutter="0" w:footer="0" w:header="0"/>
        </w:sectPr>
      </w:pPr>
    </w:p>
    <w:bookmarkStart w:id="65" w:name="page66"/>
    <w:bookmarkEnd w:id="65"/>
    <w:p>
      <w:pPr>
        <w:jc w:val="both"/>
        <w:ind w:left="1292"/>
        <w:spacing w:after="0" w:line="255" w:lineRule="auto"/>
        <w:rPr>
          <w:sz w:val="20"/>
          <w:szCs w:val="20"/>
          <w:color w:val="auto"/>
        </w:rPr>
      </w:pPr>
      <w:r>
        <w:rPr>
          <w:rFonts w:ascii="Times New Roman" w:cs="Times New Roman" w:eastAsia="Times New Roman" w:hAnsi="Times New Roman"/>
          <w:sz w:val="18"/>
          <w:szCs w:val="18"/>
          <w:color w:val="auto"/>
        </w:rPr>
        <w:t>first consulting a member of our Legal team. We also respect the intellectual property rights of others. Thus, using the trademark or service mark of, or referencing for marketing purposes, another company (even one with whom AGNC has a business relationship), requires clearance or approval by our Legal team, to determine whether the use of that other company’s mark is proper. You should avoid the unauthorized use of copyrighted or patented materials of others and should ask a member of the Legal team if you have any questions regarding the permissibility of photocopying, excerpting, electronically copying or otherwise using copyrighted or patented materials. In addition, simply because material is available for copying (such as content or images downloaded from the internet) does not mean that it is automatically legal or permissible to copy or distribute.</w:t>
      </w:r>
    </w:p>
    <w:p>
      <w:pPr>
        <w:spacing w:after="0" w:line="185" w:lineRule="exact"/>
        <w:rPr>
          <w:sz w:val="20"/>
          <w:szCs w:val="20"/>
          <w:color w:val="auto"/>
        </w:rPr>
      </w:pPr>
    </w:p>
    <w:p>
      <w:pPr>
        <w:ind w:left="1292" w:hanging="644"/>
        <w:spacing w:after="0"/>
        <w:tabs>
          <w:tab w:leader="none" w:pos="129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GIFTS, GRATUITIES AND ENTERTAINMENT</w:t>
      </w:r>
    </w:p>
    <w:p>
      <w:pPr>
        <w:spacing w:after="0" w:line="31" w:lineRule="exact"/>
        <w:rPr>
          <w:rFonts w:ascii="Times New Roman" w:cs="Times New Roman" w:eastAsia="Times New Roman" w:hAnsi="Times New Roman"/>
          <w:sz w:val="18"/>
          <w:szCs w:val="18"/>
          <w:color w:val="auto"/>
        </w:rPr>
      </w:pPr>
    </w:p>
    <w:p>
      <w:pPr>
        <w:ind w:left="1952" w:hanging="655"/>
        <w:spacing w:after="0"/>
        <w:tabs>
          <w:tab w:leader="none" w:pos="1952"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Giving</w:t>
      </w:r>
    </w:p>
    <w:p>
      <w:pPr>
        <w:spacing w:after="0" w:line="9" w:lineRule="exact"/>
        <w:rPr>
          <w:rFonts w:ascii="Times New Roman" w:cs="Times New Roman" w:eastAsia="Times New Roman" w:hAnsi="Times New Roman"/>
          <w:sz w:val="18"/>
          <w:szCs w:val="18"/>
          <w:color w:val="auto"/>
        </w:rPr>
      </w:pPr>
    </w:p>
    <w:p>
      <w:pPr>
        <w:jc w:val="both"/>
        <w:ind w:left="1952"/>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not offer money, gifts or other items or services of value to anyone with whom we do business or potentially would do business for the purpose of securing an investment opportunity or contract or obtaining favorable treatment. Business-connected favors or gifts may not be extended unless they:</w:t>
      </w:r>
    </w:p>
    <w:p>
      <w:pPr>
        <w:spacing w:after="0" w:line="186" w:lineRule="exact"/>
        <w:rPr>
          <w:rFonts w:ascii="Times New Roman" w:cs="Times New Roman" w:eastAsia="Times New Roman" w:hAnsi="Times New Roman"/>
          <w:sz w:val="18"/>
          <w:szCs w:val="18"/>
          <w:color w:val="auto"/>
        </w:rPr>
      </w:pPr>
    </w:p>
    <w:p>
      <w:pPr>
        <w:ind w:left="2272" w:hanging="327"/>
        <w:spacing w:after="0"/>
        <w:tabs>
          <w:tab w:leader="none" w:pos="2272"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consistent with customary business practices;</w:t>
      </w:r>
    </w:p>
    <w:p>
      <w:pPr>
        <w:spacing w:after="0" w:line="27" w:lineRule="exact"/>
        <w:rPr>
          <w:rFonts w:ascii="Times New Roman" w:cs="Times New Roman" w:eastAsia="Times New Roman" w:hAnsi="Times New Roman"/>
          <w:sz w:val="18"/>
          <w:szCs w:val="18"/>
          <w:color w:val="auto"/>
        </w:rPr>
      </w:pPr>
    </w:p>
    <w:p>
      <w:pPr>
        <w:ind w:left="2272" w:hanging="327"/>
        <w:spacing w:after="0"/>
        <w:tabs>
          <w:tab w:leader="none" w:pos="2272"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have substantial monetary value and would not be viewed as improper by others; and</w:t>
      </w:r>
    </w:p>
    <w:p>
      <w:pPr>
        <w:spacing w:after="0" w:line="9" w:lineRule="exact"/>
        <w:rPr>
          <w:rFonts w:ascii="Times New Roman" w:cs="Times New Roman" w:eastAsia="Times New Roman" w:hAnsi="Times New Roman"/>
          <w:sz w:val="18"/>
          <w:szCs w:val="18"/>
          <w:color w:val="auto"/>
        </w:rPr>
      </w:pPr>
    </w:p>
    <w:p>
      <w:pPr>
        <w:ind w:left="2272" w:hanging="327"/>
        <w:spacing w:after="0"/>
        <w:tabs>
          <w:tab w:leader="none" w:pos="2272"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violate applicable laws, rules or regulations.</w:t>
      </w:r>
    </w:p>
    <w:p>
      <w:pPr>
        <w:spacing w:after="0" w:line="9" w:lineRule="exact"/>
        <w:rPr>
          <w:sz w:val="20"/>
          <w:szCs w:val="20"/>
          <w:color w:val="auto"/>
        </w:rPr>
      </w:pPr>
    </w:p>
    <w:p>
      <w:pPr>
        <w:jc w:val="both"/>
        <w:ind w:left="1952"/>
        <w:spacing w:after="0" w:line="255" w:lineRule="auto"/>
        <w:rPr>
          <w:sz w:val="20"/>
          <w:szCs w:val="20"/>
          <w:color w:val="auto"/>
        </w:rPr>
      </w:pPr>
      <w:r>
        <w:rPr>
          <w:rFonts w:ascii="Times New Roman" w:cs="Times New Roman" w:eastAsia="Times New Roman" w:hAnsi="Times New Roman"/>
          <w:sz w:val="18"/>
          <w:szCs w:val="18"/>
          <w:color w:val="auto"/>
        </w:rPr>
        <w:t>Business entertainment in the form of meals and beverages may be offered only if these activities and related expenses are modest and infrequent. Other forms of entertainment (such as tickets to sporting, civic or cultural events) are allowed only if reasonable, customary and not excessive.</w:t>
      </w:r>
    </w:p>
    <w:p>
      <w:pPr>
        <w:spacing w:after="0" w:line="182" w:lineRule="exact"/>
        <w:rPr>
          <w:sz w:val="20"/>
          <w:szCs w:val="20"/>
          <w:color w:val="auto"/>
        </w:rPr>
      </w:pPr>
    </w:p>
    <w:p>
      <w:pPr>
        <w:ind w:left="1952" w:hanging="655"/>
        <w:spacing w:after="0"/>
        <w:tabs>
          <w:tab w:leader="none" w:pos="195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Receiving</w:t>
      </w:r>
    </w:p>
    <w:p>
      <w:pPr>
        <w:spacing w:after="0" w:line="31" w:lineRule="exact"/>
        <w:rPr>
          <w:rFonts w:ascii="Times New Roman" w:cs="Times New Roman" w:eastAsia="Times New Roman" w:hAnsi="Times New Roman"/>
          <w:sz w:val="18"/>
          <w:szCs w:val="18"/>
          <w:color w:val="auto"/>
        </w:rPr>
      </w:pPr>
    </w:p>
    <w:p>
      <w:pPr>
        <w:ind w:left="1952"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avoid even the implication of impropriety, you should decline any gift, favor, entertainment or anything else of value from current or prospective intermediaries, clients, suppliers or contractors or their representatives except for:</w:t>
      </w:r>
    </w:p>
    <w:p>
      <w:pPr>
        <w:spacing w:after="0" w:line="179" w:lineRule="exact"/>
        <w:rPr>
          <w:rFonts w:ascii="Times New Roman" w:cs="Times New Roman" w:eastAsia="Times New Roman" w:hAnsi="Times New Roman"/>
          <w:sz w:val="18"/>
          <w:szCs w:val="18"/>
          <w:color w:val="auto"/>
        </w:rPr>
      </w:pPr>
    </w:p>
    <w:p>
      <w:pPr>
        <w:ind w:left="2272" w:hanging="327"/>
        <w:spacing w:after="0"/>
        <w:tabs>
          <w:tab w:leader="none" w:pos="2272"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Gifts that do not have substantial monetary value given at holidays or other special occasions;</w:t>
      </w:r>
    </w:p>
    <w:p>
      <w:pPr>
        <w:spacing w:after="0" w:line="27" w:lineRule="exact"/>
        <w:rPr>
          <w:rFonts w:ascii="Times New Roman" w:cs="Times New Roman" w:eastAsia="Times New Roman" w:hAnsi="Times New Roman"/>
          <w:sz w:val="18"/>
          <w:szCs w:val="18"/>
          <w:color w:val="auto"/>
        </w:rPr>
      </w:pPr>
    </w:p>
    <w:p>
      <w:pPr>
        <w:ind w:left="2272" w:right="300" w:hanging="327"/>
        <w:spacing w:after="0" w:line="250" w:lineRule="auto"/>
        <w:tabs>
          <w:tab w:leader="none" w:pos="2272"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entertainment at lunch, dinner or business meetings where the return of the expenditure on a reciprocal basis is likely to occur and would be properly chargeable as a business expense; or</w:t>
      </w:r>
    </w:p>
    <w:p>
      <w:pPr>
        <w:ind w:left="2272" w:right="420" w:hanging="327"/>
        <w:spacing w:after="0" w:line="250" w:lineRule="auto"/>
        <w:tabs>
          <w:tab w:leader="none" w:pos="2272"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routine entertainment that is business-related such as sports outings or cultural events, but only if such is otherwise acceptable under this Code and is reasonable, customary and not excessive.</w:t>
      </w:r>
    </w:p>
    <w:p>
      <w:pPr>
        <w:spacing w:after="0" w:line="1" w:lineRule="exact"/>
        <w:rPr>
          <w:sz w:val="20"/>
          <w:szCs w:val="20"/>
          <w:color w:val="auto"/>
        </w:rPr>
      </w:pPr>
    </w:p>
    <w:p>
      <w:pPr>
        <w:jc w:val="both"/>
        <w:ind w:left="1952"/>
        <w:spacing w:after="0" w:line="255" w:lineRule="auto"/>
        <w:rPr>
          <w:sz w:val="20"/>
          <w:szCs w:val="20"/>
          <w:color w:val="auto"/>
        </w:rPr>
      </w:pPr>
      <w:r>
        <w:rPr>
          <w:rFonts w:ascii="Times New Roman" w:cs="Times New Roman" w:eastAsia="Times New Roman" w:hAnsi="Times New Roman"/>
          <w:sz w:val="18"/>
          <w:szCs w:val="18"/>
          <w:color w:val="auto"/>
        </w:rPr>
        <w:t>In the event that you receive any gift or entertainment with a fair market value in excess of $200, you must promptly report it to your supervisor and/or such other person as may be designated by the Chief Compliance Officer. Executive officers must report such gifts or entertainment in writing, on a periodic basis, to the Audit Committee of the Board of Directors (the “Board”).</w:t>
      </w:r>
    </w:p>
    <w:p>
      <w:pPr>
        <w:spacing w:after="0" w:line="186" w:lineRule="exact"/>
        <w:rPr>
          <w:sz w:val="20"/>
          <w:szCs w:val="20"/>
          <w:color w:val="auto"/>
        </w:rPr>
      </w:pPr>
    </w:p>
    <w:p>
      <w:pPr>
        <w:jc w:val="both"/>
        <w:ind w:left="1952"/>
        <w:spacing w:after="0" w:line="282" w:lineRule="auto"/>
        <w:rPr>
          <w:sz w:val="20"/>
          <w:szCs w:val="20"/>
          <w:color w:val="auto"/>
        </w:rPr>
      </w:pPr>
      <w:r>
        <w:rPr>
          <w:rFonts w:ascii="Times New Roman" w:cs="Times New Roman" w:eastAsia="Times New Roman" w:hAnsi="Times New Roman"/>
          <w:sz w:val="18"/>
          <w:szCs w:val="18"/>
          <w:color w:val="auto"/>
        </w:rPr>
        <w:t>Ultimately, you must exercise good business judgment in deciding which situations are unacceptable. If there is ever any doubt as to the acceptability of any entertainment activity, consult with your supervisor or our Chief Compliance Officer.</w:t>
      </w:r>
    </w:p>
    <w:p>
      <w:pPr>
        <w:spacing w:after="0" w:line="158" w:lineRule="exact"/>
        <w:rPr>
          <w:sz w:val="20"/>
          <w:szCs w:val="20"/>
          <w:color w:val="auto"/>
        </w:rPr>
      </w:pPr>
    </w:p>
    <w:p>
      <w:pPr>
        <w:ind w:left="652" w:hanging="652"/>
        <w:spacing w:after="0"/>
        <w:tabs>
          <w:tab w:leader="none" w:pos="65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MAINTAINING ACCURATE AND COMPLETE COMPANY RECORDS</w:t>
      </w:r>
    </w:p>
    <w:p>
      <w:pPr>
        <w:spacing w:after="0" w:line="31"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ACCOUNTING AND FINANCIAL RECORDS</w:t>
      </w:r>
    </w:p>
    <w:p>
      <w:pPr>
        <w:spacing w:after="0" w:line="9" w:lineRule="exact"/>
        <w:rPr>
          <w:rFonts w:ascii="Times New Roman" w:cs="Times New Roman" w:eastAsia="Times New Roman" w:hAnsi="Times New Roman"/>
          <w:sz w:val="18"/>
          <w:szCs w:val="18"/>
          <w:color w:val="auto"/>
        </w:rPr>
      </w:pPr>
    </w:p>
    <w:p>
      <w:pPr>
        <w:jc w:val="both"/>
        <w:ind w:left="1292"/>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under U.S. federal securities laws and generally accepted accounting principles to keep books, records and accounts that accurately reflect all transactions and to provide an adequate system of internal accounting and controls. We expect you to ensure that those portions of our books, records and accounts for which you have responsibility are valid, complete, accurate and supported by appropriate documentation in verifiable form.</w:t>
      </w:r>
    </w:p>
    <w:p>
      <w:pPr>
        <w:spacing w:after="0" w:line="185" w:lineRule="exact"/>
        <w:rPr>
          <w:rFonts w:ascii="Times New Roman" w:cs="Times New Roman" w:eastAsia="Times New Roman" w:hAnsi="Times New Roman"/>
          <w:sz w:val="18"/>
          <w:szCs w:val="18"/>
          <w:color w:val="auto"/>
        </w:rPr>
      </w:pPr>
    </w:p>
    <w:p>
      <w:pPr>
        <w:ind w:left="12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should not:</w:t>
      </w:r>
    </w:p>
    <w:p>
      <w:pPr>
        <w:spacing w:after="0" w:line="225" w:lineRule="exact"/>
        <w:rPr>
          <w:rFonts w:ascii="Times New Roman" w:cs="Times New Roman" w:eastAsia="Times New Roman" w:hAnsi="Times New Roman"/>
          <w:sz w:val="18"/>
          <w:szCs w:val="18"/>
          <w:color w:val="auto"/>
        </w:rPr>
      </w:pPr>
    </w:p>
    <w:p>
      <w:pPr>
        <w:ind w:left="2272" w:hanging="327"/>
        <w:spacing w:after="0"/>
        <w:tabs>
          <w:tab w:leader="none" w:pos="2272"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Improperly accelerate or defer expenses or revenues to achieve financial results or goals;</w:t>
      </w:r>
    </w:p>
    <w:p>
      <w:pPr>
        <w:spacing w:after="0" w:line="27" w:lineRule="exact"/>
        <w:rPr>
          <w:rFonts w:ascii="Times New Roman" w:cs="Times New Roman" w:eastAsia="Times New Roman" w:hAnsi="Times New Roman"/>
          <w:sz w:val="18"/>
          <w:szCs w:val="18"/>
          <w:color w:val="auto"/>
        </w:rPr>
      </w:pPr>
    </w:p>
    <w:p>
      <w:pPr>
        <w:ind w:left="2272" w:hanging="327"/>
        <w:spacing w:after="0"/>
        <w:tabs>
          <w:tab w:leader="none" w:pos="2272"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Deviate from any accounting standards applicable to AGNC or otherwise;</w:t>
      </w:r>
    </w:p>
    <w:p>
      <w:pPr>
        <w:spacing w:after="0" w:line="9" w:lineRule="exact"/>
        <w:rPr>
          <w:rFonts w:ascii="Times New Roman" w:cs="Times New Roman" w:eastAsia="Times New Roman" w:hAnsi="Times New Roman"/>
          <w:sz w:val="18"/>
          <w:szCs w:val="18"/>
          <w:color w:val="auto"/>
        </w:rPr>
      </w:pPr>
    </w:p>
    <w:p>
      <w:pPr>
        <w:ind w:left="2272" w:hanging="327"/>
        <w:spacing w:after="0"/>
        <w:tabs>
          <w:tab w:leader="none" w:pos="2272"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the valuation of any of our assets at a value other than that required by law;</w:t>
      </w:r>
    </w:p>
    <w:p>
      <w:pPr>
        <w:spacing w:after="0" w:line="9" w:lineRule="exact"/>
        <w:rPr>
          <w:rFonts w:ascii="Times New Roman" w:cs="Times New Roman" w:eastAsia="Times New Roman" w:hAnsi="Times New Roman"/>
          <w:sz w:val="18"/>
          <w:szCs w:val="18"/>
          <w:color w:val="auto"/>
        </w:rPr>
      </w:pPr>
    </w:p>
    <w:p>
      <w:pPr>
        <w:ind w:left="2272" w:hanging="327"/>
        <w:spacing w:after="0"/>
        <w:tabs>
          <w:tab w:leader="none" w:pos="2272"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any undisclosed or unrecorded funds or off the book assets;</w:t>
      </w:r>
    </w:p>
    <w:p>
      <w:pPr>
        <w:spacing w:after="0" w:line="9" w:lineRule="exact"/>
        <w:rPr>
          <w:rFonts w:ascii="Times New Roman" w:cs="Times New Roman" w:eastAsia="Times New Roman" w:hAnsi="Times New Roman"/>
          <w:sz w:val="18"/>
          <w:szCs w:val="18"/>
          <w:color w:val="auto"/>
        </w:rPr>
      </w:pPr>
    </w:p>
    <w:p>
      <w:pPr>
        <w:ind w:left="2272" w:hanging="327"/>
        <w:spacing w:after="0"/>
        <w:tabs>
          <w:tab w:leader="none" w:pos="2272"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or maintain improper, misleading, incomplete or fraudulent accounting documentation or financial reporting;</w:t>
      </w:r>
    </w:p>
    <w:p>
      <w:pPr>
        <w:sectPr>
          <w:pgSz w:w="11900" w:h="16838" w:orient="portrait"/>
          <w:cols w:equalWidth="0" w:num="1">
            <w:col w:w="11412"/>
          </w:cols>
          <w:pgMar w:left="248" w:top="580" w:right="239" w:bottom="1440" w:gutter="0" w:footer="0" w:header="0"/>
        </w:sectPr>
      </w:pPr>
    </w:p>
    <w:bookmarkStart w:id="66" w:name="page67"/>
    <w:bookmarkEnd w:id="66"/>
    <w:p>
      <w:pPr>
        <w:ind w:left="2272" w:hanging="327"/>
        <w:spacing w:after="0"/>
        <w:tabs>
          <w:tab w:leader="none" w:pos="227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payment for purposes other than those described in the documents supporting the payment;</w:t>
      </w:r>
    </w:p>
    <w:p>
      <w:pPr>
        <w:spacing w:after="0" w:line="27" w:lineRule="exact"/>
        <w:rPr>
          <w:rFonts w:ascii="Times New Roman" w:cs="Times New Roman" w:eastAsia="Times New Roman" w:hAnsi="Times New Roman"/>
          <w:sz w:val="18"/>
          <w:szCs w:val="18"/>
          <w:color w:val="auto"/>
        </w:rPr>
      </w:pPr>
    </w:p>
    <w:p>
      <w:pPr>
        <w:ind w:left="2272" w:right="560" w:hanging="327"/>
        <w:spacing w:after="0" w:line="250" w:lineRule="auto"/>
        <w:tabs>
          <w:tab w:leader="none" w:pos="227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or approve any expense report where you know or suspect that any portion of the underlying expenses were not incurred or are not accurate; or</w:t>
      </w:r>
    </w:p>
    <w:p>
      <w:pPr>
        <w:ind w:left="2272" w:hanging="327"/>
        <w:spacing w:after="0"/>
        <w:tabs>
          <w:tab w:leader="none" w:pos="227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 any documents believed to be inaccurate or untruthful.</w:t>
      </w:r>
    </w:p>
    <w:p>
      <w:pPr>
        <w:spacing w:after="0" w:line="9" w:lineRule="exact"/>
        <w:rPr>
          <w:sz w:val="20"/>
          <w:szCs w:val="20"/>
          <w:color w:val="auto"/>
        </w:rPr>
      </w:pPr>
    </w:p>
    <w:p>
      <w:pPr>
        <w:jc w:val="both"/>
        <w:ind w:left="1292"/>
        <w:spacing w:after="0" w:line="253" w:lineRule="auto"/>
        <w:rPr>
          <w:sz w:val="20"/>
          <w:szCs w:val="20"/>
          <w:color w:val="auto"/>
        </w:rPr>
      </w:pPr>
      <w:r>
        <w:rPr>
          <w:rFonts w:ascii="Times New Roman" w:cs="Times New Roman" w:eastAsia="Times New Roman" w:hAnsi="Times New Roman"/>
          <w:sz w:val="18"/>
          <w:szCs w:val="18"/>
          <w:color w:val="auto"/>
        </w:rPr>
        <w:t>AGNC people who exercise supervisory duties over our assets or records are expected to establish and implement appropriate internal controls over all areas of their responsibility. This will help ensure the safeguarding of AGNC’s assets and the accuracy of our financial records and reports. We have adopted and will continue to adopt various types of internal controls and procedures as required to meet internal needs and applicable laws and regulations. We expect you to follow these controls and procedures to the extent they apply to you, to assure the complete and accurate recording of all transactions.</w:t>
      </w:r>
    </w:p>
    <w:p>
      <w:pPr>
        <w:spacing w:after="0" w:line="187" w:lineRule="exact"/>
        <w:rPr>
          <w:sz w:val="20"/>
          <w:szCs w:val="20"/>
          <w:color w:val="auto"/>
        </w:rPr>
      </w:pPr>
    </w:p>
    <w:p>
      <w:pPr>
        <w:jc w:val="both"/>
        <w:ind w:left="1292"/>
        <w:spacing w:after="0" w:line="266" w:lineRule="auto"/>
        <w:rPr>
          <w:sz w:val="20"/>
          <w:szCs w:val="20"/>
          <w:color w:val="auto"/>
        </w:rPr>
      </w:pPr>
      <w:r>
        <w:rPr>
          <w:rFonts w:ascii="Times New Roman" w:cs="Times New Roman" w:eastAsia="Times New Roman" w:hAnsi="Times New Roman"/>
          <w:sz w:val="18"/>
          <w:szCs w:val="18"/>
          <w:color w:val="auto"/>
        </w:rPr>
        <w:t>Any accounting entries or adjustments that materially depart from generally accepted accounting principles must be approved by our Audit Committee and reported to our independent auditors. You must not interfere with or seek to influence improperly (directly or indirectly) the review or auditing of our financial records by our Audit Committee or independent auditors.</w:t>
      </w:r>
    </w:p>
    <w:p>
      <w:pPr>
        <w:spacing w:after="0" w:line="176" w:lineRule="exact"/>
        <w:rPr>
          <w:sz w:val="20"/>
          <w:szCs w:val="20"/>
          <w:color w:val="auto"/>
        </w:rPr>
      </w:pPr>
    </w:p>
    <w:p>
      <w:pPr>
        <w:jc w:val="both"/>
        <w:ind w:left="1292"/>
        <w:spacing w:after="0" w:line="258" w:lineRule="auto"/>
        <w:rPr>
          <w:sz w:val="20"/>
          <w:szCs w:val="20"/>
          <w:color w:val="auto"/>
        </w:rPr>
      </w:pPr>
      <w:r>
        <w:rPr>
          <w:rFonts w:ascii="Times New Roman" w:cs="Times New Roman" w:eastAsia="Times New Roman" w:hAnsi="Times New Roman"/>
          <w:sz w:val="18"/>
          <w:szCs w:val="18"/>
          <w:color w:val="auto"/>
        </w:rPr>
        <w:t>If you become aware of any questionable transaction or accounting practice concerning AGNC, our investments or our other assets, we expect you to report the matter immediately to our Chief Compliance Officer or to a member of our Audit Committee. In addition, we expect you to report all material off-balance-sheet transactions, arrangements and obligations, contingent or otherwise, and other AGNC relationships outside the ordinary course of business with unconsolidated entities or other persons that may have material current or future effects on our financial condition or results of operations to our Chief Compliance Officer or to a member of our Audit Committee.</w:t>
      </w:r>
    </w:p>
    <w:p>
      <w:pPr>
        <w:spacing w:after="0" w:line="184" w:lineRule="exact"/>
        <w:rPr>
          <w:sz w:val="20"/>
          <w:szCs w:val="20"/>
          <w:color w:val="auto"/>
        </w:rPr>
      </w:pPr>
    </w:p>
    <w:p>
      <w:pPr>
        <w:jc w:val="both"/>
        <w:ind w:left="1292" w:right="20"/>
        <w:spacing w:after="0" w:line="282" w:lineRule="auto"/>
        <w:rPr>
          <w:sz w:val="20"/>
          <w:szCs w:val="20"/>
          <w:color w:val="auto"/>
        </w:rPr>
      </w:pPr>
      <w:r>
        <w:rPr>
          <w:rFonts w:ascii="Times New Roman" w:cs="Times New Roman" w:eastAsia="Times New Roman" w:hAnsi="Times New Roman"/>
          <w:sz w:val="18"/>
          <w:szCs w:val="18"/>
          <w:color w:val="auto"/>
        </w:rPr>
        <w:t>Section F.2 of this Code describes the procedure for making these reports. You may also make an anonymous report under Section F.2 if you are not comfortable revealing your identity when making a report.</w:t>
      </w:r>
    </w:p>
    <w:p>
      <w:pPr>
        <w:spacing w:after="0" w:line="158" w:lineRule="exact"/>
        <w:rPr>
          <w:sz w:val="20"/>
          <w:szCs w:val="20"/>
          <w:color w:val="auto"/>
        </w:rPr>
      </w:pPr>
    </w:p>
    <w:p>
      <w:pPr>
        <w:ind w:left="1292" w:hanging="644"/>
        <w:spacing w:after="0"/>
        <w:tabs>
          <w:tab w:leader="none" w:pos="1292"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DISCLOSURES TO INVESTORS</w:t>
      </w:r>
    </w:p>
    <w:p>
      <w:pPr>
        <w:spacing w:after="0" w:line="31" w:lineRule="exact"/>
        <w:rPr>
          <w:rFonts w:ascii="Times New Roman" w:cs="Times New Roman" w:eastAsia="Times New Roman" w:hAnsi="Times New Roman"/>
          <w:sz w:val="18"/>
          <w:szCs w:val="18"/>
          <w:color w:val="auto"/>
        </w:rPr>
      </w:pPr>
    </w:p>
    <w:p>
      <w:pPr>
        <w:jc w:val="both"/>
        <w:ind w:left="1292"/>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under U.S. federal securities laws to provide the public with periodic disclosure regarding our business and financial condition (such as quarterly and annual reports and materials for our annual stockholders’ meeting). We provide additional disclosures to the public through our quarterly earnings calls and press releases and provide disclosures to our lenders and other credit providers through various means. All AGNC people who participate in the preparation or dissemination of these disclosures, or who provide information that they know may be used in the preparation of these disclosures, have a legal and ethical duty to ensure that the content of the disclosures is accurate, complete and timely.</w:t>
      </w:r>
    </w:p>
    <w:p>
      <w:pPr>
        <w:spacing w:after="0" w:line="190" w:lineRule="exact"/>
        <w:rPr>
          <w:rFonts w:ascii="Times New Roman" w:cs="Times New Roman" w:eastAsia="Times New Roman" w:hAnsi="Times New Roman"/>
          <w:sz w:val="18"/>
          <w:szCs w:val="18"/>
          <w:color w:val="auto"/>
        </w:rPr>
      </w:pPr>
    </w:p>
    <w:p>
      <w:pPr>
        <w:jc w:val="both"/>
        <w:ind w:left="1292"/>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created and will continue to create disclosure controls and procedures that are designed to ensure that all such disclosures are accurate, complete and timely. If you become aware that our disclosures are not accurate, complete and timely, or become aware of a transaction or development you believe may require disclosure, you should report the matter immediately to our Chief Compliance Officer or a member of the Audit Committee.</w:t>
      </w:r>
    </w:p>
    <w:p>
      <w:pPr>
        <w:spacing w:after="0" w:line="176"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RETENTION OF DOCUMENTS</w:t>
      </w:r>
    </w:p>
    <w:p>
      <w:pPr>
        <w:spacing w:after="0" w:line="31" w:lineRule="exact"/>
        <w:rPr>
          <w:rFonts w:ascii="Times New Roman" w:cs="Times New Roman" w:eastAsia="Times New Roman" w:hAnsi="Times New Roman"/>
          <w:sz w:val="18"/>
          <w:szCs w:val="18"/>
          <w:color w:val="auto"/>
        </w:rPr>
      </w:pPr>
    </w:p>
    <w:p>
      <w:pPr>
        <w:jc w:val="both"/>
        <w:ind w:left="1292"/>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types of documents and records (including, for example, e-mails) must be retained for specific periods of time, because of legal and regulatory requirements, or contractual obligations to our providers of capital or others. These periods of time, and the types of documents and records covered, may vary from time to time and will be announced as appropriate. We expect you to comply with the document retention requirements that apply to you. If you are working with these types of documents and records, or are uncertain whether the documents or records you are working with are subject to these retention requirements, please consult with your supervisor, a member of our Legal team or our Chief Compliance Officer.</w:t>
      </w:r>
    </w:p>
    <w:p>
      <w:pPr>
        <w:spacing w:after="0" w:line="190" w:lineRule="exact"/>
        <w:rPr>
          <w:rFonts w:ascii="Times New Roman" w:cs="Times New Roman" w:eastAsia="Times New Roman" w:hAnsi="Times New Roman"/>
          <w:sz w:val="18"/>
          <w:szCs w:val="18"/>
          <w:color w:val="auto"/>
        </w:rPr>
      </w:pPr>
    </w:p>
    <w:p>
      <w:pPr>
        <w:jc w:val="both"/>
        <w:ind w:left="1292"/>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you become aware that documents or records of any type may be required in connection with a lawsuit or government investigation, you must preserve all possibly relevant documents. This means that you must immediately stop disposing of or altering those documents pertaining to the subjects of the litigation or investigation, even if that activity is ordinary or routine. If you are uncertain whether documents or records under your control should be preserved because they might relate to a lawsuit or investigation, you should contact a member of our Legal team or our Chief Compliance Officer.</w:t>
      </w:r>
    </w:p>
    <w:p>
      <w:pPr>
        <w:spacing w:after="0" w:line="179"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PROTECTING CONFIDENTIAL INFORMATION</w:t>
      </w:r>
    </w:p>
    <w:p>
      <w:pPr>
        <w:sectPr>
          <w:pgSz w:w="11900" w:h="16838" w:orient="portrait"/>
          <w:cols w:equalWidth="0" w:num="1">
            <w:col w:w="11412"/>
          </w:cols>
          <w:pgMar w:left="248" w:top="580" w:right="239" w:bottom="1440" w:gutter="0" w:footer="0" w:header="0"/>
        </w:sectPr>
      </w:pPr>
    </w:p>
    <w:bookmarkStart w:id="67" w:name="page68"/>
    <w:bookmarkEnd w:id="67"/>
    <w:p>
      <w:pPr>
        <w:ind w:left="644" w:hanging="644"/>
        <w:spacing w:after="0"/>
        <w:tabs>
          <w:tab w:leader="none" w:pos="64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AGNC CONFIDENTIAL INFORMATION</w:t>
      </w:r>
    </w:p>
    <w:p>
      <w:pPr>
        <w:spacing w:after="0" w:line="31" w:lineRule="exact"/>
        <w:rPr>
          <w:rFonts w:ascii="Times New Roman" w:cs="Times New Roman" w:eastAsia="Times New Roman" w:hAnsi="Times New Roman"/>
          <w:sz w:val="18"/>
          <w:szCs w:val="18"/>
          <w:color w:val="auto"/>
        </w:rPr>
      </w:pPr>
    </w:p>
    <w:p>
      <w:pPr>
        <w:ind w:left="644"/>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often have access to information that is private to AGNC, has not been made public and constitutes trade secrets or proprietary information. Protection of this information is critical to our ability to grow and compete.</w:t>
      </w:r>
    </w:p>
    <w:p>
      <w:pPr>
        <w:spacing w:after="0" w:line="179" w:lineRule="exact"/>
        <w:rPr>
          <w:rFonts w:ascii="Times New Roman" w:cs="Times New Roman" w:eastAsia="Times New Roman" w:hAnsi="Times New Roman"/>
          <w:sz w:val="18"/>
          <w:szCs w:val="18"/>
          <w:color w:val="auto"/>
        </w:rPr>
      </w:pPr>
    </w:p>
    <w:p>
      <w:pPr>
        <w:ind w:left="64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laws of most jurisdictions where we do business, trade secrets are legally protected property as long as they remain secret (meaning not generally or publicly known).</w:t>
      </w:r>
    </w:p>
    <w:p>
      <w:pPr>
        <w:spacing w:after="0" w:line="161"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obligations with respect to our confidential trade secrets and proprietary information are:</w:t>
      </w:r>
    </w:p>
    <w:p>
      <w:pPr>
        <w:spacing w:after="0" w:line="225" w:lineRule="exact"/>
        <w:rPr>
          <w:rFonts w:ascii="Times New Roman" w:cs="Times New Roman" w:eastAsia="Times New Roman" w:hAnsi="Times New Roman"/>
          <w:sz w:val="18"/>
          <w:szCs w:val="18"/>
          <w:color w:val="auto"/>
        </w:rPr>
      </w:pPr>
    </w:p>
    <w:p>
      <w:pPr>
        <w:ind w:left="1624" w:hanging="327"/>
        <w:spacing w:after="0"/>
        <w:tabs>
          <w:tab w:leader="none" w:pos="1624"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disclose the information outside of AGNC;</w:t>
      </w:r>
    </w:p>
    <w:p>
      <w:pPr>
        <w:spacing w:after="0" w:line="27" w:lineRule="exact"/>
        <w:rPr>
          <w:rFonts w:ascii="Times New Roman" w:cs="Times New Roman" w:eastAsia="Times New Roman" w:hAnsi="Times New Roman"/>
          <w:sz w:val="18"/>
          <w:szCs w:val="18"/>
          <w:color w:val="auto"/>
        </w:rPr>
      </w:pPr>
    </w:p>
    <w:p>
      <w:pPr>
        <w:ind w:left="1624" w:hanging="327"/>
        <w:spacing w:after="0"/>
        <w:tabs>
          <w:tab w:leader="none" w:pos="1624"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use the information for any purpose except to benefit AGNC’s business; and</w:t>
      </w:r>
    </w:p>
    <w:p>
      <w:pPr>
        <w:spacing w:after="0" w:line="9" w:lineRule="exact"/>
        <w:rPr>
          <w:rFonts w:ascii="Times New Roman" w:cs="Times New Roman" w:eastAsia="Times New Roman" w:hAnsi="Times New Roman"/>
          <w:sz w:val="18"/>
          <w:szCs w:val="18"/>
          <w:color w:val="auto"/>
        </w:rPr>
      </w:pPr>
    </w:p>
    <w:p>
      <w:pPr>
        <w:ind w:left="1624" w:right="220" w:hanging="327"/>
        <w:spacing w:after="0" w:line="250" w:lineRule="auto"/>
        <w:tabs>
          <w:tab w:leader="none" w:pos="1624"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disclose the information within AGNC, except to other AGNC people who need to know, or use, the information and are aware that it constitutes a trade secret or proprietary information.</w:t>
      </w:r>
    </w:p>
    <w:p>
      <w:pPr>
        <w:spacing w:after="0" w:line="1" w:lineRule="exact"/>
        <w:rPr>
          <w:sz w:val="20"/>
          <w:szCs w:val="20"/>
          <w:color w:val="auto"/>
        </w:rPr>
      </w:pPr>
    </w:p>
    <w:p>
      <w:pPr>
        <w:jc w:val="both"/>
        <w:ind w:left="644"/>
        <w:spacing w:after="0" w:line="254" w:lineRule="auto"/>
        <w:rPr>
          <w:sz w:val="20"/>
          <w:szCs w:val="20"/>
          <w:color w:val="auto"/>
        </w:rPr>
      </w:pPr>
      <w:r>
        <w:rPr>
          <w:rFonts w:ascii="Times New Roman" w:cs="Times New Roman" w:eastAsia="Times New Roman" w:hAnsi="Times New Roman"/>
          <w:sz w:val="18"/>
          <w:szCs w:val="18"/>
          <w:color w:val="auto"/>
        </w:rPr>
        <w:t>These obligations continue even after you leave AGNC, until the information becomes publicly available or until we no longer consider it a trade secret or proprietary information. Any documents, papers or records that contain trade secrets or proprietary information are our property and must remain at the company. In certain cases, AGNC people have executed nondisclosure agreements, employment agreements or other similar agreements that govern their obligations with respect to our information.</w:t>
      </w:r>
    </w:p>
    <w:p>
      <w:pPr>
        <w:spacing w:after="0" w:line="186" w:lineRule="exact"/>
        <w:rPr>
          <w:sz w:val="20"/>
          <w:szCs w:val="20"/>
          <w:color w:val="auto"/>
        </w:rPr>
      </w:pPr>
    </w:p>
    <w:p>
      <w:pPr>
        <w:jc w:val="both"/>
        <w:ind w:left="644"/>
        <w:spacing w:after="0" w:line="261" w:lineRule="auto"/>
        <w:rPr>
          <w:sz w:val="20"/>
          <w:szCs w:val="20"/>
          <w:color w:val="auto"/>
        </w:rPr>
      </w:pPr>
      <w:r>
        <w:rPr>
          <w:rFonts w:ascii="Times New Roman" w:cs="Times New Roman" w:eastAsia="Times New Roman" w:hAnsi="Times New Roman"/>
          <w:sz w:val="18"/>
          <w:szCs w:val="18"/>
          <w:color w:val="auto"/>
        </w:rPr>
        <w:t>Our confidential trade secrets and proprietary information may include, among other things, information regarding our operations, business plans, investments, customers, strategies, trade secrets, records, finances, assets, data or other information that reveals the processes, methodologies or know how by which our existing or future investments, services or methods of operation are developed, conducted or operated.</w:t>
      </w:r>
    </w:p>
    <w:p>
      <w:pPr>
        <w:spacing w:after="0" w:line="176" w:lineRule="exact"/>
        <w:rPr>
          <w:sz w:val="20"/>
          <w:szCs w:val="20"/>
          <w:color w:val="auto"/>
        </w:rPr>
      </w:pPr>
    </w:p>
    <w:p>
      <w:pPr>
        <w:ind w:left="644" w:hanging="644"/>
        <w:spacing w:after="0"/>
        <w:tabs>
          <w:tab w:leader="none" w:pos="64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CONFIDENTIAL INFORMATION OF OTHERS</w:t>
      </w:r>
    </w:p>
    <w:p>
      <w:pPr>
        <w:spacing w:after="0" w:line="31" w:lineRule="exact"/>
        <w:rPr>
          <w:rFonts w:ascii="Times New Roman" w:cs="Times New Roman" w:eastAsia="Times New Roman" w:hAnsi="Times New Roman"/>
          <w:sz w:val="18"/>
          <w:szCs w:val="18"/>
          <w:color w:val="auto"/>
        </w:rPr>
      </w:pPr>
    </w:p>
    <w:p>
      <w:pPr>
        <w:jc w:val="both"/>
        <w:ind w:left="644"/>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normal course of business, you will acquire information about many other organizations, including clients, suppliers and competitors. This is a normal business activity and is not unethical in itself. We properly gather this kind of information for such purposes as evaluating investments. We also collect information on competitors from a variety of legitimate sources to evaluate the relative merits of our own investments and other business practices.</w:t>
      </w:r>
    </w:p>
    <w:p>
      <w:pPr>
        <w:spacing w:after="0" w:line="185" w:lineRule="exact"/>
        <w:rPr>
          <w:rFonts w:ascii="Times New Roman" w:cs="Times New Roman" w:eastAsia="Times New Roman" w:hAnsi="Times New Roman"/>
          <w:sz w:val="18"/>
          <w:szCs w:val="18"/>
          <w:color w:val="auto"/>
        </w:rPr>
      </w:pPr>
    </w:p>
    <w:p>
      <w:pPr>
        <w:jc w:val="both"/>
        <w:ind w:left="644"/>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however, limits to the ways that this information should be acquired and used. When working with sensitive information about our customers or suppliers, you should use that information only for the purposes for which it was disclosed to you and make it available only to other AGNC people with a legitimate need to know.</w:t>
      </w:r>
    </w:p>
    <w:p>
      <w:pPr>
        <w:spacing w:after="0" w:line="176" w:lineRule="exact"/>
        <w:rPr>
          <w:rFonts w:ascii="Times New Roman" w:cs="Times New Roman" w:eastAsia="Times New Roman" w:hAnsi="Times New Roman"/>
          <w:sz w:val="18"/>
          <w:szCs w:val="18"/>
          <w:color w:val="auto"/>
        </w:rPr>
      </w:pPr>
    </w:p>
    <w:p>
      <w:pPr>
        <w:jc w:val="both"/>
        <w:ind w:left="644"/>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should not use illegitimate means to acquire a competitor’s trade secrets or other confidential information. Illegal practices such as trespassing, burglary, wiretapping, bribery and stealing are obviously wrong. We will not tolerate any form of questionable intelligence-gathering. In addition, we strive to protect the privacy of personal information of others. We will only collect, use, process, and disclose an individual’s personal information in accordance with applicable law and our internal policies.</w:t>
      </w:r>
    </w:p>
    <w:p>
      <w:pPr>
        <w:spacing w:after="0" w:line="176"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INADVERTENT DISCLOSURE</w:t>
      </w:r>
    </w:p>
    <w:p>
      <w:pPr>
        <w:spacing w:after="0" w:line="31" w:lineRule="exact"/>
        <w:rPr>
          <w:rFonts w:ascii="Times New Roman" w:cs="Times New Roman" w:eastAsia="Times New Roman" w:hAnsi="Times New Roman"/>
          <w:sz w:val="18"/>
          <w:szCs w:val="18"/>
          <w:color w:val="auto"/>
        </w:rPr>
      </w:pPr>
    </w:p>
    <w:p>
      <w:pPr>
        <w:jc w:val="both"/>
        <w:ind w:left="644"/>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should be careful to avoid the inadvertent disclosure of proprietary information. To avoid inadvertent disclosure, you should never discuss with any unauthorized person proprietary information that AGNC considers confidential or that we have not made public. You also should not discuss this information even with authorized AGNC people if you are in locations where unauthorized people may overhear you, such as airplanes or elevators, or when using non-secure electronic bulletin boards or databases. You should also not discuss this information with family members or with friends, because they may innocently or unintentionally pass the information on to someone else.</w:t>
      </w:r>
    </w:p>
    <w:p>
      <w:pPr>
        <w:spacing w:after="0" w:line="183"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CONTACTS WITH REPORTERS, ANALYSTS AND OTHER MEDIA</w:t>
      </w:r>
    </w:p>
    <w:p>
      <w:pPr>
        <w:spacing w:after="0" w:line="31" w:lineRule="exact"/>
        <w:rPr>
          <w:rFonts w:ascii="Times New Roman" w:cs="Times New Roman" w:eastAsia="Times New Roman" w:hAnsi="Times New Roman"/>
          <w:sz w:val="18"/>
          <w:szCs w:val="18"/>
          <w:color w:val="auto"/>
        </w:rPr>
      </w:pPr>
    </w:p>
    <w:p>
      <w:pPr>
        <w:jc w:val="both"/>
        <w:ind w:left="644"/>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of the importance of the legal requirements regarding disclosure of certain information to our investors, we must make certain that any information regarding our business, financial condition or operating results that is released to the public is accurate and consistent. As a result, you should not discuss internal AGNC matters with anyone outside of AGNC, except as clearly required in the performance of your job duties. This prohibition applies particularly to inquiries about AGNC made by the news media, securities analysts or investors. All responses to these inquiries must be made only by our executive officers (and individuals specifically designated</w:t>
      </w:r>
    </w:p>
    <w:p>
      <w:pPr>
        <w:sectPr>
          <w:pgSz w:w="11900" w:h="16838" w:orient="portrait"/>
          <w:cols w:equalWidth="0" w:num="1">
            <w:col w:w="10764"/>
          </w:cols>
          <w:pgMar w:left="896" w:top="576" w:right="239" w:bottom="1440" w:gutter="0" w:footer="0" w:header="0"/>
        </w:sectPr>
      </w:pPr>
    </w:p>
    <w:bookmarkStart w:id="68" w:name="page69"/>
    <w:bookmarkEnd w:id="68"/>
    <w:p>
      <w:pPr>
        <w:jc w:val="both"/>
        <w:ind w:left="1292"/>
        <w:spacing w:after="0" w:line="266" w:lineRule="auto"/>
        <w:rPr>
          <w:sz w:val="20"/>
          <w:szCs w:val="20"/>
          <w:color w:val="auto"/>
        </w:rPr>
      </w:pPr>
      <w:r>
        <w:rPr>
          <w:rFonts w:ascii="Times New Roman" w:cs="Times New Roman" w:eastAsia="Times New Roman" w:hAnsi="Times New Roman"/>
          <w:sz w:val="18"/>
          <w:szCs w:val="18"/>
          <w:color w:val="auto"/>
        </w:rPr>
        <w:t>by them, including members of our Investor Relations and Corporate Communications staffs), who are authorized to discuss information about AGNC with the news media, securities analysts and investors. If you receive inquiries from these sources, you should immediately refer them to one of these authorized spokespersons.</w:t>
      </w:r>
    </w:p>
    <w:p>
      <w:pPr>
        <w:spacing w:after="0" w:line="176" w:lineRule="exact"/>
        <w:rPr>
          <w:sz w:val="20"/>
          <w:szCs w:val="20"/>
          <w:color w:val="auto"/>
        </w:rPr>
      </w:pPr>
    </w:p>
    <w:p>
      <w:pPr>
        <w:jc w:val="both"/>
        <w:ind w:left="1292"/>
        <w:spacing w:after="0" w:line="266" w:lineRule="auto"/>
        <w:rPr>
          <w:sz w:val="20"/>
          <w:szCs w:val="20"/>
          <w:color w:val="auto"/>
        </w:rPr>
      </w:pPr>
      <w:r>
        <w:rPr>
          <w:rFonts w:ascii="Times New Roman" w:cs="Times New Roman" w:eastAsia="Times New Roman" w:hAnsi="Times New Roman"/>
          <w:sz w:val="18"/>
          <w:szCs w:val="18"/>
          <w:color w:val="auto"/>
        </w:rPr>
        <w:t>It should also be noted that the foregoing restrictions also apply with regard to the disclosure of information through non-traditional media, such as the internet. For example, AGNC people should not post information regarding the company in internet chat rooms or bulletin boards.</w:t>
      </w:r>
    </w:p>
    <w:p>
      <w:pPr>
        <w:spacing w:after="0" w:line="172" w:lineRule="exact"/>
        <w:rPr>
          <w:sz w:val="20"/>
          <w:szCs w:val="20"/>
          <w:color w:val="auto"/>
        </w:rPr>
      </w:pPr>
    </w:p>
    <w:p>
      <w:pPr>
        <w:ind w:left="652" w:hanging="652"/>
        <w:spacing w:after="0"/>
        <w:tabs>
          <w:tab w:leader="none" w:pos="65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ADMINISTRATION OF THIS CODE</w:t>
      </w:r>
    </w:p>
    <w:p>
      <w:pPr>
        <w:spacing w:after="0" w:line="31"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ONGOING REVIEW OF COMPLIANCE</w:t>
      </w:r>
    </w:p>
    <w:p>
      <w:pPr>
        <w:spacing w:after="0" w:line="9" w:lineRule="exact"/>
        <w:rPr>
          <w:rFonts w:ascii="Times New Roman" w:cs="Times New Roman" w:eastAsia="Times New Roman" w:hAnsi="Times New Roman"/>
          <w:sz w:val="18"/>
          <w:szCs w:val="18"/>
          <w:color w:val="auto"/>
        </w:rPr>
      </w:pPr>
    </w:p>
    <w:p>
      <w:pPr>
        <w:jc w:val="both"/>
        <w:ind w:left="1292"/>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require all AGNC people to comply with this Code. Upon your receipt of this Code, and also from time to time as we deem to be necessary, we may require you to sign an acknowledgement confirming that you have read and understood this Code and agree to comply with its provisions. We reserve the right to monitor your continuing compliance with the provisions of this Code and to investigate any suspected violations. If substantiated, these violations could result in disciplinary action, as described more fully in the following sections.</w:t>
      </w:r>
    </w:p>
    <w:p>
      <w:pPr>
        <w:spacing w:after="0" w:line="181"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REPORTING OF SUSPECTED VIOLATIONS</w:t>
      </w:r>
    </w:p>
    <w:p>
      <w:pPr>
        <w:spacing w:after="0" w:line="31" w:lineRule="exact"/>
        <w:rPr>
          <w:rFonts w:ascii="Times New Roman" w:cs="Times New Roman" w:eastAsia="Times New Roman" w:hAnsi="Times New Roman"/>
          <w:sz w:val="18"/>
          <w:szCs w:val="18"/>
          <w:color w:val="auto"/>
        </w:rPr>
      </w:pPr>
    </w:p>
    <w:p>
      <w:pPr>
        <w:jc w:val="both"/>
        <w:ind w:left="1292"/>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you to bring to the attention of the Chief Compliance Officer (or any people that the Chief Compliance Officer designates) information about suspected violations of this Code by any other AGNC person as promptly as practicable. Additionally, we may designate a third-party hotline provider to which information about suspected violations of the Code may be reported. If you have information about suspected improper accounting or auditing matters, you should bring such information to the attention of our Chief Compliance Officer or a member of our Audit Committee directly. To contact our Audit Committee or to submit a report to them, please contact them at the contact information that we will distribute periodically.</w:t>
      </w:r>
    </w:p>
    <w:p>
      <w:pPr>
        <w:spacing w:after="0" w:line="190" w:lineRule="exact"/>
        <w:rPr>
          <w:rFonts w:ascii="Times New Roman" w:cs="Times New Roman" w:eastAsia="Times New Roman" w:hAnsi="Times New Roman"/>
          <w:sz w:val="18"/>
          <w:szCs w:val="18"/>
          <w:color w:val="auto"/>
        </w:rPr>
      </w:pPr>
    </w:p>
    <w:p>
      <w:pPr>
        <w:ind w:left="1292"/>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not comfortable revealing your identity when making a report, you can also make an anonymous report with our Chief Compliance Officer, the hotline or our Audit Committee.</w:t>
      </w:r>
    </w:p>
    <w:p>
      <w:pPr>
        <w:spacing w:after="0" w:line="161" w:lineRule="exact"/>
        <w:rPr>
          <w:rFonts w:ascii="Times New Roman" w:cs="Times New Roman" w:eastAsia="Times New Roman" w:hAnsi="Times New Roman"/>
          <w:sz w:val="18"/>
          <w:szCs w:val="18"/>
          <w:color w:val="auto"/>
        </w:rPr>
      </w:pPr>
    </w:p>
    <w:p>
      <w:pPr>
        <w:jc w:val="both"/>
        <w:ind w:left="1292"/>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should feel safe in reporting this information, without regard to the identity or position of the suspected offender. We will treat the information in a confidential manner (consistent with appropriate evaluation and investigation) and will not take any acts of retribution or retaliation against you for making a report.</w:t>
      </w:r>
    </w:p>
    <w:p>
      <w:pPr>
        <w:spacing w:after="0" w:line="176" w:lineRule="exact"/>
        <w:rPr>
          <w:rFonts w:ascii="Times New Roman" w:cs="Times New Roman" w:eastAsia="Times New Roman" w:hAnsi="Times New Roman"/>
          <w:sz w:val="18"/>
          <w:szCs w:val="18"/>
          <w:color w:val="auto"/>
        </w:rPr>
      </w:pPr>
    </w:p>
    <w:p>
      <w:pPr>
        <w:jc w:val="both"/>
        <w:ind w:left="1292"/>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failure to report criminal activity can itself be understood to condone the crime, we emphasize the importance of prompt reporting. For both criminal activity and other violations of this Code, failure to report knowledge of wrongdoing may result in disciplinary action against those who fail to report.</w:t>
      </w:r>
    </w:p>
    <w:p>
      <w:pPr>
        <w:spacing w:after="0" w:line="172"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NON-RETALIATION</w:t>
      </w:r>
    </w:p>
    <w:p>
      <w:pPr>
        <w:spacing w:after="0" w:line="31" w:lineRule="exact"/>
        <w:rPr>
          <w:rFonts w:ascii="Times New Roman" w:cs="Times New Roman" w:eastAsia="Times New Roman" w:hAnsi="Times New Roman"/>
          <w:sz w:val="18"/>
          <w:szCs w:val="18"/>
          <w:color w:val="auto"/>
        </w:rPr>
      </w:pPr>
    </w:p>
    <w:p>
      <w:pPr>
        <w:jc w:val="both"/>
        <w:ind w:left="1292"/>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Code shall prohibit you from reporting any possible violation of federal law or regulation to any governmental agency. Further, nothing shall restrict you from communicating with such agency in the course of its investigation or from making disclosures that are protected pursuant to the whistleblower provisions of federal law and regulation.</w:t>
      </w:r>
    </w:p>
    <w:p>
      <w:pPr>
        <w:spacing w:after="0" w:line="186" w:lineRule="exact"/>
        <w:rPr>
          <w:rFonts w:ascii="Times New Roman" w:cs="Times New Roman" w:eastAsia="Times New Roman" w:hAnsi="Times New Roman"/>
          <w:sz w:val="18"/>
          <w:szCs w:val="18"/>
          <w:color w:val="auto"/>
        </w:rPr>
      </w:pPr>
    </w:p>
    <w:p>
      <w:pPr>
        <w:jc w:val="both"/>
        <w:ind w:left="1292"/>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Retaliation in any form against an AGNC person who reports a violation of this Code (even if the report is mistaken but was submitted in the good faith belief it was correct) or who assists in the investigation of a reported violation is itself a serious violation of this Code. Acts of retaliation should be reported immediately and may result in severe disciplinary action.</w:t>
      </w:r>
    </w:p>
    <w:p>
      <w:pPr>
        <w:spacing w:after="0" w:line="172"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INVESTIGATION OF SUSPECTED VIOLATIONS</w:t>
      </w:r>
    </w:p>
    <w:p>
      <w:pPr>
        <w:spacing w:after="0" w:line="31" w:lineRule="exact"/>
        <w:rPr>
          <w:rFonts w:ascii="Times New Roman" w:cs="Times New Roman" w:eastAsia="Times New Roman" w:hAnsi="Times New Roman"/>
          <w:sz w:val="18"/>
          <w:szCs w:val="18"/>
          <w:color w:val="auto"/>
        </w:rPr>
      </w:pPr>
    </w:p>
    <w:p>
      <w:pPr>
        <w:jc w:val="both"/>
        <w:ind w:left="1292"/>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Suspected violations will be investigated under the supervision of our Chief Compliance Officer or the Audit Committee, in such manner as the Chief Compliance Officer or the Audit Committee, as applicable, deems appropriate. You are expected to cooperate in the investigation of reported violations. When practical and appropriate under the circumstances, and in order to protect the privacy of the persons involved, those people investigating the suspected violation will attempt to keep confidential the identity of someone who reports a suspected violation or who participates in the investigation. There may be situations, however, when this information must be disclosed as part of our investigation.</w:t>
      </w:r>
    </w:p>
    <w:p>
      <w:pPr>
        <w:spacing w:after="0" w:line="190" w:lineRule="exact"/>
        <w:rPr>
          <w:rFonts w:ascii="Times New Roman" w:cs="Times New Roman" w:eastAsia="Times New Roman" w:hAnsi="Times New Roman"/>
          <w:sz w:val="18"/>
          <w:szCs w:val="18"/>
          <w:color w:val="auto"/>
        </w:rPr>
      </w:pPr>
    </w:p>
    <w:p>
      <w:pPr>
        <w:jc w:val="both"/>
        <w:ind w:left="1292"/>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Chief Compliance Officer may call upon members of our Legal team to participate in any investigations. You should be aware that our Chief Compliance Officer and the members of our Legal team are legally obligated to act in the best interests of AGNC as a company. They do not act as lawyers or personal representatives for</w:t>
      </w:r>
    </w:p>
    <w:p>
      <w:pPr>
        <w:sectPr>
          <w:pgSz w:w="11900" w:h="16838" w:orient="portrait"/>
          <w:cols w:equalWidth="0" w:num="1">
            <w:col w:w="11412"/>
          </w:cols>
          <w:pgMar w:left="248" w:top="580" w:right="239" w:bottom="1440" w:gutter="0" w:footer="0" w:header="0"/>
        </w:sectPr>
      </w:pPr>
    </w:p>
    <w:bookmarkStart w:id="69" w:name="page70"/>
    <w:bookmarkEnd w:id="69"/>
    <w:p>
      <w:pPr>
        <w:ind w:left="644"/>
        <w:spacing w:after="0" w:line="282" w:lineRule="auto"/>
        <w:rPr>
          <w:sz w:val="20"/>
          <w:szCs w:val="20"/>
          <w:color w:val="auto"/>
        </w:rPr>
      </w:pPr>
      <w:r>
        <w:rPr>
          <w:rFonts w:ascii="Times New Roman" w:cs="Times New Roman" w:eastAsia="Times New Roman" w:hAnsi="Times New Roman"/>
          <w:sz w:val="18"/>
          <w:szCs w:val="18"/>
          <w:color w:val="auto"/>
        </w:rPr>
        <w:t>any individual AGNC person, including our executive officers. Our Board has ultimate responsibility for final interpretation of this Code and for determining whether any violations of this Code have occurred.</w:t>
      </w:r>
    </w:p>
    <w:p>
      <w:pPr>
        <w:spacing w:after="0" w:line="158" w:lineRule="exact"/>
        <w:rPr>
          <w:sz w:val="20"/>
          <w:szCs w:val="20"/>
          <w:color w:val="auto"/>
        </w:rPr>
      </w:pPr>
    </w:p>
    <w:p>
      <w:pPr>
        <w:ind w:left="644" w:hanging="644"/>
        <w:spacing w:after="0"/>
        <w:tabs>
          <w:tab w:leader="none" w:pos="64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DISCIPLINARY ACTION</w:t>
      </w:r>
    </w:p>
    <w:p>
      <w:pPr>
        <w:spacing w:after="0" w:line="31" w:lineRule="exact"/>
        <w:rPr>
          <w:rFonts w:ascii="Times New Roman" w:cs="Times New Roman" w:eastAsia="Times New Roman" w:hAnsi="Times New Roman"/>
          <w:sz w:val="18"/>
          <w:szCs w:val="18"/>
          <w:color w:val="auto"/>
        </w:rPr>
      </w:pPr>
    </w:p>
    <w:p>
      <w:pPr>
        <w:jc w:val="both"/>
        <w:ind w:left="644"/>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Chief Compliance Officer or our Board (or those acting under their supervision) determine, in their good faith discretion, that you have violated any provision of this Code, you may be subject to disciplinary action, up to and including termination of your employment or contract without prior warning and referral for criminal prosecution and fines.</w:t>
      </w:r>
    </w:p>
    <w:p>
      <w:pPr>
        <w:spacing w:after="0" w:line="182"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SPECIAL PROVISIONS APPLICABLE TO CERTAIN FINANCIAL EXECUTIVES</w:t>
      </w:r>
    </w:p>
    <w:p>
      <w:pPr>
        <w:spacing w:after="0" w:line="31" w:lineRule="exact"/>
        <w:rPr>
          <w:rFonts w:ascii="Times New Roman" w:cs="Times New Roman" w:eastAsia="Times New Roman" w:hAnsi="Times New Roman"/>
          <w:sz w:val="18"/>
          <w:szCs w:val="18"/>
          <w:color w:val="auto"/>
        </w:rPr>
      </w:pPr>
    </w:p>
    <w:p>
      <w:pPr>
        <w:jc w:val="both"/>
        <w:ind w:left="644"/>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the important position of trust and authority that they occupy, our Chief Executive Officer, Chief Financial Officer, Chief Accounting Officer, Controller, directors and certain other persons who may be designated by the Board or the Audit Committee (collectively, the “Financial Executives”) should act extremely cautiously in interpreting and applying this Code. Financial Executives should consult with our Chief Compliance Officer with respect to any proposed actions or arrangements that are not clearly consistent with the Code. In the event that a Financial Executive wishes to engage in a proposed action or arrangement that is not consistent with the Code, the Financial Executive must obtain a waiver of the relevant Code provisions in advance from the Board.</w:t>
      </w:r>
    </w:p>
    <w:p>
      <w:pPr>
        <w:spacing w:after="0" w:line="190" w:lineRule="exact"/>
        <w:rPr>
          <w:rFonts w:ascii="Times New Roman" w:cs="Times New Roman" w:eastAsia="Times New Roman" w:hAnsi="Times New Roman"/>
          <w:sz w:val="18"/>
          <w:szCs w:val="18"/>
          <w:color w:val="auto"/>
        </w:rPr>
      </w:pPr>
    </w:p>
    <w:p>
      <w:pPr>
        <w:jc w:val="both"/>
        <w:ind w:left="644"/>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Sarbanes-Oxley Act of 2002 imposes certain reporting requirements on AGNC with respect to our Financial Executives’ compliance with the Code. In accordance with these requirements, we will publicly report on a Current Report on Form 8-K any waivers of any provision of the Code granted by our Board to any Financial Executive. Violations of the Code by our Financial Executives may also be immediately reported on Form 8-K.</w:t>
      </w:r>
    </w:p>
    <w:p>
      <w:pPr>
        <w:spacing w:after="0" w:line="176"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REVISIONS AND UPDATES TO THIS CODE</w:t>
      </w:r>
    </w:p>
    <w:p>
      <w:pPr>
        <w:spacing w:after="0" w:line="31" w:lineRule="exact"/>
        <w:rPr>
          <w:rFonts w:ascii="Times New Roman" w:cs="Times New Roman" w:eastAsia="Times New Roman" w:hAnsi="Times New Roman"/>
          <w:sz w:val="18"/>
          <w:szCs w:val="18"/>
          <w:color w:val="auto"/>
        </w:rPr>
      </w:pPr>
    </w:p>
    <w:p>
      <w:pPr>
        <w:jc w:val="both"/>
        <w:ind w:left="644"/>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Code may be revised, changed or amended at any time by our Board. Following any material revisions or updates, an updated version of this Code will be distributed to you, and will supersede the prior version of this Code effective upon distribution. We may ask you to sign an acknowledgement confirming that you have read and understood the revised version of the Code, and that you agree to comply with its provisions.</w:t>
      </w:r>
    </w:p>
    <w:p>
      <w:pPr>
        <w:spacing w:after="0" w:line="18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IMPORTANT DISCLAIMERS</w:t>
      </w:r>
    </w:p>
    <w:p>
      <w:pPr>
        <w:spacing w:after="0" w:line="31" w:lineRule="exact"/>
        <w:rPr>
          <w:rFonts w:ascii="Times New Roman" w:cs="Times New Roman" w:eastAsia="Times New Roman" w:hAnsi="Times New Roman"/>
          <w:sz w:val="18"/>
          <w:szCs w:val="18"/>
          <w:color w:val="auto"/>
        </w:rPr>
      </w:pPr>
    </w:p>
    <w:p>
      <w:pPr>
        <w:jc w:val="both"/>
        <w:ind w:left="644"/>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Code reflects general principles to guide you in making ethical decisions and cannot, and is not intended to, address every specific situation in which we may find it appropriate to take disciplinary action. This Code is not intended to create any contract (express or implied) with you, including without limitation any employment contract, or to constitute any promise with regard to the length and terms of your employment.</w:t>
      </w:r>
    </w:p>
    <w:p>
      <w:pPr>
        <w:sectPr>
          <w:pgSz w:w="11900" w:h="16838" w:orient="portrait"/>
          <w:cols w:equalWidth="0" w:num="1">
            <w:col w:w="10764"/>
          </w:cols>
          <w:pgMar w:left="896" w:top="580" w:right="239" w:bottom="1440" w:gutter="0" w:footer="0" w:header="0"/>
        </w:sectPr>
      </w:pPr>
    </w:p>
    <w:bookmarkStart w:id="70" w:name="page71"/>
    <w:bookmarkEnd w:id="70"/>
    <w:p>
      <w:pPr>
        <w:ind w:left="10520"/>
        <w:spacing w:after="0"/>
        <w:rPr>
          <w:sz w:val="20"/>
          <w:szCs w:val="20"/>
          <w:color w:val="auto"/>
        </w:rPr>
      </w:pPr>
      <w:r>
        <w:rPr>
          <w:rFonts w:ascii="Times New Roman" w:cs="Times New Roman" w:eastAsia="Times New Roman" w:hAnsi="Times New Roman"/>
          <w:sz w:val="17"/>
          <w:szCs w:val="17"/>
          <w:color w:val="auto"/>
        </w:rPr>
        <w:t>Exhibit 31.1</w:t>
      </w:r>
    </w:p>
    <w:p>
      <w:pPr>
        <w:spacing w:after="0" w:line="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Gary Kain, certify that:</w:t>
      </w:r>
    </w:p>
    <w:p>
      <w:pPr>
        <w:spacing w:after="0" w:line="158" w:lineRule="exact"/>
        <w:rPr>
          <w:sz w:val="20"/>
          <w:szCs w:val="20"/>
          <w:color w:val="auto"/>
        </w:rPr>
      </w:pPr>
    </w:p>
    <w:p>
      <w:pPr>
        <w:ind w:left="860" w:hanging="467"/>
        <w:spacing w:after="0"/>
        <w:tabs>
          <w:tab w:leader="none" w:pos="8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AGNC Investment Corp.;</w:t>
      </w:r>
    </w:p>
    <w:p>
      <w:pPr>
        <w:spacing w:after="0" w:line="157" w:lineRule="exact"/>
        <w:rPr>
          <w:rFonts w:ascii="Times New Roman" w:cs="Times New Roman" w:eastAsia="Times New Roman" w:hAnsi="Times New Roman"/>
          <w:sz w:val="18"/>
          <w:szCs w:val="18"/>
          <w:color w:val="auto"/>
        </w:rPr>
      </w:pPr>
    </w:p>
    <w:p>
      <w:pPr>
        <w:jc w:val="both"/>
        <w:ind w:left="860" w:hanging="467"/>
        <w:spacing w:after="0" w:line="266" w:lineRule="auto"/>
        <w:tabs>
          <w:tab w:leader="none" w:pos="8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860" w:hanging="467"/>
        <w:spacing w:after="0" w:line="282" w:lineRule="auto"/>
        <w:tabs>
          <w:tab w:leader="none" w:pos="8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jc w:val="both"/>
        <w:ind w:left="860" w:hanging="467"/>
        <w:spacing w:after="0" w:line="266" w:lineRule="auto"/>
        <w:tabs>
          <w:tab w:leader="none" w:pos="8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jc w:val="both"/>
        <w:ind w:left="1400" w:hanging="440"/>
        <w:spacing w:after="0" w:line="266" w:lineRule="auto"/>
        <w:tabs>
          <w:tab w:leader="none" w:pos="14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jc w:val="both"/>
        <w:ind w:left="1400" w:hanging="440"/>
        <w:spacing w:after="0" w:line="266" w:lineRule="auto"/>
        <w:tabs>
          <w:tab w:leader="none" w:pos="14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ind w:left="1400" w:right="20" w:hanging="440"/>
        <w:spacing w:after="0" w:line="282" w:lineRule="auto"/>
        <w:tabs>
          <w:tab w:leader="none" w:pos="14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8"/>
          <w:szCs w:val="18"/>
          <w:color w:val="auto"/>
        </w:rPr>
      </w:pPr>
    </w:p>
    <w:p>
      <w:pPr>
        <w:jc w:val="both"/>
        <w:ind w:left="1400" w:hanging="440"/>
        <w:spacing w:after="0" w:line="266" w:lineRule="auto"/>
        <w:tabs>
          <w:tab w:leader="none" w:pos="14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860" w:hanging="467"/>
        <w:spacing w:after="0" w:line="282" w:lineRule="auto"/>
        <w:tabs>
          <w:tab w:leader="none" w:pos="8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94" w:lineRule="exact"/>
        <w:rPr>
          <w:rFonts w:ascii="Times New Roman" w:cs="Times New Roman" w:eastAsia="Times New Roman" w:hAnsi="Times New Roman"/>
          <w:sz w:val="18"/>
          <w:szCs w:val="18"/>
          <w:color w:val="auto"/>
        </w:rPr>
      </w:pPr>
    </w:p>
    <w:p>
      <w:pPr>
        <w:ind w:left="1400" w:hanging="440"/>
        <w:spacing w:after="0" w:line="282" w:lineRule="auto"/>
        <w:tabs>
          <w:tab w:leader="none" w:pos="14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400" w:right="20" w:hanging="440"/>
        <w:spacing w:after="0" w:line="282" w:lineRule="auto"/>
        <w:tabs>
          <w:tab w:leader="none" w:pos="14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3, 2017</w:t>
      </w:r>
    </w:p>
    <w:p>
      <w:pPr>
        <w:spacing w:after="0" w:line="333" w:lineRule="exact"/>
        <w:rPr>
          <w:sz w:val="20"/>
          <w:szCs w:val="20"/>
          <w:color w:val="auto"/>
        </w:rPr>
      </w:pPr>
    </w:p>
    <w:p>
      <w:pPr>
        <w:ind w:left="700"/>
        <w:spacing w:after="0"/>
        <w:tabs>
          <w:tab w:leader="none" w:pos="1040" w:val="left"/>
        </w:tabs>
        <w:rPr>
          <w:sz w:val="20"/>
          <w:szCs w:val="20"/>
          <w:color w:val="auto"/>
        </w:rPr>
      </w:pPr>
      <w:r>
        <w:rPr>
          <w:rFonts w:ascii="Times New Roman" w:cs="Times New Roman" w:eastAsia="Times New Roman" w:hAnsi="Times New Roman"/>
          <w:sz w:val="18"/>
          <w:szCs w:val="18"/>
          <w:color w:val="auto"/>
        </w:rPr>
        <w:t>/s/</w:t>
        <w:tab/>
        <w:t>G</w:t>
      </w:r>
      <w:r>
        <w:rPr>
          <w:rFonts w:ascii="Times New Roman" w:cs="Times New Roman" w:eastAsia="Times New Roman" w:hAnsi="Times New Roman"/>
          <w:sz w:val="14"/>
          <w:szCs w:val="14"/>
          <w:color w:val="auto"/>
        </w:rPr>
        <w:t>ARY</w:t>
      </w:r>
      <w:r>
        <w:rPr>
          <w:rFonts w:ascii="Times New Roman" w:cs="Times New Roman" w:eastAsia="Times New Roman" w:hAnsi="Times New Roman"/>
          <w:sz w:val="18"/>
          <w:szCs w:val="18"/>
          <w:color w:val="auto"/>
        </w:rPr>
        <w:t xml:space="preserve"> K</w:t>
      </w:r>
      <w:r>
        <w:rPr>
          <w:rFonts w:ascii="Times New Roman" w:cs="Times New Roman" w:eastAsia="Times New Roman" w:hAnsi="Times New Roman"/>
          <w:sz w:val="14"/>
          <w:szCs w:val="14"/>
          <w:color w:val="auto"/>
        </w:rPr>
        <w: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34290</wp:posOffset>
            </wp:positionV>
            <wp:extent cx="23755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5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Gary Kain</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Chief Executive Officer, President and Chief</w:t>
      </w:r>
    </w:p>
    <w:p>
      <w:pPr>
        <w:spacing w:after="0" w:line="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Investment Officer (Principal Executive Officer)</w:t>
      </w:r>
    </w:p>
    <w:p>
      <w:pPr>
        <w:sectPr>
          <w:pgSz w:w="11900" w:h="16838" w:orient="portrait"/>
          <w:cols w:equalWidth="0" w:num="1">
            <w:col w:w="11400"/>
          </w:cols>
          <w:pgMar w:left="260" w:top="580" w:right="239" w:bottom="1440" w:gutter="0" w:footer="0" w:header="0"/>
        </w:sectPr>
      </w:pPr>
    </w:p>
    <w:bookmarkStart w:id="71" w:name="page72"/>
    <w:bookmarkEnd w:id="71"/>
    <w:p>
      <w:pPr>
        <w:ind w:left="10520"/>
        <w:spacing w:after="0"/>
        <w:rPr>
          <w:sz w:val="20"/>
          <w:szCs w:val="20"/>
          <w:color w:val="auto"/>
        </w:rPr>
      </w:pPr>
      <w:r>
        <w:rPr>
          <w:rFonts w:ascii="Times New Roman" w:cs="Times New Roman" w:eastAsia="Times New Roman" w:hAnsi="Times New Roman"/>
          <w:sz w:val="17"/>
          <w:szCs w:val="17"/>
          <w:color w:val="auto"/>
        </w:rPr>
        <w:t>Exhibit 31.2</w:t>
      </w:r>
    </w:p>
    <w:p>
      <w:pPr>
        <w:spacing w:after="0" w:line="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Federico, certify that:</w:t>
      </w:r>
    </w:p>
    <w:p>
      <w:pPr>
        <w:spacing w:after="0" w:line="158" w:lineRule="exact"/>
        <w:rPr>
          <w:sz w:val="20"/>
          <w:szCs w:val="20"/>
          <w:color w:val="auto"/>
        </w:rPr>
      </w:pPr>
    </w:p>
    <w:p>
      <w:pPr>
        <w:ind w:left="860" w:hanging="467"/>
        <w:spacing w:after="0"/>
        <w:tabs>
          <w:tab w:leader="none" w:pos="8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AGNC Investment Corp;</w:t>
      </w:r>
    </w:p>
    <w:p>
      <w:pPr>
        <w:spacing w:after="0" w:line="157" w:lineRule="exact"/>
        <w:rPr>
          <w:rFonts w:ascii="Times New Roman" w:cs="Times New Roman" w:eastAsia="Times New Roman" w:hAnsi="Times New Roman"/>
          <w:sz w:val="18"/>
          <w:szCs w:val="18"/>
          <w:color w:val="auto"/>
        </w:rPr>
      </w:pPr>
    </w:p>
    <w:p>
      <w:pPr>
        <w:jc w:val="both"/>
        <w:ind w:left="860" w:hanging="467"/>
        <w:spacing w:after="0" w:line="266" w:lineRule="auto"/>
        <w:tabs>
          <w:tab w:leader="none" w:pos="8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860" w:hanging="467"/>
        <w:spacing w:after="0" w:line="282" w:lineRule="auto"/>
        <w:tabs>
          <w:tab w:leader="none" w:pos="8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jc w:val="both"/>
        <w:ind w:left="860" w:hanging="467"/>
        <w:spacing w:after="0" w:line="266" w:lineRule="auto"/>
        <w:tabs>
          <w:tab w:leader="none" w:pos="8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jc w:val="both"/>
        <w:ind w:left="1400" w:hanging="440"/>
        <w:spacing w:after="0" w:line="266" w:lineRule="auto"/>
        <w:tabs>
          <w:tab w:leader="none" w:pos="14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entitles,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jc w:val="both"/>
        <w:ind w:left="1400" w:hanging="440"/>
        <w:spacing w:after="0" w:line="266" w:lineRule="auto"/>
        <w:tabs>
          <w:tab w:leader="none" w:pos="14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ind w:left="1400" w:right="20" w:hanging="440"/>
        <w:spacing w:after="0" w:line="282" w:lineRule="auto"/>
        <w:tabs>
          <w:tab w:leader="none" w:pos="14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8"/>
          <w:szCs w:val="18"/>
          <w:color w:val="auto"/>
        </w:rPr>
      </w:pPr>
    </w:p>
    <w:p>
      <w:pPr>
        <w:jc w:val="both"/>
        <w:ind w:left="1400" w:hanging="440"/>
        <w:spacing w:after="0" w:line="266" w:lineRule="auto"/>
        <w:tabs>
          <w:tab w:leader="none" w:pos="14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860" w:hanging="467"/>
        <w:spacing w:after="0" w:line="282" w:lineRule="auto"/>
        <w:tabs>
          <w:tab w:leader="none" w:pos="8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94" w:lineRule="exact"/>
        <w:rPr>
          <w:rFonts w:ascii="Times New Roman" w:cs="Times New Roman" w:eastAsia="Times New Roman" w:hAnsi="Times New Roman"/>
          <w:sz w:val="18"/>
          <w:szCs w:val="18"/>
          <w:color w:val="auto"/>
        </w:rPr>
      </w:pPr>
    </w:p>
    <w:p>
      <w:pPr>
        <w:ind w:left="1400" w:hanging="440"/>
        <w:spacing w:after="0" w:line="282" w:lineRule="auto"/>
        <w:tabs>
          <w:tab w:leader="none" w:pos="14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400" w:right="20" w:hanging="440"/>
        <w:spacing w:after="0" w:line="282" w:lineRule="auto"/>
        <w:tabs>
          <w:tab w:leader="none" w:pos="14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3, 2017</w:t>
      </w:r>
    </w:p>
    <w:p>
      <w:pPr>
        <w:spacing w:after="0" w:line="333" w:lineRule="exact"/>
        <w:rPr>
          <w:sz w:val="20"/>
          <w:szCs w:val="20"/>
          <w:color w:val="auto"/>
        </w:rPr>
      </w:pPr>
    </w:p>
    <w:p>
      <w:pPr>
        <w:ind w:left="700"/>
        <w:spacing w:after="0"/>
        <w:tabs>
          <w:tab w:leader="none" w:pos="1040" w:val="left"/>
        </w:tabs>
        <w:rPr>
          <w:sz w:val="20"/>
          <w:szCs w:val="20"/>
          <w:color w:val="auto"/>
        </w:rPr>
      </w:pPr>
      <w:r>
        <w:rPr>
          <w:rFonts w:ascii="Times New Roman" w:cs="Times New Roman" w:eastAsia="Times New Roman" w:hAnsi="Times New Roman"/>
          <w:sz w:val="18"/>
          <w:szCs w:val="18"/>
          <w:color w:val="auto"/>
        </w:rPr>
        <w:t>/s/</w:t>
        <w:tab/>
        <w:t>P</w:t>
      </w:r>
      <w:r>
        <w:rPr>
          <w:rFonts w:ascii="Times New Roman" w:cs="Times New Roman" w:eastAsia="Times New Roman" w:hAnsi="Times New Roman"/>
          <w:sz w:val="14"/>
          <w:szCs w:val="14"/>
          <w:color w:val="auto"/>
        </w:rPr>
        <w:t>ETER</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EDERICO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34290</wp:posOffset>
            </wp:positionV>
            <wp:extent cx="23755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5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Peter Federico</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Chief Financial Officer and Executive Vice</w:t>
      </w:r>
    </w:p>
    <w:p>
      <w:pPr>
        <w:spacing w:after="0" w:line="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President (Principal Financial Officer)</w:t>
      </w:r>
    </w:p>
    <w:p>
      <w:pPr>
        <w:sectPr>
          <w:pgSz w:w="11900" w:h="16838" w:orient="portrait"/>
          <w:cols w:equalWidth="0" w:num="1">
            <w:col w:w="11400"/>
          </w:cols>
          <w:pgMar w:left="260" w:top="580" w:right="2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AGNC Investment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53" w:lineRule="exact"/>
        <w:rPr>
          <w:sz w:val="20"/>
          <w:szCs w:val="20"/>
          <w:color w:val="auto"/>
        </w:rPr>
      </w:pPr>
    </w:p>
    <w:p>
      <w:pPr>
        <w:jc w:val="both"/>
        <w:ind w:right="480" w:firstLine="324"/>
        <w:spacing w:after="0" w:line="313" w:lineRule="auto"/>
        <w:rPr>
          <w:sz w:val="20"/>
          <w:szCs w:val="20"/>
          <w:color w:val="auto"/>
        </w:rPr>
      </w:pPr>
      <w:r>
        <w:rPr>
          <w:rFonts w:ascii="Times New Roman" w:cs="Times New Roman" w:eastAsia="Times New Roman" w:hAnsi="Times New Roman"/>
          <w:sz w:val="17"/>
          <w:szCs w:val="17"/>
          <w:color w:val="auto"/>
        </w:rPr>
        <w:t>We, Gary Kain, Chief Executive Officer, President and Chief Investment Officer, and Peter Federico, Executive Vice President and Chief Financial Officer of AGNC Investment Corp. (the “Company”), certify pursuant to Section 906 of the Sarbanes-Oxley Act of 2002, 18 U.S.C. Section 1350 that:</w:t>
      </w:r>
    </w:p>
    <w:p>
      <w:pPr>
        <w:spacing w:after="0" w:line="84" w:lineRule="exact"/>
        <w:rPr>
          <w:sz w:val="20"/>
          <w:szCs w:val="20"/>
          <w:color w:val="auto"/>
        </w:rPr>
      </w:pPr>
    </w:p>
    <w:p>
      <w:pPr>
        <w:ind w:left="660" w:right="360" w:hanging="328"/>
        <w:spacing w:after="0" w:line="282"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June 30, 2017 (the “Report”) fully complies with the requirements of Section 13(a) of the Securities Exchange Act of 1934 (15 U.S.C. 78m);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4"/>
                <w:szCs w:val="14"/>
                <w:color w:val="auto"/>
              </w:rPr>
              <w:t>ARY</w:t>
            </w:r>
            <w:r>
              <w:rPr>
                <w:rFonts w:ascii="Times New Roman" w:cs="Times New Roman" w:eastAsia="Times New Roman" w:hAnsi="Times New Roman"/>
                <w:sz w:val="18"/>
                <w:szCs w:val="18"/>
                <w:color w:val="auto"/>
              </w:rPr>
              <w:t xml:space="preserve"> K</w:t>
            </w:r>
            <w:r>
              <w:rPr>
                <w:rFonts w:ascii="Times New Roman" w:cs="Times New Roman" w:eastAsia="Times New Roman" w:hAnsi="Times New Roman"/>
                <w:sz w:val="14"/>
                <w:szCs w:val="14"/>
                <w:color w:val="auto"/>
              </w:rPr>
              <w:t>AIN</w:t>
            </w: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63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vMerge w:val="continue"/>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Gary Kain</w:t>
            </w:r>
          </w:p>
        </w:tc>
        <w:tc>
          <w:tcPr>
            <w:tcW w:w="0" w:type="dxa"/>
            <w:vAlign w:val="bottom"/>
          </w:tcPr>
          <w:p>
            <w:pPr>
              <w:spacing w:after="0"/>
              <w:rPr>
                <w:sz w:val="1"/>
                <w:szCs w:val="1"/>
                <w:color w:val="auto"/>
              </w:rPr>
            </w:pPr>
          </w:p>
        </w:tc>
      </w:tr>
      <w:tr>
        <w:trPr>
          <w:trHeight w:val="25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President and Chief Investment Officer (Principal Executive Officer)</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3, 2017</w:t>
            </w:r>
          </w:p>
        </w:tc>
        <w:tc>
          <w:tcPr>
            <w:tcW w:w="0" w:type="dxa"/>
            <w:vAlign w:val="bottom"/>
          </w:tcPr>
          <w:p>
            <w:pPr>
              <w:spacing w:after="0"/>
              <w:rPr>
                <w:sz w:val="1"/>
                <w:szCs w:val="1"/>
                <w:color w:val="auto"/>
              </w:rPr>
            </w:pPr>
          </w:p>
        </w:tc>
      </w:tr>
      <w:tr>
        <w:trPr>
          <w:trHeight w:val="567"/>
        </w:trPr>
        <w:tc>
          <w:tcPr>
            <w:tcW w:w="66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ETER</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EDERICO</w:t>
            </w: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63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vMerge w:val="continue"/>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Peter Federico</w:t>
            </w:r>
          </w:p>
        </w:tc>
        <w:tc>
          <w:tcPr>
            <w:tcW w:w="0" w:type="dxa"/>
            <w:vAlign w:val="bottom"/>
          </w:tcPr>
          <w:p>
            <w:pPr>
              <w:spacing w:after="0"/>
              <w:rPr>
                <w:sz w:val="1"/>
                <w:szCs w:val="1"/>
                <w:color w:val="auto"/>
              </w:rPr>
            </w:pPr>
          </w:p>
        </w:tc>
      </w:tr>
      <w:tr>
        <w:trPr>
          <w:trHeight w:val="25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 and</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Vice President (Principal Financial Officer)</w:t>
            </w:r>
          </w:p>
        </w:tc>
        <w:tc>
          <w:tcPr>
            <w:tcW w:w="0" w:type="dxa"/>
            <w:vAlign w:val="bottom"/>
          </w:tcPr>
          <w:p>
            <w:pPr>
              <w:spacing w:after="0"/>
              <w:rPr>
                <w:sz w:val="1"/>
                <w:szCs w:val="1"/>
                <w:color w:val="auto"/>
              </w:rPr>
            </w:pPr>
          </w:p>
        </w:tc>
      </w:tr>
      <w:tr>
        <w:trPr>
          <w:trHeight w:val="28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3, 2017</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1)"/>
      <w:numFmt w:val="lowerRoman"/>
      <w:start w:val="1"/>
    </w:lvl>
  </w:abstractNum>
  <w:abstractNum w:abstractNumId="3">
    <w:nsid w:val="3804823E"/>
    <w:multiLevelType w:val="hybridMultilevel"/>
    <w:lvl w:ilvl="0">
      <w:lvlJc w:val="left"/>
      <w:lvlText w:val="%1."/>
      <w:numFmt w:val="decimal"/>
      <w:start w:val="1"/>
    </w:lvl>
  </w:abstractNum>
  <w:abstractNum w:abstractNumId="4">
    <w:nsid w:val="77465F01"/>
    <w:multiLevelType w:val="hybridMultilevel"/>
    <w:lvl w:ilvl="0">
      <w:lvlJc w:val="left"/>
      <w:lvlText w:val="%1."/>
      <w:numFmt w:val="decimal"/>
      <w:start w:val="1"/>
    </w:lvl>
  </w:abstractNum>
  <w:abstractNum w:abstractNumId="5">
    <w:nsid w:val="7724C67E"/>
    <w:multiLevelType w:val="hybridMultilevel"/>
    <w:lvl w:ilvl="0">
      <w:lvlJc w:val="left"/>
      <w:lvlText w:val="%1."/>
      <w:numFmt w:val="decimal"/>
      <w:start w:val="1"/>
    </w:lvl>
  </w:abstractNum>
  <w:abstractNum w:abstractNumId="6">
    <w:nsid w:val="5C482A97"/>
    <w:multiLevelType w:val="hybridMultilevel"/>
    <w:lvl w:ilvl="0">
      <w:lvlJc w:val="left"/>
      <w:lvlText w:val="%1."/>
      <w:numFmt w:val="decimal"/>
      <w:start w:val="1"/>
    </w:lvl>
  </w:abstractNum>
  <w:abstractNum w:abstractNumId="7">
    <w:nsid w:val="2463B9EA"/>
    <w:multiLevelType w:val="hybridMultilevel"/>
    <w:lvl w:ilvl="0">
      <w:lvlJc w:val="left"/>
      <w:lvlText w:val="%1."/>
      <w:numFmt w:val="decimal"/>
      <w:start w:val="1"/>
    </w:lvl>
  </w:abstractNum>
  <w:abstractNum w:abstractNumId="8">
    <w:nsid w:val="5E884ADC"/>
    <w:multiLevelType w:val="hybridMultilevel"/>
    <w:lvl w:ilvl="0">
      <w:lvlJc w:val="left"/>
      <w:lvlText w:val="%1."/>
      <w:numFmt w:val="decimal"/>
      <w:start w:val="1"/>
    </w:lvl>
  </w:abstractNum>
  <w:abstractNum w:abstractNumId="9">
    <w:nsid w:val="51EAD36B"/>
    <w:multiLevelType w:val="hybridMultilevel"/>
    <w:lvl w:ilvl="0">
      <w:lvlJc w:val="left"/>
      <w:lvlText w:val="%1."/>
      <w:numFmt w:val="decimal"/>
      <w:start w:val="1"/>
    </w:lvl>
  </w:abstractNum>
  <w:abstractNum w:abstractNumId="10">
    <w:nsid w:val="2D517796"/>
    <w:multiLevelType w:val="hybridMultilevel"/>
    <w:lvl w:ilvl="0">
      <w:lvlJc w:val="left"/>
      <w:lvlText w:val="%1."/>
      <w:numFmt w:val="decimal"/>
      <w:start w:val="1"/>
    </w:lvl>
  </w:abstractNum>
  <w:abstractNum w:abstractNumId="11">
    <w:nsid w:val="580BD78F"/>
    <w:multiLevelType w:val="hybridMultilevel"/>
    <w:lvl w:ilvl="0">
      <w:lvlJc w:val="left"/>
      <w:lvlText w:val="%1."/>
      <w:numFmt w:val="decimal"/>
      <w:start w:val="1"/>
    </w:lvl>
  </w:abstractNum>
  <w:abstractNum w:abstractNumId="12">
    <w:nsid w:val="153EA438"/>
    <w:multiLevelType w:val="hybridMultilevel"/>
    <w:lvl w:ilvl="0">
      <w:lvlJc w:val="left"/>
      <w:lvlText w:val="%1."/>
      <w:numFmt w:val="decimal"/>
      <w:start w:val="1"/>
    </w:lvl>
  </w:abstractNum>
  <w:abstractNum w:abstractNumId="13">
    <w:nsid w:val="3855585C"/>
    <w:multiLevelType w:val="hybridMultilevel"/>
    <w:lvl w:ilvl="0">
      <w:lvlJc w:val="left"/>
      <w:lvlText w:val="%1."/>
      <w:numFmt w:val="decimal"/>
      <w:start w:val="1"/>
    </w:lvl>
  </w:abstractNum>
  <w:abstractNum w:abstractNumId="14">
    <w:nsid w:val="70A64E2A"/>
    <w:multiLevelType w:val="hybridMultilevel"/>
    <w:lvl w:ilvl="0">
      <w:lvlJc w:val="left"/>
      <w:lvlText w:val="%1."/>
      <w:numFmt w:val="decimal"/>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1."/>
      <w:numFmt w:val="decimal"/>
      <w:start w:val="1"/>
    </w:lvl>
  </w:abstractNum>
  <w:abstractNum w:abstractNumId="20">
    <w:nsid w:val="57E4CCAF"/>
    <w:multiLevelType w:val="hybridMultilevel"/>
    <w:lvl w:ilvl="0">
      <w:lvlJc w:val="left"/>
      <w:lvlText w:val="%1."/>
      <w:numFmt w:val="decimal"/>
      <w:start w:val="1"/>
    </w:lvl>
  </w:abstractNum>
  <w:abstractNum w:abstractNumId="21">
    <w:nsid w:val="7A6D8D3C"/>
    <w:multiLevelType w:val="hybridMultilevel"/>
    <w:lvl w:ilvl="0">
      <w:lvlJc w:val="left"/>
      <w:lvlText w:val="%1."/>
      <w:numFmt w:val="decimal"/>
      <w:start w:val="1"/>
    </w:lvl>
  </w:abstractNum>
  <w:abstractNum w:abstractNumId="22">
    <w:nsid w:val="4B588F54"/>
    <w:multiLevelType w:val="hybridMultilevel"/>
    <w:lvl w:ilvl="0">
      <w:lvlJc w:val="left"/>
      <w:lvlText w:val="%1."/>
      <w:numFmt w:val="decimal"/>
      <w:start w:val="1"/>
    </w:lvl>
  </w:abstractNum>
  <w:abstractNum w:abstractNumId="23">
    <w:nsid w:val="542289EC"/>
    <w:multiLevelType w:val="hybridMultilevel"/>
    <w:lvl w:ilvl="0">
      <w:lvlJc w:val="left"/>
      <w:lvlText w:val="%1."/>
      <w:numFmt w:val="decimal"/>
      <w:start w:val="1"/>
    </w:lvl>
  </w:abstractNum>
  <w:abstractNum w:abstractNumId="24">
    <w:nsid w:val="6DE91B18"/>
    <w:multiLevelType w:val="hybridMultilevel"/>
    <w:lvl w:ilvl="0">
      <w:lvlJc w:val="left"/>
      <w:lvlText w:val="%1."/>
      <w:numFmt w:val="decimal"/>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1."/>
      <w:numFmt w:val="decimal"/>
      <w:start w:val="1"/>
    </w:lvl>
  </w:abstractNum>
  <w:abstractNum w:abstractNumId="27">
    <w:nsid w:val="32FFF902"/>
    <w:multiLevelType w:val="hybridMultilevel"/>
    <w:lvl w:ilvl="0">
      <w:lvlJc w:val="left"/>
      <w:lvlText w:val="%1."/>
      <w:numFmt w:val="decimal"/>
      <w:start w:val="14"/>
    </w:lvl>
  </w:abstractNum>
  <w:abstractNum w:abstractNumId="28">
    <w:nsid w:val="684A481A"/>
    <w:multiLevelType w:val="hybridMultilevel"/>
    <w:lvl w:ilvl="0">
      <w:lvlJc w:val="left"/>
      <w:lvlText w:val="%1."/>
      <w:numFmt w:val="decimal"/>
      <w:start w:val="1"/>
    </w:lvl>
  </w:abstractNum>
  <w:abstractNum w:abstractNumId="29">
    <w:nsid w:val="579478FE"/>
    <w:multiLevelType w:val="hybridMultilevel"/>
    <w:lvl w:ilvl="0">
      <w:lvlJc w:val="left"/>
      <w:lvlText w:val="%1."/>
      <w:numFmt w:val="decimal"/>
      <w:start w:val="1"/>
    </w:lvl>
  </w:abstractNum>
  <w:abstractNum w:abstractNumId="30">
    <w:nsid w:val="749ABB43"/>
    <w:multiLevelType w:val="hybridMultilevel"/>
    <w:lvl w:ilvl="0">
      <w:lvlJc w:val="left"/>
      <w:lvlText w:val="%1."/>
      <w:numFmt w:val="decimal"/>
      <w:start w:val="1"/>
    </w:lvl>
  </w:abstractNum>
  <w:abstractNum w:abstractNumId="31">
    <w:nsid w:val="3DC240FB"/>
    <w:multiLevelType w:val="hybridMultilevel"/>
    <w:lvl w:ilvl="0">
      <w:lvlJc w:val="left"/>
      <w:lvlText w:val="%1."/>
      <w:numFmt w:val="decimal"/>
      <w:start w:val="1"/>
    </w:lvl>
  </w:abstractNum>
  <w:abstractNum w:abstractNumId="32">
    <w:nsid w:val="1BA026FA"/>
    <w:multiLevelType w:val="hybridMultilevel"/>
    <w:lvl w:ilvl="0">
      <w:lvlJc w:val="left"/>
      <w:lvlText w:val="%1."/>
      <w:numFmt w:val="decimal"/>
      <w:start w:val="1"/>
    </w:lvl>
  </w:abstractNum>
  <w:abstractNum w:abstractNumId="33">
    <w:nsid w:val="79A1DEAA"/>
    <w:multiLevelType w:val="hybridMultilevel"/>
    <w:lvl w:ilvl="0">
      <w:lvlJc w:val="left"/>
      <w:lvlText w:val="(%1)"/>
      <w:numFmt w:val="lowerRoman"/>
      <w:start w:val="1"/>
    </w:lvl>
  </w:abstractNum>
  <w:abstractNum w:abstractNumId="34">
    <w:nsid w:val="75C6C33A"/>
    <w:multiLevelType w:val="hybridMultilevel"/>
    <w:lvl w:ilvl="0">
      <w:lvlJc w:val="left"/>
      <w:lvlText w:val="%1."/>
      <w:numFmt w:val="decimal"/>
      <w:start w:val="1"/>
    </w:lvl>
  </w:abstractNum>
  <w:abstractNum w:abstractNumId="35">
    <w:nsid w:val="12E685FB"/>
    <w:multiLevelType w:val="hybridMultilevel"/>
    <w:lvl w:ilvl="0">
      <w:lvlJc w:val="left"/>
      <w:lvlText w:val="%1."/>
      <w:numFmt w:val="decimal"/>
      <w:start w:val="1"/>
    </w:lvl>
  </w:abstractNum>
  <w:abstractNum w:abstractNumId="36">
    <w:nsid w:val="70C6A529"/>
    <w:multiLevelType w:val="hybridMultilevel"/>
    <w:lvl w:ilvl="0">
      <w:lvlJc w:val="left"/>
      <w:lvlText w:val="%1"/>
      <w:numFmt w:val="decimal"/>
      <w:start w:val="10"/>
    </w:lvl>
  </w:abstractNum>
  <w:abstractNum w:abstractNumId="37">
    <w:nsid w:val="520EEDD1"/>
    <w:multiLevelType w:val="hybridMultilevel"/>
    <w:lvl w:ilvl="0">
      <w:lvlJc w:val="left"/>
      <w:lvlText w:val="%1"/>
      <w:numFmt w:val="decimal"/>
      <w:start w:val="14"/>
    </w:lvl>
  </w:abstractNum>
  <w:abstractNum w:abstractNumId="38">
    <w:nsid w:val="374A3FE6"/>
    <w:multiLevelType w:val="hybridMultilevel"/>
    <w:lvl w:ilvl="0">
      <w:lvlJc w:val="left"/>
      <w:lvlText w:val="%1"/>
      <w:numFmt w:val="decimal"/>
      <w:start w:val="32"/>
    </w:lvl>
  </w:abstractNum>
  <w:abstractNum w:abstractNumId="39">
    <w:nsid w:val="4F4EF005"/>
    <w:multiLevelType w:val="hybridMultilevel"/>
    <w:lvl w:ilvl="0">
      <w:lvlJc w:val="left"/>
      <w:lvlText w:val="**"/>
      <w:numFmt w:val="bullet"/>
      <w:start w:val="1"/>
    </w:lvl>
    <w:lvl w:ilvl="1">
      <w:lvlJc w:val="left"/>
      <w:lvlText w:val="(%2)"/>
      <w:numFmt w:val="lowerLetter"/>
      <w:start w:val="2"/>
    </w:lvl>
  </w:abstractNum>
  <w:abstractNum w:abstractNumId="40">
    <w:nsid w:val="23F9C13C"/>
    <w:multiLevelType w:val="hybridMultilevel"/>
    <w:lvl w:ilvl="0">
      <w:lvlJc w:val="left"/>
      <w:lvlText w:val="(%1)"/>
      <w:numFmt w:val="lowerLetter"/>
      <w:start w:val="3"/>
    </w:lvl>
  </w:abstractNum>
  <w:abstractNum w:abstractNumId="41">
    <w:nsid w:val="649BB77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2">
    <w:nsid w:val="275AC794"/>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43">
    <w:nsid w:val="39386575"/>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4">
    <w:nsid w:val="1CF10FD8"/>
    <w:multiLevelType w:val="hybridMultilevel"/>
    <w:lvl w:ilvl="0">
      <w:lvlJc w:val="left"/>
      <w:lvlText w:val="%1."/>
      <w:numFmt w:val="decimal"/>
      <w:start w:val="8"/>
    </w:lvl>
    <w:lvl w:ilvl="1">
      <w:lvlJc w:val="left"/>
      <w:lvlText w:val="(%2)"/>
      <w:numFmt w:val="lowerLetter"/>
      <w:start w:val="1"/>
    </w:lvl>
  </w:abstractNum>
  <w:abstractNum w:abstractNumId="45">
    <w:nsid w:val="180115BE"/>
    <w:multiLevelType w:val="hybridMultilevel"/>
    <w:lvl w:ilvl="0">
      <w:lvlJc w:val="left"/>
      <w:lvlText w:val="%1"/>
      <w:numFmt w:val="decimal"/>
      <w:start w:val="1"/>
    </w:lvl>
    <w:lvl w:ilvl="1">
      <w:lvlJc w:val="left"/>
      <w:lvlText w:val="(%2)"/>
      <w:numFmt w:val="lowerLetter"/>
      <w:start w:val="2"/>
    </w:lvl>
  </w:abstractNum>
  <w:abstractNum w:abstractNumId="46">
    <w:nsid w:val="235BA861"/>
    <w:multiLevelType w:val="hybridMultilevel"/>
    <w:lvl w:ilvl="0">
      <w:lvlJc w:val="left"/>
      <w:lvlText w:val="%1."/>
      <w:numFmt w:val="decimal"/>
      <w:start w:val="9"/>
    </w:lvl>
    <w:lvl w:ilvl="1">
      <w:lvlJc w:val="left"/>
      <w:lvlText w:val="%2"/>
      <w:numFmt w:val="lowerLetter"/>
      <w:start w:val="1"/>
    </w:lvl>
  </w:abstractNum>
  <w:abstractNum w:abstractNumId="47">
    <w:nsid w:val="47398C89"/>
    <w:multiLevelType w:val="hybridMultilevel"/>
    <w:lvl w:ilvl="0">
      <w:lvlJc w:val="left"/>
      <w:lvlText w:val="%1."/>
      <w:numFmt w:val="decimal"/>
      <w:start w:val="21"/>
    </w:lvl>
  </w:abstractNum>
  <w:abstractNum w:abstractNumId="48">
    <w:nsid w:val="354FE9F9"/>
    <w:multiLevelType w:val="hybridMultilevel"/>
    <w:lvl w:ilvl="0">
      <w:lvlJc w:val="left"/>
      <w:lvlText w:val="%1."/>
      <w:numFmt w:val="upperLetter"/>
      <w:start w:val="1"/>
    </w:lvl>
    <w:lvl w:ilvl="1">
      <w:lvlJc w:val="left"/>
      <w:lvlText w:val="◦"/>
      <w:numFmt w:val="bullet"/>
      <w:start w:val="1"/>
    </w:lvl>
  </w:abstractNum>
  <w:abstractNum w:abstractNumId="49">
    <w:nsid w:val="15B5AF5C"/>
    <w:multiLevelType w:val="hybridMultilevel"/>
    <w:lvl w:ilvl="0">
      <w:lvlJc w:val="left"/>
      <w:lvlText w:val="%1."/>
      <w:numFmt w:val="upperLetter"/>
      <w:start w:val="2"/>
    </w:lvl>
    <w:lvl w:ilvl="1">
      <w:lvlJc w:val="left"/>
      <w:lvlText w:val="%2."/>
      <w:numFmt w:val="decimal"/>
      <w:start w:val="1"/>
    </w:lvl>
  </w:abstractNum>
  <w:abstractNum w:abstractNumId="50">
    <w:nsid w:val="741226BB"/>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51">
    <w:nsid w:val="D34B6A8"/>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52">
    <w:nsid w:val="10233C99"/>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decimal"/>
      <w:start w:val="6"/>
    </w:lvl>
  </w:abstractNum>
  <w:abstractNum w:abstractNumId="53">
    <w:nsid w:val="3F6AB60F"/>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3"/>
    </w:lvl>
    <w:lvl w:ilvl="3">
      <w:lvlJc w:val="left"/>
      <w:lvlText w:val="%4"/>
      <w:numFmt w:val="decimal"/>
      <w:start w:val="1"/>
    </w:lvl>
  </w:abstractNum>
  <w:abstractNum w:abstractNumId="54">
    <w:nsid w:val="61574095"/>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lvl w:ilvl="3">
      <w:lvlJc w:val="left"/>
      <w:lvlText w:val="%4"/>
      <w:numFmt w:val="decimal"/>
      <w:start w:val="1"/>
    </w:lvl>
  </w:abstractNum>
  <w:abstractNum w:abstractNumId="55">
    <w:nsid w:val="7E0C57B1"/>
    <w:multiLevelType w:val="hybridMultilevel"/>
    <w:lvl w:ilvl="0">
      <w:lvlJc w:val="left"/>
      <w:lvlText w:val="%1."/>
      <w:numFmt w:val="decimal"/>
      <w:start w:val="1"/>
    </w:lvl>
    <w:lvl w:ilvl="1">
      <w:lvlJc w:val="left"/>
      <w:lvlText w:val="▪"/>
      <w:numFmt w:val="bullet"/>
      <w:start w:val="1"/>
    </w:lvl>
  </w:abstractNum>
  <w:abstractNum w:abstractNumId="56">
    <w:nsid w:val="77AE35EB"/>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57">
    <w:nsid w:val="579BE4F1"/>
    <w:multiLevelType w:val="hybridMultilevel"/>
    <w:lvl w:ilvl="0">
      <w:lvlJc w:val="left"/>
      <w:lvlText w:val="%1."/>
      <w:numFmt w:val="lowerLetter"/>
      <w:start w:val="2"/>
    </w:lvl>
    <w:lvl w:ilvl="1">
      <w:lvlJc w:val="left"/>
      <w:lvlText w:val="▪"/>
      <w:numFmt w:val="bullet"/>
      <w:start w:val="1"/>
    </w:lvl>
  </w:abstractNum>
  <w:abstractNum w:abstractNumId="58">
    <w:nsid w:val="310C50B3"/>
    <w:multiLevelType w:val="hybridMultilevel"/>
    <w:lvl w:ilvl="0">
      <w:lvlJc w:val="left"/>
      <w:lvlText w:val="%1."/>
      <w:numFmt w:val="upperLetter"/>
      <w:start w:val="4"/>
    </w:lvl>
    <w:lvl w:ilvl="1">
      <w:lvlJc w:val="left"/>
      <w:lvlText w:val="%2."/>
      <w:numFmt w:val="decimal"/>
      <w:start w:val="1"/>
    </w:lvl>
    <w:lvl w:ilvl="2">
      <w:lvlJc w:val="left"/>
      <w:lvlText w:val="▪"/>
      <w:numFmt w:val="bullet"/>
      <w:start w:val="1"/>
    </w:lvl>
  </w:abstractNum>
  <w:abstractNum w:abstractNumId="59">
    <w:nsid w:val="5FF87E05"/>
    <w:multiLevelType w:val="hybridMultilevel"/>
    <w:lvl w:ilvl="0">
      <w:lvlJc w:val="left"/>
      <w:lvlText w:val="▪"/>
      <w:numFmt w:val="bullet"/>
      <w:start w:val="1"/>
    </w:lvl>
  </w:abstractNum>
  <w:abstractNum w:abstractNumId="60">
    <w:nsid w:val="2F305DEF"/>
    <w:multiLevelType w:val="hybridMultilevel"/>
    <w:lvl w:ilvl="0">
      <w:lvlJc w:val="left"/>
      <w:lvlText w:val="%1"/>
      <w:numFmt w:val="upperLetter"/>
      <w:start w:val="1"/>
    </w:lvl>
    <w:lvl w:ilvl="1">
      <w:lvlJc w:val="left"/>
      <w:lvlText w:val="%2."/>
      <w:numFmt w:val="decimal"/>
      <w:start w:val="2"/>
    </w:lvl>
  </w:abstractNum>
  <w:abstractNum w:abstractNumId="61">
    <w:nsid w:val="25A70BF7"/>
    <w:multiLevelType w:val="hybridMultilevel"/>
    <w:lvl w:ilvl="0">
      <w:lvlJc w:val="left"/>
      <w:lvlText w:val="%1."/>
      <w:numFmt w:val="upperLetter"/>
      <w:start w:val="5"/>
    </w:lvl>
    <w:lvl w:ilvl="1">
      <w:lvlJc w:val="left"/>
      <w:lvlText w:val="%2"/>
      <w:numFmt w:val="decimal"/>
      <w:start w:val="1"/>
    </w:lvl>
  </w:abstractNum>
  <w:abstractNum w:abstractNumId="62">
    <w:nsid w:val="1DBABF00"/>
    <w:multiLevelType w:val="hybridMultilevel"/>
    <w:lvl w:ilvl="0">
      <w:lvlJc w:val="left"/>
      <w:lvlText w:val="%1."/>
      <w:numFmt w:val="decimal"/>
      <w:start w:val="1"/>
    </w:lvl>
    <w:lvl w:ilvl="1">
      <w:lvlJc w:val="left"/>
      <w:lvlText w:val="▪"/>
      <w:numFmt w:val="bullet"/>
      <w:start w:val="1"/>
    </w:lvl>
  </w:abstractNum>
  <w:abstractNum w:abstractNumId="63">
    <w:nsid w:val="4AD084E9"/>
    <w:multiLevelType w:val="hybridMultilevel"/>
    <w:lvl w:ilvl="0">
      <w:lvlJc w:val="left"/>
      <w:lvlText w:val="%1."/>
      <w:numFmt w:val="decimal"/>
      <w:start w:val="2"/>
    </w:lvl>
  </w:abstractNum>
  <w:abstractNum w:abstractNumId="64">
    <w:nsid w:val="1F48EAA1"/>
    <w:multiLevelType w:val="hybridMultilevel"/>
    <w:lvl w:ilvl="0">
      <w:lvlJc w:val="left"/>
      <w:lvlText w:val="%1."/>
      <w:numFmt w:val="upperLetter"/>
      <w:start w:val="6"/>
    </w:lvl>
    <w:lvl w:ilvl="1">
      <w:lvlJc w:val="left"/>
      <w:lvlText w:val="%2."/>
      <w:numFmt w:val="decimal"/>
      <w:start w:val="1"/>
    </w:lvl>
  </w:abstractNum>
  <w:abstractNum w:abstractNumId="65">
    <w:nsid w:val="1381823A"/>
    <w:multiLevelType w:val="hybridMultilevel"/>
    <w:lvl w:ilvl="0">
      <w:lvlJc w:val="left"/>
      <w:lvlText w:val="%1."/>
      <w:numFmt w:val="decimal"/>
      <w:start w:val="5"/>
    </w:lvl>
  </w:abstractNum>
  <w:abstractNum w:abstractNumId="66">
    <w:nsid w:val="5DB70AE5"/>
    <w:multiLevelType w:val="hybridMultilevel"/>
    <w:lvl w:ilvl="0">
      <w:lvlJc w:val="left"/>
      <w:lvlText w:val="%1."/>
      <w:numFmt w:val="decimal"/>
      <w:start w:val="1"/>
    </w:lvl>
    <w:lvl w:ilvl="1">
      <w:lvlJc w:val="left"/>
      <w:lvlText w:val="(%2)"/>
      <w:numFmt w:val="lowerLetter"/>
      <w:start w:val="1"/>
    </w:lvl>
  </w:abstractNum>
  <w:abstractNum w:abstractNumId="67">
    <w:nsid w:val="100F8FCA"/>
    <w:multiLevelType w:val="hybridMultilevel"/>
    <w:lvl w:ilvl="0">
      <w:lvlJc w:val="left"/>
      <w:lvlText w:val="%1."/>
      <w:numFmt w:val="decimal"/>
      <w:start w:val="1"/>
    </w:lvl>
    <w:lvl w:ilvl="1">
      <w:lvlJc w:val="left"/>
      <w:lvlText w:val="(%2)"/>
      <w:numFmt w:val="lowerLetter"/>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40" Type="http://schemas.openxmlformats.org/officeDocument/2006/relationships/hyperlink" Target="http://www.sec.gov/Archives/edgar/data/1423689/000142368916000104/agncexhibit319301610-q.htm" TargetMode="External"/><Relationship Id="rId41" Type="http://schemas.openxmlformats.org/officeDocument/2006/relationships/hyperlink" Target="http://www.sec.gov/Archives/edgar/data/1423689/000142368916000104/agncexhibit329301610-qbyla.htm" TargetMode="External"/><Relationship Id="rId42" Type="http://schemas.openxmlformats.org/officeDocument/2006/relationships/hyperlink" Target="http://www.sec.gov/Archives/edgar/data/1423689/000142368912000020/ex31certofdesignations.htm" TargetMode="External"/><Relationship Id="rId43" Type="http://schemas.openxmlformats.org/officeDocument/2006/relationships/hyperlink" Target="http://www.sec.gov/Archives/edgar/data/1423689/000142368914000023/exh34certificateofdesignat.htm" TargetMode="External"/><Relationship Id="rId44" Type="http://schemas.openxmlformats.org/officeDocument/2006/relationships/hyperlink" Target="http://www.sec.gov/Archives/edgar/data/1423689/000142368916000104/agncexhibit43.htm" TargetMode="External"/><Relationship Id="rId45" Type="http://schemas.openxmlformats.org/officeDocument/2006/relationships/hyperlink" Target="http://www.sec.gov/Archives/edgar/data/1423689/000142368912000020/ex41specimenstockcertifica.htm" TargetMode="External"/><Relationship Id="rId46" Type="http://schemas.openxmlformats.org/officeDocument/2006/relationships/hyperlink" Target="http://www.sec.gov/Archives/edgar/data/1423689/000142368914000023/agncspecimenseriesbcumul.htm" TargetMode="External"/><Relationship Id="rId47" Type="http://schemas.openxmlformats.org/officeDocument/2006/relationships/hyperlink" Target="http://www.sec.gov/Archives/edgar/data/1423689/000142368914000026/exhibit42deposit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2019-12-29T05:02:42Z</dcterms:created>
  <dcterms:modified xsi:type="dcterms:W3CDTF">2019-12-29T05:02:42Z</dcterms:modified>
</cp:coreProperties>
</file>