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830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830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830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0" w:type="dxa"/>
            <w:vAlign w:val="bottom"/>
          </w:tcPr>
          <w:p>
            <w:pPr>
              <w:spacing w:after="0"/>
              <w:rPr>
                <w:sz w:val="1"/>
                <w:szCs w:val="1"/>
                <w:color w:val="auto"/>
              </w:rPr>
            </w:pPr>
          </w:p>
        </w:tc>
      </w:tr>
      <w:tr>
        <w:trPr>
          <w:trHeight w:val="238"/>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42"/>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0" w:type="dxa"/>
            <w:vAlign w:val="bottom"/>
          </w:tcPr>
          <w:p>
            <w:pPr>
              <w:spacing w:after="0"/>
              <w:rPr>
                <w:sz w:val="1"/>
                <w:szCs w:val="1"/>
                <w:color w:val="auto"/>
              </w:rPr>
            </w:pPr>
          </w:p>
        </w:tc>
      </w:tr>
      <w:tr>
        <w:trPr>
          <w:trHeight w:val="228"/>
        </w:trPr>
        <w:tc>
          <w:tcPr>
            <w:tcW w:w="1060" w:type="dxa"/>
            <w:vAlign w:val="bottom"/>
            <w:vMerge w:val="continue"/>
          </w:tcPr>
          <w:p>
            <w:pPr>
              <w:spacing w:after="0"/>
              <w:rPr>
                <w:sz w:val="19"/>
                <w:szCs w:val="19"/>
                <w:color w:val="auto"/>
              </w:rPr>
            </w:pPr>
          </w:p>
        </w:tc>
        <w:tc>
          <w:tcPr>
            <w:tcW w:w="83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60"/>
        </w:trPr>
        <w:tc>
          <w:tcPr>
            <w:tcW w:w="1060" w:type="dxa"/>
            <w:vAlign w:val="bottom"/>
          </w:tcPr>
          <w:p>
            <w:pPr>
              <w:spacing w:after="0"/>
              <w:rPr>
                <w:sz w:val="22"/>
                <w:szCs w:val="22"/>
                <w:color w:val="auto"/>
              </w:rPr>
            </w:pPr>
          </w:p>
        </w:tc>
        <w:tc>
          <w:tcPr>
            <w:tcW w:w="83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tc>
        <w:tc>
          <w:tcPr>
            <w:tcW w:w="0" w:type="dxa"/>
            <w:vAlign w:val="bottom"/>
          </w:tcPr>
          <w:p>
            <w:pPr>
              <w:spacing w:after="0"/>
              <w:rPr>
                <w:sz w:val="1"/>
                <w:szCs w:val="1"/>
                <w:color w:val="auto"/>
              </w:rPr>
            </w:pPr>
          </w:p>
        </w:tc>
      </w:tr>
      <w:tr>
        <w:trPr>
          <w:trHeight w:val="190"/>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OR</w:t>
            </w:r>
          </w:p>
        </w:tc>
        <w:tc>
          <w:tcPr>
            <w:tcW w:w="0" w:type="dxa"/>
            <w:vAlign w:val="bottom"/>
          </w:tcPr>
          <w:p>
            <w:pPr>
              <w:spacing w:after="0"/>
              <w:rPr>
                <w:sz w:val="1"/>
                <w:szCs w:val="1"/>
                <w:color w:val="auto"/>
              </w:rPr>
            </w:pPr>
          </w:p>
        </w:tc>
      </w:tr>
      <w:tr>
        <w:trPr>
          <w:trHeight w:val="238"/>
        </w:trPr>
        <w:tc>
          <w:tcPr>
            <w:tcW w:w="1060" w:type="dxa"/>
            <w:vAlign w:val="bottom"/>
            <w:vMerge w:val="continue"/>
          </w:tcPr>
          <w:p>
            <w:pPr>
              <w:spacing w:after="0"/>
              <w:rPr>
                <w:sz w:val="20"/>
                <w:szCs w:val="20"/>
                <w:color w:val="auto"/>
              </w:rPr>
            </w:pPr>
          </w:p>
        </w:tc>
        <w:tc>
          <w:tcPr>
            <w:tcW w:w="830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75"/>
        </w:trPr>
        <w:tc>
          <w:tcPr>
            <w:tcW w:w="1060" w:type="dxa"/>
            <w:vAlign w:val="bottom"/>
          </w:tcPr>
          <w:p>
            <w:pPr>
              <w:spacing w:after="0"/>
              <w:rPr>
                <w:sz w:val="23"/>
                <w:szCs w:val="23"/>
                <w:color w:val="auto"/>
              </w:rPr>
            </w:pPr>
          </w:p>
        </w:tc>
        <w:tc>
          <w:tcPr>
            <w:tcW w:w="830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517525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483235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109220</wp:posOffset>
            </wp:positionV>
            <wp:extent cx="190309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1740" w:type="dxa"/>
        <w:tblCellMar>
          <w:top w:w="0" w:type="dxa"/>
          <w:left w:w="0" w:type="dxa"/>
          <w:bottom w:w="0" w:type="dxa"/>
          <w:right w:w="0" w:type="dxa"/>
        </w:tblCellMar>
      </w:tblPr>
      <w:tr>
        <w:trPr>
          <w:trHeight w:val="214"/>
        </w:trPr>
        <w:tc>
          <w:tcPr>
            <w:tcW w:w="2020" w:type="dxa"/>
            <w:vAlign w:val="bottom"/>
          </w:tcPr>
          <w:p>
            <w:pPr>
              <w:spacing w:after="0"/>
              <w:rPr>
                <w:sz w:val="18"/>
                <w:szCs w:val="18"/>
                <w:color w:val="auto"/>
              </w:rPr>
            </w:pPr>
          </w:p>
        </w:tc>
        <w:tc>
          <w:tcPr>
            <w:tcW w:w="5440" w:type="dxa"/>
            <w:vAlign w:val="bottom"/>
          </w:tcPr>
          <w:p>
            <w:pPr>
              <w:jc w:val="center"/>
              <w:ind w:right="1648"/>
              <w:spacing w:after="0"/>
              <w:rPr>
                <w:sz w:val="20"/>
                <w:szCs w:val="20"/>
                <w:color w:val="auto"/>
              </w:rPr>
            </w:pPr>
            <w:r>
              <w:rPr>
                <w:rFonts w:ascii="Times New Roman" w:cs="Times New Roman" w:eastAsia="Times New Roman" w:hAnsi="Times New Roman"/>
                <w:sz w:val="18"/>
                <w:szCs w:val="18"/>
                <w:b w:val="1"/>
                <w:bCs w:val="1"/>
                <w:color w:val="auto"/>
                <w:w w:val="98"/>
              </w:rPr>
              <w:t>AGNC INVESTMENT CORP.</w:t>
            </w:r>
          </w:p>
        </w:tc>
      </w:tr>
      <w:tr>
        <w:trPr>
          <w:trHeight w:val="182"/>
        </w:trPr>
        <w:tc>
          <w:tcPr>
            <w:tcW w:w="2020" w:type="dxa"/>
            <w:vAlign w:val="bottom"/>
          </w:tcPr>
          <w:p>
            <w:pPr>
              <w:spacing w:after="0"/>
              <w:rPr>
                <w:sz w:val="15"/>
                <w:szCs w:val="15"/>
                <w:color w:val="auto"/>
              </w:rPr>
            </w:pPr>
          </w:p>
        </w:tc>
        <w:tc>
          <w:tcPr>
            <w:tcW w:w="5440" w:type="dxa"/>
            <w:vAlign w:val="bottom"/>
          </w:tcPr>
          <w:p>
            <w:pPr>
              <w:jc w:val="center"/>
              <w:ind w:right="162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64"/>
        </w:trPr>
        <w:tc>
          <w:tcPr>
            <w:tcW w:w="2020" w:type="dxa"/>
            <w:vAlign w:val="bottom"/>
          </w:tcPr>
          <w:p>
            <w:pPr>
              <w:spacing w:after="0"/>
              <w:rPr>
                <w:sz w:val="14"/>
                <w:szCs w:val="14"/>
                <w:color w:val="auto"/>
              </w:rPr>
            </w:pPr>
          </w:p>
        </w:tc>
        <w:tc>
          <w:tcPr>
            <w:tcW w:w="5440" w:type="dxa"/>
            <w:vAlign w:val="bottom"/>
          </w:tcPr>
          <w:p>
            <w:pPr>
              <w:jc w:val="right"/>
              <w:ind w:right="1708"/>
              <w:spacing w:after="0"/>
              <w:rPr>
                <w:sz w:val="20"/>
                <w:szCs w:val="20"/>
                <w:color w:val="auto"/>
              </w:rPr>
            </w:pPr>
            <w:r>
              <w:rPr>
                <w:rFonts w:ascii="Times New Roman" w:cs="Times New Roman" w:eastAsia="Times New Roman" w:hAnsi="Times New Roman"/>
                <w:sz w:val="13"/>
                <w:szCs w:val="13"/>
                <w:color w:val="auto"/>
                <w:w w:val="98"/>
              </w:rPr>
              <w:t>_________________________________________________________</w:t>
            </w:r>
          </w:p>
        </w:tc>
      </w:tr>
      <w:tr>
        <w:trPr>
          <w:trHeight w:val="208"/>
        </w:trPr>
        <w:tc>
          <w:tcPr>
            <w:tcW w:w="2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440" w:type="dxa"/>
            <w:vAlign w:val="bottom"/>
          </w:tcPr>
          <w:p>
            <w:pPr>
              <w:jc w:val="center"/>
              <w:ind w:left="4248"/>
              <w:spacing w:after="0"/>
              <w:rPr>
                <w:sz w:val="20"/>
                <w:szCs w:val="20"/>
                <w:color w:val="auto"/>
              </w:rPr>
            </w:pPr>
            <w:r>
              <w:rPr>
                <w:rFonts w:ascii="Times New Roman" w:cs="Times New Roman" w:eastAsia="Times New Roman" w:hAnsi="Times New Roman"/>
                <w:sz w:val="14"/>
                <w:szCs w:val="14"/>
                <w:b w:val="1"/>
                <w:bCs w:val="1"/>
                <w:color w:val="auto"/>
              </w:rPr>
              <w:t>26-1701984</w:t>
            </w:r>
          </w:p>
        </w:tc>
      </w:tr>
      <w:tr>
        <w:trPr>
          <w:trHeight w:val="161"/>
        </w:trPr>
        <w:tc>
          <w:tcPr>
            <w:tcW w:w="2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40" w:type="dxa"/>
            <w:vAlign w:val="bottom"/>
          </w:tcPr>
          <w:p>
            <w:pPr>
              <w:jc w:val="center"/>
              <w:ind w:left="424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40" w:type="dxa"/>
            <w:vAlign w:val="bottom"/>
          </w:tcPr>
          <w:p>
            <w:pPr>
              <w:jc w:val="center"/>
              <w:ind w:left="42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9"/>
        </w:trPr>
        <w:tc>
          <w:tcPr>
            <w:tcW w:w="2020" w:type="dxa"/>
            <w:vAlign w:val="bottom"/>
          </w:tcPr>
          <w:p>
            <w:pPr>
              <w:spacing w:after="0"/>
              <w:rPr>
                <w:sz w:val="23"/>
                <w:szCs w:val="23"/>
                <w:color w:val="auto"/>
              </w:rPr>
            </w:pPr>
          </w:p>
        </w:tc>
        <w:tc>
          <w:tcPr>
            <w:tcW w:w="5440" w:type="dxa"/>
            <w:vAlign w:val="bottom"/>
          </w:tcPr>
          <w:p>
            <w:pPr>
              <w:jc w:val="center"/>
              <w:ind w:right="1648"/>
              <w:spacing w:after="0"/>
              <w:rPr>
                <w:sz w:val="20"/>
                <w:szCs w:val="20"/>
                <w:color w:val="auto"/>
              </w:rPr>
            </w:pPr>
            <w:r>
              <w:rPr>
                <w:rFonts w:ascii="Times New Roman" w:cs="Times New Roman" w:eastAsia="Times New Roman" w:hAnsi="Times New Roman"/>
                <w:sz w:val="14"/>
                <w:szCs w:val="14"/>
                <w:b w:val="1"/>
                <w:bCs w:val="1"/>
                <w:color w:val="auto"/>
              </w:rPr>
              <w:t>7373 Wisconsin Avenue, 22nd Floor</w:t>
            </w:r>
          </w:p>
        </w:tc>
      </w:tr>
      <w:tr>
        <w:trPr>
          <w:trHeight w:val="176"/>
        </w:trPr>
        <w:tc>
          <w:tcPr>
            <w:tcW w:w="2020" w:type="dxa"/>
            <w:vAlign w:val="bottom"/>
          </w:tcPr>
          <w:p>
            <w:pPr>
              <w:spacing w:after="0"/>
              <w:rPr>
                <w:sz w:val="15"/>
                <w:szCs w:val="15"/>
                <w:color w:val="auto"/>
              </w:rPr>
            </w:pPr>
          </w:p>
        </w:tc>
        <w:tc>
          <w:tcPr>
            <w:tcW w:w="5440" w:type="dxa"/>
            <w:vAlign w:val="bottom"/>
          </w:tcPr>
          <w:p>
            <w:pPr>
              <w:jc w:val="center"/>
              <w:ind w:right="1648"/>
              <w:spacing w:after="0"/>
              <w:rPr>
                <w:sz w:val="20"/>
                <w:szCs w:val="20"/>
                <w:color w:val="auto"/>
              </w:rPr>
            </w:pPr>
            <w:r>
              <w:rPr>
                <w:rFonts w:ascii="Times New Roman" w:cs="Times New Roman" w:eastAsia="Times New Roman" w:hAnsi="Times New Roman"/>
                <w:sz w:val="14"/>
                <w:szCs w:val="14"/>
                <w:b w:val="1"/>
                <w:bCs w:val="1"/>
                <w:color w:val="auto"/>
              </w:rPr>
              <w:t>Bethesda, Maryland 20814</w:t>
            </w:r>
          </w:p>
        </w:tc>
      </w:tr>
      <w:tr>
        <w:trPr>
          <w:trHeight w:val="176"/>
        </w:trPr>
        <w:tc>
          <w:tcPr>
            <w:tcW w:w="2020" w:type="dxa"/>
            <w:vAlign w:val="bottom"/>
          </w:tcPr>
          <w:p>
            <w:pPr>
              <w:spacing w:after="0"/>
              <w:rPr>
                <w:sz w:val="15"/>
                <w:szCs w:val="15"/>
                <w:color w:val="auto"/>
              </w:rPr>
            </w:pPr>
          </w:p>
        </w:tc>
        <w:tc>
          <w:tcPr>
            <w:tcW w:w="5440" w:type="dxa"/>
            <w:vAlign w:val="bottom"/>
          </w:tcPr>
          <w:p>
            <w:pPr>
              <w:jc w:val="center"/>
              <w:ind w:right="16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175"/>
        </w:trPr>
        <w:tc>
          <w:tcPr>
            <w:tcW w:w="2020" w:type="dxa"/>
            <w:vAlign w:val="bottom"/>
          </w:tcPr>
          <w:p>
            <w:pPr>
              <w:spacing w:after="0"/>
              <w:rPr>
                <w:sz w:val="15"/>
                <w:szCs w:val="15"/>
                <w:color w:val="auto"/>
              </w:rPr>
            </w:pPr>
          </w:p>
        </w:tc>
        <w:tc>
          <w:tcPr>
            <w:tcW w:w="5440" w:type="dxa"/>
            <w:vAlign w:val="bottom"/>
          </w:tcPr>
          <w:p>
            <w:pPr>
              <w:jc w:val="right"/>
              <w:ind w:right="3048"/>
              <w:spacing w:after="0"/>
              <w:rPr>
                <w:sz w:val="20"/>
                <w:szCs w:val="20"/>
                <w:color w:val="auto"/>
              </w:rPr>
            </w:pPr>
            <w:r>
              <w:rPr>
                <w:rFonts w:ascii="Times New Roman" w:cs="Times New Roman" w:eastAsia="Times New Roman" w:hAnsi="Times New Roman"/>
                <w:sz w:val="14"/>
                <w:szCs w:val="14"/>
                <w:b w:val="1"/>
                <w:bCs w:val="1"/>
                <w:color w:val="auto"/>
              </w:rPr>
              <w:t>(301) 968-9315</w:t>
            </w:r>
          </w:p>
        </w:tc>
      </w:tr>
      <w:tr>
        <w:trPr>
          <w:trHeight w:val="182"/>
        </w:trPr>
        <w:tc>
          <w:tcPr>
            <w:tcW w:w="2020" w:type="dxa"/>
            <w:vAlign w:val="bottom"/>
          </w:tcPr>
          <w:p>
            <w:pPr>
              <w:spacing w:after="0"/>
              <w:rPr>
                <w:sz w:val="15"/>
                <w:szCs w:val="15"/>
                <w:color w:val="auto"/>
              </w:rPr>
            </w:pPr>
          </w:p>
        </w:tc>
        <w:tc>
          <w:tcPr>
            <w:tcW w:w="5440" w:type="dxa"/>
            <w:vAlign w:val="bottom"/>
          </w:tcPr>
          <w:p>
            <w:pPr>
              <w:jc w:val="center"/>
              <w:ind w:right="16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164"/>
        </w:trPr>
        <w:tc>
          <w:tcPr>
            <w:tcW w:w="2020" w:type="dxa"/>
            <w:vAlign w:val="bottom"/>
          </w:tcPr>
          <w:p>
            <w:pPr>
              <w:spacing w:after="0"/>
              <w:rPr>
                <w:sz w:val="14"/>
                <w:szCs w:val="14"/>
                <w:color w:val="auto"/>
              </w:rPr>
            </w:pPr>
          </w:p>
        </w:tc>
        <w:tc>
          <w:tcPr>
            <w:tcW w:w="5440" w:type="dxa"/>
            <w:vAlign w:val="bottom"/>
          </w:tcPr>
          <w:p>
            <w:pPr>
              <w:jc w:val="center"/>
              <w:ind w:right="1608"/>
              <w:spacing w:after="0"/>
              <w:rPr>
                <w:sz w:val="20"/>
                <w:szCs w:val="20"/>
                <w:color w:val="auto"/>
              </w:rPr>
            </w:pPr>
            <w:r>
              <w:rPr>
                <w:rFonts w:ascii="Times New Roman" w:cs="Times New Roman" w:eastAsia="Times New Roman" w:hAnsi="Times New Roman"/>
                <w:sz w:val="13"/>
                <w:szCs w:val="13"/>
                <w:color w:val="auto"/>
                <w:w w:val="97"/>
              </w:rPr>
              <w:t>_________________________________________________________</w:t>
            </w:r>
          </w:p>
        </w:tc>
      </w:tr>
    </w:tbl>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AGNC</w:t>
            </w:r>
          </w:p>
        </w:tc>
        <w:tc>
          <w:tcPr>
            <w:tcW w:w="1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54"/>
        </w:trPr>
        <w:tc>
          <w:tcPr>
            <w:tcW w:w="574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4"/>
                <w:szCs w:val="14"/>
                <w:color w:val="auto"/>
              </w:rPr>
              <w:t>Depositary shares of 7.000% Series C Fixed-to-Floating Rate Cumulative Redeemable Preferred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AGNCN</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Depositary shares of 6.875% Series D Fixed-to-Floating Rate Cumulative Redeemable Preferred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AGNCM</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Depositary shares of 6.50% Series E Fixed-to-Floating Rate Cumulative Redeemable Preferred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AGNCO</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Depositary shares of 6.125% Series F Fixed-to-Floating Rate Cumulative Redeemable Preferred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AGNCP</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Depositary shares of 7.75% Series G Fixed-Rate Reset Cumulative</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AGNCL</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Redeemable Preferred 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9" w:lineRule="exact"/>
        <w:rPr>
          <w:sz w:val="24"/>
          <w:szCs w:val="24"/>
          <w:color w:val="auto"/>
        </w:rPr>
      </w:pPr>
    </w:p>
    <w:p>
      <w:pPr>
        <w:ind w:right="10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2300" w:type="dxa"/>
        <w:tblCellMar>
          <w:top w:w="0" w:type="dxa"/>
          <w:left w:w="0" w:type="dxa"/>
          <w:bottom w:w="0" w:type="dxa"/>
          <w:right w:w="0" w:type="dxa"/>
        </w:tblCellMar>
      </w:tblPr>
      <w:tr>
        <w:trPr>
          <w:trHeight w:val="199"/>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87" w:lineRule="exact"/>
        <w:rPr>
          <w:sz w:val="24"/>
          <w:szCs w:val="24"/>
          <w:color w:val="auto"/>
        </w:rPr>
      </w:pPr>
    </w:p>
    <w:p>
      <w:pPr>
        <w:ind w:right="460" w:firstLine="324"/>
        <w:spacing w:after="0" w:line="19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right="328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The number of shares of the issuer's common stock, $0.01 par value, outstanding as of April 30, 2024 was 726,929,217.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57785</wp:posOffset>
            </wp:positionV>
            <wp:extent cx="6990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00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23495</wp:posOffset>
            </wp:positionV>
            <wp:extent cx="6990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008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 w:name="page2"/>
    <w:bookmarkEnd w:id="1"/>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104"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460" w:type="dxa"/>
            <w:vAlign w:val="bottom"/>
            <w:gridSpan w:val="2"/>
          </w:tcPr>
          <w:p>
            <w:pPr>
              <w:spacing w:after="0"/>
              <w:rPr>
                <w:sz w:val="16"/>
                <w:szCs w:val="16"/>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2"/>
              </w:rPr>
              <w:t>Item 1.</w:t>
            </w:r>
          </w:p>
        </w:tc>
        <w:tc>
          <w:tcPr>
            <w:tcW w:w="120" w:type="dxa"/>
            <w:vAlign w:val="bottom"/>
            <w:tcBorders>
              <w:top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21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5440" w:type="dxa"/>
            <w:vAlign w:val="bottom"/>
            <w:gridSpan w:val="3"/>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w:t>
            </w:r>
          </w:p>
        </w:tc>
        <w:tc>
          <w:tcPr>
            <w:tcW w:w="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2.</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25</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8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3.</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39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Quantitative and Qualitative Disclosures About Market Risk</w:t>
            </w:r>
          </w:p>
        </w:tc>
        <w:tc>
          <w:tcPr>
            <w:tcW w:w="1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42</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680" w:type="dxa"/>
            <w:vAlign w:val="bottom"/>
            <w:tcBorders>
              <w:left w:val="single" w:sz="8" w:color="0000FF"/>
            </w:tcBorders>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4.</w:t>
            </w:r>
          </w:p>
        </w:tc>
        <w:tc>
          <w:tcPr>
            <w:tcW w:w="580" w:type="dxa"/>
            <w:vAlign w:val="bottom"/>
            <w:gridSpan w:val="3"/>
          </w:tcPr>
          <w:p>
            <w:pPr>
              <w:spacing w:after="0"/>
              <w:rPr>
                <w:sz w:val="17"/>
                <w:szCs w:val="17"/>
                <w:color w:val="auto"/>
              </w:rPr>
            </w:pPr>
          </w:p>
        </w:tc>
        <w:tc>
          <w:tcPr>
            <w:tcW w:w="39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3680" w:type="dxa"/>
            <w:vAlign w:val="bottom"/>
            <w:gridSpan w:val="2"/>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45</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3"/>
        </w:trPr>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b w:val="1"/>
                <w:bCs w:val="1"/>
                <w:color w:val="0000FF"/>
                <w:w w:val="99"/>
              </w:rPr>
              <w:t>PART II.</w:t>
            </w:r>
          </w:p>
        </w:tc>
        <w:tc>
          <w:tcPr>
            <w:tcW w:w="360" w:type="dxa"/>
            <w:vAlign w:val="bottom"/>
          </w:tcPr>
          <w:p>
            <w:pPr>
              <w:spacing w:after="0"/>
              <w:rPr>
                <w:sz w:val="24"/>
                <w:szCs w:val="24"/>
                <w:color w:val="auto"/>
              </w:rPr>
            </w:pPr>
          </w:p>
        </w:tc>
        <w:tc>
          <w:tcPr>
            <w:tcW w:w="1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w w:val="99"/>
              </w:rPr>
              <w:t>OTHER INFORMATION</w:t>
            </w:r>
          </w:p>
        </w:tc>
        <w:tc>
          <w:tcPr>
            <w:tcW w:w="5760" w:type="dxa"/>
            <w:vAlign w:val="bottom"/>
            <w:gridSpan w:val="5"/>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80" w:type="dxa"/>
            <w:vAlign w:val="bottom"/>
            <w:tcBorders>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FF"/>
              </w:rPr>
              <w:t>Item 1.</w:t>
            </w:r>
          </w:p>
        </w:tc>
        <w:tc>
          <w:tcPr>
            <w:tcW w:w="460" w:type="dxa"/>
            <w:vAlign w:val="bottom"/>
            <w:gridSpan w:val="2"/>
          </w:tcPr>
          <w:p>
            <w:pPr>
              <w:spacing w:after="0"/>
              <w:rPr>
                <w:sz w:val="18"/>
                <w:szCs w:val="18"/>
                <w:color w:val="auto"/>
              </w:rPr>
            </w:pPr>
          </w:p>
        </w:tc>
        <w:tc>
          <w:tcPr>
            <w:tcW w:w="120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w w:val="99"/>
              </w:rPr>
              <w:t>Legal Proceedings</w:t>
            </w:r>
          </w:p>
        </w:tc>
        <w:tc>
          <w:tcPr>
            <w:tcW w:w="840" w:type="dxa"/>
            <w:vAlign w:val="bottom"/>
            <w:tcBorders>
              <w:bottom w:val="single" w:sz="8" w:color="0000FF"/>
            </w:tcBorders>
            <w:gridSpan w:val="4"/>
          </w:tcPr>
          <w:p>
            <w:pPr>
              <w:spacing w:after="0"/>
              <w:rPr>
                <w:sz w:val="18"/>
                <w:szCs w:val="18"/>
                <w:color w:val="auto"/>
              </w:rPr>
            </w:pPr>
          </w:p>
        </w:tc>
        <w:tc>
          <w:tcPr>
            <w:tcW w:w="1860" w:type="dxa"/>
            <w:vAlign w:val="bottom"/>
            <w:gridSpan w:val="2"/>
          </w:tcPr>
          <w:p>
            <w:pPr>
              <w:spacing w:after="0"/>
              <w:rPr>
                <w:sz w:val="18"/>
                <w:szCs w:val="18"/>
                <w:color w:val="auto"/>
              </w:rPr>
            </w:pPr>
          </w:p>
        </w:tc>
        <w:tc>
          <w:tcPr>
            <w:tcW w:w="368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46</w:t>
            </w:r>
          </w:p>
        </w:tc>
      </w:tr>
      <w:tr>
        <w:trPr>
          <w:trHeight w:val="190"/>
        </w:trPr>
        <w:tc>
          <w:tcPr>
            <w:tcW w:w="10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1A.</w:t>
            </w: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46</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2.</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46</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3"/>
        </w:trPr>
        <w:tc>
          <w:tcPr>
            <w:tcW w:w="46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w w:val="92"/>
              </w:rPr>
              <w:t>Item 3.</w:t>
            </w:r>
          </w:p>
        </w:tc>
        <w:tc>
          <w:tcPr>
            <w:tcW w:w="220" w:type="dxa"/>
            <w:vAlign w:val="bottom"/>
            <w:tcBorders>
              <w:bottom w:val="single" w:sz="8" w:color="0000FF"/>
            </w:tcBorders>
            <w:gridSpan w:val="2"/>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Borders>
              <w:bottom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3680" w:type="dxa"/>
            <w:vAlign w:val="bottom"/>
            <w:tcBorders>
              <w:bottom w:val="single" w:sz="8" w:color="0000FF"/>
            </w:tcBorders>
            <w:gridSpan w:val="2"/>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46</w:t>
            </w:r>
          </w:p>
        </w:tc>
      </w:tr>
      <w:tr>
        <w:trPr>
          <w:trHeight w:val="203"/>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4.</w:t>
            </w:r>
          </w:p>
        </w:tc>
        <w:tc>
          <w:tcPr>
            <w:tcW w:w="580" w:type="dxa"/>
            <w:vAlign w:val="bottom"/>
            <w:gridSpan w:val="3"/>
          </w:tcPr>
          <w:p>
            <w:pPr>
              <w:spacing w:after="0"/>
              <w:rPr>
                <w:sz w:val="17"/>
                <w:szCs w:val="17"/>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46</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5.</w:t>
            </w:r>
          </w:p>
        </w:tc>
        <w:tc>
          <w:tcPr>
            <w:tcW w:w="580" w:type="dxa"/>
            <w:vAlign w:val="bottom"/>
            <w:gridSpan w:val="3"/>
          </w:tcPr>
          <w:p>
            <w:pPr>
              <w:spacing w:after="0"/>
              <w:rPr>
                <w:sz w:val="17"/>
                <w:szCs w:val="17"/>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400" w:type="dxa"/>
            <w:vAlign w:val="bottom"/>
            <w:gridSpan w:val="3"/>
          </w:tcPr>
          <w:p>
            <w:pPr>
              <w:spacing w:after="0"/>
              <w:rPr>
                <w:sz w:val="17"/>
                <w:szCs w:val="17"/>
                <w:color w:val="auto"/>
              </w:rPr>
            </w:pPr>
          </w:p>
        </w:tc>
        <w:tc>
          <w:tcPr>
            <w:tcW w:w="6000" w:type="dxa"/>
            <w:vAlign w:val="bottom"/>
            <w:gridSpan w:val="6"/>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46</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6.</w:t>
            </w:r>
          </w:p>
        </w:tc>
        <w:tc>
          <w:tcPr>
            <w:tcW w:w="580" w:type="dxa"/>
            <w:vAlign w:val="bottom"/>
            <w:gridSpan w:val="3"/>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640" w:type="dxa"/>
            <w:vAlign w:val="bottom"/>
            <w:gridSpan w:val="2"/>
          </w:tcPr>
          <w:p>
            <w:pPr>
              <w:spacing w:after="0"/>
              <w:rPr>
                <w:sz w:val="17"/>
                <w:szCs w:val="17"/>
                <w:color w:val="auto"/>
              </w:rPr>
            </w:pPr>
          </w:p>
        </w:tc>
        <w:tc>
          <w:tcPr>
            <w:tcW w:w="6400" w:type="dxa"/>
            <w:vAlign w:val="bottom"/>
            <w:gridSpan w:val="9"/>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46</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453"/>
        </w:trPr>
        <w:tc>
          <w:tcPr>
            <w:tcW w:w="10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49</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40" w:top="887" w:right="9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Agency securities, at fair value (including pledged securities of $48,461 and $49,575, respectively)</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53,673</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Agency securities transferred to consolidated variable interest entities, at fair value (pledged securities)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Credit risk transfer securities, at fair value (including pledged securities of $722 and $678, respectively)</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165"/>
        </w:trPr>
        <w:tc>
          <w:tcPr>
            <w:tcW w:w="790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Non-Agency securities, at fair value, and other mortgage credit investments (including pledged securities of $245 and</w:t>
            </w:r>
          </w:p>
        </w:tc>
        <w:tc>
          <w:tcPr>
            <w:tcW w:w="2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$262, respectively)</w:t>
            </w:r>
          </w:p>
        </w:tc>
        <w:tc>
          <w:tcPr>
            <w:tcW w:w="2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U.S. Treasury securities, at fair value (including pledged securities of $1,825 and $1,530, respectively)</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 for investment securities sold (including pledged securities of $5 and $0, respectively)</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 under reverse repurchase agreements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11,618</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0" w:type="dxa"/>
            <w:vAlign w:val="bottom"/>
          </w:tcPr>
          <w:p>
            <w:pPr>
              <w:spacing w:after="0"/>
              <w:rPr>
                <w:sz w:val="1"/>
                <w:szCs w:val="1"/>
                <w:color w:val="auto"/>
              </w:rPr>
            </w:pPr>
          </w:p>
        </w:tc>
      </w:tr>
      <w:tr>
        <w:trPr>
          <w:trHeight w:val="212"/>
        </w:trPr>
        <w:tc>
          <w:tcPr>
            <w:tcW w:w="79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71,876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71,596</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 agreements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of consolidated variable interest entities, at fair value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Payable for investment securities purchased</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payable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 at fair value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63,298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63,339</w:t>
            </w:r>
          </w:p>
        </w:tc>
        <w:tc>
          <w:tcPr>
            <w:tcW w:w="0" w:type="dxa"/>
            <w:vAlign w:val="bottom"/>
          </w:tcPr>
          <w:p>
            <w:pPr>
              <w:spacing w:after="0"/>
              <w:rPr>
                <w:sz w:val="1"/>
                <w:szCs w:val="1"/>
                <w:color w:val="auto"/>
              </w:rPr>
            </w:pPr>
          </w:p>
        </w:tc>
      </w:tr>
      <w:tr>
        <w:trPr>
          <w:trHeight w:val="19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Preferred Stock - aggregate liquidation preference of $1,688</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0" w:type="dxa"/>
            <w:vAlign w:val="bottom"/>
          </w:tcPr>
          <w:p>
            <w:pPr>
              <w:spacing w:after="0"/>
              <w:rPr>
                <w:sz w:val="1"/>
                <w:szCs w:val="1"/>
                <w:color w:val="auto"/>
              </w:rPr>
            </w:pPr>
          </w:p>
        </w:tc>
      </w:tr>
      <w:tr>
        <w:trPr>
          <w:trHeight w:val="162"/>
        </w:trPr>
        <w:tc>
          <w:tcPr>
            <w:tcW w:w="790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Common stock - $0.01 par value; 1,500 shares authorized; 720.3 and 694.3 shares issued and outstanding,</w:t>
            </w: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15,281</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Retained deficit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07"/>
        </w:trPr>
        <w:tc>
          <w:tcPr>
            <w:tcW w:w="79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71,596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r>
      <w:tr>
        <w:trPr>
          <w:trHeight w:val="211"/>
        </w:trPr>
        <w:tc>
          <w:tcPr>
            <w:tcW w:w="7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72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gain (loss), net: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sale of investment securities, net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 net income,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9"/>
        </w:trPr>
        <w:tc>
          <w:tcPr>
            <w:tcW w:w="7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Gain (loss) on derivative instruments and other investments, net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3"/>
        </w:trPr>
        <w:tc>
          <w:tcPr>
            <w:tcW w:w="7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gain (loss), net: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operating expense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available (attributable) to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7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184"/>
        </w:trPr>
        <w:tc>
          <w:tcPr>
            <w:tcW w:w="726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 other</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34"/>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 net</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7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available (attributable) to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7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8"/>
        </w:trPr>
        <w:tc>
          <w:tcPr>
            <w:tcW w:w="7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diluted</w:t>
            </w: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2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 (loss) per common share - basic</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8"/>
        </w:trPr>
        <w:tc>
          <w:tcPr>
            <w:tcW w:w="7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r>
      <w:tr>
        <w:trPr>
          <w:trHeight w:val="20"/>
        </w:trPr>
        <w:tc>
          <w:tcPr>
            <w:tcW w:w="7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080" w:top="887" w:right="10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9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9"/>
                <w:szCs w:val="9"/>
                <w:color w:val="auto"/>
              </w:rPr>
            </w:pPr>
          </w:p>
        </w:tc>
        <w:tc>
          <w:tcPr>
            <w:tcW w:w="120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7,870</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gain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6"/>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8,257</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6"/>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887" w:right="6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premiums and discounts on mortgage-backed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sale of investment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 loss on investment securities measured at fair value through net income,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loss on derivative instruments and other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Increase (decrease) in other liabilities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194"/>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Agency mortgage-backed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(7,829)</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credit risk transfer and non-Agency securities and other mortgage credit investments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credit risk transfer and non-Agency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collections on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collections on credit risk transfer and non-Agency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U.S. Treasury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(8,243)</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U.S. Treasury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4,329</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payments on reverse repurchase agreements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proceeds from (payments on) derivative instruments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(11,571)</w:t>
            </w:r>
          </w:p>
        </w:tc>
      </w:tr>
      <w:tr>
        <w:trPr>
          <w:trHeight w:val="194"/>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repurchase arrangements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1,140,681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705,124</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on repurchase agreements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(1,141,136)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(693,002)</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debt of consolidated variable interest entities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proceeds from common stock issuances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07"/>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12,050</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w:t>
            </w: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16"/>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r>
      <w:tr>
        <w:trPr>
          <w:trHeight w:val="212"/>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2,839</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960" w:top="887" w:right="9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2023.</w:t>
      </w:r>
    </w:p>
    <w:p>
      <w:pPr>
        <w:spacing w:after="0" w:line="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of loans exceed certain thresholds. By reducing the amount that they are obligated to repay to holders of CRT securities, the GSEs and/or other third parties offset credit losses on the related loans.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20"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All of our securities are reported at fair value on our consolidated balance sheet. Accounting Standards Codification ("ASC") Topic 320,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and Equity Securities</w:t>
      </w:r>
      <w:r>
        <w:rPr>
          <w:rFonts w:ascii="Times New Roman" w:cs="Times New Roman" w:eastAsia="Times New Roman" w:hAnsi="Times New Roman"/>
          <w:sz w:val="18"/>
          <w:szCs w:val="18"/>
          <w:color w:val="auto"/>
        </w:rPr>
        <w:t>, requires that at the time of purchase, we designate a security as held-to-maturity, available-for-sale or trading, depending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ability and intent to hold such security to maturity. Alternatively, we may elect the fair value option of accounting for securities pursuant to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4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We did not recognize any loss on available for sale securities through net income that we held as of March 31, 2024 because, as of such date, we did not intend to sell any of them in an unrealized loss position nor was it more likely than not that we would be required to sell such securities before recovery of their amortized cost basis.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 w:cs="Times New Roman" w:eastAsia="Times New Roman" w:hAnsi="Times New Roman"/>
          <w:sz w:val="18"/>
          <w:szCs w:val="18"/>
          <w:i w:val="1"/>
          <w:iCs w:val="1"/>
          <w:color w:val="auto"/>
        </w:rPr>
        <w:t>Receivables—Nonrefundable Fees and Other Costs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4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factors. Any resulting changes in effective yield are recognized prospectively based on the current amortized cost of the investment adjusted for credit impairments, if 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We finance the acquisition of securities for our investment portfolio primarily through repurchase agreements with our lending counterparties. Repurchase arrangements involve the sale and a simultaneous agreement to repurchase the securities at a future date. We maintain a beneficial interest in the specific securities pledged during the term of each repurchase arrangement and we receive the related principal and interest payments. Pursuant to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we account for repurchase agreements as collateralized financing transactions, which are carried at their contractual amounts (cost), plus accrued interest. Our repurchase agreements typically have maturities of less than one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 and Obligation to Return Securities Borrowed under Reverse Repurchase Agreements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borrow securities to cover short sales of U.S. Treasury securities through reverse repurchase transactions under our master repurchase agreements (see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We account for derivative instruments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Net cash receipts from and payments on our derivative instruments are classified in our consolidated statements of cash flows according to the underlying nature or purpose of the derivative transaction, generally in the investing section.</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 w:name="page10"/>
    <w:bookmarkEnd w:id="9"/>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swaptions</w:t>
      </w:r>
    </w:p>
    <w:p>
      <w:pPr>
        <w:spacing w:after="0" w:line="17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TBA securities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U.S. Treasury securities and US Treasury futures contracts</w:t>
      </w:r>
    </w:p>
    <w:p>
      <w:pPr>
        <w:spacing w:after="0" w:line="17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—Quoted prices (unadjusted) for identical unrestricted assets and liabilities in active markets that are accessible at the measurement date.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color w:val="auto"/>
        </w:rPr>
        <w:t>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3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w:t>
      </w:r>
    </w:p>
    <w:p>
      <w:pPr>
        <w:spacing w:after="0" w:line="12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 are valued based on prices obtained from multiple third-party pricing sources. The pricing sources utilize various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approaches, including market and income approaches. For Agency RMBS, the pricing sources primarily utilize a matrix pricing technique that interpolates the estimated fair value based on observed quoted prices for TBA securities having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TBA securities </w:t>
      </w:r>
      <w:r>
        <w:rPr>
          <w:rFonts w:ascii="Times New Roman" w:cs="Times New Roman" w:eastAsia="Times New Roman" w:hAnsi="Times New Roman"/>
          <w:sz w:val="18"/>
          <w:szCs w:val="18"/>
          <w:color w:val="auto"/>
        </w:rPr>
        <w:t>- are valued using prices obtained from third-party pricing sources based on pricing models that reference recent trading activity.</w:t>
      </w:r>
    </w:p>
    <w:p>
      <w:pPr>
        <w:spacing w:after="0" w:line="171"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rate swaps </w:t>
      </w:r>
      <w:r>
        <w:rPr>
          <w:rFonts w:ascii="Times New Roman" w:cs="Times New Roman" w:eastAsia="Times New Roman" w:hAnsi="Times New Roman"/>
          <w:sz w:val="18"/>
          <w:szCs w:val="18"/>
          <w:color w:val="auto"/>
        </w:rPr>
        <w:t>- are valued using the daily settlement price, or fair value, determined by the clearing exchange based on a pricing model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observable market inputs, including current benchmark rates and the forward yield curve.</w:t>
      </w:r>
    </w:p>
    <w:p>
      <w:pPr>
        <w:spacing w:after="0" w:line="104"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swaptions </w:t>
      </w:r>
      <w:r>
        <w:rPr>
          <w:rFonts w:ascii="Times New Roman" w:cs="Times New Roman" w:eastAsia="Times New Roman" w:hAnsi="Times New Roman"/>
          <w:sz w:val="18"/>
          <w:szCs w:val="18"/>
          <w:color w:val="auto"/>
        </w:rPr>
        <w:t>- are valued using prices obtained from the counterparty and other third-party pricing models. The pricing models are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value of the future interest rate swap that we have the option to enter into as well as the remaining length of time that we have to exercise the option based on observable market inputs, adjusted for non-performance risk, if any.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 Treasury securities and futures are valued based on quoted prices for identical instruments in active markets and are classified as Level 1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financial instruments are classified as Level 3 inputs.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of March 31, 2024 and December 31, 2023, our investment portfolio consisted of $54.8 billion investment securities, at fair value, $8.4 billion and $5.4 billion net TBA securities, at fair value, respectively, and other mortgage credit investments of $59 million and $44 million, respectively, which we account for under the equity method of accounting. Our TBA position is reported at its net carrying value totaling $43 million and $66 million as of March 31, 2024 and December 31, 2023,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2024 and December 31, 2023, our investment securities had a net unamortized premium balance of $1.2 billion.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investment securities as of March 31, 2024 and December 31, 2023, excluding TBA securities and other mortgage credit investments (dollars in millions). Details of our TBA securities are included in Note 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tcPr>
          <w:p>
            <w:pPr>
              <w:jc w:val="right"/>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55,465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52,767</w:t>
            </w:r>
          </w:p>
        </w:tc>
        <w:tc>
          <w:tcPr>
            <w:tcW w:w="720" w:type="dxa"/>
            <w:vAlign w:val="bottom"/>
            <w:gridSpan w:val="3"/>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55,289</w:t>
            </w:r>
          </w:p>
        </w:tc>
        <w:tc>
          <w:tcPr>
            <w:tcW w:w="36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Adjustable rate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CMO</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Interest-only and principal-only strips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Multifamily</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Agency RMBS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56,447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53,729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CRT securities</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57,464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54,776</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6"/>
          </w:tcPr>
          <w:p>
            <w:pPr>
              <w:jc w:val="right"/>
              <w:ind w:right="535"/>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Non-Agency </w:t>
            </w:r>
            <w:r>
              <w:rPr>
                <w:rFonts w:ascii="Times New Roman" w:cs="Times New Roman" w:eastAsia="Times New Roman" w:hAnsi="Times New Roman"/>
                <w:sz w:val="18"/>
                <w:szCs w:val="18"/>
                <w:b w:val="1"/>
                <w:bCs w:val="1"/>
                <w:color w:val="auto"/>
                <w:vertAlign w:val="superscript"/>
              </w:rPr>
              <w:t>1</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Fannie Mae</w:t>
            </w:r>
          </w:p>
        </w:tc>
        <w:tc>
          <w:tcPr>
            <w:tcW w:w="80" w:type="dxa"/>
            <w:vAlign w:val="bottom"/>
          </w:tcPr>
          <w:p>
            <w:pPr>
              <w:spacing w:after="0"/>
              <w:rPr>
                <w:sz w:val="11"/>
                <w:szCs w:val="11"/>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Ginnie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RMBS</w:t>
            </w:r>
          </w:p>
        </w:tc>
        <w:tc>
          <w:tcPr>
            <w:tcW w:w="260" w:type="dxa"/>
            <w:vAlign w:val="bottom"/>
          </w:tcPr>
          <w:p>
            <w:pPr>
              <w:spacing w:after="0"/>
              <w:rPr>
                <w:sz w:val="11"/>
                <w:szCs w:val="11"/>
                <w:color w:val="auto"/>
              </w:rPr>
            </w:pPr>
          </w:p>
        </w:tc>
        <w:tc>
          <w:tcPr>
            <w:tcW w:w="720" w:type="dxa"/>
            <w:vAlign w:val="bottom"/>
            <w:gridSpan w:val="3"/>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CMBS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CRT</w:t>
            </w:r>
          </w:p>
        </w:tc>
        <w:tc>
          <w:tcPr>
            <w:tcW w:w="260" w:type="dxa"/>
            <w:vAlign w:val="bottom"/>
          </w:tcPr>
          <w:p>
            <w:pPr>
              <w:spacing w:after="0"/>
              <w:rPr>
                <w:sz w:val="11"/>
                <w:szCs w:val="11"/>
                <w:color w:val="auto"/>
              </w:rPr>
            </w:pPr>
          </w:p>
        </w:tc>
        <w:tc>
          <w:tcPr>
            <w:tcW w:w="7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3,772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4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4,890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Unamortized discount</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Unamortized premium</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292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Amortized cost</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3,991</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1,188</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5,180</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Gross unrealized gains</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Gross unrealized losses</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available-for-sale securities, at fair value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3,539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1,046</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4,586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2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Securities remeasured at fair value through earnings: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Par value</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28,931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21,406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310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w w:val="92"/>
              </w:rPr>
              <w:t>687</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51,397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Unamortized discount</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right"/>
              <w:ind w:right="55"/>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Unamortized premium</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697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395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1,111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Amortized cost</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29,506</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21,720</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3"/>
                <w:szCs w:val="13"/>
                <w:color w:val="auto"/>
              </w:rPr>
              <w:t>304</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3"/>
                <w:szCs w:val="13"/>
                <w:color w:val="auto"/>
                <w:w w:val="92"/>
              </w:rPr>
              <w:t>694</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52,284</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Gross unrealized gains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rPr>
              <w:t>59</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218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Gross unrealized losses</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right"/>
              <w:ind w:right="55"/>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(2,312)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securities remeasured at fair value through earnings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28,095</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21,008</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280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w w:val="92"/>
              </w:rPr>
              <w:t>753</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50,190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securities, at fair value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31,634</w:t>
            </w:r>
          </w:p>
        </w:tc>
        <w:tc>
          <w:tcPr>
            <w:tcW w:w="10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22,054</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3"/>
                <w:szCs w:val="13"/>
                <w:color w:val="auto"/>
              </w:rPr>
              <w:t>280</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3"/>
                <w:szCs w:val="13"/>
                <w:color w:val="auto"/>
                <w:w w:val="92"/>
              </w:rPr>
              <w:t>753</w:t>
            </w:r>
          </w:p>
        </w:tc>
        <w:tc>
          <w:tcPr>
            <w:tcW w:w="14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54,776</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coupon as of March 31, 2024</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7.28 %</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10.72 %</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Weighted average yield as of March 31, 2024 </w:t>
            </w:r>
            <w:r>
              <w:rPr>
                <w:rFonts w:ascii="Times New Roman" w:cs="Times New Roman" w:eastAsia="Times New Roman" w:hAnsi="Times New Roman"/>
                <w:sz w:val="16"/>
                <w:szCs w:val="16"/>
                <w:color w:val="auto"/>
                <w:vertAlign w:val="superscript"/>
              </w:rPr>
              <w:t>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4.70 %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7.42 %</w:t>
            </w:r>
          </w:p>
        </w:tc>
        <w:tc>
          <w:tcPr>
            <w:tcW w:w="10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9.47 %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 w:name="page13"/>
    <w:bookmarkEnd w:id="12"/>
    <w:tbl>
      <w:tblPr>
        <w:tblLayout w:type="fixed"/>
        <w:tblInd w:w="34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497"/>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Non-Agency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11"/>
                <w:szCs w:val="11"/>
                <w:color w:val="auto"/>
              </w:rPr>
            </w:pPr>
          </w:p>
        </w:tc>
        <w:tc>
          <w:tcPr>
            <w:tcW w:w="760" w:type="dxa"/>
            <w:vAlign w:val="bottom"/>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Fannie</w:t>
            </w:r>
          </w:p>
        </w:tc>
        <w:tc>
          <w:tcPr>
            <w:tcW w:w="120" w:type="dxa"/>
            <w:vAlign w:val="bottom"/>
          </w:tcPr>
          <w:p>
            <w:pPr>
              <w:spacing w:after="0"/>
              <w:rPr>
                <w:sz w:val="11"/>
                <w:szCs w:val="11"/>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60" w:type="dxa"/>
            <w:vAlign w:val="bottom"/>
          </w:tcPr>
          <w:p>
            <w:pPr>
              <w:spacing w:after="0"/>
              <w:rPr>
                <w:sz w:val="11"/>
                <w:szCs w:val="11"/>
                <w:color w:val="auto"/>
              </w:rPr>
            </w:pPr>
          </w:p>
        </w:tc>
        <w:tc>
          <w:tcPr>
            <w:tcW w:w="740" w:type="dxa"/>
            <w:vAlign w:val="bottom"/>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Ginnie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RMBS</w:t>
            </w:r>
          </w:p>
        </w:tc>
        <w:tc>
          <w:tcPr>
            <w:tcW w:w="14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CMBS</w:t>
            </w:r>
          </w:p>
        </w:tc>
        <w:tc>
          <w:tcPr>
            <w:tcW w:w="18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CRT</w:t>
            </w:r>
          </w:p>
        </w:tc>
        <w:tc>
          <w:tcPr>
            <w:tcW w:w="180" w:type="dxa"/>
            <w:vAlign w:val="bottom"/>
          </w:tcPr>
          <w:p>
            <w:pPr>
              <w:spacing w:after="0"/>
              <w:rPr>
                <w:sz w:val="11"/>
                <w:szCs w:val="11"/>
                <w:color w:val="auto"/>
              </w:rPr>
            </w:pPr>
          </w:p>
        </w:tc>
        <w:tc>
          <w:tcPr>
            <w:tcW w:w="74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Mae</w:t>
            </w:r>
          </w:p>
        </w:tc>
        <w:tc>
          <w:tcPr>
            <w:tcW w:w="1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3,881</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5,034</w:t>
            </w:r>
          </w:p>
        </w:tc>
        <w:tc>
          <w:tcPr>
            <w:tcW w:w="0" w:type="dxa"/>
            <w:vAlign w:val="bottom"/>
          </w:tcPr>
          <w:p>
            <w:pPr>
              <w:spacing w:after="0"/>
              <w:rPr>
                <w:sz w:val="1"/>
                <w:szCs w:val="1"/>
                <w:color w:val="auto"/>
              </w:rPr>
            </w:pPr>
          </w:p>
        </w:tc>
      </w:tr>
      <w:tr>
        <w:trPr>
          <w:trHeight w:val="170"/>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Unamortized premium</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63"/>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Amortized cost</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4,107</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1,225</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5,333</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Gross unrealized losses</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(392)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(517)</w:t>
            </w:r>
          </w:p>
        </w:tc>
        <w:tc>
          <w:tcPr>
            <w:tcW w:w="0" w:type="dxa"/>
            <w:vAlign w:val="bottom"/>
          </w:tcPr>
          <w:p>
            <w:pPr>
              <w:spacing w:after="0"/>
              <w:rPr>
                <w:sz w:val="1"/>
                <w:szCs w:val="1"/>
                <w:color w:val="auto"/>
              </w:rPr>
            </w:pPr>
          </w:p>
        </w:tc>
      </w:tr>
      <w:tr>
        <w:trPr>
          <w:trHeight w:val="175"/>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available-for-sale securities, at fair value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3,715</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4,816</w:t>
            </w:r>
          </w:p>
        </w:tc>
        <w:tc>
          <w:tcPr>
            <w:tcW w:w="0" w:type="dxa"/>
            <w:vAlign w:val="bottom"/>
          </w:tcPr>
          <w:p>
            <w:pPr>
              <w:spacing w:after="0"/>
              <w:rPr>
                <w:sz w:val="1"/>
                <w:szCs w:val="1"/>
                <w:color w:val="auto"/>
              </w:rPr>
            </w:pPr>
          </w:p>
        </w:tc>
      </w:tr>
      <w:tr>
        <w:trPr>
          <w:trHeight w:val="150"/>
        </w:trPr>
        <w:tc>
          <w:tcPr>
            <w:tcW w:w="352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rPr>
              <w:t>Securities remeasured at fair value through earnings: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Par value</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29,910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19,503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283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679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50,726</w:t>
            </w:r>
          </w:p>
        </w:tc>
        <w:tc>
          <w:tcPr>
            <w:tcW w:w="0" w:type="dxa"/>
            <w:vAlign w:val="bottom"/>
          </w:tcPr>
          <w:p>
            <w:pPr>
              <w:spacing w:after="0"/>
              <w:rPr>
                <w:sz w:val="1"/>
                <w:szCs w:val="1"/>
                <w:color w:val="auto"/>
              </w:rPr>
            </w:pPr>
          </w:p>
        </w:tc>
      </w:tr>
      <w:tr>
        <w:trPr>
          <w:trHeight w:val="170"/>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Unamortized premium</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702</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1,095</w:t>
            </w:r>
          </w:p>
        </w:tc>
        <w:tc>
          <w:tcPr>
            <w:tcW w:w="0" w:type="dxa"/>
            <w:vAlign w:val="bottom"/>
          </w:tcPr>
          <w:p>
            <w:pPr>
              <w:spacing w:after="0"/>
              <w:rPr>
                <w:sz w:val="1"/>
                <w:szCs w:val="1"/>
                <w:color w:val="auto"/>
              </w:rPr>
            </w:pPr>
          </w:p>
        </w:tc>
      </w:tr>
      <w:tr>
        <w:trPr>
          <w:trHeight w:val="163"/>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Amortized cost</w:t>
            </w:r>
          </w:p>
        </w:tc>
        <w:tc>
          <w:tcPr>
            <w:tcW w:w="16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30,504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19,820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280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682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51,632</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325</w:t>
            </w:r>
          </w:p>
        </w:tc>
        <w:tc>
          <w:tcPr>
            <w:tcW w:w="0" w:type="dxa"/>
            <w:vAlign w:val="bottom"/>
          </w:tcPr>
          <w:p>
            <w:pPr>
              <w:spacing w:after="0"/>
              <w:rPr>
                <w:sz w:val="1"/>
                <w:szCs w:val="1"/>
                <w:color w:val="auto"/>
              </w:rPr>
            </w:pPr>
          </w:p>
        </w:tc>
      </w:tr>
      <w:tr>
        <w:trPr>
          <w:trHeight w:val="170"/>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Gross unrealized losses</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(1,270)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(1,949)</w:t>
            </w:r>
          </w:p>
        </w:tc>
        <w:tc>
          <w:tcPr>
            <w:tcW w:w="0" w:type="dxa"/>
            <w:vAlign w:val="bottom"/>
          </w:tcPr>
          <w:p>
            <w:pPr>
              <w:spacing w:after="0"/>
              <w:rPr>
                <w:sz w:val="1"/>
                <w:szCs w:val="1"/>
                <w:color w:val="auto"/>
              </w:rPr>
            </w:pPr>
          </w:p>
        </w:tc>
      </w:tr>
      <w:tr>
        <w:trPr>
          <w:trHeight w:val="175"/>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securities remeasured at fair value through earnings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29,404</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19,293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281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723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50,008</w:t>
            </w:r>
          </w:p>
        </w:tc>
        <w:tc>
          <w:tcPr>
            <w:tcW w:w="0" w:type="dxa"/>
            <w:vAlign w:val="bottom"/>
          </w:tcPr>
          <w:p>
            <w:pPr>
              <w:spacing w:after="0"/>
              <w:rPr>
                <w:sz w:val="1"/>
                <w:szCs w:val="1"/>
                <w:color w:val="auto"/>
              </w:rPr>
            </w:pPr>
          </w:p>
        </w:tc>
      </w:tr>
      <w:tr>
        <w:trPr>
          <w:trHeight w:val="16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securities, at fair value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33,119</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20,393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282</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723</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54,824</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coupon as of December 31, 2023</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4.94 %</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4.86 %</w:t>
            </w:r>
          </w:p>
        </w:tc>
        <w:tc>
          <w:tcPr>
            <w:tcW w:w="0" w:type="dxa"/>
            <w:vAlign w:val="bottom"/>
          </w:tcPr>
          <w:p>
            <w:pPr>
              <w:spacing w:after="0"/>
              <w:rPr>
                <w:sz w:val="1"/>
                <w:szCs w:val="1"/>
                <w:color w:val="auto"/>
              </w:rPr>
            </w:pPr>
          </w:p>
        </w:tc>
      </w:tr>
      <w:tr>
        <w:trPr>
          <w:trHeight w:val="214"/>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Weighted average yield as of December 31, 2023 </w:t>
            </w:r>
            <w:r>
              <w:rPr>
                <w:rFonts w:ascii="Times New Roman" w:cs="Times New Roman" w:eastAsia="Times New Roman" w:hAnsi="Times New Roman"/>
                <w:sz w:val="16"/>
                <w:szCs w:val="16"/>
                <w:color w:val="auto"/>
                <w:vertAlign w:val="superscript"/>
              </w:rPr>
              <w:t>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4.41 %</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Non-Agency amounts exclude other mortgage credit investments of $59 million and $44 million as of March 31, 2024 and December 31, 2023, respectively.</w:t>
      </w:r>
    </w:p>
    <w:p>
      <w:pPr>
        <w:spacing w:after="0" w:line="1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Incorporates a weighted average future constant prepayment rate assumption of 10.4% and 11.4% based on forward rates as of March 31, 2024 and December 31, 2023, respectively.</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and December 31, 2023, our investments in CRT and non-Agency securities had the following credit ratings (in millions):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CRT and Non-Agency Security Credit Ratings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60" w:type="dxa"/>
            <w:vAlign w:val="bottom"/>
            <w:gridSpan w:val="2"/>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CRT</w:t>
            </w: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300"/>
              <w:spacing w:after="0" w:line="196" w:lineRule="exact"/>
              <w:rPr>
                <w:sz w:val="20"/>
                <w:szCs w:val="20"/>
                <w:color w:val="auto"/>
              </w:rPr>
            </w:pPr>
            <w:r>
              <w:rPr>
                <w:rFonts w:ascii="Times New Roman" w:cs="Times New Roman" w:eastAsia="Times New Roman" w:hAnsi="Times New Roman"/>
                <w:sz w:val="14"/>
                <w:szCs w:val="14"/>
                <w:b w:val="1"/>
                <w:bCs w:val="1"/>
                <w:color w:val="auto"/>
                <w:w w:val="96"/>
              </w:rPr>
              <w:t xml:space="preserve">RMBS </w:t>
            </w:r>
            <w:r>
              <w:rPr>
                <w:rFonts w:ascii="Times New Roman" w:cs="Times New Roman" w:eastAsia="Times New Roman" w:hAnsi="Times New Roman"/>
                <w:sz w:val="18"/>
                <w:szCs w:val="18"/>
                <w:b w:val="1"/>
                <w:bCs w:val="1"/>
                <w:color w:val="auto"/>
                <w:w w:val="96"/>
                <w:vertAlign w:val="superscript"/>
              </w:rPr>
              <w:t>2</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CMBS</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3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RMBS </w:t>
            </w:r>
            <w:r>
              <w:rPr>
                <w:rFonts w:ascii="Times New Roman" w:cs="Times New Roman" w:eastAsia="Times New Roman" w:hAnsi="Times New Roman"/>
                <w:sz w:val="18"/>
                <w:szCs w:val="18"/>
                <w:b w:val="1"/>
                <w:bCs w:val="1"/>
                <w:color w:val="auto"/>
                <w:vertAlign w:val="superscript"/>
              </w:rPr>
              <w:t>2</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CMBS</w:t>
            </w:r>
          </w:p>
        </w:tc>
        <w:tc>
          <w:tcPr>
            <w:tcW w:w="0" w:type="dxa"/>
            <w:vAlign w:val="bottom"/>
          </w:tcPr>
          <w:p>
            <w:pPr>
              <w:spacing w:after="0"/>
              <w:rPr>
                <w:sz w:val="1"/>
                <w:szCs w:val="1"/>
                <w:color w:val="auto"/>
              </w:rPr>
            </w:pPr>
          </w:p>
        </w:tc>
      </w:tr>
      <w:tr>
        <w:trPr>
          <w:trHeight w:val="196"/>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AA</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 Rated</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right="20" w:hanging="328"/>
        <w:spacing w:after="0" w:line="259"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lowest of Standard and Poor's ("S&amp;P"), Moody's, Fitch, DBRS, Kroll Bond Rating Agency ("KBRA") and Morningstar credit ratings, stated in terms of the S&amp;P equivalent rating as of each date.</w:t>
      </w:r>
    </w:p>
    <w:p>
      <w:pPr>
        <w:ind w:left="660" w:hanging="328"/>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RMBS excludes other mortgage credit investments of $59 million and $44 million as of March 31, 2024 and December 31, 2023, respectively.</w:t>
      </w:r>
    </w:p>
    <w:p>
      <w:pPr>
        <w:spacing w:after="0" w:line="1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CRT securities reference the performance of loans underlying Agency RMBS issued by Fannie Mae or Freddie Mac, which were subject to their underwriting standards.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March 31, 2024 and December 31, 2023, the weighted average expected constant prepayment rate ("CPR") over the remaining life of our Agency and high credit quality non-Agency RMBS investment portfolio was 10.4% and 11.4%, respectively. Our estimates can differ materially for different securities and thus our individual holdings have a wide range of projected CPRs. The following table summarizes our investments as of March 31, 2024 and December 31, 2023 according to their estimated weighted average life classification (dollars in millions):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Weighted Average Life of</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03"/>
        </w:trPr>
        <w:tc>
          <w:tcPr>
            <w:tcW w:w="27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Investment Securities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96"/>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 years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7.22%</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9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3 years and ≤ 5 years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4,641</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10,331</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1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5 years and ≤10 years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48,314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3,870</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4.90%</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228"/>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54,776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57,464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4.52%</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56,965</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4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other mortgage credit investments of $59 million and $44 million as of March 31, 2024 and December 31, 2023, respectively.</w:t>
      </w:r>
    </w:p>
    <w:p>
      <w:pPr>
        <w:spacing w:after="0" w:line="18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unrealized loss and fair values of securities classified as available-for-sale by length of time that such securities have been in a continuous unrealized loss position as of March 31, 2024 and December 31, 2023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Loss Position For</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Classified as Available-for-Sale</w:t>
            </w:r>
          </w:p>
        </w:tc>
        <w:tc>
          <w:tcPr>
            <w:tcW w:w="120" w:type="dxa"/>
            <w:vAlign w:val="bottom"/>
            <w:vMerge w:val="restart"/>
          </w:tcPr>
          <w:p>
            <w:pPr>
              <w:spacing w:after="0"/>
              <w:rPr>
                <w:sz w:val="11"/>
                <w:szCs w:val="11"/>
                <w:color w:val="auto"/>
              </w:rPr>
            </w:pPr>
          </w:p>
        </w:tc>
        <w:tc>
          <w:tcPr>
            <w:tcW w:w="800" w:type="dxa"/>
            <w:vAlign w:val="bottom"/>
            <w:tcBorders>
              <w:top w:val="single" w:sz="8" w:color="auto"/>
            </w:tcBorders>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343"/>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2024</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4,569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34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4,797</w:t>
            </w:r>
          </w:p>
        </w:tc>
        <w:tc>
          <w:tcPr>
            <w:tcW w:w="10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Sale of Investment Securities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net gain (loss) from the sale of investment securities for the three months ended March 31, 2024 and 2023 by investment classification of accounting (in millions):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21"/>
        </w:trPr>
        <w:tc>
          <w:tcPr>
            <w:tcW w:w="5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120" w:type="dxa"/>
            <w:vAlign w:val="bottom"/>
          </w:tcPr>
          <w:p>
            <w:pPr>
              <w:spacing w:after="0"/>
              <w:rPr>
                <w:sz w:val="10"/>
                <w:szCs w:val="10"/>
                <w:color w:val="auto"/>
              </w:rPr>
            </w:pPr>
          </w:p>
        </w:tc>
        <w:tc>
          <w:tcPr>
            <w:tcW w:w="740" w:type="dxa"/>
            <w:vAlign w:val="bottom"/>
          </w:tcPr>
          <w:p>
            <w:pPr>
              <w:jc w:val="center"/>
              <w:ind w:right="31"/>
              <w:spacing w:after="0" w:line="121"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5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120" w:type="dxa"/>
            <w:vAlign w:val="bottom"/>
          </w:tcPr>
          <w:p>
            <w:pPr>
              <w:spacing w:after="0"/>
              <w:rPr>
                <w:sz w:val="10"/>
                <w:szCs w:val="10"/>
                <w:color w:val="auto"/>
              </w:rPr>
            </w:pPr>
          </w:p>
        </w:tc>
        <w:tc>
          <w:tcPr>
            <w:tcW w:w="740" w:type="dxa"/>
            <w:vAlign w:val="bottom"/>
          </w:tcPr>
          <w:p>
            <w:pPr>
              <w:jc w:val="center"/>
              <w:ind w:right="31"/>
              <w:spacing w:after="0" w:line="122"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8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 xml:space="preserve">Securities </w:t>
            </w:r>
            <w:r>
              <w:rPr>
                <w:rFonts w:ascii="Times New Roman" w:cs="Times New Roman" w:eastAsia="Times New Roman" w:hAnsi="Times New Roman"/>
                <w:sz w:val="16"/>
                <w:szCs w:val="16"/>
                <w:b w:val="1"/>
                <w:bCs w:val="1"/>
                <w:color w:val="auto"/>
                <w:w w:val="93"/>
                <w:vertAlign w:val="superscript"/>
              </w:rPr>
              <w:t>2,3</w:t>
            </w:r>
          </w:p>
        </w:tc>
        <w:tc>
          <w:tcPr>
            <w:tcW w:w="120" w:type="dxa"/>
            <w:vAlign w:val="bottom"/>
          </w:tcPr>
          <w:p>
            <w:pPr>
              <w:spacing w:after="0"/>
              <w:rPr>
                <w:sz w:val="16"/>
                <w:szCs w:val="16"/>
                <w:color w:val="auto"/>
              </w:rPr>
            </w:pPr>
          </w:p>
        </w:tc>
        <w:tc>
          <w:tcPr>
            <w:tcW w:w="7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 xml:space="preserve">Securities </w:t>
            </w:r>
            <w:r>
              <w:rPr>
                <w:rFonts w:ascii="Times New Roman" w:cs="Times New Roman" w:eastAsia="Times New Roman" w:hAnsi="Times New Roman"/>
                <w:sz w:val="16"/>
                <w:szCs w:val="16"/>
                <w:b w:val="1"/>
                <w:bCs w:val="1"/>
                <w:color w:val="auto"/>
                <w:w w:val="93"/>
                <w:vertAlign w:val="superscript"/>
              </w:rPr>
              <w:t>2,3</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6"/>
                <w:szCs w:val="16"/>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(5,218)</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(5,218)</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(1,874)</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Proceeds from investment securities sold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r>
      <w:tr>
        <w:trPr>
          <w:trHeight w:val="19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19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9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
        </w:trPr>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include cash received during the period, plus receivable for investment securities sold during the period as of period end.</w:t>
      </w:r>
    </w:p>
    <w:p>
      <w:pPr>
        <w:spacing w:after="0" w:line="27"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for a summary of changes in accumulated OCI.</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2024 and 2023, we received principal repayments on available-for-sale securities of $143 million and $179 million,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Repurchase Agreements and Reverse Repurchase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March 31, 2024, we had met all margin call requirements. For additional information regarding our pledged assets, please refer to Note 6.</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4" w:name="page15"/>
    <w:bookmarkEnd w:id="14"/>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we had $50.0 billion and $50.4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tri-party repo agreement. The following table summarizes our borrowings under repurchase agreements by their remaining maturities as of March 31, 2024 and December 31, 2023 (dollars in millions):</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Remaining Maturity</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 Days</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Days</w:t>
            </w:r>
          </w:p>
        </w:tc>
        <w:tc>
          <w:tcPr>
            <w:tcW w:w="0" w:type="dxa"/>
            <w:vAlign w:val="bottom"/>
          </w:tcPr>
          <w:p>
            <w:pPr>
              <w:spacing w:after="0"/>
              <w:rPr>
                <w:sz w:val="1"/>
                <w:szCs w:val="1"/>
                <w:color w:val="auto"/>
              </w:rPr>
            </w:pPr>
          </w:p>
        </w:tc>
      </w:tr>
      <w:tr>
        <w:trPr>
          <w:trHeight w:val="198"/>
        </w:trPr>
        <w:tc>
          <w:tcPr>
            <w:tcW w:w="2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16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0" w:type="dxa"/>
            <w:vAlign w:val="bottom"/>
          </w:tcPr>
          <w:p>
            <w:pPr>
              <w:spacing w:after="0"/>
              <w:rPr>
                <w:sz w:val="1"/>
                <w:szCs w:val="1"/>
                <w:color w:val="auto"/>
              </w:rPr>
            </w:pPr>
          </w:p>
        </w:tc>
      </w:tr>
      <w:tr>
        <w:trPr>
          <w:trHeight w:val="215"/>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 repo</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1 month</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38,112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40,946</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&gt; 1 to ≤ 3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9,244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7,933</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&gt; 3 to ≤ 6 months</w:t>
            </w: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 repo</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48,140</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5.46 %</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48,879</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5.60 %</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repo:</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1 month</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1,831</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49,971</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5.46 %</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4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50,426</w:t>
            </w: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5.60 %</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of March 31, 2024 and December 31, 2023, $16.9 billion and $16.7 billion, respectively, of our investment securities repurchase agreements and all of our U.S. Treasury repurchase agreements had an overnight maturity of one business day and none of our repurchase agreements were due on demand. As of March 31, 2024, we had $10.4 billion of forward commitments to enter into repurchase agreements with a weighted average forward start date of 4 days and a weighted average interest rate of 5.46%. As of December 31, 2023, we had $8.8 billion of forward commitments to enter into repurchase agreements, with a weighted average forward start date of 4 days and a weighted average interest rate of 5.54%. As of March 31, 2024 and December 31, 2023, 46% and 48%,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42% and 43% of our repurchase agreement funding outstanding as of March 31, 2024 and December 31, 2023,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we had $12.4 billion and $11.6 billion, respectively, of reverse repurchase agreements outstanding used primarily to borrow securities to cover short sales of U.S. Treasury securities, for which we had associated obligations to return borrowed securities at fair value of $12.1 billion and $10.9 billion, respectively. As of March 31, 2024 and December 31, 2023, $3.0 billion and $3.1 billion, respectively, of our reverse repurchase agreements were with the FICC sourced through BES.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and Other Hedging Instruments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Other Hedging Instrument Assets (Liabilities), at Fair Value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fair value information about our derivative and other hedging instrument assets/(liabilities)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428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4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320" w:type="dxa"/>
            <w:vAlign w:val="bottom"/>
            <w:tcBorders>
              <w:top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Swaptions</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and forward settling non-Agency securities</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2"/>
        </w:trPr>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derivative assets, at fair value</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1"/>
                <w:szCs w:val="21"/>
                <w:color w:val="auto"/>
                <w:vertAlign w:val="superscript"/>
              </w:rPr>
              <w:t>1</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and forward settling non-Agency securities</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futures contracts - long</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Credit default swaps </w:t>
            </w:r>
            <w:r>
              <w:rPr>
                <w:rFonts w:ascii="Times New Roman" w:cs="Times New Roman" w:eastAsia="Times New Roman" w:hAnsi="Times New Roman"/>
                <w:sz w:val="21"/>
                <w:szCs w:val="21"/>
                <w:color w:val="auto"/>
                <w:vertAlign w:val="superscript"/>
              </w:rPr>
              <w:t>1</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44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 at fair value</w:t>
            </w:r>
          </w:p>
        </w:tc>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at fair value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162"/>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w:t>
            </w:r>
          </w:p>
        </w:tc>
        <w:tc>
          <w:tcPr>
            <w:tcW w:w="42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Obligation to return securities borrowed under reverse</w:t>
            </w: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gridSpan w:val="2"/>
            <w:vMerge w:val="continue"/>
          </w:tcPr>
          <w:p>
            <w:pPr>
              <w:spacing w:after="0"/>
              <w:rPr>
                <w:sz w:val="18"/>
                <w:szCs w:val="18"/>
                <w:color w:val="auto"/>
              </w:rPr>
            </w:pPr>
          </w:p>
        </w:tc>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repurchase agreements, at fair value</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U.S. Treasury securities, net at fair value</w:t>
            </w:r>
          </w:p>
        </w:tc>
        <w:tc>
          <w:tcPr>
            <w:tcW w:w="4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81" w:lineRule="auto"/>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and December 31, 2023, the net fair value of our interest rate swaps excluding the recognition of variation margin settlements as a direct reduction of carrying value (see Note 2) was a net asset (liability) of $3.0 billion and $2.9 billion, respectively. As of March 31, 2024 and December 31, 2023, the net fair value of our credit default swaps excluding the recognition of variation margin settlements was $(7) million and $(6) million, respectively.</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certain characteristics of our derivative and other hedging instruments outstanding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(dollars in millions):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 Fixed / Receive Variable Interest</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4"/>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March 31, 2024 </w:t>
            </w:r>
            <w:r>
              <w:rPr>
                <w:rFonts w:ascii="Times New Roman" w:cs="Times New Roman" w:eastAsia="Times New Roman" w:hAnsi="Times New Roman"/>
                <w:sz w:val="18"/>
                <w:szCs w:val="18"/>
                <w:b w:val="1"/>
                <w:bCs w:val="1"/>
                <w:color w:val="auto"/>
                <w:vertAlign w:val="superscript"/>
              </w:rPr>
              <w:t>1</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203"/>
        </w:trPr>
        <w:tc>
          <w:tcPr>
            <w:tcW w:w="2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2</w:t>
            </w:r>
          </w:p>
        </w:tc>
        <w:tc>
          <w:tcPr>
            <w:tcW w:w="10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3</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3</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09"/>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 years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1 to ≤ 3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3 to ≤ 5 years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5 to ≤ 7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7 to ≤ 10 years</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9.3</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9.2</w:t>
            </w:r>
          </w:p>
        </w:tc>
        <w:tc>
          <w:tcPr>
            <w:tcW w:w="0" w:type="dxa"/>
            <w:vAlign w:val="bottom"/>
          </w:tcPr>
          <w:p>
            <w:pPr>
              <w:spacing w:after="0"/>
              <w:rPr>
                <w:sz w:val="1"/>
                <w:szCs w:val="1"/>
                <w:color w:val="auto"/>
              </w:rPr>
            </w:pPr>
          </w:p>
        </w:tc>
      </w:tr>
      <w:tr>
        <w:trPr>
          <w:trHeight w:val="20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44,396</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0.97%</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44,476</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notional amount includes forward starting swaps of $1.0 billion with an average forward start date of 0.2 years.</w:t>
      </w:r>
    </w:p>
    <w:p>
      <w:pPr>
        <w:spacing w:after="0" w:line="13"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fixed pay rate includes forward starting swaps. Excluding forward starting swaps, the average fixed pay rate was 0.90% as of March 31, 2024.</w:t>
      </w:r>
    </w:p>
    <w:p>
      <w:pPr>
        <w:spacing w:after="0" w:line="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and December 31, 2023, 80% and 20% of notional amount receive index references SOFR and OIS, respectively.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6" w:name="page17"/>
    <w:bookmarkEnd w:id="16"/>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Receive Fixed / Pay Variable</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5"/>
            <w:vMerge w:val="restart"/>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11"/>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Swaps</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11"/>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4"/>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5"/>
          </w:tcPr>
          <w:p>
            <w:pPr>
              <w:jc w:val="center"/>
              <w:ind w:right="160"/>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3"/>
          </w:tcPr>
          <w:p>
            <w:pPr>
              <w:jc w:val="center"/>
              <w:ind w:right="40"/>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4"/>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5"/>
          </w:tcPr>
          <w:p>
            <w:pPr>
              <w:jc w:val="center"/>
              <w:ind w:left="5"/>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4"/>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3"/>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Variable Pay</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5"/>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Fixed Receive</w:t>
            </w:r>
          </w:p>
        </w:tc>
        <w:tc>
          <w:tcPr>
            <w:tcW w:w="740" w:type="dxa"/>
            <w:vAlign w:val="bottom"/>
            <w:gridSpan w:val="4"/>
          </w:tcPr>
          <w:p>
            <w:pPr>
              <w:jc w:val="cente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tcPr>
          <w:p>
            <w:pPr>
              <w:jc w:val="center"/>
              <w:ind w:left="5"/>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Variable Pay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Fixed Receive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4"/>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Pr>
          <w:p>
            <w:pPr>
              <w:spacing w:after="0"/>
              <w:rPr>
                <w:sz w:val="17"/>
                <w:szCs w:val="17"/>
                <w:color w:val="auto"/>
              </w:rPr>
            </w:pPr>
          </w:p>
        </w:tc>
        <w:tc>
          <w:tcPr>
            <w:tcW w:w="5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00" w:type="dxa"/>
            <w:vAlign w:val="bottom"/>
            <w:gridSpan w:val="5"/>
          </w:tcPr>
          <w:p>
            <w:pPr>
              <w:jc w:val="center"/>
              <w:ind w:left="5"/>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1 to ≤ 3 years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CEEFF"/>
          </w:tcPr>
          <w:p>
            <w:pPr>
              <w:jc w:val="center"/>
              <w:ind w:left="24"/>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w w:val="99"/>
              </w:rPr>
              <w:t>1.3</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ind w:left="166"/>
              <w:spacing w:after="0"/>
              <w:rPr>
                <w:sz w:val="20"/>
                <w:szCs w:val="20"/>
                <w:color w:val="auto"/>
              </w:rPr>
            </w:pPr>
            <w:r>
              <w:rPr>
                <w:rFonts w:ascii="Times New Roman" w:cs="Times New Roman" w:eastAsia="Times New Roman" w:hAnsi="Times New Roman"/>
                <w:sz w:val="16"/>
                <w:szCs w:val="16"/>
                <w:color w:val="auto"/>
              </w:rPr>
              <w:t>4.65%</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gridSpan w:val="3"/>
          </w:tcPr>
          <w:p>
            <w:pPr>
              <w:jc w:val="center"/>
              <w:ind w:left="24"/>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1.3</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jc w:val="center"/>
              <w:ind w:left="166"/>
              <w:spacing w:after="0"/>
              <w:rPr>
                <w:sz w:val="20"/>
                <w:szCs w:val="20"/>
                <w:color w:val="auto"/>
              </w:rPr>
            </w:pPr>
            <w:r>
              <w:rPr>
                <w:rFonts w:ascii="Times New Roman" w:cs="Times New Roman" w:eastAsia="Times New Roman" w:hAnsi="Times New Roman"/>
                <w:sz w:val="16"/>
                <w:szCs w:val="16"/>
                <w:color w:val="auto"/>
              </w:rPr>
              <w:t>4.65%</w:t>
            </w: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40" w:type="dxa"/>
            <w:vAlign w:val="bottom"/>
            <w:gridSpan w:val="3"/>
            <w:vMerge w:val="restart"/>
          </w:tcPr>
          <w:p>
            <w:pPr>
              <w:jc w:val="right"/>
              <w:ind w:right="528"/>
              <w:spacing w:after="0"/>
              <w:rPr>
                <w:sz w:val="20"/>
                <w:szCs w:val="20"/>
                <w:color w:val="auto"/>
              </w:rPr>
            </w:pPr>
            <w:r>
              <w:rPr>
                <w:rFonts w:ascii="Times New Roman" w:cs="Times New Roman" w:eastAsia="Times New Roman" w:hAnsi="Times New Roman"/>
                <w:sz w:val="11"/>
                <w:szCs w:val="11"/>
                <w:color w:val="auto"/>
                <w:w w:val="97"/>
              </w:rPr>
              <w:t>________________________________</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9"/>
        </w:trPr>
        <w:tc>
          <w:tcPr>
            <w:tcW w:w="23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4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1.</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 index references SOFR.</w:t>
            </w: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Payer Swaptions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1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Underlying Payer Swap</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6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4"/>
          </w:tcPr>
          <w:p>
            <w:pPr>
              <w:jc w:val="center"/>
              <w:ind w:right="144"/>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6"/>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 Fixed</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6"/>
          </w:tcPr>
          <w:p>
            <w:pPr>
              <w:jc w:val="center"/>
              <w:ind w:right="459"/>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Current Option Expiration Date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5"/>
            <w:vMerge w:val="restart"/>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Pr>
          <w:p>
            <w:pPr>
              <w:spacing w:after="0"/>
              <w:rPr>
                <w:sz w:val="12"/>
                <w:szCs w:val="12"/>
                <w:color w:val="auto"/>
              </w:rPr>
            </w:pPr>
          </w:p>
        </w:tc>
        <w:tc>
          <w:tcPr>
            <w:tcW w:w="1260" w:type="dxa"/>
            <w:vAlign w:val="bottom"/>
            <w:gridSpan w:val="7"/>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gridSpan w:val="7"/>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Current Option</w:t>
            </w: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7"/>
            <w:vMerge w:val="continue"/>
          </w:tcPr>
          <w:p>
            <w:pPr>
              <w:spacing w:after="0"/>
              <w:rPr>
                <w:sz w:val="17"/>
                <w:szCs w:val="17"/>
                <w:color w:val="auto"/>
              </w:rPr>
            </w:pPr>
          </w:p>
        </w:tc>
        <w:tc>
          <w:tcPr>
            <w:tcW w:w="1360" w:type="dxa"/>
            <w:vAlign w:val="bottom"/>
            <w:gridSpan w:val="7"/>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shd w:val="clear" w:color="auto" w:fill="CCEEFF"/>
          </w:tcPr>
          <w:p>
            <w:pPr>
              <w:spacing w:after="0"/>
              <w:rPr>
                <w:sz w:val="18"/>
                <w:szCs w:val="18"/>
                <w:color w:val="auto"/>
              </w:rPr>
            </w:pPr>
          </w:p>
        </w:tc>
        <w:tc>
          <w:tcPr>
            <w:tcW w:w="25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 1 year</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5"/>
          </w:tcPr>
          <w:p>
            <w:pPr>
              <w:jc w:val="right"/>
              <w:ind w:right="20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center"/>
              <w:ind w:left="322"/>
              <w:spacing w:after="0"/>
              <w:rPr>
                <w:sz w:val="20"/>
                <w:szCs w:val="20"/>
                <w:color w:val="auto"/>
              </w:rPr>
            </w:pPr>
            <w:r>
              <w:rPr>
                <w:rFonts w:ascii="Times New Roman" w:cs="Times New Roman" w:eastAsia="Times New Roman" w:hAnsi="Times New Roman"/>
                <w:sz w:val="16"/>
                <w:szCs w:val="16"/>
                <w:color w:val="auto"/>
                <w:w w:val="99"/>
              </w:rPr>
              <w:t>5</w:t>
            </w:r>
          </w:p>
        </w:tc>
        <w:tc>
          <w:tcPr>
            <w:tcW w:w="76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tcPr>
          <w:p>
            <w:pPr>
              <w:jc w:val="right"/>
              <w:ind w:right="2"/>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center"/>
              <w:ind w:left="21"/>
              <w:spacing w:after="0"/>
              <w:rPr>
                <w:sz w:val="20"/>
                <w:szCs w:val="20"/>
                <w:color w:val="auto"/>
              </w:rPr>
            </w:pPr>
            <w:r>
              <w:rPr>
                <w:rFonts w:ascii="Times New Roman" w:cs="Times New Roman" w:eastAsia="Times New Roman" w:hAnsi="Times New Roman"/>
                <w:sz w:val="16"/>
                <w:szCs w:val="16"/>
                <w:color w:val="auto"/>
              </w:rPr>
              <w:t>2.61%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303"/>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gridSpan w:val="3"/>
            <w:shd w:val="clear" w:color="auto" w:fill="CCEEFF"/>
          </w:tcPr>
          <w:p>
            <w:pPr>
              <w:jc w:val="center"/>
              <w:ind w:left="322"/>
              <w:spacing w:after="0"/>
              <w:rPr>
                <w:sz w:val="20"/>
                <w:szCs w:val="20"/>
                <w:color w:val="auto"/>
              </w:rPr>
            </w:pPr>
            <w:r>
              <w:rPr>
                <w:rFonts w:ascii="Times New Roman" w:cs="Times New Roman" w:eastAsia="Times New Roman" w:hAnsi="Times New Roman"/>
                <w:sz w:val="16"/>
                <w:szCs w:val="16"/>
                <w:color w:val="auto"/>
                <w:w w:val="99"/>
              </w:rPr>
              <w:t>5</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3"/>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2.61%</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gridSpan w:val="3"/>
            <w:vMerge w:val="restart"/>
          </w:tcPr>
          <w:p>
            <w:pPr>
              <w:jc w:val="right"/>
              <w:ind w:right="528"/>
              <w:spacing w:after="0"/>
              <w:rPr>
                <w:sz w:val="20"/>
                <w:szCs w:val="20"/>
                <w:color w:val="auto"/>
              </w:rPr>
            </w:pPr>
            <w:r>
              <w:rPr>
                <w:rFonts w:ascii="Times New Roman" w:cs="Times New Roman" w:eastAsia="Times New Roman" w:hAnsi="Times New Roman"/>
                <w:sz w:val="11"/>
                <w:szCs w:val="11"/>
                <w:color w:val="auto"/>
                <w:w w:val="97"/>
              </w:rPr>
              <w:t>________________________________</w:t>
            </w: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3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1.</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Receive index references SOFR.</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Receiver Swaptions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gridSpan w:val="13"/>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Underlying Receiver Swap</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6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4"/>
          </w:tcPr>
          <w:p>
            <w:pPr>
              <w:jc w:val="center"/>
              <w:ind w:right="144"/>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6"/>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 Fixed</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6"/>
          </w:tcPr>
          <w:p>
            <w:pPr>
              <w:jc w:val="center"/>
              <w:ind w:right="459"/>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Current Option Expiration Date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5"/>
            <w:vMerge w:val="restart"/>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Pr>
          <w:p>
            <w:pPr>
              <w:spacing w:after="0"/>
              <w:rPr>
                <w:sz w:val="12"/>
                <w:szCs w:val="12"/>
                <w:color w:val="auto"/>
              </w:rPr>
            </w:pPr>
          </w:p>
        </w:tc>
        <w:tc>
          <w:tcPr>
            <w:tcW w:w="1260" w:type="dxa"/>
            <w:vAlign w:val="bottom"/>
            <w:gridSpan w:val="7"/>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gridSpan w:val="7"/>
          </w:tcPr>
          <w:p>
            <w:pPr>
              <w:jc w:val="center"/>
              <w:ind w:right="279"/>
              <w:spacing w:after="0" w:line="146" w:lineRule="exact"/>
              <w:rPr>
                <w:sz w:val="20"/>
                <w:szCs w:val="20"/>
                <w:color w:val="auto"/>
              </w:rPr>
            </w:pPr>
            <w:r>
              <w:rPr>
                <w:rFonts w:ascii="Times New Roman" w:cs="Times New Roman" w:eastAsia="Times New Roman" w:hAnsi="Times New Roman"/>
                <w:sz w:val="14"/>
                <w:szCs w:val="14"/>
                <w:b w:val="1"/>
                <w:bCs w:val="1"/>
                <w:color w:val="auto"/>
              </w:rPr>
              <w:t>Current Option</w:t>
            </w: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Receive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83"/>
              <w:spacing w:after="0" w:line="146" w:lineRule="exact"/>
              <w:rPr>
                <w:sz w:val="20"/>
                <w:szCs w:val="20"/>
                <w:color w:val="auto"/>
              </w:rPr>
            </w:pPr>
            <w:r>
              <w:rPr>
                <w:rFonts w:ascii="Times New Roman" w:cs="Times New Roman" w:eastAsia="Times New Roman" w:hAnsi="Times New Roman"/>
                <w:sz w:val="14"/>
                <w:szCs w:val="14"/>
                <w:b w:val="1"/>
                <w:bCs w:val="1"/>
                <w:color w:val="auto"/>
              </w:rPr>
              <w:t>Term</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7"/>
            <w:vMerge w:val="continue"/>
          </w:tcPr>
          <w:p>
            <w:pPr>
              <w:spacing w:after="0"/>
              <w:rPr>
                <w:sz w:val="17"/>
                <w:szCs w:val="17"/>
                <w:color w:val="auto"/>
              </w:rPr>
            </w:pPr>
          </w:p>
        </w:tc>
        <w:tc>
          <w:tcPr>
            <w:tcW w:w="1360" w:type="dxa"/>
            <w:vAlign w:val="bottom"/>
            <w:gridSpan w:val="7"/>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auto"/>
            </w:tcBorders>
            <w:shd w:val="clear" w:color="auto" w:fill="CCEEFF"/>
          </w:tcPr>
          <w:p>
            <w:pPr>
              <w:spacing w:after="0"/>
              <w:rPr>
                <w:sz w:val="18"/>
                <w:szCs w:val="18"/>
                <w:color w:val="auto"/>
              </w:rPr>
            </w:pPr>
          </w:p>
        </w:tc>
        <w:tc>
          <w:tcPr>
            <w:tcW w:w="25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 1 year</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5"/>
          </w:tcPr>
          <w:p>
            <w:pPr>
              <w:jc w:val="right"/>
              <w:ind w:right="20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center"/>
              <w:ind w:left="322"/>
              <w:spacing w:after="0"/>
              <w:rPr>
                <w:sz w:val="20"/>
                <w:szCs w:val="20"/>
                <w:color w:val="auto"/>
              </w:rPr>
            </w:pPr>
            <w:r>
              <w:rPr>
                <w:rFonts w:ascii="Times New Roman" w:cs="Times New Roman" w:eastAsia="Times New Roman" w:hAnsi="Times New Roman"/>
                <w:sz w:val="16"/>
                <w:szCs w:val="16"/>
                <w:color w:val="auto"/>
                <w:w w:val="99"/>
              </w:rPr>
              <w:t>21</w:t>
            </w:r>
          </w:p>
        </w:tc>
        <w:tc>
          <w:tcPr>
            <w:tcW w:w="76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tcPr>
          <w:p>
            <w:pPr>
              <w:jc w:val="right"/>
              <w:ind w:right="2"/>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center"/>
              <w:ind w:left="21"/>
              <w:spacing w:after="0"/>
              <w:rPr>
                <w:sz w:val="20"/>
                <w:szCs w:val="20"/>
                <w:color w:val="auto"/>
              </w:rPr>
            </w:pPr>
            <w:r>
              <w:rPr>
                <w:rFonts w:ascii="Times New Roman" w:cs="Times New Roman" w:eastAsia="Times New Roman" w:hAnsi="Times New Roman"/>
                <w:sz w:val="16"/>
                <w:szCs w:val="16"/>
                <w:color w:val="auto"/>
              </w:rPr>
              <w:t>2.98%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63"/>
              <w:spacing w:after="0"/>
              <w:rPr>
                <w:sz w:val="20"/>
                <w:szCs w:val="20"/>
                <w:color w:val="auto"/>
              </w:rPr>
            </w:pPr>
            <w:r>
              <w:rPr>
                <w:rFonts w:ascii="Times New Roman" w:cs="Times New Roman" w:eastAsia="Times New Roman" w:hAnsi="Times New Roman"/>
                <w:sz w:val="16"/>
                <w:szCs w:val="16"/>
                <w:color w:val="auto"/>
                <w:w w:val="99"/>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1 year</w:t>
            </w:r>
          </w:p>
        </w:tc>
        <w:tc>
          <w:tcPr>
            <w:tcW w:w="17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4"/>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3"/>
            <w:shd w:val="clear" w:color="auto" w:fill="CCEEFF"/>
          </w:tcPr>
          <w:p>
            <w:pPr>
              <w:jc w:val="center"/>
              <w:ind w:left="322"/>
              <w:spacing w:after="0"/>
              <w:rPr>
                <w:sz w:val="20"/>
                <w:szCs w:val="20"/>
                <w:color w:val="auto"/>
              </w:rPr>
            </w:pPr>
            <w:r>
              <w:rPr>
                <w:rFonts w:ascii="Times New Roman" w:cs="Times New Roman" w:eastAsia="Times New Roman" w:hAnsi="Times New Roman"/>
                <w:sz w:val="16"/>
                <w:szCs w:val="16"/>
                <w:color w:val="auto"/>
                <w:w w:val="99"/>
              </w:rPr>
              <w:t>24</w:t>
            </w:r>
          </w:p>
        </w:tc>
        <w:tc>
          <w:tcPr>
            <w:tcW w:w="460" w:type="dxa"/>
            <w:vAlign w:val="bottom"/>
            <w:tcBorders>
              <w:bottom w:val="single" w:sz="8" w:color="auto"/>
            </w:tcBorders>
            <w:gridSpan w:val="2"/>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3"/>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2.98%</w:t>
            </w:r>
          </w:p>
        </w:tc>
        <w:tc>
          <w:tcPr>
            <w:tcW w:w="1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ind w:right="63"/>
              <w:spacing w:after="0"/>
              <w:rPr>
                <w:sz w:val="20"/>
                <w:szCs w:val="20"/>
                <w:color w:val="auto"/>
              </w:rPr>
            </w:pPr>
            <w:r>
              <w:rPr>
                <w:rFonts w:ascii="Times New Roman" w:cs="Times New Roman" w:eastAsia="Times New Roman" w:hAnsi="Times New Roman"/>
                <w:sz w:val="16"/>
                <w:szCs w:val="16"/>
                <w:color w:val="auto"/>
                <w:w w:val="99"/>
              </w:rPr>
              <w:t>5.0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20" w:type="dxa"/>
            <w:vAlign w:val="bottom"/>
          </w:tcPr>
          <w:p>
            <w:pPr>
              <w:spacing w:after="0"/>
              <w:rPr>
                <w:sz w:val="24"/>
                <w:szCs w:val="24"/>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U.S. Treasury Securities </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gridSpan w:val="10"/>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6"/>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6"/>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1"/>
                <w:szCs w:val="11"/>
                <w:color w:val="auto"/>
              </w:rPr>
            </w:pPr>
          </w:p>
        </w:tc>
        <w:tc>
          <w:tcPr>
            <w:tcW w:w="1180" w:type="dxa"/>
            <w:vAlign w:val="bottom"/>
            <w:gridSpan w:val="6"/>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1"/>
                <w:szCs w:val="11"/>
                <w:color w:val="auto"/>
              </w:rPr>
            </w:pPr>
          </w:p>
        </w:tc>
        <w:tc>
          <w:tcPr>
            <w:tcW w:w="1240" w:type="dxa"/>
            <w:vAlign w:val="bottom"/>
            <w:gridSpan w:val="5"/>
          </w:tcPr>
          <w:p>
            <w:pPr>
              <w:jc w:val="right"/>
              <w:ind w:right="125"/>
              <w:spacing w:after="0" w:line="131"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5"/>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6"/>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5 years</w:t>
            </w: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w w:val="99"/>
              </w:rPr>
              <w:t>1,419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&gt; 5 year ≤ 7 years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(566)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&gt; 7 year ≤ 10 years</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(8,884)</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&gt; 10 years</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color w:val="auto"/>
              </w:rPr>
              <w:t>(1,832)</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U.S. Treasury securities</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(10,992)</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(10,688)</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(10,279)</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(9,855)</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(9,475)</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71"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and December 31, 2023, short U.S. Treasury securities totaling $(12.1) billion and $(10.9) billion, at fair value, respectively, had a weighted average yield of 3.69% and 3.64%, respectively. As of March 31, 2024 and December 31, 2023, long U.S. Treasury securities totaling $1.8 billion and $1.5 billion, at fair value, respectively, had a weighted average yield of 4.37% and 4.39%,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0"/>
        </w:trPr>
        <w:tc>
          <w:tcPr>
            <w:tcW w:w="2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 Treasury Futures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w w:val="94"/>
              </w:rPr>
              <w:t>Net Carrying</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Years to Maturity</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Long (Short)</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0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 xml:space="preserve">Value </w:t>
            </w:r>
            <w:r>
              <w:rPr>
                <w:rFonts w:ascii="Times New Roman" w:cs="Times New Roman" w:eastAsia="Times New Roman" w:hAnsi="Times New Roman"/>
                <w:sz w:val="16"/>
                <w:szCs w:val="16"/>
                <w:b w:val="1"/>
                <w:bCs w:val="1"/>
                <w:color w:val="auto"/>
                <w:w w:val="92"/>
                <w:vertAlign w:val="superscript"/>
              </w:rPr>
              <w:t>1</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Long (Short)</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96"/>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5 year ≤ 7 years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95"/>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7 year ≤ 10 years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3"/>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U.S. Treasury futures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60"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20" w:type="dxa"/>
            <w:vAlign w:val="bottom"/>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4"/>
              </w:rPr>
              <w:t>Net Carrying</w:t>
            </w:r>
          </w:p>
        </w:tc>
        <w:tc>
          <w:tcPr>
            <w:tcW w:w="0" w:type="dxa"/>
            <w:vAlign w:val="bottom"/>
          </w:tcPr>
          <w:p>
            <w:pPr>
              <w:spacing w:after="0"/>
              <w:rPr>
                <w:sz w:val="1"/>
                <w:szCs w:val="1"/>
                <w:color w:val="auto"/>
              </w:rPr>
            </w:pPr>
          </w:p>
        </w:tc>
      </w:tr>
      <w:tr>
        <w:trPr>
          <w:trHeight w:val="128"/>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TBA Securities by Coupon</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Long (Short)</w:t>
            </w:r>
          </w:p>
        </w:tc>
        <w:tc>
          <w:tcPr>
            <w:tcW w:w="2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5"/>
                <w:szCs w:val="15"/>
                <w:color w:val="auto"/>
              </w:rPr>
            </w:pPr>
          </w:p>
        </w:tc>
        <w:tc>
          <w:tcPr>
            <w:tcW w:w="100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3"/>
                <w:szCs w:val="13"/>
                <w:b w:val="1"/>
                <w:bCs w:val="1"/>
                <w:color w:val="auto"/>
                <w:w w:val="92"/>
              </w:rPr>
              <w:t xml:space="preserve">Value </w:t>
            </w:r>
            <w:r>
              <w:rPr>
                <w:rFonts w:ascii="Times New Roman" w:cs="Times New Roman" w:eastAsia="Times New Roman" w:hAnsi="Times New Roman"/>
                <w:sz w:val="16"/>
                <w:szCs w:val="16"/>
                <w:b w:val="1"/>
                <w:bCs w:val="1"/>
                <w:color w:val="auto"/>
                <w:w w:val="92"/>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5"/>
                <w:szCs w:val="15"/>
                <w:color w:val="auto"/>
              </w:rPr>
            </w:pPr>
          </w:p>
        </w:tc>
        <w:tc>
          <w:tcPr>
            <w:tcW w:w="840" w:type="dxa"/>
            <w:vAlign w:val="bottom"/>
          </w:tcPr>
          <w:p>
            <w:pPr>
              <w:jc w:val="right"/>
              <w:ind w:right="209"/>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96"/>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15-Year TBA securities: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 5.0%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15-Year TBA securities</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30-Year TBA securities: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3.0%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 6.5%</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30-Year TBA securities, net</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8,358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0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TBA securities,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8,448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81"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we had a two-year swap equivalent SOFR futures contract long notional position of $0.7 billion and $0.9 billion, respectively, with a net carrying value of $(16) million and $(10) million, respectively.</w:t>
      </w:r>
    </w:p>
    <w:p>
      <w:pPr>
        <w:spacing w:after="0" w:line="122"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As of March 31, 2024 and December 31, 2023, we had $95 million notional value of centrally cleared credit default swaps ("CDS") outstanding that reference the Markit CDX Investment Grade or High Yield Grade Index, maturing in December 2028. Under the terms of our CDS, we pay fixed periodic payments equal to 1% per annum of the notional value and we are entitled to receive payments for qualified credit events. As of March 31, 2024 and December 31, 2023, the CDS had a market value of $(7) million and $(6) million, respectively, and a net carrying value of zero dollars, net of variation margin settlements. Pursuant to rules governing central clearing activities, we recognize variation margin settlements as a direct reduction of the carrying value of the CDS asset or liability.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Derivative Instruments and Other Securities, Net</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our derivative and other hedge portfolio and their effect on our consolidated statements of comprehensive income for the three months ended March 31, 2024 and 2023 (in millions):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6"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40" w:type="dxa"/>
            <w:vAlign w:val="bottom"/>
          </w:tcPr>
          <w:p>
            <w:pPr>
              <w:spacing w:after="0"/>
              <w:rPr>
                <w:sz w:val="11"/>
                <w:szCs w:val="11"/>
                <w:color w:val="auto"/>
              </w:rPr>
            </w:pPr>
          </w:p>
        </w:tc>
        <w:tc>
          <w:tcPr>
            <w:tcW w:w="116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20" w:type="dxa"/>
            <w:vAlign w:val="bottom"/>
          </w:tcPr>
          <w:p>
            <w:pPr>
              <w:spacing w:after="0"/>
              <w:rPr>
                <w:sz w:val="11"/>
                <w:szCs w:val="11"/>
                <w:color w:val="auto"/>
              </w:rPr>
            </w:pPr>
          </w:p>
        </w:tc>
        <w:tc>
          <w:tcPr>
            <w:tcW w:w="120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Instruments and</w:t>
            </w: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 or</w:t>
            </w:r>
          </w:p>
        </w:tc>
        <w:tc>
          <w:tcPr>
            <w:tcW w:w="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Other Securities,</w:t>
            </w:r>
          </w:p>
        </w:tc>
        <w:tc>
          <w:tcPr>
            <w:tcW w:w="0" w:type="dxa"/>
            <w:vAlign w:val="bottom"/>
          </w:tcPr>
          <w:p>
            <w:pPr>
              <w:spacing w:after="0"/>
              <w:rPr>
                <w:sz w:val="1"/>
                <w:szCs w:val="1"/>
                <w:color w:val="auto"/>
              </w:rPr>
            </w:pPr>
          </w:p>
        </w:tc>
      </w:tr>
      <w:tr>
        <w:trPr>
          <w:trHeight w:val="203"/>
        </w:trPr>
        <w:tc>
          <w:tcPr>
            <w:tcW w:w="4620" w:type="dxa"/>
            <w:vAlign w:val="bottom"/>
            <w:gridSpan w:val="2"/>
            <w:vMerge w:val="continue"/>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280" w:type="dxa"/>
            <w:vAlign w:val="bottom"/>
            <w:gridSpan w:val="2"/>
            <w:vMerge w:val="continue"/>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20" w:type="dxa"/>
            <w:vAlign w:val="bottom"/>
          </w:tcPr>
          <w:p>
            <w:pPr>
              <w:spacing w:after="0"/>
              <w:rPr>
                <w:sz w:val="17"/>
                <w:szCs w:val="17"/>
                <w:color w:val="auto"/>
              </w:rPr>
            </w:pPr>
          </w:p>
        </w:tc>
        <w:tc>
          <w:tcPr>
            <w:tcW w:w="1200" w:type="dxa"/>
            <w:vAlign w:val="bottom"/>
          </w:tcPr>
          <w:p>
            <w:pPr>
              <w:jc w:val="center"/>
              <w:ind w:right="61"/>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Net </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09"/>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(22,071)</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 - receiver</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6,774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34"/>
        </w:trPr>
        <w:tc>
          <w:tcPr>
            <w:tcW w:w="4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60,147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(68,801)</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(9,213)</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10,528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35"/>
        </w:trPr>
        <w:tc>
          <w:tcPr>
            <w:tcW w:w="4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60"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other miscellaneous gains and losses and other interest income (expense) recognized in gain (loss) on derivative instruments and other securities, net in our consolidated statements of comprehensive income.</w:t>
      </w:r>
    </w:p>
    <w:p>
      <w:pPr>
        <w:spacing w:after="0" w:line="2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Additionally, as of March 31, 2024 and December 31, 2023, we had SOFR futures contracts, measured on a two-year swap equivalent basis, of $0.7 billion and $0.9 billion, respectively. For the three months ended March 31, 2024 and 2023, we recognized a loss of $(10) million and $(3) million, respectively, on our SOFR futures contracts in gain (loss) on derivative instruments and other securities, net in our consolidated statements of comprehensive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Pledged Assets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2024, our maximum amount at risk with any counterparty related to our repurchase agreements, excluding the Fixed Income Clearing Corporation, was less than 3% of our tangible stockholders' equity (or the excess/shortfall of the value of collateral pledged/received over our repurchase agreement liabilities/reverse repurchase agreement receivables). As of March 31, 2024, 5% of our tangible stockholder's equity was at risk with the Fixed Income Clearing Corporation.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to Counterparties</w:t>
      </w:r>
    </w:p>
    <w:p>
      <w:pPr>
        <w:spacing w:after="0" w:line="175" w:lineRule="exact"/>
        <w:rPr>
          <w:sz w:val="20"/>
          <w:szCs w:val="20"/>
          <w:color w:val="auto"/>
        </w:rPr>
      </w:pPr>
    </w:p>
    <w:p>
      <w:pPr>
        <w:jc w:val="both"/>
        <w:ind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tables summarize our assets pledged as collateral under our funding, derivative and brokerage and clearing agreements by type, including securities pledged related to securities sold but not yet settled, as of March 31, 2024 and December 31, 2023 (in millions):</w:t>
      </w: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48"/>
              <w:spacing w:after="0" w:line="131" w:lineRule="exact"/>
              <w:rPr>
                <w:sz w:val="20"/>
                <w:szCs w:val="20"/>
                <w:color w:val="auto"/>
              </w:rPr>
            </w:pPr>
            <w:r>
              <w:rPr>
                <w:rFonts w:ascii="Times New Roman" w:cs="Times New Roman" w:eastAsia="Times New Roman" w:hAnsi="Times New Roman"/>
                <w:sz w:val="14"/>
                <w:szCs w:val="14"/>
                <w:b w:val="1"/>
                <w:bCs w:val="1"/>
                <w:color w:val="auto"/>
              </w:rPr>
              <w:t>Debt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w:t>
            </w:r>
            <w:r>
              <w:rPr>
                <w:rFonts w:ascii="Times New Roman" w:cs="Times New Roman" w:eastAsia="Times New Roman" w:hAnsi="Times New Roman"/>
                <w:sz w:val="18"/>
                <w:szCs w:val="18"/>
                <w:b w:val="1"/>
                <w:bCs w:val="1"/>
                <w:color w:val="auto"/>
                <w:vertAlign w:val="subscript"/>
              </w:rPr>
              <w:t>2</w:t>
            </w:r>
            <w:r>
              <w:rPr>
                <w:rFonts w:ascii="Times New Roman" w:cs="Times New Roman" w:eastAsia="Times New Roman" w:hAnsi="Times New Roman"/>
                <w:sz w:val="14"/>
                <w:szCs w:val="14"/>
                <w:b w:val="1"/>
                <w:bCs w:val="1"/>
                <w:color w:val="auto"/>
              </w:rPr>
              <w:t>Agreements</w:t>
            </w:r>
          </w:p>
        </w:tc>
        <w:tc>
          <w:tcPr>
            <w:tcW w:w="1240" w:type="dxa"/>
            <w:vAlign w:val="bottom"/>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VIEs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48,428</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48,614</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1,825</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9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51,748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48"/>
              <w:spacing w:after="0" w:line="131" w:lineRule="exact"/>
              <w:rPr>
                <w:sz w:val="20"/>
                <w:szCs w:val="20"/>
                <w:color w:val="auto"/>
              </w:rPr>
            </w:pPr>
            <w:r>
              <w:rPr>
                <w:rFonts w:ascii="Times New Roman" w:cs="Times New Roman" w:eastAsia="Times New Roman" w:hAnsi="Times New Roman"/>
                <w:sz w:val="14"/>
                <w:szCs w:val="14"/>
                <w:b w:val="1"/>
                <w:bCs w:val="1"/>
                <w:color w:val="auto"/>
              </w:rPr>
              <w:t>Debt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w:t>
            </w:r>
            <w:r>
              <w:rPr>
                <w:rFonts w:ascii="Times New Roman" w:cs="Times New Roman" w:eastAsia="Times New Roman" w:hAnsi="Times New Roman"/>
                <w:sz w:val="18"/>
                <w:szCs w:val="18"/>
                <w:b w:val="1"/>
                <w:bCs w:val="1"/>
                <w:color w:val="auto"/>
                <w:vertAlign w:val="subscript"/>
              </w:rPr>
              <w:t>2</w:t>
            </w:r>
            <w:r>
              <w:rPr>
                <w:rFonts w:ascii="Times New Roman" w:cs="Times New Roman" w:eastAsia="Times New Roman" w:hAnsi="Times New Roman"/>
                <w:sz w:val="14"/>
                <w:szCs w:val="14"/>
                <w:b w:val="1"/>
                <w:bCs w:val="1"/>
                <w:color w:val="auto"/>
              </w:rPr>
              <w:t>Agreements</w:t>
            </w:r>
          </w:p>
        </w:tc>
        <w:tc>
          <w:tcPr>
            <w:tcW w:w="1240" w:type="dxa"/>
            <w:vAlign w:val="bottom"/>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VIEs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49,602</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49,738</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1,865</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9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52,633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54,075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repledged assets received as collateral from counterparties and securities sold but not yet settled.</w:t>
      </w:r>
    </w:p>
    <w:p>
      <w:pPr>
        <w:spacing w:after="0" w:line="2" w:lineRule="exact"/>
        <w:rPr>
          <w:rFonts w:ascii="Times New Roman" w:cs="Times New Roman" w:eastAsia="Times New Roman" w:hAnsi="Times New Roman"/>
          <w:sz w:val="14"/>
          <w:szCs w:val="14"/>
          <w:color w:val="auto"/>
        </w:rPr>
      </w:pPr>
    </w:p>
    <w:p>
      <w:pPr>
        <w:ind w:left="660" w:hanging="328"/>
        <w:spacing w:after="0" w:line="278"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$39 million and $42 million of retained interests in our consolidated VIEs pledged as collateral under repurchase agreements as of March 31, 2024 and December 31, 2023,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0" w:name="page21"/>
    <w:bookmarkEnd w:id="20"/>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securities pledged as collateral under our repurchase agreements by the remaining maturity of our borrowings, including securities pledged related to sold but not yet settled securities, as of March 31, 2024 and December 31, 2023 (in millions). For the corresponding borrowings associated with the following amounts and the interest rates thereon, refer to Note 4</w:t>
      </w:r>
      <w:r>
        <w:rPr>
          <w:rFonts w:ascii="Times New Roman" w:cs="Times New Roman" w:eastAsia="Times New Roman" w:hAnsi="Times New Roman"/>
          <w:sz w:val="18"/>
          <w:szCs w:val="18"/>
          <w:i w:val="1"/>
          <w:iCs w:val="1"/>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Accrued</w:t>
            </w:r>
          </w:p>
        </w:tc>
      </w:tr>
      <w:tr>
        <w:trPr>
          <w:trHeight w:val="137"/>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Interest on</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40" w:type="dxa"/>
            <w:vAlign w:val="bottom"/>
          </w:tcPr>
          <w:p>
            <w:pPr>
              <w:spacing w:after="0"/>
              <w:rPr>
                <w:sz w:val="11"/>
                <w:szCs w:val="11"/>
                <w:color w:val="auto"/>
              </w:rPr>
            </w:pPr>
          </w:p>
        </w:tc>
        <w:tc>
          <w:tcPr>
            <w:tcW w:w="900" w:type="dxa"/>
            <w:vAlign w:val="bottom"/>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Interest on</w:t>
            </w:r>
          </w:p>
        </w:tc>
      </w:tr>
      <w:tr>
        <w:trPr>
          <w:trHeight w:val="160"/>
        </w:trPr>
        <w:tc>
          <w:tcPr>
            <w:tcW w:w="39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Securities Pledged by Remaining Maturity of Repurchase</w:t>
            </w:r>
          </w:p>
        </w:tc>
        <w:tc>
          <w:tcPr>
            <w:tcW w:w="140" w:type="dxa"/>
            <w:vAlign w:val="bottom"/>
          </w:tcPr>
          <w:p>
            <w:pPr>
              <w:spacing w:after="0"/>
              <w:rPr>
                <w:sz w:val="13"/>
                <w:szCs w:val="13"/>
                <w:color w:val="auto"/>
              </w:rPr>
            </w:pPr>
          </w:p>
        </w:tc>
        <w:tc>
          <w:tcPr>
            <w:tcW w:w="114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60" w:type="dxa"/>
            <w:vAlign w:val="bottom"/>
          </w:tcPr>
          <w:p>
            <w:pPr>
              <w:spacing w:after="0"/>
              <w:rPr>
                <w:sz w:val="13"/>
                <w:szCs w:val="13"/>
                <w:color w:val="auto"/>
              </w:rPr>
            </w:pPr>
          </w:p>
        </w:tc>
        <w:tc>
          <w:tcPr>
            <w:tcW w:w="106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40" w:type="dxa"/>
            <w:vAlign w:val="bottom"/>
          </w:tcPr>
          <w:p>
            <w:pPr>
              <w:spacing w:after="0"/>
              <w:rPr>
                <w:sz w:val="13"/>
                <w:szCs w:val="13"/>
                <w:color w:val="auto"/>
              </w:rPr>
            </w:pPr>
          </w:p>
        </w:tc>
        <w:tc>
          <w:tcPr>
            <w:tcW w:w="900" w:type="dxa"/>
            <w:vAlign w:val="bottom"/>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r>
      <w:tr>
        <w:trPr>
          <w:trHeight w:val="19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9"/>
                <w:szCs w:val="9"/>
                <w:b w:val="1"/>
                <w:bCs w:val="1"/>
                <w:color w:val="auto"/>
              </w:rPr>
              <w:t>1,2</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7"/>
                <w:szCs w:val="17"/>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202"/>
        </w:trPr>
        <w:tc>
          <w:tcPr>
            <w:tcW w:w="3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1 month</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42,234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43,701</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195"/>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1 and ≤ 2 months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0"/>
        </w:trPr>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&gt; 2 and ≤ 3 months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6"/>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3 months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39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53,643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52,072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right="160" w:hanging="328"/>
        <w:spacing w:after="0" w:line="259"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$39 million and $42 million of retained interests in our consolidated VIEs pledged as collateral under repurchase agreements as of March 31, 2024 and December 31, 2023, respectively.</w:t>
      </w:r>
    </w:p>
    <w:p>
      <w:pPr>
        <w:ind w:left="660" w:hanging="328"/>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$397 million of repledged U.S. Treasury securities received as collateral from counterparties as of December 31,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from Counterparties</w:t>
      </w:r>
    </w:p>
    <w:p>
      <w:pPr>
        <w:spacing w:after="0" w:line="175"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8"/>
          <w:szCs w:val="18"/>
          <w:color w:val="auto"/>
        </w:rPr>
        <w:t>As of March 31, 2024 and December 31, 2023, we had assets pledged to us from counterparties as collateral under our reverse repurchase and derivative agreements summarized in the tables below (in millions).</w:t>
      </w: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 Pledged to AGNC</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securities -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11,973</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93</w:t>
            </w:r>
          </w:p>
        </w:tc>
        <w:tc>
          <w:tcPr>
            <w:tcW w:w="3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12,447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355</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12,111</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Offsetting Assets and Liabilities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March 31, 2024 and December 31, 2023 (in millions):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2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Assets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left="728"/>
              <w:spacing w:after="0" w:line="146"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Pr>
          <w:p>
            <w:pPr>
              <w:spacing w:after="0"/>
              <w:rPr>
                <w:sz w:val="14"/>
                <w:szCs w:val="14"/>
                <w:color w:val="auto"/>
              </w:rPr>
            </w:pPr>
          </w:p>
        </w:tc>
        <w:tc>
          <w:tcPr>
            <w:tcW w:w="23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3"/>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Assets Presented</w:t>
            </w: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 the</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7"/>
                <w:szCs w:val="17"/>
                <w:color w:val="auto"/>
              </w:rPr>
            </w:pPr>
          </w:p>
        </w:tc>
        <w:tc>
          <w:tcPr>
            <w:tcW w:w="106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Received </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12,424</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11,618</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8"/>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33655</wp:posOffset>
            </wp:positionV>
            <wp:extent cx="45516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Repurchase agreements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Repurchase agreements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left="748"/>
              <w:spacing w:after="0" w:line="146"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20" w:type="dxa"/>
            <w:vAlign w:val="bottom"/>
          </w:tcPr>
          <w:p>
            <w:pPr>
              <w:spacing w:after="0"/>
              <w:rPr>
                <w:sz w:val="14"/>
                <w:szCs w:val="14"/>
                <w:color w:val="auto"/>
              </w:rPr>
            </w:pPr>
          </w:p>
        </w:tc>
        <w:tc>
          <w:tcPr>
            <w:tcW w:w="2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1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Pledged </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49,971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49,986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49,986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(8,737)</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(41,249)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50,426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50,441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50,441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(8,448)</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(41,993)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-976630</wp:posOffset>
            </wp:positionV>
            <wp:extent cx="707199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-693420</wp:posOffset>
            </wp:positionV>
            <wp:extent cx="707199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-427990</wp:posOffset>
            </wp:positionV>
            <wp:extent cx="707199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-170815</wp:posOffset>
            </wp:positionV>
            <wp:extent cx="707199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-1242695</wp:posOffset>
            </wp:positionV>
            <wp:extent cx="707199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3320" w:space="720"/>
            <w:col w:w="7200"/>
          </w:cols>
          <w:pgMar w:left="320" w:top="1087" w:right="339" w:bottom="1440" w:gutter="0" w:footer="0" w:header="0"/>
          <w:type w:val="continuous"/>
        </w:sectPr>
      </w:pPr>
    </w:p>
    <w:p>
      <w:pPr>
        <w:ind w:left="660" w:right="160" w:hanging="328"/>
        <w:spacing w:after="0" w:line="250"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60" w:right="400" w:hanging="328"/>
        <w:spacing w:after="0" w:line="283"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provides a summary of our assets and liabilities that are measured at fair value on a recurring basis, as of March 31, 2024 and December 31, 2023, based on their categorization within the valuation hierarchy (in millions). There were no transfers between valuation hierarchy levels during the periods presented in our accompanying consolidated statements of comprehensive income.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Agency securities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53,615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53,673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Agency securities transferred to consolidated VIEs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Credit risk transfer securities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Non-Agency securities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Swaptions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54,860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55,009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Debt of consolidated VIEs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Obligation to return U.S. Treasury securities borrowed under reverse</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agreements</w:t>
            </w: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Credit default swaps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TBA securities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futures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SOFR Futures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79"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and December 31, 2023, the net fair value of our interest rate swaps excluding the recognition of variation margin settlements as a direct reduction of carrying value was a net asset (liability) of $3.0 billion and $2.9 billion, respectively, based on "Level 2" inputs. As of March 31, 2024 and December 31, 2023, the net fair value of our credit default swaps excluding the recognition of variation margin settlements was $(7) million and $(6) million, respectively, based on "Level 2" inputs. See Notes 2 and 5 for additional details.</w:t>
      </w:r>
    </w:p>
    <w:p>
      <w:pPr>
        <w:spacing w:after="0" w:line="200" w:lineRule="exact"/>
        <w:rPr>
          <w:sz w:val="20"/>
          <w:szCs w:val="20"/>
          <w:color w:val="auto"/>
        </w:rPr>
      </w:pPr>
    </w:p>
    <w:p>
      <w:pPr>
        <w:spacing w:after="0" w:line="25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Excluded from the table above are financial instruments reported at cost and other mortgage credit investments reported under the equity method of accounting in our consolidated financial statements. As of March 31, 2024 and December 31, 2023, the fair value of our repurchase agreements approximated cost, as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March 31, 2024 and December 31, 2023, the carrying value of other mortgage credit investments reported under the equity method of accounting was $59 million and $44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Net Income (Loss) Per Common Share</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3" w:name="page24"/>
    <w:bookmarkEnd w:id="23"/>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73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issued and outstanding</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577.6</w:t>
            </w:r>
          </w:p>
        </w:tc>
      </w:tr>
      <w:tr>
        <w:trPr>
          <w:trHeight w:val="196"/>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fully vested restricted stock units outstanding</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579.3</w:t>
            </w:r>
          </w:p>
        </w:tc>
      </w:tr>
      <w:tr>
        <w:trPr>
          <w:trHeight w:val="196"/>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dilutive unvested restricted stock units outstanding</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579.3</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(0.31)</w:t>
            </w: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1.2 million of potentially dilutive unvested time and performance based RSUs outstanding were excluded from the computation of diluted net income (loss) per common share because to do so would have been anti-dilutive for the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authorized to designate and issue up to 10.0 million shares of preferred stock in one or more classes or series. As of March 31, 2024 and December 31, 2023, 13,800, 10,350, 16,100, 23,000 and 6,900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 respectively, (referred to as "Series C, D, E, F and G Preferred Stock", respectively). As of March 31, 2024 and December 31, 2023, 13,000, 9,400, 16,100, 23,000 and 6,000 shares of Series C, D, E, F and G Preferred Stock, respectively, were issued and outstanding. Each share of preferred stock is represented by 1,000 depositary shares. Each share of preferred stock has a liquidation preference of $25,000 per share ($25 per depositary share).</w:t>
      </w:r>
    </w:p>
    <w:p>
      <w:pPr>
        <w:spacing w:after="0" w:line="1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includes a summary of preferred stock depositary shares issued and outstanding as of March 31, 2024 (dollars and shares in millions):</w:t>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Depositary</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Cumulative Redeemable</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94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 Annum</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First Optional</w:t>
            </w:r>
          </w:p>
        </w:tc>
        <w:tc>
          <w:tcPr>
            <w:tcW w:w="0" w:type="dxa"/>
            <w:vAlign w:val="bottom"/>
          </w:tcPr>
          <w:p>
            <w:pPr>
              <w:spacing w:after="0"/>
              <w:rPr>
                <w:sz w:val="1"/>
                <w:szCs w:val="1"/>
                <w:color w:val="auto"/>
              </w:rPr>
            </w:pPr>
          </w:p>
        </w:tc>
      </w:tr>
      <w:tr>
        <w:trPr>
          <w:trHeight w:val="135"/>
        </w:trPr>
        <w:tc>
          <w:tcPr>
            <w:tcW w:w="1860" w:type="dxa"/>
            <w:vAlign w:val="bottom"/>
            <w:gridSpan w:val="2"/>
            <w:vMerge w:val="continue"/>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1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Dividend</w:t>
            </w: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Redemption Date /</w:t>
            </w:r>
          </w:p>
        </w:tc>
        <w:tc>
          <w:tcPr>
            <w:tcW w:w="0" w:type="dxa"/>
            <w:vAlign w:val="bottom"/>
          </w:tcPr>
          <w:p>
            <w:pPr>
              <w:spacing w:after="0"/>
              <w:rPr>
                <w:sz w:val="1"/>
                <w:szCs w:val="1"/>
                <w:color w:val="auto"/>
              </w:rPr>
            </w:pPr>
          </w:p>
        </w:tc>
      </w:tr>
      <w:tr>
        <w:trPr>
          <w:trHeight w:val="203"/>
        </w:trPr>
        <w:tc>
          <w:tcPr>
            <w:tcW w:w="186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Preferred Stock </w:t>
            </w:r>
            <w:r>
              <w:rPr>
                <w:rFonts w:ascii="Times New Roman" w:cs="Times New Roman" w:eastAsia="Times New Roman" w:hAnsi="Times New Roman"/>
                <w:sz w:val="18"/>
                <w:szCs w:val="18"/>
                <w:b w:val="1"/>
                <w:bCs w:val="1"/>
                <w:color w:val="auto"/>
                <w:vertAlign w:val="superscript"/>
              </w:rPr>
              <w:t>1</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20" w:type="dxa"/>
            <w:vAlign w:val="bottom"/>
          </w:tcPr>
          <w:p>
            <w:pPr>
              <w:spacing w:after="0"/>
              <w:rPr>
                <w:sz w:val="17"/>
                <w:szCs w:val="17"/>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11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4"/>
              </w:rPr>
              <w:t xml:space="preserve">Rate </w:t>
            </w:r>
            <w:r>
              <w:rPr>
                <w:rFonts w:ascii="Times New Roman" w:cs="Times New Roman" w:eastAsia="Times New Roman" w:hAnsi="Times New Roman"/>
                <w:sz w:val="18"/>
                <w:szCs w:val="18"/>
                <w:b w:val="1"/>
                <w:bCs w:val="1"/>
                <w:color w:val="auto"/>
                <w:w w:val="94"/>
                <w:vertAlign w:val="superscript"/>
              </w:rPr>
              <w:t>2,3</w:t>
            </w:r>
          </w:p>
        </w:tc>
        <w:tc>
          <w:tcPr>
            <w:tcW w:w="15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7"/>
              </w:rPr>
              <w:t xml:space="preserve">Conversion Date </w:t>
            </w:r>
            <w:r>
              <w:rPr>
                <w:rFonts w:ascii="Times New Roman" w:cs="Times New Roman" w:eastAsia="Times New Roman" w:hAnsi="Times New Roman"/>
                <w:sz w:val="18"/>
                <w:szCs w:val="18"/>
                <w:b w:val="1"/>
                <w:bCs w:val="1"/>
                <w:color w:val="auto"/>
                <w:w w:val="97"/>
                <w:vertAlign w:val="superscript"/>
              </w:rPr>
              <w:t>3,4</w:t>
            </w:r>
          </w:p>
        </w:tc>
        <w:tc>
          <w:tcPr>
            <w:tcW w:w="0" w:type="dxa"/>
            <w:vAlign w:val="bottom"/>
          </w:tcPr>
          <w:p>
            <w:pPr>
              <w:spacing w:after="0"/>
              <w:rPr>
                <w:sz w:val="1"/>
                <w:szCs w:val="1"/>
                <w:color w:val="auto"/>
              </w:rPr>
            </w:pPr>
          </w:p>
        </w:tc>
      </w:tr>
      <w:tr>
        <w:trPr>
          <w:trHeight w:val="183"/>
        </w:trPr>
        <w:tc>
          <w:tcPr>
            <w:tcW w:w="17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Fixed-to-Floating Rate:</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Series C</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August 22, 2017</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325</w:t>
            </w:r>
          </w:p>
        </w:tc>
        <w:tc>
          <w:tcPr>
            <w:tcW w:w="1040" w:type="dxa"/>
            <w:vAlign w:val="bottom"/>
          </w:tcPr>
          <w:p>
            <w:pPr>
              <w:jc w:val="center"/>
              <w:ind w:left="70"/>
              <w:spacing w:after="0"/>
              <w:rPr>
                <w:sz w:val="20"/>
                <w:szCs w:val="20"/>
                <w:color w:val="auto"/>
              </w:rPr>
            </w:pPr>
            <w:r>
              <w:rPr>
                <w:rFonts w:ascii="Times New Roman" w:cs="Times New Roman" w:eastAsia="Times New Roman" w:hAnsi="Times New Roman"/>
                <w:sz w:val="14"/>
                <w:szCs w:val="14"/>
                <w:color w:val="auto"/>
                <w:w w:val="99"/>
              </w:rPr>
              <w:t>10.689%</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15, 2022</w:t>
            </w:r>
          </w:p>
        </w:tc>
        <w:tc>
          <w:tcPr>
            <w:tcW w:w="0" w:type="dxa"/>
            <w:vAlign w:val="bottom"/>
          </w:tcPr>
          <w:p>
            <w:pPr>
              <w:spacing w:after="0"/>
              <w:rPr>
                <w:sz w:val="1"/>
                <w:szCs w:val="1"/>
                <w:color w:val="auto"/>
              </w:rPr>
            </w:pPr>
          </w:p>
        </w:tc>
      </w:tr>
      <w:tr>
        <w:trPr>
          <w:trHeight w:val="192"/>
        </w:trPr>
        <w:tc>
          <w:tcPr>
            <w:tcW w:w="1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Series D</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March 6, 2019</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235</w:t>
            </w:r>
          </w:p>
        </w:tc>
        <w:tc>
          <w:tcPr>
            <w:tcW w:w="1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6.875%</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April 15, 2024</w:t>
            </w:r>
          </w:p>
        </w:tc>
        <w:tc>
          <w:tcPr>
            <w:tcW w:w="0" w:type="dxa"/>
            <w:vAlign w:val="bottom"/>
          </w:tcPr>
          <w:p>
            <w:pPr>
              <w:spacing w:after="0"/>
              <w:rPr>
                <w:sz w:val="1"/>
                <w:szCs w:val="1"/>
                <w:color w:val="auto"/>
              </w:rPr>
            </w:pPr>
          </w:p>
        </w:tc>
      </w:tr>
      <w:tr>
        <w:trPr>
          <w:trHeight w:val="186"/>
        </w:trPr>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Series 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October 3, 2019</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403</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6.500%</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15, 2024</w:t>
            </w:r>
          </w:p>
        </w:tc>
        <w:tc>
          <w:tcPr>
            <w:tcW w:w="0" w:type="dxa"/>
            <w:vAlign w:val="bottom"/>
          </w:tcPr>
          <w:p>
            <w:pPr>
              <w:spacing w:after="0"/>
              <w:rPr>
                <w:sz w:val="1"/>
                <w:szCs w:val="1"/>
                <w:color w:val="auto"/>
              </w:rPr>
            </w:pPr>
          </w:p>
        </w:tc>
      </w:tr>
      <w:tr>
        <w:trPr>
          <w:trHeight w:val="192"/>
        </w:trPr>
        <w:tc>
          <w:tcPr>
            <w:tcW w:w="1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Series F</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February 11, 2020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575</w:t>
            </w:r>
          </w:p>
        </w:tc>
        <w:tc>
          <w:tcPr>
            <w:tcW w:w="1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6.125%</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April 15, 2025</w:t>
            </w:r>
          </w:p>
        </w:tc>
        <w:tc>
          <w:tcPr>
            <w:tcW w:w="0" w:type="dxa"/>
            <w:vAlign w:val="bottom"/>
          </w:tcPr>
          <w:p>
            <w:pPr>
              <w:spacing w:after="0"/>
              <w:rPr>
                <w:sz w:val="1"/>
                <w:szCs w:val="1"/>
                <w:color w:val="auto"/>
              </w:rPr>
            </w:pPr>
          </w:p>
        </w:tc>
      </w:tr>
      <w:tr>
        <w:trPr>
          <w:trHeight w:val="186"/>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Fixed-Rate Reset:</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Series G</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September 14, 2022</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150</w:t>
            </w:r>
          </w:p>
        </w:tc>
        <w:tc>
          <w:tcPr>
            <w:tcW w:w="1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7.750%</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October 15, 2027</w:t>
            </w:r>
          </w:p>
        </w:tc>
        <w:tc>
          <w:tcPr>
            <w:tcW w:w="0" w:type="dxa"/>
            <w:vAlign w:val="bottom"/>
          </w:tcPr>
          <w:p>
            <w:pPr>
              <w:spacing w:after="0"/>
              <w:rPr>
                <w:sz w:val="1"/>
                <w:szCs w:val="1"/>
                <w:color w:val="auto"/>
              </w:rPr>
            </w:pPr>
          </w:p>
        </w:tc>
      </w:tr>
      <w:tr>
        <w:trPr>
          <w:trHeight w:val="179"/>
        </w:trPr>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1,688</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54"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shares underlying our preferred stock accrue dividends at an initial annual fixed rate of the $25.00 liquidation preference per depositary share from the issuance date up to, but not including, the fixed-to-floating rate or fixed-rate-reset conversion date; thereafter, dividends will accrue on a floating rate or fixed-rate-reset basis equal to the conversion rate plus a fixed spread.</w:t>
      </w:r>
    </w:p>
    <w:p>
      <w:pPr>
        <w:ind w:left="660" w:hanging="328"/>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per annum dividend rate represents the dividend rate in effect as of March 31, 2024.</w:t>
      </w:r>
    </w:p>
    <w:p>
      <w:pPr>
        <w:spacing w:after="0" w:line="14" w:lineRule="exact"/>
        <w:rPr>
          <w:rFonts w:ascii="Times New Roman" w:cs="Times New Roman" w:eastAsia="Times New Roman" w:hAnsi="Times New Roman"/>
          <w:sz w:val="14"/>
          <w:szCs w:val="14"/>
          <w:color w:val="auto"/>
        </w:rPr>
      </w:pPr>
    </w:p>
    <w:p>
      <w:pPr>
        <w:jc w:val="both"/>
        <w:ind w:left="660" w:hanging="328"/>
        <w:spacing w:after="0" w:line="272"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dividend accrues at a rate equal to the 3-Month CME Term SOFR plus 0.26161%, plus a spread of 5.111%, per annum, resetting quarterly in accordance with the certificate of designations for such series and the Adjustable Interest Rate (LIBOR) Act of 2021 (the “LIBOR Act”). At the conclusion of the fixed rate period (the conversion date) for each of the Series D, E, and F Preferred Stock, the dividend for such series</w:t>
      </w:r>
    </w:p>
    <w:p>
      <w:pPr>
        <w:sectPr>
          <w:pgSz w:w="11900" w:h="16838" w:orient="portrait"/>
          <w:cols w:equalWidth="0" w:num="1">
            <w:col w:w="11240"/>
          </w:cols>
          <w:pgMar w:left="320" w:top="1011"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type w:val="continuous"/>
        </w:sectPr>
      </w:pPr>
    </w:p>
    <w:bookmarkStart w:id="24" w:name="page25"/>
    <w:bookmarkEnd w:id="24"/>
    <w:p>
      <w:pPr>
        <w:jc w:val="both"/>
        <w:ind w:left="660"/>
        <w:spacing w:after="0" w:line="262" w:lineRule="auto"/>
        <w:rPr>
          <w:sz w:val="20"/>
          <w:szCs w:val="20"/>
          <w:color w:val="auto"/>
        </w:rPr>
      </w:pPr>
      <w:r>
        <w:rPr>
          <w:rFonts w:ascii="Times New Roman" w:cs="Times New Roman" w:eastAsia="Times New Roman" w:hAnsi="Times New Roman"/>
          <w:sz w:val="14"/>
          <w:szCs w:val="14"/>
          <w:color w:val="auto"/>
        </w:rPr>
        <w:t>will accrue at a rate equal to the 3-Month CME Term SOFR plus 0.26161%, plus a spread of 4.332%, 4.993% and 4.697%, respectively, per annum, resetting quarterly in accordance with the certificate of designations for such series and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spacing w:after="0" w:line="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may be redeemed prior to our optional redemption date under certain circumstances intended to preserve our qualification as a REIT for U.S federal income tax purposes.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62"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During the three months ended March 31, 2024, we sold 25.1 million shares, of our common stock under the sales agreements for proceeds of $241 million, or $9.61 per common share, respectively, net of offering costs. As of March 31, 2024, shares of our common stock with an aggregate offering price of $0.6 billion remained authorized for issuance under this program through December 31,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changes to accumulated OCI for the three months ended March 31, 2024 and 2023 (in millions):</w:t>
      </w:r>
    </w:p>
    <w:p>
      <w:pPr>
        <w:spacing w:after="0" w:line="112"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7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22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7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209"/>
        </w:trPr>
        <w:tc>
          <w:tcPr>
            <w:tcW w:w="7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39"/>
        </w:trPr>
        <w:tc>
          <w:tcPr>
            <w:tcW w:w="722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Net loss amounts for available-for-sale securities reclassified from accumulated OCI to realized gain (loss) on sale of</w:t>
            </w:r>
          </w:p>
        </w:tc>
        <w:tc>
          <w:tcPr>
            <w:tcW w:w="2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3"/>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investment securities, net</w:t>
            </w: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March 31, 2024. Our MD&amp;A is presented in the following sections:</w:t>
      </w:r>
    </w:p>
    <w:p>
      <w:pPr>
        <w:spacing w:after="0" w:line="5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Market Impacts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favorable macroeconomic environment for fixed income investors that began in late 2023 persisted through the conclusion of the first quarter of 2024. During this period, interest rate volatility declined significantly, and Agency RMBS spreads to benchmark interest rates remained relatively stable. The Federal Reserve also indicated that the peak of the interest rate tightening cycle had likely been reached and further noted that a reduction in the pace of its balance sheet runoff was probable in the near-term, signaling that an end to the quantitative tightening process was nearing. Mortgage origination levels remained depressed as a result of seasonal factors and affordability challenges. Additionally, bank demand for Agency RMBS was unexpectedly strong, driven in part by the expectation that the Basel III Endgame capital requirements, if and when finally adopted, will be less onerous on banks than originally proposed. Together, these factors, reduced mortgage originations and incremental bank demand, provided a favorable backdrop for Agency RMBS supply-demand dynamics.</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outlook for monetary policy shifted materially in April in response to stronger-than-expected economic data. Contrary to the Fed’s expectations, inflation readings showed no meaningful improvement. As a result, after a period of relative stability in the first quarter, benchmark interest rates and volatility increased sharply in April, driven by less optimistic inflation expectations and escalating geopolitical risks. In response, Agency RMBS spreads to benchmark interest rates widened modestly, causing valuations to decline.</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Despite the recent volatility, the fundamental outlook for Agency RMBS remains positive. With absolute yields back above 6% as of the end of April and explicit support from the U.S. government, Agency RMBS are appealing to a broad universe of investors. Agency RMBS spreads to benchmark interest rates remain wide by historical standards, providing the opportunity for favorable risk-adjusted returns for levered Agency RMBS investors. Looking forward, if monetary policy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proceeds largely as anticipated, we would expect interest rate volatility to decline, the yield curve to steepen, and quantitative tightening to conclude.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Importantly, the precise timing of Fed rate cuts is not a critical factor in our favorable long-term performance expectations for Agency RMBS.</w:t>
      </w:r>
    </w:p>
    <w:p>
      <w:pPr>
        <w:spacing w:after="0" w:line="15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first quarter, the 10-year U.S. Treasury increased 32 basis points, and the current coupon Agency RMBS spread to a blend of 5- and 10-year Treasuries was unchanged at 139 basis points as of March 31, 2024.</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the quarter, AGNC earned total comprehensive income of $0.48 per diluted common share and generated a total economic return of 5.7% on tangible common equity comprised of $0.36 dividends declared per common share and a $0.14 increase in tangible net book value per common share. These results compare to total comprehensive income of $1.00 per diluted common share and economic return of 12.1% for the prior quarter. Net spread and dollar roll income per diluted common share (a non-GAAP measure) totaled $0.58 for the first quarter, a decline of 2 cents per share from the prior quarter, as higher swap costs more than offset the increase in the average asset yield on our portfolio.</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maintained a large interest rate hedge position during the quarter, which covered 99% of the outstanding balance of Investment Securities Repo, TBA position and other debt as of the end of the quarter. This was a slight decrease from 112% as of December 31, 2023. “At risk” leverage was largely unchanged at 7.1x of our tangible stockholders’ equity as of March 31, 2024, compared to 7.0x as of December 31, 2023. Our unencumbered cash and Agency RMBS grew to $5.4 billion, or 67% of our tangible stockholders' equity, as of the end of the first quarter, up from $5.1 billion, or 66% of tangible stockholders’ equity, as of December 31, 2023. The weighted average coupon on our fixed-rate Agency RMBS and TBA securities increased slightly to 4.86%, from 4.83%, as of the end of the quarter, as we continued to shift a larger share of our asset portfolio toward higher coupon, high-quality specified pools. Additionally, we issued $241 million of accretive common equity during the quarter through our At-the-Market offering program to capitalize on our material price to book premium.</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While market turbulence may persist in the short term due to factors such as inflation expectations and geopolitical risks, we believe AGNC is well positioned to navigate this environment. Our active management strategy, strategic focus on high-quality Agency RMBS assets, attractive funding sources, and strong liquidity position should allow us not only to withstand episodes of volatility but also to take advantage of attractive investment opportunities as they arise.</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benchmark interest rates and prices of generic fixed rate Agency RMBS as of each date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 31, 2024</w:t>
            </w:r>
          </w:p>
        </w:tc>
        <w:tc>
          <w:tcPr>
            <w:tcW w:w="0" w:type="dxa"/>
            <w:vAlign w:val="bottom"/>
          </w:tcPr>
          <w:p>
            <w:pPr>
              <w:spacing w:after="0"/>
              <w:rPr>
                <w:sz w:val="1"/>
                <w:szCs w:val="1"/>
                <w:color w:val="auto"/>
              </w:rPr>
            </w:pPr>
          </w:p>
        </w:tc>
      </w:tr>
      <w:tr>
        <w:trPr>
          <w:trHeight w:val="146"/>
        </w:trPr>
        <w:tc>
          <w:tcPr>
            <w:tcW w:w="536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 xml:space="preserve">Interest Rate/Security Price </w:t>
            </w:r>
            <w:r>
              <w:rPr>
                <w:rFonts w:ascii="Times New Roman" w:cs="Times New Roman" w:eastAsia="Times New Roman" w:hAnsi="Times New Roman"/>
                <w:sz w:val="18"/>
                <w:szCs w:val="18"/>
                <w:b w:val="1"/>
                <w:bCs w:val="1"/>
                <w:color w:val="auto"/>
                <w:vertAlign w:val="superscript"/>
              </w:rPr>
              <w:t>1</w:t>
            </w: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jc w:val="center"/>
              <w:ind w:right="448"/>
              <w:spacing w:after="0" w:line="146"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0" w:type="dxa"/>
            <w:vAlign w:val="bottom"/>
          </w:tcPr>
          <w:p>
            <w:pPr>
              <w:spacing w:after="0"/>
              <w:rPr>
                <w:sz w:val="1"/>
                <w:szCs w:val="1"/>
                <w:color w:val="auto"/>
              </w:rPr>
            </w:pPr>
          </w:p>
        </w:tc>
      </w:tr>
      <w:tr>
        <w:trPr>
          <w:trHeight w:val="203"/>
        </w:trPr>
        <w:tc>
          <w:tcPr>
            <w:tcW w:w="5360" w:type="dxa"/>
            <w:vAlign w:val="bottom"/>
            <w:gridSpan w:val="2"/>
            <w:vMerge w:val="continue"/>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2023</w:t>
            </w:r>
          </w:p>
        </w:tc>
        <w:tc>
          <w:tcPr>
            <w:tcW w:w="0" w:type="dxa"/>
            <w:vAlign w:val="bottom"/>
          </w:tcPr>
          <w:p>
            <w:pPr>
              <w:spacing w:after="0"/>
              <w:rPr>
                <w:sz w:val="1"/>
                <w:szCs w:val="1"/>
                <w:color w:val="auto"/>
              </w:rPr>
            </w:pPr>
          </w:p>
        </w:tc>
      </w:tr>
      <w:tr>
        <w:trPr>
          <w:trHeight w:val="196"/>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Target Federal Funds Rate - Upper Band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5.50%</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SOFR Rate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5.31%</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5.34%</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 bps</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 Interest Rate Swap Rate: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2-Year Swap</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4.97%</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4.55%</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5-Year Swap</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10-Year Swap</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4.27%</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3.84%</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Swap</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Security Rate:</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2-Year U.S. Treasury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5-Year U.S. Treasury</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4.61%</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4.21%</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10-Year U.S. Treasury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U.S. Treasury</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4.70%</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4.34%</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30-Year Fixed Rate Agency Price: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$86.16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$84.77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$79.39</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$85.24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$82.77</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-$2.47</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$89.63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$88.01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$82.75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$88.58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-$2.42</w:t>
            </w: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$92.82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$91.11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$86.02</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$91.86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$89.61</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-$2.25</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$95.59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$93.84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$89.09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$94.69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-$1.95</w:t>
            </w: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$97.92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$96.14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$91.85</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$97.04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$95.34</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-$1.70</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$99.69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$98.00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$94.39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$99.04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$97.70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-$1.34</w:t>
            </w: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$99.55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$96.68</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$100.56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$99.58</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-$0.98</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$102.08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$100.88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$98.74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$101.63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-$0.65</w:t>
            </w: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$100.52</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$102.21</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-$0.30</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15-Year Fixed Rate Agency Price: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$87.95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$86.30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$83.27</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$86.86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$86.69</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-$0.17</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$90.36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$88.61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$85.81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$89.47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$88.71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-$0.76</w:t>
            </w: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$92.83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$90.98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$88.21</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$92.14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$91.07</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-$1.07</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$94.83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$93.32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$90.54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$94.30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-$1.13</w:t>
            </w: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$96.68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$95.14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$92.52</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$96.39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$95.13</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-$1.26</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$98.41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$96.59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$94.42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$98.10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-$1.15</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81"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8" w:name="page29"/>
    <w:bookmarkEnd w:id="28"/>
    <w:p>
      <w:pPr>
        <w:ind w:left="420"/>
        <w:spacing w:after="0"/>
        <w:rPr>
          <w:sz w:val="20"/>
          <w:szCs w:val="20"/>
          <w:color w:val="auto"/>
        </w:rPr>
      </w:pPr>
      <w:r>
        <w:rPr>
          <w:rFonts w:ascii="Times New Roman" w:cs="Times New Roman" w:eastAsia="Times New Roman" w:hAnsi="Times New Roman"/>
          <w:sz w:val="18"/>
          <w:szCs w:val="18"/>
          <w:color w:val="auto"/>
        </w:rPr>
        <w:t>The following table summarizes mortgage and credit spreads as of each date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 31, 2024</w:t>
            </w:r>
          </w:p>
        </w:tc>
        <w:tc>
          <w:tcPr>
            <w:tcW w:w="0" w:type="dxa"/>
            <w:vAlign w:val="bottom"/>
          </w:tcPr>
          <w:p>
            <w:pPr>
              <w:spacing w:after="0"/>
              <w:rPr>
                <w:sz w:val="1"/>
                <w:szCs w:val="1"/>
                <w:color w:val="auto"/>
              </w:rPr>
            </w:pPr>
          </w:p>
        </w:tc>
      </w:tr>
      <w:tr>
        <w:trPr>
          <w:trHeight w:val="146"/>
        </w:trPr>
        <w:tc>
          <w:tcPr>
            <w:tcW w:w="538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Mortgage Rate/Credit Spread</w:t>
            </w: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jc w:val="center"/>
              <w:ind w:right="448"/>
              <w:spacing w:after="0" w:line="146"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0" w:type="dxa"/>
            <w:vAlign w:val="bottom"/>
          </w:tcPr>
          <w:p>
            <w:pPr>
              <w:spacing w:after="0"/>
              <w:rPr>
                <w:sz w:val="1"/>
                <w:szCs w:val="1"/>
                <w:color w:val="auto"/>
              </w:rPr>
            </w:pPr>
          </w:p>
        </w:tc>
      </w:tr>
      <w:tr>
        <w:trPr>
          <w:trHeight w:val="198"/>
        </w:trPr>
        <w:tc>
          <w:tcPr>
            <w:tcW w:w="5380" w:type="dxa"/>
            <w:vAlign w:val="bottom"/>
            <w:gridSpan w:val="2"/>
            <w:vMerge w:val="continue"/>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2023</w:t>
            </w:r>
          </w:p>
        </w:tc>
        <w:tc>
          <w:tcPr>
            <w:tcW w:w="0" w:type="dxa"/>
            <w:vAlign w:val="bottom"/>
          </w:tcPr>
          <w:p>
            <w:pPr>
              <w:spacing w:after="0"/>
              <w:rPr>
                <w:sz w:val="1"/>
                <w:szCs w:val="1"/>
                <w:color w:val="auto"/>
              </w:rPr>
            </w:pPr>
          </w:p>
        </w:tc>
      </w:tr>
      <w:tr>
        <w:trPr>
          <w:trHeight w:val="201"/>
        </w:trPr>
        <w:tc>
          <w:tcPr>
            <w:tcW w:w="5220" w:type="dxa"/>
            <w:vAlign w:val="bottom"/>
            <w:tcBorders>
              <w:top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Mortgage Rate: </w:t>
            </w:r>
            <w:r>
              <w:rPr>
                <w:rFonts w:ascii="Times New Roman" w:cs="Times New Roman" w:eastAsia="Times New Roman" w:hAnsi="Times New Roman"/>
                <w:sz w:val="18"/>
                <w:szCs w:val="18"/>
                <w:b w:val="1"/>
                <w:bCs w:val="1"/>
                <w:color w:val="auto"/>
                <w:vertAlign w:val="superscript"/>
              </w:rPr>
              <w:t>1</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5-Year U.S. Treasury Spread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175</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center"/>
              <w:ind w:right="4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10-Year U.S. Treasury Spread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137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5/10-Year U.S. Treasury Spread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177</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139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Mortgage Rate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7.41%</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6.74%</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Credit Spread (in bps): </w:t>
            </w:r>
            <w:r>
              <w:rPr>
                <w:rFonts w:ascii="Times New Roman" w:cs="Times New Roman" w:eastAsia="Times New Roman" w:hAnsi="Times New Roman"/>
                <w:sz w:val="18"/>
                <w:szCs w:val="18"/>
                <w:b w:val="1"/>
                <w:bCs w:val="1"/>
                <w:color w:val="auto"/>
                <w:vertAlign w:val="superscript"/>
              </w:rPr>
              <w:t>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CRT M2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252</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206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182</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10"/>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CMBS AAA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8"/>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CDX IG</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center"/>
              <w:ind w:right="44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67" w:lineRule="exact"/>
        <w:rPr>
          <w:sz w:val="20"/>
          <w:szCs w:val="20"/>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Current Coupon Yield represents yield on new production Agency RMBS. 30-Year Current Coupon Yields are sourced from Bloomberg and 30-Year Mortgage Rates are sourced from Clear Blue.</w:t>
      </w:r>
    </w:p>
    <w:p>
      <w:pPr>
        <w:ind w:left="660" w:hanging="328"/>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CRT and CDX spreads sourced from JP Morgan. CMBS spreads are the average of spreads sourced from Bank of America, JP Morgan and Wells Fargo.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our investment portfolio totaled $63.3 billion and $60.2 billion, respectively, consisting of: $53.7 billion and $53.8 billion Agency RMBS, at fair value, respectively; $8.4 billion and $5.4 billion net TBA securities, at fair value, respectively; $1.0 billion CRT, non-Agency RMBS and CMBS, at fair value; and other mortgage credit investments of $59 million and $44 million, respectively, which we account for under the equity method of accounting. The following table is a summary of our investment securities (including TBA securities) as of March 31, 2024 and December 31, 2023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Securities (Includes TBAs)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3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Agency RMBS and TBA securities: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15-year:</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15-year RMBS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6"/>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15-year TBA securities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 15-year</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5"/>
        </w:trPr>
        <w:tc>
          <w:tcPr>
            <w:tcW w:w="35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30-year:</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51,914</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xml:space="preserve">30-year TBA securities, net </w:t>
            </w:r>
            <w:r>
              <w:rPr>
                <w:rFonts w:ascii="Times New Roman" w:cs="Times New Roman" w:eastAsia="Times New Roman" w:hAnsi="Times New Roman"/>
                <w:sz w:val="18"/>
                <w:szCs w:val="18"/>
                <w:color w:val="auto"/>
                <w:vertAlign w:val="superscript"/>
              </w:rPr>
              <w:t>2</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8,358</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5,199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0"/>
        </w:trPr>
        <w:tc>
          <w:tcPr>
            <w:tcW w:w="3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Total 30-year</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62,805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60,272</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58,857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56,938</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 rate Agency RMBS and TBA securities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63,870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61,215</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60,577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58,515</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18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Adjustable rate Agency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CMO Agency RMBS: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CMO</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Interest-only strips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Principal-only strips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CMO Agency RMBS</w:t>
            </w: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10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10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Agency RMBS and TBA securities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64,852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62,177</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61,225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59,148</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196"/>
        </w:trPr>
        <w:tc>
          <w:tcPr>
            <w:tcW w:w="35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7.28 %</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CRT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10.72 %</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10.45 %</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62,253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60,178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other mortgage credit investments of $59 million and $44 million as of March 31, 2024 and December 31, 2023, respectively.</w:t>
      </w:r>
    </w:p>
    <w:p>
      <w:pPr>
        <w:spacing w:after="0" w:line="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TBA securities are presented net of long and short positions. For further details of our TBA securities refer to Note 5 of our Consolidated Financial Statements in this Form 10-Q</w:t>
      </w:r>
    </w:p>
    <w:p>
      <w:pPr>
        <w:spacing w:after="0" w:line="16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TBA securities are recorded as derivative instruments in our accompanying consolidated financial statements, and our TBA dollar roll transactions represent a form of off-balance sheet financing. As of March 31, 2024 and December 31, 2023, our TBA securities had a net carrying value of $43 million and $66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weighted average yield on our investment securities (excluding TBA and forward settling securities) was 4.52% and 4.41%,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0" w:name="page31"/>
    <w:bookmarkEnd w:id="30"/>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certain characteristics of our fixed rate Agency RMBS portfolio, inclusive of TBA securities, as of March 31, 2024 and December 31, 2023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6"/>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3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Specified Pool</w:t>
            </w:r>
          </w:p>
        </w:tc>
        <w:tc>
          <w:tcPr>
            <w:tcW w:w="1160" w:type="dxa"/>
            <w:vAlign w:val="bottom"/>
            <w:gridSpan w:val="3"/>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2</w:t>
            </w: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20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3"/>
              </w:rPr>
              <w:t xml:space="preserve">% </w:t>
            </w:r>
            <w:r>
              <w:rPr>
                <w:rFonts w:ascii="Times New Roman" w:cs="Times New Roman" w:eastAsia="Times New Roman" w:hAnsi="Times New Roman"/>
                <w:sz w:val="18"/>
                <w:szCs w:val="18"/>
                <w:b w:val="1"/>
                <w:bCs w:val="1"/>
                <w:color w:val="auto"/>
                <w:w w:val="93"/>
                <w:vertAlign w:val="superscript"/>
              </w:rPr>
              <w:t>1</w:t>
            </w:r>
          </w:p>
        </w:tc>
        <w:tc>
          <w:tcPr>
            <w:tcW w:w="100" w:type="dxa"/>
            <w:vAlign w:val="bottom"/>
          </w:tcPr>
          <w:p>
            <w:pPr>
              <w:spacing w:after="0"/>
              <w:rPr>
                <w:sz w:val="17"/>
                <w:szCs w:val="17"/>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96"/>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15-year:</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101.7%</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101.4%</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101.7%</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101.5%</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6"/>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100.8%</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3"/>
        </w:trPr>
        <w:tc>
          <w:tcPr>
            <w:tcW w:w="23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101.4%</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5"/>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102.6%</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104.7%</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103.6%</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101.8%</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4.0%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104.5%</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2.82%</w:t>
            </w:r>
          </w:p>
        </w:tc>
        <w:tc>
          <w:tcPr>
            <w:tcW w:w="2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103.7%</w:t>
            </w:r>
          </w:p>
        </w:tc>
        <w:tc>
          <w:tcPr>
            <w:tcW w:w="1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189"/>
        </w:trPr>
        <w:tc>
          <w:tcPr>
            <w:tcW w:w="2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3.0%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99.9%</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104.1%</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105.6%</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103.8%</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11,205</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100.7%</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100.6%</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101.2%</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6.5%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102.6%</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0"/>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61,920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62,805</w:t>
            </w:r>
          </w:p>
        </w:tc>
        <w:tc>
          <w:tcPr>
            <w:tcW w:w="1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60,272</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4.89%</w:t>
            </w:r>
          </w:p>
        </w:tc>
        <w:tc>
          <w:tcPr>
            <w:tcW w:w="2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102.1%</w:t>
            </w:r>
          </w:p>
        </w:tc>
        <w:tc>
          <w:tcPr>
            <w:tcW w:w="1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36</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62,954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63,870</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61,215</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102.1%</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56"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March 31, 2024, lower balance specified pools had a weighted average original loan balance of $188,000 and $153,000 for 15-year and 30-year securities, respectively, and HARP pools had a weighted average original LTV of 128% and 141% for 15-year and 30-year securities, respectively.</w:t>
      </w:r>
    </w:p>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360" w:type="dxa"/>
            <w:vAlign w:val="bottom"/>
            <w:gridSpan w:val="2"/>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Fixed Rate Agency RMBS and</w:t>
            </w: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Specified Pool</w:t>
            </w:r>
          </w:p>
        </w:tc>
        <w:tc>
          <w:tcPr>
            <w:tcW w:w="1260" w:type="dxa"/>
            <w:vAlign w:val="bottom"/>
            <w:gridSpan w:val="3"/>
            <w:vMerge w:val="restart"/>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vMerge w:val="restart"/>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102"/>
        </w:trPr>
        <w:tc>
          <w:tcPr>
            <w:tcW w:w="2360" w:type="dxa"/>
            <w:vAlign w:val="bottom"/>
            <w:gridSpan w:val="2"/>
            <w:vMerge w:val="continue"/>
          </w:tcPr>
          <w:p>
            <w:pPr>
              <w:spacing w:after="0"/>
              <w:rPr>
                <w:sz w:val="8"/>
                <w:szCs w:val="8"/>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gridSpan w:val="2"/>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2</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TBA Securities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 xml:space="preserve"> 1</w:t>
            </w:r>
          </w:p>
        </w:tc>
        <w:tc>
          <w:tcPr>
            <w:tcW w:w="100" w:type="dxa"/>
            <w:vAlign w:val="bottom"/>
          </w:tcPr>
          <w:p>
            <w:pPr>
              <w:spacing w:after="0"/>
              <w:rPr>
                <w:sz w:val="17"/>
                <w:szCs w:val="17"/>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15-year:</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101.7%</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101.5%</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101.5%</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102.8%</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101.7%</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6"/>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5.0%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100.9%</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168</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3"/>
        </w:trPr>
        <w:tc>
          <w:tcPr>
            <w:tcW w:w="236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101.9%</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5"/>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102.6%</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104.7%</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103.6%</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101.7%</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125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2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4.0%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104.3%</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2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2.82%</w:t>
            </w:r>
          </w:p>
        </w:tc>
        <w:tc>
          <w:tcPr>
            <w:tcW w:w="2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3.0%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101.0%</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104.1%</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105.7%</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103.9%</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9,719</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100.5%</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100.6%</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9,384</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101.0%</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2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6.5%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102.3%</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0"/>
        </w:trPr>
        <w:tc>
          <w:tcPr>
            <w:tcW w:w="2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57,766</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58,857</w:t>
            </w:r>
          </w:p>
        </w:tc>
        <w:tc>
          <w:tcPr>
            <w:tcW w:w="12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56,938</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4.88%</w:t>
            </w:r>
          </w:p>
        </w:tc>
        <w:tc>
          <w:tcPr>
            <w:tcW w:w="2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102.2%</w:t>
            </w:r>
          </w:p>
        </w:tc>
        <w:tc>
          <w:tcPr>
            <w:tcW w:w="12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8"/>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59,442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60,577</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58,515</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102.2%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 of preceding table for specified pool composition. As of December 31, 2023, lower balance specified pools had a weighted average original loan balance of $132,000 and $153,000 for 15-year and 30-year securities, respectively, and HARP pools had a weighted average original LTV of 128% and 141% for 15-year and 30-year securities, respectively.</w:t>
      </w:r>
    </w:p>
    <w:p>
      <w:pPr>
        <w:ind w:left="660" w:hanging="328"/>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December 31, 2023.</w:t>
      </w:r>
    </w:p>
    <w:p>
      <w:pPr>
        <w:spacing w:after="0" w:line="1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additional details regarding our CRT and non-Agency securities, including credit ratings, as of March 31, 2024 and December 31, 2023, please refer to Note 3 of our Consolidated Financial Statements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In addition to the results presented in accordance with GAAP, our results of operations discussed below include certain non-GAAP financial information, including "economic interest income," "economic interest expense," and "net spread and dollar roll income available to common stockholders"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the related per common share measures and certain financial metrics derived from such non-GAAP information.</w:t>
      </w:r>
    </w:p>
    <w:p>
      <w:pPr>
        <w:spacing w:after="0" w:line="5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(ii) exclude retrospective "catch-up" adjustments to premium amortization cost associated with changes in projected CPR estimates; and (iii) include interest rate swap periodic income/cost, TBA dollar roll income and other interest income/expense. As defined "Net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spread and dollar roll income available to common stockholders" includes (i) the components of "economic interest income" and "economic interest expense", plus (ii) other interest income/expense, and less (iii) total operating expenses and dividends on preferred stock (GAAP measures).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Specifically, in the case "net spread and dollar roll income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w:t>
      </w:r>
    </w:p>
    <w:p>
      <w:pPr>
        <w:spacing w:after="0" w:line="1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54"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December 31, 2023, "Net spread and dollar roll income available to common stockholders" was referred to as "net spread and dollar roll income, excluding 'catch-up' premium amortization, available to common stockholders". "Net spread and dollar roll income available to common stockholders" continues to exclude "catch-up" premium amortization.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Data</w:t>
      </w:r>
    </w:p>
    <w:p>
      <w:pPr>
        <w:spacing w:after="0" w:line="243" w:lineRule="exact"/>
        <w:rPr>
          <w:sz w:val="20"/>
          <w:szCs w:val="20"/>
          <w:color w:val="auto"/>
        </w:rPr>
      </w:pPr>
    </w:p>
    <w:p>
      <w:pPr>
        <w:jc w:val="both"/>
        <w:ind w:right="20" w:firstLine="445"/>
        <w:spacing w:after="0" w:line="250" w:lineRule="auto"/>
        <w:rPr>
          <w:sz w:val="20"/>
          <w:szCs w:val="20"/>
          <w:color w:val="auto"/>
        </w:rPr>
      </w:pPr>
      <w:r>
        <w:rPr>
          <w:rFonts w:ascii="Times New Roman" w:cs="Times New Roman" w:eastAsia="Times New Roman" w:hAnsi="Times New Roman"/>
          <w:sz w:val="18"/>
          <w:szCs w:val="18"/>
          <w:color w:val="auto"/>
        </w:rPr>
        <w:t>The following selected financial data is derived from our interim consolidated financial statements and the notes thereto. The tables below present our condensed consolidated balance sheets as of March 31, 2024 and December 31, 2023 and condensed consolidated statements of comprehensive income and key statistics for the three months ended March 31, 2024 and 2023 (in millions, except per share amounts):</w:t>
      </w:r>
    </w:p>
    <w:p>
      <w:pPr>
        <w:spacing w:after="0" w:line="8"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180" w:type="dxa"/>
            <w:vAlign w:val="bottom"/>
          </w:tcPr>
          <w:p>
            <w:pPr>
              <w:spacing w:after="0"/>
              <w:rPr>
                <w:sz w:val="17"/>
                <w:szCs w:val="17"/>
                <w:color w:val="auto"/>
              </w:rPr>
            </w:pPr>
          </w:p>
        </w:tc>
        <w:tc>
          <w:tcPr>
            <w:tcW w:w="11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(Unaudited)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90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Investment securities, at fair value of $54,776 and $54,824, respectively, and other mortgage credit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54,835</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54,868</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71,876</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71,596</w:t>
            </w:r>
          </w:p>
        </w:tc>
        <w:tc>
          <w:tcPr>
            <w:tcW w:w="0" w:type="dxa"/>
            <w:vAlign w:val="bottom"/>
          </w:tcPr>
          <w:p>
            <w:pPr>
              <w:spacing w:after="0"/>
              <w:rPr>
                <w:sz w:val="1"/>
                <w:szCs w:val="1"/>
                <w:color w:val="auto"/>
              </w:rPr>
            </w:pPr>
          </w:p>
        </w:tc>
      </w:tr>
      <w:tr>
        <w:trPr>
          <w:trHeight w:val="219"/>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agreements and other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50,506</w:t>
            </w:r>
          </w:p>
        </w:tc>
        <w:tc>
          <w:tcPr>
            <w:tcW w:w="0" w:type="dxa"/>
            <w:vAlign w:val="bottom"/>
          </w:tcPr>
          <w:p>
            <w:pPr>
              <w:spacing w:after="0"/>
              <w:rPr>
                <w:sz w:val="1"/>
                <w:szCs w:val="1"/>
                <w:color w:val="auto"/>
              </w:rPr>
            </w:pPr>
          </w:p>
        </w:tc>
      </w:tr>
      <w:tr>
        <w:trPr>
          <w:trHeight w:val="213"/>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63,298</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63,339</w:t>
            </w:r>
          </w:p>
        </w:tc>
        <w:tc>
          <w:tcPr>
            <w:tcW w:w="0" w:type="dxa"/>
            <w:vAlign w:val="bottom"/>
          </w:tcPr>
          <w:p>
            <w:pPr>
              <w:spacing w:after="0"/>
              <w:rPr>
                <w:sz w:val="1"/>
                <w:szCs w:val="1"/>
                <w:color w:val="auto"/>
              </w:rPr>
            </w:pPr>
          </w:p>
        </w:tc>
      </w:tr>
      <w:tr>
        <w:trPr>
          <w:trHeight w:val="219"/>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8,257</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book value per common share </w:t>
            </w:r>
            <w:r>
              <w:rPr>
                <w:rFonts w:ascii="Times New Roman" w:cs="Times New Roman" w:eastAsia="Times New Roman" w:hAnsi="Times New Roman"/>
                <w:sz w:val="21"/>
                <w:szCs w:val="2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9.57</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Tangible net book value per common share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3" w:name="page34"/>
    <w:bookmarkEnd w:id="33"/>
    <w:tbl>
      <w:tblPr>
        <w:tblLayout w:type="fixed"/>
        <w:tblInd w:w="76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8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6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196"/>
        </w:trPr>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Statement of Comprehensive Income Data (Unaudited)</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13"/>
        </w:trPr>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10"/>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 (expense)</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09"/>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gain (loss),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2"/>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6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3"/>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 net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2"/>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 (loss) available (attributable) to common stockholders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6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579.3</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 (loss) per common share - basic</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per common share -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0"/>
        </w:trPr>
        <w:tc>
          <w:tcPr>
            <w:tcW w:w="6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196"/>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Data (Unaudited) *</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par</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55,455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46,374</w:t>
            </w:r>
          </w:p>
        </w:tc>
      </w:tr>
      <w:tr>
        <w:trPr>
          <w:trHeight w:val="21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cost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56,664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47,846</w:t>
            </w:r>
          </w:p>
        </w:tc>
      </w:tr>
      <w:tr>
        <w:trPr>
          <w:trHeight w:val="21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TBA dollar roll position - at cost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6,190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17,851</w:t>
            </w:r>
          </w:p>
        </w:tc>
      </w:tr>
      <w:tr>
        <w:trPr>
          <w:trHeight w:val="21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total assets - at fair value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70,731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58,267</w:t>
            </w:r>
          </w:p>
        </w:tc>
      </w:tr>
      <w:tr>
        <w:trPr>
          <w:trHeight w:val="21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repurchase agreements and other debt outstanding </w:t>
            </w:r>
            <w:r>
              <w:rPr>
                <w:rFonts w:ascii="Times New Roman" w:cs="Times New Roman" w:eastAsia="Times New Roman" w:hAnsi="Times New Roman"/>
                <w:sz w:val="18"/>
                <w:szCs w:val="18"/>
                <w:color w:val="auto"/>
                <w:vertAlign w:val="superscript"/>
              </w:rPr>
              <w:t>3</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48,730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39,824</w:t>
            </w: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Average stockholders' equity </w:t>
            </w:r>
            <w:r>
              <w:rPr>
                <w:rFonts w:ascii="Times New Roman" w:cs="Times New Roman" w:eastAsia="Times New Roman" w:hAnsi="Times New Roman"/>
                <w:sz w:val="18"/>
                <w:szCs w:val="18"/>
                <w:color w:val="auto"/>
                <w:vertAlign w:val="superscript"/>
              </w:rPr>
              <w:t>4</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8,328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8,053</w:t>
            </w:r>
          </w:p>
        </w:tc>
      </w:tr>
    </w:tbl>
    <w:p>
      <w:pPr>
        <w:spacing w:after="0" w:line="9"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tangible net book value "at risk" leverage </w:t>
            </w:r>
            <w:r>
              <w:rPr>
                <w:rFonts w:ascii="Times New Roman" w:cs="Times New Roman" w:eastAsia="Times New Roman" w:hAnsi="Times New Roman"/>
                <w:sz w:val="18"/>
                <w:szCs w:val="18"/>
                <w:color w:val="auto"/>
                <w:vertAlign w:val="superscript"/>
              </w:rPr>
              <w:t>5</w:t>
            </w:r>
          </w:p>
        </w:tc>
        <w:tc>
          <w:tcPr>
            <w:tcW w:w="25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7.0:1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Tangible net book value "at risk" leverage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vertAlign w:val="superscript"/>
              </w:rPr>
              <w:t>6</w:t>
            </w:r>
          </w:p>
        </w:tc>
        <w:tc>
          <w:tcPr>
            <w:tcW w:w="25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7.1:1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Economic return on tangible common equity </w:t>
            </w:r>
            <w:r>
              <w:rPr>
                <w:rFonts w:ascii="Times New Roman" w:cs="Times New Roman" w:eastAsia="Times New Roman" w:hAnsi="Times New Roman"/>
                <w:sz w:val="18"/>
                <w:szCs w:val="18"/>
                <w:color w:val="auto"/>
                <w:vertAlign w:val="superscript"/>
              </w:rPr>
              <w:t>7</w:t>
            </w:r>
          </w:p>
        </w:tc>
        <w:tc>
          <w:tcPr>
            <w:tcW w:w="25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5.7 %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 % of average total assets - annualized</w:t>
            </w:r>
          </w:p>
        </w:tc>
        <w:tc>
          <w:tcPr>
            <w:tcW w:w="25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0.14 %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0.15 %</w:t>
            </w: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 % of average assets, including average net TBA position - annualized</w:t>
            </w:r>
          </w:p>
        </w:tc>
        <w:tc>
          <w:tcPr>
            <w:tcW w:w="25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0.12 %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0.12 %</w:t>
            </w: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 % of average stockholders' equity - annualized</w:t>
            </w:r>
          </w:p>
        </w:tc>
        <w:tc>
          <w:tcPr>
            <w:tcW w:w="25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1.15 %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1.09 %</w:t>
            </w: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Except as noted below, average numbers for each period are weighted based on days on our books and records.</w:t>
      </w:r>
    </w:p>
    <w:p>
      <w:pPr>
        <w:spacing w:after="0" w:line="3" w:lineRule="exact"/>
        <w:rPr>
          <w:sz w:val="20"/>
          <w:szCs w:val="20"/>
          <w:color w:val="auto"/>
        </w:rPr>
      </w:pPr>
    </w:p>
    <w:p>
      <w:pPr>
        <w:ind w:left="660" w:hanging="328"/>
        <w:spacing w:after="0" w:line="259"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book value per common share is calculated as total stockholders' equity, less preferred stock liquidation preference, divided by number of common shares outstanding as of period end.</w:t>
      </w:r>
    </w:p>
    <w:p>
      <w:pPr>
        <w:spacing w:after="0" w:line="173"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per common share excludes goodwill.</w:t>
      </w:r>
    </w:p>
    <w:p>
      <w:pPr>
        <w:spacing w:after="0" w:line="14" w:lineRule="exact"/>
        <w:rPr>
          <w:rFonts w:ascii="Times New Roman" w:cs="Times New Roman" w:eastAsia="Times New Roman" w:hAnsi="Times New Roman"/>
          <w:sz w:val="14"/>
          <w:szCs w:val="14"/>
          <w:color w:val="auto"/>
        </w:rPr>
      </w:pPr>
    </w:p>
    <w:p>
      <w:pPr>
        <w:ind w:left="660" w:right="20" w:hanging="328"/>
        <w:spacing w:after="0" w:line="254"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daily weighted average repurchase agreements outstanding for the period used to fund our investment securities and other debt. Amount excludes U.S. Treasury repurchase agreements and TBA contracts. Other debt includes debt of consolidated VIEs.</w:t>
      </w:r>
    </w:p>
    <w:p>
      <w:pPr>
        <w:ind w:left="660" w:hanging="328"/>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stockholders' equity calculated as average month-ended stockholders' equity during the period.</w:t>
      </w:r>
    </w:p>
    <w:p>
      <w:pPr>
        <w:spacing w:after="0" w:line="11" w:lineRule="exact"/>
        <w:rPr>
          <w:rFonts w:ascii="Times New Roman" w:cs="Times New Roman" w:eastAsia="Times New Roman" w:hAnsi="Times New Roman"/>
          <w:sz w:val="14"/>
          <w:szCs w:val="14"/>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spacing w:after="0" w:line="1" w:lineRule="exact"/>
        <w:rPr>
          <w:rFonts w:ascii="Times New Roman" w:cs="Times New Roman" w:eastAsia="Times New Roman" w:hAnsi="Times New Roman"/>
          <w:sz w:val="14"/>
          <w:szCs w:val="14"/>
          <w:color w:val="auto"/>
        </w:rPr>
      </w:pPr>
    </w:p>
    <w:p>
      <w:pPr>
        <w:ind w:left="660" w:hanging="328"/>
        <w:spacing w:after="0" w:line="263"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4" w:name="page35"/>
    <w:bookmarkEnd w:id="34"/>
    <w:p>
      <w:pPr>
        <w:ind w:left="660" w:right="20" w:hanging="328"/>
        <w:spacing w:after="0" w:line="302" w:lineRule="auto"/>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Income and Asset Yields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economic interest income (a non-GAAP measure) for the three months ended March 31, 2024 and 2023,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w:t>
      </w:r>
    </w:p>
    <w:p>
      <w:pPr>
        <w:spacing w:after="0" w:line="79"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1060" w:type="dxa"/>
        <w:tblCellMar>
          <w:top w:w="0" w:type="dxa"/>
          <w:left w:w="0" w:type="dxa"/>
          <w:bottom w:w="0" w:type="dxa"/>
          <w:right w:w="0" w:type="dxa"/>
        </w:tblCellMar>
      </w:tblPr>
      <w:tr>
        <w:trPr>
          <w:trHeight w:val="200"/>
        </w:trPr>
        <w:tc>
          <w:tcPr>
            <w:tcW w:w="50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3"/>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6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Cash/coupon 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4.06 %</w:t>
            </w:r>
          </w:p>
        </w:tc>
        <w:tc>
          <w:tcPr>
            <w:tcW w:w="0" w:type="dxa"/>
            <w:vAlign w:val="bottom"/>
          </w:tcPr>
          <w:p>
            <w:pPr>
              <w:spacing w:after="0"/>
              <w:rPr>
                <w:sz w:val="1"/>
                <w:szCs w:val="1"/>
                <w:color w:val="auto"/>
              </w:rPr>
            </w:pPr>
          </w:p>
        </w:tc>
      </w:tr>
      <w:tr>
        <w:trPr>
          <w:trHeight w:val="196"/>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premium amortization benefit (cost)</w:t>
            </w:r>
          </w:p>
        </w:tc>
        <w:tc>
          <w:tcPr>
            <w:tcW w:w="16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2.93 %</w:t>
            </w:r>
          </w:p>
        </w:tc>
        <w:tc>
          <w:tcPr>
            <w:tcW w:w="0" w:type="dxa"/>
            <w:vAlign w:val="bottom"/>
          </w:tcPr>
          <w:p>
            <w:pPr>
              <w:spacing w:after="0"/>
              <w:rPr>
                <w:sz w:val="1"/>
                <w:szCs w:val="1"/>
                <w:color w:val="auto"/>
              </w:rPr>
            </w:pPr>
          </w:p>
        </w:tc>
      </w:tr>
      <w:tr>
        <w:trPr>
          <w:trHeight w:val="139"/>
        </w:trPr>
        <w:tc>
          <w:tcPr>
            <w:tcW w:w="506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Estimated "catch-up" premium amortization cost (benefit) due to change in CPR</w:t>
            </w:r>
          </w:p>
        </w:tc>
        <w:tc>
          <w:tcPr>
            <w:tcW w:w="16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0.58 %</w:t>
            </w:r>
          </w:p>
        </w:tc>
        <w:tc>
          <w:tcPr>
            <w:tcW w:w="0" w:type="dxa"/>
            <w:vAlign w:val="bottom"/>
          </w:tcPr>
          <w:p>
            <w:pPr>
              <w:spacing w:after="0"/>
              <w:rPr>
                <w:sz w:val="1"/>
                <w:szCs w:val="1"/>
                <w:color w:val="auto"/>
              </w:rPr>
            </w:pPr>
          </w:p>
        </w:tc>
      </w:tr>
      <w:tr>
        <w:trPr>
          <w:trHeight w:val="193"/>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forecast</w:t>
            </w: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3.51 %</w:t>
            </w:r>
          </w:p>
        </w:tc>
        <w:tc>
          <w:tcPr>
            <w:tcW w:w="0" w:type="dxa"/>
            <w:vAlign w:val="bottom"/>
          </w:tcPr>
          <w:p>
            <w:pPr>
              <w:spacing w:after="0"/>
              <w:rPr>
                <w:sz w:val="1"/>
                <w:szCs w:val="1"/>
                <w:color w:val="auto"/>
              </w:rPr>
            </w:pPr>
          </w:p>
        </w:tc>
      </w:tr>
      <w:tr>
        <w:trPr>
          <w:trHeight w:val="196"/>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TBA dollar roll income - implied interest income </w:t>
            </w:r>
            <w:r>
              <w:rPr>
                <w:rFonts w:ascii="Times New Roman" w:cs="Times New Roman" w:eastAsia="Times New Roman" w:hAnsi="Times New Roman"/>
                <w:sz w:val="9"/>
                <w:szCs w:val="9"/>
                <w:color w:val="auto"/>
              </w:rPr>
              <w:t>1,2</w:t>
            </w:r>
          </w:p>
        </w:tc>
        <w:tc>
          <w:tcPr>
            <w:tcW w:w="16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4.93 %</w:t>
            </w:r>
          </w:p>
        </w:tc>
        <w:tc>
          <w:tcPr>
            <w:tcW w:w="0" w:type="dxa"/>
            <w:vAlign w:val="bottom"/>
          </w:tcPr>
          <w:p>
            <w:pPr>
              <w:spacing w:after="0"/>
              <w:rPr>
                <w:sz w:val="1"/>
                <w:szCs w:val="1"/>
                <w:color w:val="auto"/>
              </w:rPr>
            </w:pPr>
          </w:p>
        </w:tc>
      </w:tr>
      <w:tr>
        <w:trPr>
          <w:trHeight w:val="228"/>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Economic interest income (non-GAAP measure) </w:t>
            </w:r>
            <w:r>
              <w:rPr>
                <w:rFonts w:ascii="Times New Roman" w:cs="Times New Roman" w:eastAsia="Times New Roman" w:hAnsi="Times New Roman"/>
                <w:sz w:val="9"/>
                <w:szCs w:val="9"/>
                <w:color w:val="auto"/>
              </w:rPr>
              <w:t>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1">
            <w:col w:w="11240"/>
          </w:cols>
          <w:pgMar w:left="320" w:top="886" w:right="339" w:bottom="1440" w:gutter="0" w:footer="0" w:header="0"/>
        </w:sectPr>
      </w:pPr>
    </w:p>
    <w:p>
      <w:pPr>
        <w:ind w:left="1080" w:right="240"/>
        <w:spacing w:after="0" w:line="251" w:lineRule="auto"/>
        <w:rPr>
          <w:sz w:val="20"/>
          <w:szCs w:val="20"/>
          <w:color w:val="auto"/>
        </w:rPr>
      </w:pPr>
      <w:r>
        <w:rPr>
          <w:rFonts w:ascii="Times New Roman" w:cs="Times New Roman" w:eastAsia="Times New Roman" w:hAnsi="Times New Roman"/>
          <w:sz w:val="14"/>
          <w:szCs w:val="14"/>
          <w:color w:val="auto"/>
        </w:rPr>
        <w:t>Weighted average actual portfolio CPR for investment securities held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-207645</wp:posOffset>
            </wp:positionV>
            <wp:extent cx="5795010" cy="214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95010" cy="214630"/>
                    </a:xfrm>
                    <a:prstGeom prst="rect">
                      <a:avLst/>
                    </a:prstGeom>
                    <a:noFill/>
                  </pic:spPr>
                </pic:pic>
              </a:graphicData>
            </a:graphic>
          </wp:anchor>
        </w:drawing>
      </w:r>
    </w:p>
    <w:p>
      <w:pPr>
        <w:ind w:left="1080"/>
        <w:spacing w:after="0" w:line="251" w:lineRule="auto"/>
        <w:rPr>
          <w:sz w:val="20"/>
          <w:szCs w:val="20"/>
          <w:color w:val="auto"/>
        </w:rPr>
      </w:pPr>
      <w:r>
        <w:rPr>
          <w:rFonts w:ascii="Times New Roman" w:cs="Times New Roman" w:eastAsia="Times New Roman" w:hAnsi="Times New Roman"/>
          <w:sz w:val="14"/>
          <w:szCs w:val="14"/>
          <w:color w:val="auto"/>
        </w:rPr>
        <w:t>Weighted average projected CPR for the remaining life of investment securities held as of period end</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 xml:space="preserve">30-year fixed rate mortgage rate as of period end </w:t>
      </w: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-95885</wp:posOffset>
            </wp:positionV>
            <wp:extent cx="579501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95010" cy="128905"/>
                    </a:xfrm>
                    <a:prstGeom prst="rect">
                      <a:avLst/>
                    </a:prstGeom>
                    <a:noFill/>
                  </pic:spPr>
                </pic:pic>
              </a:graphicData>
            </a:graphic>
          </wp:anchor>
        </w:drawing>
      </w:r>
    </w:p>
    <w:p>
      <w:pPr>
        <w:spacing w:after="0" w:line="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 xml:space="preserve">10-year U.S. Treasury rate as of period end </w:t>
      </w:r>
      <w:r>
        <w:rPr>
          <w:rFonts w:ascii="Times New Roman" w:cs="Times New Roman" w:eastAsia="Times New Roman" w:hAnsi="Times New Roman"/>
          <w:sz w:val="9"/>
          <w:szCs w:val="9"/>
          <w:color w:val="auto"/>
        </w:rPr>
        <w:t>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60"/>
        <w:spacing w:after="0"/>
        <w:tabs>
          <w:tab w:leader="none" w:pos="2140" w:val="left"/>
        </w:tabs>
        <w:rPr>
          <w:sz w:val="20"/>
          <w:szCs w:val="20"/>
          <w:color w:val="auto"/>
        </w:rPr>
      </w:pPr>
      <w:r>
        <w:rPr>
          <w:rFonts w:ascii="Times New Roman" w:cs="Times New Roman" w:eastAsia="Times New Roman" w:hAnsi="Times New Roman"/>
          <w:sz w:val="14"/>
          <w:szCs w:val="14"/>
          <w:color w:val="auto"/>
        </w:rPr>
        <w:t>5.7 %</w:t>
      </w:r>
      <w:r>
        <w:rPr>
          <w:sz w:val="20"/>
          <w:szCs w:val="20"/>
          <w:color w:val="auto"/>
        </w:rPr>
        <w:tab/>
      </w:r>
      <w:r>
        <w:rPr>
          <w:rFonts w:ascii="Times New Roman" w:cs="Times New Roman" w:eastAsia="Times New Roman" w:hAnsi="Times New Roman"/>
          <w:sz w:val="14"/>
          <w:szCs w:val="14"/>
          <w:color w:val="auto"/>
        </w:rPr>
        <w:t>5.2 %</w:t>
      </w:r>
    </w:p>
    <w:p>
      <w:pPr>
        <w:spacing w:after="0" w:line="177"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4"/>
          <w:szCs w:val="14"/>
          <w:color w:val="auto"/>
        </w:rPr>
        <w:t>10.4 %</w:t>
      </w:r>
      <w:r>
        <w:rPr>
          <w:sz w:val="20"/>
          <w:szCs w:val="20"/>
          <w:color w:val="auto"/>
        </w:rPr>
        <w:tab/>
      </w:r>
      <w:r>
        <w:rPr>
          <w:rFonts w:ascii="Times New Roman" w:cs="Times New Roman" w:eastAsia="Times New Roman" w:hAnsi="Times New Roman"/>
          <w:sz w:val="14"/>
          <w:szCs w:val="14"/>
          <w:color w:val="auto"/>
        </w:rPr>
        <w:t>10.0 %</w:t>
      </w:r>
    </w:p>
    <w:p>
      <w:pPr>
        <w:spacing w:after="0" w:line="42"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4"/>
          <w:szCs w:val="14"/>
          <w:color w:val="auto"/>
        </w:rPr>
        <w:t>6.74 %</w:t>
      </w:r>
      <w:r>
        <w:rPr>
          <w:sz w:val="20"/>
          <w:szCs w:val="20"/>
          <w:color w:val="auto"/>
        </w:rPr>
        <w:tab/>
      </w:r>
      <w:r>
        <w:rPr>
          <w:rFonts w:ascii="Times New Roman" w:cs="Times New Roman" w:eastAsia="Times New Roman" w:hAnsi="Times New Roman"/>
          <w:sz w:val="14"/>
          <w:szCs w:val="14"/>
          <w:color w:val="auto"/>
        </w:rPr>
        <w:t>6.40 %</w:t>
      </w:r>
    </w:p>
    <w:p>
      <w:pPr>
        <w:spacing w:after="0" w:line="42"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4"/>
          <w:szCs w:val="14"/>
          <w:color w:val="auto"/>
        </w:rPr>
        <w:t>4.20 %</w:t>
      </w:r>
      <w:r>
        <w:rPr>
          <w:sz w:val="20"/>
          <w:szCs w:val="20"/>
          <w:color w:val="auto"/>
        </w:rPr>
        <w:tab/>
      </w:r>
      <w:r>
        <w:rPr>
          <w:rFonts w:ascii="Times New Roman" w:cs="Times New Roman" w:eastAsia="Times New Roman" w:hAnsi="Times New Roman"/>
          <w:sz w:val="14"/>
          <w:szCs w:val="14"/>
          <w:color w:val="auto"/>
        </w:rPr>
        <w:t>3.47 %</w:t>
      </w:r>
    </w:p>
    <w:p>
      <w:pPr>
        <w:spacing w:after="0" w:line="285" w:lineRule="exact"/>
        <w:rPr>
          <w:sz w:val="20"/>
          <w:szCs w:val="20"/>
          <w:color w:val="auto"/>
        </w:rPr>
      </w:pPr>
    </w:p>
    <w:p>
      <w:pPr>
        <w:sectPr>
          <w:pgSz w:w="11900" w:h="16838" w:orient="portrait"/>
          <w:cols w:equalWidth="0" w:num="2">
            <w:col w:w="5940" w:space="700"/>
            <w:col w:w="4600"/>
          </w:cols>
          <w:pgMar w:left="320" w:top="886" w:right="339" w:bottom="1440" w:gutter="0" w:footer="0" w:header="0"/>
          <w:type w:val="continuous"/>
        </w:sect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derivatives instruments and other securities, net in the accompanying consolidated statements of operations.</w:t>
      </w:r>
    </w:p>
    <w:p>
      <w:pPr>
        <w:spacing w:after="0" w:line="13" w:lineRule="exact"/>
        <w:rPr>
          <w:rFonts w:ascii="Times New Roman" w:cs="Times New Roman" w:eastAsia="Times New Roman" w:hAnsi="Times New Roman"/>
          <w:sz w:val="14"/>
          <w:szCs w:val="14"/>
          <w:color w:val="auto"/>
        </w:rPr>
      </w:pPr>
    </w:p>
    <w:p>
      <w:pPr>
        <w:jc w:val="both"/>
        <w:ind w:left="660" w:hanging="328"/>
        <w:spacing w:after="0" w:line="256" w:lineRule="auto"/>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Implied interest income from TBA dollar roll transactions is computed as the sum of (i) TBA dollar roll income and (ii) estimated TBA implied funding cost (see </w:t>
      </w:r>
      <w:r>
        <w:rPr>
          <w:rFonts w:ascii="Times New Roman" w:cs="Times New Roman" w:eastAsia="Times New Roman" w:hAnsi="Times New Roman"/>
          <w:sz w:val="14"/>
          <w:szCs w:val="14"/>
          <w:i w:val="1"/>
          <w:iCs w:val="1"/>
          <w:color w:val="auto"/>
        </w:rPr>
        <w:t>Economic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Expense and Aggregate Cost of Funds </w:t>
      </w:r>
      <w:r>
        <w:rPr>
          <w:rFonts w:ascii="Times New Roman" w:cs="Times New Roman" w:eastAsia="Times New Roman" w:hAnsi="Times New Roman"/>
          <w:sz w:val="14"/>
          <w:szCs w:val="14"/>
          <w:color w:val="auto"/>
        </w:rPr>
        <w:t>below). TBA dollar roll income represents the price differential, or "price drop," between the TBA price for current month settlement versus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asset yield is calculated on a weighted average basis based on our average investment and TBA balances outstanding during the period and their respective yields.</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fixed rate mortgage rates are sourced from Optimal Blue. 10-year U.S. Treasury rates are sourced from Bloomberg.</w:t>
      </w:r>
    </w:p>
    <w:p>
      <w:pPr>
        <w:spacing w:after="0" w:line="155"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the three months ended March 31, 2024 compared to the prior year period (in millions):</w:t>
      </w:r>
    </w:p>
    <w:p>
      <w:pPr>
        <w:spacing w:after="0" w:line="1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 2024 vs. March 31,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r>
      <w:tr>
        <w:trPr>
          <w:trHeight w:val="137"/>
        </w:trPr>
        <w:tc>
          <w:tcPr>
            <w:tcW w:w="6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320" w:type="dxa"/>
            <w:vAlign w:val="bottom"/>
          </w:tcPr>
          <w:p>
            <w:pPr>
              <w:spacing w:after="0"/>
              <w:rPr>
                <w:sz w:val="11"/>
                <w:szCs w:val="11"/>
                <w:color w:val="auto"/>
              </w:rPr>
            </w:pPr>
          </w:p>
        </w:tc>
        <w:tc>
          <w:tcPr>
            <w:tcW w:w="1120" w:type="dxa"/>
            <w:vAlign w:val="bottom"/>
          </w:tcPr>
          <w:p>
            <w:pPr>
              <w:jc w:val="right"/>
              <w:ind w:right="488"/>
              <w:spacing w:after="0" w:line="137" w:lineRule="exact"/>
              <w:rPr>
                <w:sz w:val="20"/>
                <w:szCs w:val="20"/>
                <w:color w:val="auto"/>
              </w:rPr>
            </w:pPr>
            <w:r>
              <w:rPr>
                <w:rFonts w:ascii="Times New Roman" w:cs="Times New Roman" w:eastAsia="Times New Roman" w:hAnsi="Times New Roman"/>
                <w:sz w:val="14"/>
                <w:szCs w:val="14"/>
                <w:b w:val="1"/>
                <w:bCs w:val="1"/>
                <w:color w:val="auto"/>
              </w:rPr>
              <w:t>Asset</w:t>
            </w:r>
          </w:p>
        </w:tc>
      </w:tr>
      <w:tr>
        <w:trPr>
          <w:trHeight w:val="195"/>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Yield</w:t>
            </w:r>
          </w:p>
        </w:tc>
      </w:tr>
      <w:tr>
        <w:trPr>
          <w:trHeight w:val="201"/>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19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Estimated "catch-up" premium amortization due to change in CPR forecast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3"/>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96"/>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28"/>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average investment portfolio (at cost), inclusive of TBAs, decreased 4% for the three months ended March 31, 2024. The decline was primarily due to operating with lower "at risk" leverage, partly offset by a modest increase in our average stockholders' equity. The average yield on our investment portfolio, including TBA implied asset yields and excluding "catch-up" premium amortization, increased 66 basis points for the three months ended March 31, 2024 largely as a result of shifting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35" w:name="page36"/>
    <w:bookmarkEnd w:id="35"/>
    <w:p>
      <w:pPr>
        <w:ind w:right="1640"/>
        <w:spacing w:after="0" w:line="438" w:lineRule="auto"/>
        <w:rPr>
          <w:sz w:val="20"/>
          <w:szCs w:val="20"/>
          <w:color w:val="auto"/>
        </w:rPr>
      </w:pPr>
      <w:r>
        <w:rPr>
          <w:rFonts w:ascii="Times New Roman" w:cs="Times New Roman" w:eastAsia="Times New Roman" w:hAnsi="Times New Roman"/>
          <w:sz w:val="18"/>
          <w:szCs w:val="18"/>
          <w:color w:val="auto"/>
        </w:rPr>
        <w:t xml:space="preserve">our asset portfolio away from TBA and lower coupon holdings toward a greater share of higher coupon, high-quality specified pools. </w:t>
      </w:r>
      <w:r>
        <w:rPr>
          <w:rFonts w:ascii="Times New Roman" w:cs="Times New Roman" w:eastAsia="Times New Roman" w:hAnsi="Times New Roman"/>
          <w:sz w:val="18"/>
          <w:szCs w:val="18"/>
          <w:b w:val="1"/>
          <w:bCs w:val="1"/>
          <w:i w:val="1"/>
          <w:iCs w:val="1"/>
          <w:color w:val="auto"/>
        </w:rPr>
        <w:t>Leverage</w:t>
      </w:r>
    </w:p>
    <w:p>
      <w:pPr>
        <w:spacing w:after="0" w:line="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12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in this Form 10-Q for further discussion of TBA securities and dollar roll transactions). Repurchase agreements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short-term 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9"/>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Investment Securities Repurchase Agreements and</w:t>
            </w:r>
          </w:p>
        </w:tc>
        <w:tc>
          <w:tcPr>
            <w:tcW w:w="140" w:type="dxa"/>
            <w:vAlign w:val="bottom"/>
          </w:tcPr>
          <w:p>
            <w:pPr>
              <w:spacing w:after="0"/>
              <w:rPr>
                <w:sz w:val="12"/>
                <w:szCs w:val="12"/>
                <w:color w:val="auto"/>
              </w:rPr>
            </w:pPr>
          </w:p>
        </w:tc>
        <w:tc>
          <w:tcPr>
            <w:tcW w:w="1700" w:type="dxa"/>
            <w:vAlign w:val="bottom"/>
            <w:gridSpan w:val="4"/>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Net TBA Position</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Tangible Net Book</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Other Debt </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jc w:val="right"/>
              <w:ind w:right="472"/>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Long/(Short) </w:t>
            </w:r>
            <w:r>
              <w:rPr>
                <w:rFonts w:ascii="Times New Roman" w:cs="Times New Roman" w:eastAsia="Times New Roman" w:hAnsi="Times New Roman"/>
                <w:sz w:val="14"/>
                <w:szCs w:val="14"/>
                <w:b w:val="1"/>
                <w:bCs w:val="1"/>
                <w:color w:val="auto"/>
                <w:vertAlign w:val="superscript"/>
              </w:rPr>
              <w:t>2</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2"/>
            <w:vMerge w:val="restart"/>
          </w:tcPr>
          <w:p>
            <w:pPr>
              <w:jc w:val="center"/>
              <w:ind w:right="120"/>
              <w:spacing w:after="0" w:line="108" w:lineRule="exact"/>
              <w:rPr>
                <w:sz w:val="20"/>
                <w:szCs w:val="20"/>
                <w:color w:val="auto"/>
              </w:rPr>
            </w:pPr>
            <w:r>
              <w:rPr>
                <w:rFonts w:ascii="Times New Roman" w:cs="Times New Roman" w:eastAsia="Times New Roman" w:hAnsi="Times New Roman"/>
                <w:sz w:val="12"/>
                <w:szCs w:val="12"/>
                <w:b w:val="1"/>
                <w:bCs w:val="1"/>
                <w:color w:val="auto"/>
              </w:rPr>
              <w:t>Average Tangible Net</w:t>
            </w:r>
          </w:p>
        </w:tc>
        <w:tc>
          <w:tcPr>
            <w:tcW w:w="130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Value "At Risk"</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2"/>
              </w:rPr>
              <w:t>Book Value</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Leverage</w:t>
            </w:r>
          </w:p>
        </w:tc>
        <w:tc>
          <w:tcPr>
            <w:tcW w:w="0" w:type="dxa"/>
            <w:vAlign w:val="bottom"/>
          </w:tcPr>
          <w:p>
            <w:pPr>
              <w:spacing w:after="0"/>
              <w:rPr>
                <w:sz w:val="1"/>
                <w:szCs w:val="1"/>
                <w:color w:val="auto"/>
              </w:rPr>
            </w:pPr>
          </w:p>
        </w:tc>
      </w:tr>
      <w:tr>
        <w:trPr>
          <w:trHeight w:val="135"/>
        </w:trPr>
        <w:tc>
          <w:tcPr>
            <w:tcW w:w="3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9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Average Daily</w:t>
            </w: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4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Ending</w:t>
            </w:r>
          </w:p>
        </w:tc>
        <w:tc>
          <w:tcPr>
            <w:tcW w:w="9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Average Daily</w:t>
            </w:r>
          </w:p>
        </w:tc>
        <w:tc>
          <w:tcPr>
            <w:tcW w:w="160" w:type="dxa"/>
            <w:vAlign w:val="bottom"/>
          </w:tcPr>
          <w:p>
            <w:pPr>
              <w:spacing w:after="0"/>
              <w:rPr>
                <w:sz w:val="11"/>
                <w:szCs w:val="11"/>
                <w:color w:val="auto"/>
              </w:rPr>
            </w:pPr>
          </w:p>
        </w:tc>
        <w:tc>
          <w:tcPr>
            <w:tcW w:w="720" w:type="dxa"/>
            <w:vAlign w:val="bottom"/>
          </w:tcPr>
          <w:p>
            <w:pPr>
              <w:jc w:val="right"/>
              <w:ind w:right="192"/>
              <w:spacing w:after="0" w:line="135" w:lineRule="exact"/>
              <w:rPr>
                <w:sz w:val="20"/>
                <w:szCs w:val="20"/>
                <w:color w:val="auto"/>
              </w:rPr>
            </w:pPr>
            <w:r>
              <w:rPr>
                <w:rFonts w:ascii="Times New Roman" w:cs="Times New Roman" w:eastAsia="Times New Roman" w:hAnsi="Times New Roman"/>
                <w:sz w:val="13"/>
                <w:szCs w:val="13"/>
                <w:b w:val="1"/>
                <w:bCs w:val="1"/>
                <w:color w:val="auto"/>
              </w:rPr>
              <w:t>Ending</w:t>
            </w:r>
          </w:p>
        </w:tc>
        <w:tc>
          <w:tcPr>
            <w:tcW w:w="100" w:type="dxa"/>
            <w:vAlign w:val="bottom"/>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"At Risk" Leverage</w:t>
            </w:r>
          </w:p>
        </w:tc>
        <w:tc>
          <w:tcPr>
            <w:tcW w:w="13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as of</w:t>
            </w:r>
          </w:p>
        </w:tc>
        <w:tc>
          <w:tcPr>
            <w:tcW w:w="0" w:type="dxa"/>
            <w:vAlign w:val="bottom"/>
          </w:tcPr>
          <w:p>
            <w:pPr>
              <w:spacing w:after="0"/>
              <w:rPr>
                <w:sz w:val="1"/>
                <w:szCs w:val="1"/>
                <w:color w:val="auto"/>
              </w:rPr>
            </w:pPr>
          </w:p>
        </w:tc>
      </w:tr>
      <w:tr>
        <w:trPr>
          <w:trHeight w:val="176"/>
        </w:trPr>
        <w:tc>
          <w:tcPr>
            <w:tcW w:w="3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Daily Amount</w:t>
            </w:r>
          </w:p>
        </w:tc>
        <w:tc>
          <w:tcPr>
            <w:tcW w:w="14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5"/>
                <w:szCs w:val="15"/>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40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3"/>
                <w:szCs w:val="13"/>
                <w:b w:val="1"/>
                <w:bCs w:val="1"/>
                <w:color w:val="auto"/>
                <w:w w:val="97"/>
              </w:rPr>
              <w:t xml:space="preserve">during the Period </w:t>
            </w:r>
            <w:r>
              <w:rPr>
                <w:rFonts w:ascii="Times New Roman" w:cs="Times New Roman" w:eastAsia="Times New Roman" w:hAnsi="Times New Roman"/>
                <w:sz w:val="16"/>
                <w:szCs w:val="16"/>
                <w:b w:val="1"/>
                <w:bCs w:val="1"/>
                <w:color w:val="auto"/>
                <w:w w:val="97"/>
                <w:vertAlign w:val="superscript"/>
              </w:rPr>
              <w:t>3</w:t>
            </w:r>
          </w:p>
        </w:tc>
        <w:tc>
          <w:tcPr>
            <w:tcW w:w="1300" w:type="dxa"/>
            <w:vAlign w:val="bottom"/>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94"/>
              </w:rPr>
              <w:t xml:space="preserve">Period End </w:t>
            </w:r>
            <w:r>
              <w:rPr>
                <w:rFonts w:ascii="Times New Roman" w:cs="Times New Roman" w:eastAsia="Times New Roman" w:hAnsi="Times New Roman"/>
                <w:sz w:val="16"/>
                <w:szCs w:val="16"/>
                <w:b w:val="1"/>
                <w:bCs w:val="1"/>
                <w:color w:val="auto"/>
                <w:w w:val="94"/>
                <w:vertAlign w:val="superscript"/>
              </w:rPr>
              <w:t>4</w:t>
            </w:r>
          </w:p>
        </w:tc>
        <w:tc>
          <w:tcPr>
            <w:tcW w:w="0" w:type="dxa"/>
            <w:vAlign w:val="bottom"/>
          </w:tcPr>
          <w:p>
            <w:pPr>
              <w:spacing w:after="0"/>
              <w:rPr>
                <w:sz w:val="1"/>
                <w:szCs w:val="1"/>
                <w:color w:val="auto"/>
              </w:rPr>
            </w:pPr>
          </w:p>
        </w:tc>
      </w:tr>
      <w:tr>
        <w:trPr>
          <w:trHeight w:val="196"/>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49,894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6,190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8,405</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7.0:1</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19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47,548</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52,643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48,959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4,993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5,288</w:t>
            </w:r>
          </w:p>
        </w:tc>
        <w:tc>
          <w:tcPr>
            <w:tcW w:w="14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8"/>
              </w:rPr>
              <w:t>7.4:1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7.0:1</w:t>
            </w:r>
          </w:p>
        </w:tc>
        <w:tc>
          <w:tcPr>
            <w:tcW w:w="0" w:type="dxa"/>
            <w:vAlign w:val="bottom"/>
          </w:tcPr>
          <w:p>
            <w:pPr>
              <w:spacing w:after="0"/>
              <w:rPr>
                <w:sz w:val="1"/>
                <w:szCs w:val="1"/>
                <w:color w:val="auto"/>
              </w:rPr>
            </w:pPr>
          </w:p>
        </w:tc>
      </w:tr>
      <w:tr>
        <w:trPr>
          <w:trHeight w:val="21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2023</w:t>
            </w:r>
          </w:p>
        </w:tc>
        <w:tc>
          <w:tcPr>
            <w:tcW w:w="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42,919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17,851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10,385</w:t>
            </w:r>
          </w:p>
        </w:tc>
        <w:tc>
          <w:tcPr>
            <w:tcW w:w="140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8"/>
              </w:rPr>
              <w:t>7.7:1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debt includes debt of consolidated VIEs. Amounts exclude U.S. Treasury repo agreements.</w:t>
      </w:r>
    </w:p>
    <w:p>
      <w:pPr>
        <w:spacing w:after="0" w:line="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average and ending net TBA position outstanding measured at cost. Includes forward settling non-Agency securities.</w:t>
      </w:r>
    </w:p>
    <w:p>
      <w:pPr>
        <w:spacing w:after="0" w:line="11" w:lineRule="exact"/>
        <w:rPr>
          <w:rFonts w:ascii="Times New Roman" w:cs="Times New Roman" w:eastAsia="Times New Roman" w:hAnsi="Times New Roman"/>
          <w:sz w:val="14"/>
          <w:szCs w:val="14"/>
          <w:color w:val="auto"/>
        </w:rPr>
      </w:pPr>
    </w:p>
    <w:p>
      <w:pPr>
        <w:jc w:val="both"/>
        <w:ind w:left="660" w:hanging="328"/>
        <w:spacing w:after="0" w:line="283"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spacing w:after="0" w:line="146" w:lineRule="exact"/>
        <w:rPr>
          <w:rFonts w:ascii="Times New Roman" w:cs="Times New Roman" w:eastAsia="Times New Roman" w:hAnsi="Times New Roman"/>
          <w:sz w:val="14"/>
          <w:szCs w:val="14"/>
          <w:color w:val="auto"/>
        </w:rPr>
      </w:pPr>
    </w:p>
    <w:p>
      <w:pPr>
        <w:jc w:val="both"/>
        <w:ind w:left="660" w:hanging="328"/>
        <w:spacing w:after="0" w:line="262"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Expense and Aggregate Cost of Funds</w:t>
      </w:r>
    </w:p>
    <w:p>
      <w:pPr>
        <w:spacing w:after="0" w:line="175"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The following table summarizes our economic interest expense and aggregate cost of funds (non-GAAP measures) for the three months ended March 31, 2024 and 2023 (dollars in millions), which includes the combination of interest expense on repurchase agreements and other debt used to fund acquisitions of investment securities (GAAP measure), implied financing cost of our TBA securities and interest rate swap periodic income:</w:t>
      </w:r>
    </w:p>
    <w:p>
      <w:pPr>
        <w:spacing w:after="0" w:line="2"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1000" w:type="dxa"/>
        <w:tblCellMar>
          <w:top w:w="0" w:type="dxa"/>
          <w:left w:w="0" w:type="dxa"/>
          <w:bottom w:w="0" w:type="dxa"/>
          <w:right w:w="0" w:type="dxa"/>
        </w:tblCellMar>
      </w:tblPr>
      <w:tr>
        <w:trPr>
          <w:trHeight w:val="199"/>
        </w:trPr>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3"/>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3"/>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54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Economic Interest Expense and Aggregate Cost of Funds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Funds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Funds</w:t>
            </w:r>
          </w:p>
        </w:tc>
        <w:tc>
          <w:tcPr>
            <w:tcW w:w="0" w:type="dxa"/>
            <w:vAlign w:val="bottom"/>
          </w:tcPr>
          <w:p>
            <w:pPr>
              <w:spacing w:after="0"/>
              <w:rPr>
                <w:sz w:val="1"/>
                <w:szCs w:val="1"/>
                <w:color w:val="auto"/>
              </w:rPr>
            </w:pPr>
          </w:p>
        </w:tc>
      </w:tr>
      <w:tr>
        <w:trPr>
          <w:trHeight w:val="133"/>
        </w:trPr>
        <w:tc>
          <w:tcPr>
            <w:tcW w:w="536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Investment securities repurchase agreement and other debt - interest expense (GAAP</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5.45 %</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4.51 %</w:t>
            </w:r>
          </w:p>
        </w:tc>
        <w:tc>
          <w:tcPr>
            <w:tcW w:w="0" w:type="dxa"/>
            <w:vAlign w:val="bottom"/>
          </w:tcPr>
          <w:p>
            <w:pPr>
              <w:spacing w:after="0"/>
              <w:rPr>
                <w:sz w:val="1"/>
                <w:szCs w:val="1"/>
                <w:color w:val="auto"/>
              </w:rPr>
            </w:pPr>
          </w:p>
        </w:tc>
      </w:tr>
      <w:tr>
        <w:trPr>
          <w:trHeight w:val="198"/>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measure)</w:t>
            </w: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CCEEFF"/>
            </w:tcBorders>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TBA dollar roll income - implied interest expense </w:t>
            </w:r>
            <w:r>
              <w:rPr>
                <w:rFonts w:ascii="Times New Roman" w:cs="Times New Roman" w:eastAsia="Times New Roman" w:hAnsi="Times New Roman"/>
                <w:sz w:val="18"/>
                <w:szCs w:val="18"/>
                <w:color w:val="auto"/>
                <w:vertAlign w:val="superscript"/>
              </w:rPr>
              <w:t>2,3</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4.53 %</w:t>
            </w:r>
          </w:p>
        </w:tc>
        <w:tc>
          <w:tcPr>
            <w:tcW w:w="0" w:type="dxa"/>
            <w:vAlign w:val="bottom"/>
          </w:tcPr>
          <w:p>
            <w:pPr>
              <w:spacing w:after="0"/>
              <w:rPr>
                <w:sz w:val="1"/>
                <w:szCs w:val="1"/>
                <w:color w:val="auto"/>
              </w:rPr>
            </w:pPr>
          </w:p>
        </w:tc>
      </w:tr>
      <w:tr>
        <w:trPr>
          <w:trHeight w:val="196"/>
        </w:trPr>
        <w:tc>
          <w:tcPr>
            <w:tcW w:w="5480" w:type="dxa"/>
            <w:vAlign w:val="bottom"/>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4"/>
                <w:szCs w:val="14"/>
                <w:color w:val="auto"/>
              </w:rPr>
              <w:t xml:space="preserve">Economic interest expense - before interest rate swap periodic income, net </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4.52 %</w:t>
            </w:r>
          </w:p>
        </w:tc>
        <w:tc>
          <w:tcPr>
            <w:tcW w:w="0" w:type="dxa"/>
            <w:vAlign w:val="bottom"/>
          </w:tcPr>
          <w:p>
            <w:pPr>
              <w:spacing w:after="0"/>
              <w:rPr>
                <w:sz w:val="1"/>
                <w:szCs w:val="1"/>
                <w:color w:val="auto"/>
              </w:rPr>
            </w:pPr>
          </w:p>
        </w:tc>
      </w:tr>
      <w:tr>
        <w:trPr>
          <w:trHeight w:val="203"/>
        </w:trPr>
        <w:tc>
          <w:tcPr>
            <w:tcW w:w="5480" w:type="dxa"/>
            <w:vAlign w:val="bottom"/>
            <w:tcBorders>
              <w:bottom w:val="single" w:sz="8" w:color="CCEEFF"/>
            </w:tcBorders>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 periodic income, net </w:t>
            </w:r>
            <w:r>
              <w:rPr>
                <w:rFonts w:ascii="Times New Roman" w:cs="Times New Roman" w:eastAsia="Times New Roman" w:hAnsi="Times New Roman"/>
                <w:sz w:val="18"/>
                <w:szCs w:val="18"/>
                <w:color w:val="auto"/>
                <w:vertAlign w:val="superscript"/>
              </w:rPr>
              <w:t>2,5</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color w:val="auto"/>
                <w:w w:val="98"/>
              </w:rPr>
              <w:t>(504)</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economic interest expense (non-GAAP measure)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14" w:lineRule="exact"/>
        <w:rPr>
          <w:rFonts w:ascii="Times New Roman" w:cs="Times New Roman" w:eastAsia="Times New Roman" w:hAnsi="Times New Roman"/>
          <w:sz w:val="14"/>
          <w:szCs w:val="14"/>
          <w:color w:val="auto"/>
        </w:rPr>
      </w:pPr>
    </w:p>
    <w:p>
      <w:pPr>
        <w:jc w:val="both"/>
        <w:ind w:left="660" w:hanging="328"/>
        <w:spacing w:after="0" w:line="256"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Times New Roman" w:cs="Times New Roman" w:eastAsia="Times New Roman" w:hAnsi="Times New Roman"/>
          <w:sz w:val="14"/>
          <w:szCs w:val="14"/>
          <w:color w:val="auto"/>
        </w:rPr>
      </w:pPr>
    </w:p>
    <w:p>
      <w:pPr>
        <w:ind w:left="660" w:right="20" w:hanging="328"/>
        <w:spacing w:after="0" w:line="283"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cost of funds for total mortgage borrowings outstanding, before interest rate swap periodic income, is calculated on a weighted average basis based on average investment securities repurchase agreements, other debt and TBA securities outstanding during the period and their respective cost of funds.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6" w:name="page37"/>
    <w:bookmarkEnd w:id="36"/>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swap periodic income is measured as a percent of average mortgage borrowings outstanding for the period.</w:t>
      </w:r>
    </w:p>
    <w:p>
      <w:pPr>
        <w:spacing w:after="0" w:line="2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months ended March 31, 2024 compared to the prior year period (in millions):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33655</wp:posOffset>
            </wp:positionV>
            <wp:extent cx="70377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2024 vs. March 31, 2023</w:t>
      </w:r>
    </w:p>
    <w:p>
      <w:pPr>
        <w:spacing w:after="0" w:line="33"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6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r>
      <w:tr>
        <w:trPr>
          <w:trHeight w:val="135"/>
        </w:trPr>
        <w:tc>
          <w:tcPr>
            <w:tcW w:w="6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12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120" w:type="dxa"/>
            <w:vAlign w:val="bottom"/>
          </w:tcPr>
          <w:p>
            <w:pPr>
              <w:spacing w:after="0"/>
              <w:rPr>
                <w:sz w:val="11"/>
                <w:szCs w:val="11"/>
                <w:color w:val="auto"/>
              </w:rPr>
            </w:pPr>
          </w:p>
        </w:tc>
        <w:tc>
          <w:tcPr>
            <w:tcW w:w="1280" w:type="dxa"/>
            <w:vAlign w:val="bottom"/>
          </w:tcPr>
          <w:p>
            <w:pPr>
              <w:jc w:val="right"/>
              <w:ind w:right="88"/>
              <w:spacing w:after="0" w:line="135" w:lineRule="exact"/>
              <w:rPr>
                <w:sz w:val="20"/>
                <w:szCs w:val="20"/>
                <w:color w:val="auto"/>
              </w:rPr>
            </w:pPr>
            <w:r>
              <w:rPr>
                <w:rFonts w:ascii="Times New Roman" w:cs="Times New Roman" w:eastAsia="Times New Roman" w:hAnsi="Times New Roman"/>
                <w:sz w:val="14"/>
                <w:szCs w:val="14"/>
                <w:b w:val="1"/>
                <w:bCs w:val="1"/>
                <w:color w:val="auto"/>
              </w:rPr>
              <w:t>Borrowing / Swap</w:t>
            </w:r>
          </w:p>
        </w:tc>
      </w:tr>
      <w:tr>
        <w:trPr>
          <w:trHeight w:val="196"/>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7"/>
                <w:szCs w:val="17"/>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02"/>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repurchase agreement and other debt interest expense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w:t>
            </w:r>
          </w:p>
        </w:tc>
      </w:tr>
      <w:tr>
        <w:trPr>
          <w:trHeight w:val="195"/>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expense</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r>
      <w:tr>
        <w:trPr>
          <w:trHeight w:val="20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periodic income/cost</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change in economic interest expense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r>
      <w:tr>
        <w:trPr>
          <w:trHeight w:val="21"/>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average mortgage borrowings, inclusive of TBAs, decreased 5% for the three months ended March 31, 2024, consistent with the decline in our asset balance and lower operating leverage. The average interest rate on our mortgage borrowings, excluding the impact interest rate swap period income, increased 92 basis points for the three months ended March 31, 2024 due to higher short-term interest rates.</w:t>
      </w:r>
    </w:p>
    <w:p>
      <w:pPr>
        <w:spacing w:after="0" w:line="135" w:lineRule="exact"/>
        <w:rPr>
          <w:sz w:val="20"/>
          <w:szCs w:val="20"/>
          <w:color w:val="auto"/>
        </w:rPr>
      </w:pPr>
    </w:p>
    <w:p>
      <w:pPr>
        <w:jc w:val="both"/>
        <w:ind w:firstLine="445"/>
        <w:spacing w:after="0" w:line="260" w:lineRule="auto"/>
        <w:rPr>
          <w:sz w:val="20"/>
          <w:szCs w:val="20"/>
          <w:color w:val="auto"/>
        </w:rPr>
      </w:pPr>
      <w:r>
        <w:rPr>
          <w:rFonts w:ascii="Times New Roman" w:cs="Times New Roman" w:eastAsia="Times New Roman" w:hAnsi="Times New Roman"/>
          <w:sz w:val="18"/>
          <w:szCs w:val="18"/>
          <w:color w:val="auto"/>
        </w:rPr>
        <w:t>Interest rate swap periodic income increased for the three months ended March 31, 2024 due to higher receive rates on our pay-fixed swaps, partly offset by modestly higher pay rates and a smaller swap balance. The following is a summary of our average interest rate swaps outstanding and the related average swap pay and receive rates for the three months ended March 31, 2024 and 2023 (dollars in millions). Amounts exclude forward starting swaps not yet in effect.</w:t>
      </w:r>
    </w:p>
    <w:tbl>
      <w:tblPr>
        <w:tblLayout w:type="fixed"/>
        <w:tblInd w:w="620" w:type="dxa"/>
        <w:tblCellMar>
          <w:top w:w="0" w:type="dxa"/>
          <w:left w:w="0" w:type="dxa"/>
          <w:bottom w:w="0" w:type="dxa"/>
          <w:right w:w="0" w:type="dxa"/>
        </w:tblCellMar>
      </w:tblPr>
      <w:tr>
        <w:trPr>
          <w:trHeight w:val="150"/>
        </w:trPr>
        <w:tc>
          <w:tcPr>
            <w:tcW w:w="7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4"/>
          </w:tcPr>
          <w:p>
            <w:pPr>
              <w:jc w:val="right"/>
              <w:ind w:right="528"/>
              <w:spacing w:after="0" w:line="150"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7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96"/>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 Ratio of Interest Rate Swaps (Excluding Forward Starting Swaps) to Mortgage Borrowings Outstanding</w:t>
            </w:r>
          </w:p>
        </w:tc>
        <w:tc>
          <w:tcPr>
            <w:tcW w:w="28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repo and other debt outstanding</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48,730</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39,824</w:t>
            </w:r>
          </w:p>
        </w:tc>
      </w:tr>
      <w:tr>
        <w:trPr>
          <w:trHeight w:val="196"/>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net TBA dollar roll position outstanding - at cost</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6,190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17,851</w:t>
            </w:r>
          </w:p>
        </w:tc>
      </w:tr>
      <w:tr>
        <w:trPr>
          <w:trHeight w:val="20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mortgage borrowings outstanding</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54,920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57,675</w:t>
            </w:r>
          </w:p>
        </w:tc>
      </w:tr>
      <w:tr>
        <w:trPr>
          <w:trHeight w:val="196"/>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notional amount of interest rate swaps outstanding (excluding forward starting swaps), net</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43,903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49,243</w:t>
            </w:r>
          </w:p>
        </w:tc>
      </w:tr>
      <w:tr>
        <w:trPr>
          <w:trHeight w:val="228"/>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average interest rate swaps to mortgage borrowings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Average interest rate swap pay-fixed rate (excluding forward starting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-95885</wp:posOffset>
            </wp:positionV>
            <wp:extent cx="634365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43650" cy="128905"/>
                    </a:xfrm>
                    <a:prstGeom prst="rect">
                      <a:avLst/>
                    </a:prstGeom>
                    <a:noFill/>
                  </pic:spPr>
                </pic:pic>
              </a:graphicData>
            </a:graphic>
          </wp:anchor>
        </w:drawing>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Average interest rate swap receive-floating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32385</wp:posOffset>
            </wp:positionV>
            <wp:extent cx="634365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43650" cy="154305"/>
                    </a:xfrm>
                    <a:prstGeom prst="rect">
                      <a:avLst/>
                    </a:prstGeom>
                    <a:noFill/>
                  </pic:spPr>
                </pic:pic>
              </a:graphicData>
            </a:graphic>
          </wp:anchor>
        </w:drawing>
      </w:r>
    </w:p>
    <w:p>
      <w:pPr>
        <w:spacing w:after="0" w:line="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Average interest rate swap net pay/(receive) rate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0.84 %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(5.67)%</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57785</wp:posOffset>
            </wp:positionV>
            <wp:extent cx="762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4"/>
          <w:szCs w:val="14"/>
          <w:color w:val="auto"/>
        </w:rPr>
        <w:t>0.45 %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(4.54)%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57785</wp:posOffset>
            </wp:positionV>
            <wp:extent cx="7632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3">
            <w:col w:w="8100" w:space="720"/>
            <w:col w:w="580" w:space="720"/>
            <w:col w:w="1120"/>
          </w:cols>
          <w:pgMar w:left="320" w:top="886" w:right="339" w:bottom="1440" w:gutter="0" w:footer="0" w:header="0"/>
          <w:type w:val="continuous"/>
        </w:sectPr>
      </w:pPr>
    </w:p>
    <w:p>
      <w:pPr>
        <w:spacing w:after="0" w:line="1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we had an average forward starting net pay and (receive) fixed rate swap balance of $(0.4) billion and $101 million, respectively. Forward starting interest rate swaps do not impact our economic interest expense and aggregate cost of funds until they commence accruing net interest settlements on their forward start dates.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Spread</w:t>
      </w:r>
    </w:p>
    <w:p>
      <w:pPr>
        <w:spacing w:after="0" w:line="175"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presents a summary of our net interest spread (including the impact of TBA dollar roll income, interest rate swaps and excluding "catch-up" premium amortization) for the three months ended March 31, 2024 and 2023:</w:t>
      </w:r>
    </w:p>
    <w:tbl>
      <w:tblPr>
        <w:tblLayout w:type="fixed"/>
        <w:tblInd w:w="620" w:type="dxa"/>
        <w:tblCellMar>
          <w:top w:w="0" w:type="dxa"/>
          <w:left w:w="0" w:type="dxa"/>
          <w:bottom w:w="0" w:type="dxa"/>
          <w:right w:w="0" w:type="dxa"/>
        </w:tblCellMar>
      </w:tblPr>
      <w:tr>
        <w:trPr>
          <w:trHeight w:val="149"/>
        </w:trPr>
        <w:tc>
          <w:tcPr>
            <w:tcW w:w="7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7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96"/>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and TBA Securities - Net Interest Spread</w:t>
            </w:r>
          </w:p>
        </w:tc>
        <w:tc>
          <w:tcPr>
            <w:tcW w:w="12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asset yield</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3.90 %</w:t>
            </w:r>
          </w:p>
        </w:tc>
      </w:tr>
      <w:tr>
        <w:trPr>
          <w:trHeight w:val="196"/>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aggregate cost of funds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27"/>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interest spread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2.98 %</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2.88 %</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Net Spread and Dollar Roll Income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presents a reconciliation of net spread and dollar roll income available to common stockholders (non-GAAP measure) from comprehensive income (loss) available (attributable) to common stockholders (the most comparable GAAP financial measure) for the three months ended March 31, 2024 and 2023 (dollars in millions):</w:t>
      </w:r>
    </w:p>
    <w:p>
      <w:pPr>
        <w:spacing w:after="0" w:line="80"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77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 available (attributable) to common stockholders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 to exclude realized and unrealized (gains) losses reported through net income: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Realized loss on sale of investment securities,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r>
      <w:tr>
        <w:trPr>
          <w:trHeight w:val="195"/>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(gain) loss on investment securities measured at fair value through net income, net</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r>
      <w:tr>
        <w:trPr>
          <w:trHeight w:val="21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loss on derivative instruments and other securities,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544</w:t>
            </w:r>
          </w:p>
        </w:tc>
      </w:tr>
      <w:tr>
        <w:trPr>
          <w:trHeight w:val="19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 to exclude unrealized (gain) loss reported through other comprehensive income: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(gain) loss on available-for-sale securities measure at fair value through other comprehensive income,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9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Estimated "catch-up" premium amortization cost (benefit) due to change in CPR forecast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r>
      <w:tr>
        <w:trPr>
          <w:trHeight w:val="203"/>
        </w:trPr>
        <w:tc>
          <w:tcPr>
            <w:tcW w:w="770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TBA dollar roll income, net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r>
      <w:tr>
        <w:trPr>
          <w:trHeight w:val="203"/>
        </w:trPr>
        <w:tc>
          <w:tcPr>
            <w:tcW w:w="770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 periodic income, net </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504</w:t>
            </w:r>
          </w:p>
        </w:tc>
      </w:tr>
      <w:tr>
        <w:trPr>
          <w:trHeight w:val="203"/>
        </w:trPr>
        <w:tc>
          <w:tcPr>
            <w:tcW w:w="7700" w:type="dxa"/>
            <w:vAlign w:val="bottom"/>
            <w:tcBorders>
              <w:bottom w:val="single" w:sz="8" w:color="CCEEFF"/>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Other interest income (expense), net </w:t>
            </w:r>
            <w:r>
              <w:rPr>
                <w:rFonts w:ascii="Times New Roman" w:cs="Times New Roman" w:eastAsia="Times New Roman" w:hAnsi="Times New Roman"/>
                <w:sz w:val="18"/>
                <w:szCs w:val="18"/>
                <w:color w:val="auto"/>
                <w:vertAlign w:val="superscript"/>
              </w:rPr>
              <w:t>2,3</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21"/>
        </w:trPr>
        <w:tc>
          <w:tcPr>
            <w:tcW w:w="77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Net spread and dollar roll income available to common stockholders (non-GAAP measure) </w:t>
            </w:r>
            <w:r>
              <w:rPr>
                <w:rFonts w:ascii="Times New Roman" w:cs="Times New Roman" w:eastAsia="Times New Roman" w:hAnsi="Times New Roman"/>
                <w:sz w:val="18"/>
                <w:szCs w:val="18"/>
                <w:b w:val="1"/>
                <w:bCs w:val="1"/>
                <w:color w:val="auto"/>
                <w:vertAlign w:val="superscript"/>
              </w:rPr>
              <w:t>4</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408</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2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702.2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579.3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704.2</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580.5</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2"/>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basic</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diluted</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0.58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0.70</w:t>
            </w:r>
          </w:p>
        </w:tc>
      </w:tr>
      <w:tr>
        <w:trPr>
          <w:trHeight w:val="21"/>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interest income in our consolidated statements of comprehensive income.</w:t>
      </w:r>
    </w:p>
    <w:p>
      <w:pPr>
        <w:spacing w:after="0" w:line="1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14" w:lineRule="exact"/>
        <w:rPr>
          <w:rFonts w:ascii="Times New Roman" w:cs="Times New Roman" w:eastAsia="Times New Roman" w:hAnsi="Times New Roman"/>
          <w:sz w:val="14"/>
          <w:szCs w:val="14"/>
          <w:color w:val="auto"/>
        </w:rPr>
      </w:pPr>
    </w:p>
    <w:p>
      <w:pPr>
        <w:ind w:left="660" w:hanging="328"/>
        <w:spacing w:after="0" w:line="254" w:lineRule="auto"/>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interest income (expense), net includes interest income on cash and cash equivalents; price alignment interest income (expense) ("PAI") on interest rate swap margin deposits posted by or (to) the Company; and other miscellaneous interest income (expense).</w:t>
      </w:r>
    </w:p>
    <w:p>
      <w:pPr>
        <w:ind w:left="660" w:right="20" w:hanging="328"/>
        <w:spacing w:after="0" w:line="278" w:lineRule="auto"/>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December 31, 2023, this measure was referred to as "net spread and dollar roll income, excluding 'catch-up' premium amortization cost/benefit, per common share." Though it continues to exclude "catch-up" premium amortization cost/benefit, its title has been condensed to its revised title in the table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Investment Securities,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is a summary of our net gain (loss) on investment securities for the three months ended March 31, 2024 and 2023 (in millions):</w:t>
      </w:r>
    </w:p>
    <w:p>
      <w:pPr>
        <w:spacing w:after="0" w:line="8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r>
      <w:tr>
        <w:trPr>
          <w:trHeight w:val="203"/>
        </w:trPr>
        <w:tc>
          <w:tcPr>
            <w:tcW w:w="760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Gain (Loss) on Investment Securities, Net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7"/>
                <w:szCs w:val="17"/>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sale of investment securities, net</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(81)</w:t>
            </w:r>
          </w:p>
        </w:tc>
      </w:tr>
      <w:tr>
        <w:trPr>
          <w:trHeight w:val="203"/>
        </w:trPr>
        <w:tc>
          <w:tcPr>
            <w:tcW w:w="760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Unrealized (loss) gain on investment securities measured at fair value through net income, net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594</w:t>
            </w:r>
          </w:p>
        </w:tc>
      </w:tr>
      <w:tr>
        <w:trPr>
          <w:trHeight w:val="19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gain on investment securities measured at fair value through other comprehensive income, net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142</w:t>
            </w:r>
          </w:p>
        </w:tc>
      </w:tr>
      <w:tr>
        <w:trPr>
          <w:trHeight w:val="202"/>
        </w:trPr>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loss on investment securities, net</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655</w:t>
            </w:r>
          </w:p>
        </w:tc>
      </w:tr>
      <w:tr>
        <w:trPr>
          <w:trHeight w:val="21"/>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securities acquired after fiscal year 2016 are measured at fair value through net income (see Note 2 of our Consolidated Financial Statements in this Form 10-Q).</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Derivative Instruments and Other Securities, Net</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gain (loss) on derivative instruments and other securities, net for the three months ended March 31, 2024 and 2023 (in millions):</w:t>
      </w:r>
    </w:p>
    <w:p>
      <w:pPr>
        <w:spacing w:after="0" w:line="88"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74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TBA securities, dollar roll income</w:t>
            </w:r>
          </w:p>
        </w:tc>
        <w:tc>
          <w:tcPr>
            <w:tcW w:w="78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5"/>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TBA securities, mark-to-market loss</w:t>
            </w:r>
          </w:p>
        </w:tc>
        <w:tc>
          <w:tcPr>
            <w:tcW w:w="7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periodic income (cost)</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195"/>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mark-to-market gain (loss)</w:t>
            </w:r>
          </w:p>
        </w:tc>
        <w:tc>
          <w:tcPr>
            <w:tcW w:w="7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default swaps - buy protection</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5"/>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Payer swaptions</w:t>
            </w:r>
          </w:p>
        </w:tc>
        <w:tc>
          <w:tcPr>
            <w:tcW w:w="7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 - short position</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95"/>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 - long position</w:t>
            </w:r>
          </w:p>
        </w:tc>
        <w:tc>
          <w:tcPr>
            <w:tcW w:w="7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futures contracts - short position</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195"/>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 futures contracts - long position</w:t>
            </w:r>
          </w:p>
        </w:tc>
        <w:tc>
          <w:tcPr>
            <w:tcW w:w="7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interest income (expense), net</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6"/>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gain (loss), net</w:t>
            </w: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gain (loss) on derivative instruments and other securities, net</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use of derivative instruments and related activity refer to Notes 2 and 5 of our Consolidated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most recent Annual Report on Form 10-K and Item</w:t>
      </w:r>
    </w:p>
    <w:p>
      <w:pPr>
        <w:spacing w:after="0" w:line="5" w:lineRule="exact"/>
        <w:rPr>
          <w:sz w:val="20"/>
          <w:szCs w:val="20"/>
          <w:color w:val="auto"/>
        </w:rPr>
      </w:pPr>
    </w:p>
    <w:p>
      <w:pPr>
        <w:jc w:val="both"/>
        <w:ind w:firstLine="8"/>
        <w:spacing w:after="0" w:line="255"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Quantitative and Qualitative Disclosures of Market Risks </w:t>
      </w:r>
      <w:r>
        <w:rPr>
          <w:rFonts w:ascii="Times New Roman" w:cs="Times New Roman" w:eastAsia="Times New Roman" w:hAnsi="Times New Roman"/>
          <w:sz w:val="18"/>
          <w:szCs w:val="18"/>
          <w:color w:val="auto"/>
        </w:rPr>
        <w:t>in this Form 10-Q. In assessing our liquidity, we consider a number of factors,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and Financing Sources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7.1x and 7.0x as of March 31, 2024 and December 31, 2023, respectively. The following table includes a summary of our mortgage borrowings outstanding as of March 31, 2024 and December 31, 2023 (dollars in millions). For additional details of our mortgage borrowings refer to Notes 2, 4 and 5 to our Consolidated Financial Statements in this Form 10-Q.</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Mortgage Borrowings</w:t>
            </w: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02"/>
        </w:trPr>
        <w:tc>
          <w:tcPr>
            <w:tcW w:w="5680" w:type="dxa"/>
            <w:vAlign w:val="bottom"/>
            <w:tcBorders>
              <w:top w:val="single" w:sz="8" w:color="auto"/>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Investment securities repurchase agreements </w:t>
            </w:r>
            <w:r>
              <w:rPr>
                <w:rFonts w:ascii="Times New Roman" w:cs="Times New Roman" w:eastAsia="Times New Roman" w:hAnsi="Times New Roman"/>
                <w:sz w:val="18"/>
                <w:szCs w:val="18"/>
                <w:color w:val="auto"/>
                <w:vertAlign w:val="superscript"/>
              </w:rPr>
              <w:t>1,2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48,140</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48,879</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19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 of consolidated variable interest entities, at fair value</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48,216</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48,959</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and forward settling non-Agency securities, at cost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8,405</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28"/>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 borrowings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56,621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54,247</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3" w:lineRule="exact"/>
        <w:rPr>
          <w:sz w:val="20"/>
          <w:szCs w:val="20"/>
          <w:color w:val="auto"/>
        </w:rPr>
      </w:pPr>
    </w:p>
    <w:p>
      <w:pPr>
        <w:ind w:left="660" w:hanging="328"/>
        <w:spacing w:after="0" w:line="260" w:lineRule="auto"/>
        <w:tabs>
          <w:tab w:leader="none" w:pos="658" w:val="left"/>
        </w:tabs>
        <w:numPr>
          <w:ilvl w:val="0"/>
          <w:numId w:val="34"/>
        </w:numPr>
        <w:rPr>
          <w:rFonts w:ascii="Arial" w:cs="Arial" w:eastAsia="Arial" w:hAnsi="Arial"/>
          <w:sz w:val="14"/>
          <w:szCs w:val="14"/>
          <w:color w:val="auto"/>
        </w:rPr>
      </w:pPr>
      <w:r>
        <w:rPr>
          <w:rFonts w:ascii="Times New Roman" w:cs="Times New Roman" w:eastAsia="Times New Roman" w:hAnsi="Times New Roman"/>
          <w:sz w:val="14"/>
          <w:szCs w:val="14"/>
          <w:color w:val="auto"/>
        </w:rPr>
        <w:t xml:space="preserve">Includes Agency RMBS, CRT and non-Agency MBS repurchase agreements. </w:t>
      </w:r>
      <w:r>
        <w:rPr>
          <w:rFonts w:ascii="Arial" w:cs="Arial" w:eastAsia="Arial" w:hAnsi="Arial"/>
          <w:sz w:val="14"/>
          <w:szCs w:val="14"/>
          <w:color w:val="auto"/>
        </w:rPr>
        <w:t>E</w:t>
      </w:r>
      <w:r>
        <w:rPr>
          <w:rFonts w:ascii="Times New Roman" w:cs="Times New Roman" w:eastAsia="Times New Roman" w:hAnsi="Times New Roman"/>
          <w:sz w:val="14"/>
          <w:szCs w:val="14"/>
          <w:color w:val="auto"/>
        </w:rPr>
        <w:t>xcludes U.S. Treasury repurchase agreements totaling $1.8 billion and $1.5 billion as of March 31, 2024 and December 31, 2023, respectively.</w:t>
      </w:r>
    </w:p>
    <w:p>
      <w:pPr>
        <w:ind w:left="660" w:hanging="328"/>
        <w:spacing w:after="0" w:line="283" w:lineRule="auto"/>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and December 31, 2023, 42% and 43%, respectively, of our total repurchase agreements, including 43% and 45% or our investment securities repurchase agreements, respectively, were funded through the Fixed Income Clearing Corporation's GCF Repo service.</w:t>
      </w:r>
    </w:p>
    <w:p>
      <w:pPr>
        <w:spacing w:after="0" w:line="11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suitable maturity profile and utilization of interest rate hedging strategies. We also use TBA dollar roll transactions as a means of synthetically financing Agency RMBS.</w:t>
      </w:r>
    </w:p>
    <w:p>
      <w:pPr>
        <w:spacing w:after="0" w:line="13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terms and conditions of our repurchase agreements are determined on a transaction-by-transaction basis when each such borrowing is initiated or renewed and, in the case of GCF Repo, by the prevailing margin requirements calculated by the FICC, which acts as the central counterparty. The amount borrowed is generally equal to the fair value of the securities pledged, as determined by the lending counterparty, less an assessed discount, referred to as a "haircut," that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3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Requirements and Unencumbered Assets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2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March 31, 2024, we had met all our margin requirements.</w:t>
      </w:r>
    </w:p>
    <w:p>
      <w:pPr>
        <w:spacing w:after="0" w:line="13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March 31, 2024, approximately 13% of our investment portfolio consisted of TBA securities, which are not subject to monthly principal pay-downs. The remainder of our portfolio primarily consisted of Agency RMBS, which had an average one-year CPR forecast of 8%.</w:t>
      </w:r>
    </w:p>
    <w:p>
      <w:pPr>
        <w:spacing w:after="0" w:line="14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3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Haircut levels and minimum margin requirements imposed by our counterparties reduce the amount of our unencumbered assets and limit the amount we can borrow against our investment securities. During the three months ended March 31, 2024, haircuts on our repo funding arrangements remained stable. As of March 31, 2024, the weighted average haircut on our repurchase agreements was approximately 3.0% of the value of our collateral, compared to 3.1% as of December 31, 2023.</w:t>
      </w:r>
    </w:p>
    <w:p>
      <w:pPr>
        <w:spacing w:after="0" w:line="12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To mitigate the risk of margins calls, we seek to maintain excess liquidity by holding unencumbered liquid assets that can be used to satisfy collateral requirements, collateralize additional borrowings or sold for cash. As of March 31, 2024, our unencumbered assets totaled approximately $5.4 billion, or 68% of tangible equity, consisting of $5.4 billion of unencumbered cash and Agency RMBS and $0.1 billion of unencumbered credit assets. This compares to $5.2 billion of unencumbered assets, or 67% of tangible equity, as of December 31, 2023, consisting of $5.1 billion of unencumbered cash and Agency RMBS and $0.1 billion of unencumbered credit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1" w:name="page42"/>
    <w:bookmarkEnd w:id="41"/>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March 31, 2024, our maximum amount at risk (or the excess/shortfall of the value of collateral pledged/received over our repurchase agreement liabilities/reverse repurchase agreement receivables) with any of our repurchase agreement counterparties, excluding the FICC, was less than 3% of our tangible stockholders' equity, with our top five repo counterparties, excluding the FICC, representing approximately 6% of our tangible stockholders' equity. As of March 31, 2024, 5% of our tangible stockholder's equity was at risk with the FICC. Excluding central clearing exchanges, as of March 31, 2024, our amount at risk with any counterparty to our derivative agreements was less than 1% of our stockholders'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Sales</w:t>
      </w:r>
    </w:p>
    <w:p>
      <w:pPr>
        <w:spacing w:after="0" w:line="1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 w:cs="Times New Roman" w:eastAsia="Times New Roman" w:hAnsi="Times New Roman"/>
          <w:sz w:val="18"/>
          <w:szCs w:val="18"/>
          <w:i w:val="1"/>
          <w:iCs w:val="1"/>
          <w:color w:val="auto"/>
        </w:rPr>
        <w:t>Trends and Recent Market Impacts</w:t>
      </w:r>
      <w:r>
        <w:rPr>
          <w:rFonts w:ascii="Times New Roman" w:cs="Times New Roman" w:eastAsia="Times New Roman" w:hAnsi="Times New Roman"/>
          <w:sz w:val="18"/>
          <w:szCs w:val="18"/>
          <w:color w:val="auto"/>
        </w:rPr>
        <w:t xml:space="preserve"> of this Management Discussion and Analysis for further information regarding Agency RMBS and TBA market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Furthermore, when the trading price of our common stock is less than our then-current estimate of our tangible net book value per common share, among other conditions, we may repurchase shares of our common stock pursuant to the stock repurchase plan authorized by our Board of Directors, which has $1 billion in remaining capacity and expires on December 31, 2024. Please refer to Note 9 of our Consolidated Financial Statements in this Form 10-Q for further details regarding our recent equity capital transactions, if 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March 31, 2024, we had not guaranteed obligations of unconsolidated entities or entered into a commitment or intent to provide funding to such entities.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Forward-looking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68" w:lineRule="exact"/>
        <w:rPr>
          <w:sz w:val="20"/>
          <w:szCs w:val="20"/>
          <w:color w:val="auto"/>
        </w:rPr>
      </w:pPr>
    </w:p>
    <w:p>
      <w:pPr>
        <w:ind w:left="660" w:hanging="247"/>
        <w:spacing w:after="0" w:line="28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monetary policy or interest rates, including actions taken by the Federal Reserve to normalize monetary policy and to reduce the size of its U.S. Treasury and Agency RMBS bond portfolio;</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yield curve;</w:t>
      </w:r>
    </w:p>
    <w:p>
      <w:pPr>
        <w:spacing w:after="0" w:line="27" w:lineRule="exact"/>
        <w:rPr>
          <w:rFonts w:ascii="Times New Roman" w:cs="Times New Roman" w:eastAsia="Times New Roman" w:hAnsi="Times New Roman"/>
          <w:sz w:val="18"/>
          <w:szCs w:val="18"/>
          <w:color w:val="auto"/>
        </w:rPr>
      </w:pPr>
    </w:p>
    <w:p>
      <w:pPr>
        <w:ind w:left="660" w:hanging="247"/>
        <w:spacing w:after="0" w:line="230" w:lineRule="auto"/>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the level, degree and extent of volatility in interest rates or the yield on our assets relative to interest rate benchmarks;</w:t>
      </w:r>
    </w:p>
    <w:p>
      <w:pPr>
        <w:spacing w:after="0" w:line="36" w:lineRule="exact"/>
        <w:rPr>
          <w:rFonts w:ascii="Arial" w:cs="Arial" w:eastAsia="Arial" w:hAnsi="Arial"/>
          <w:sz w:val="22"/>
          <w:szCs w:val="22"/>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mortgage prepayment rates on the loans underlying our Agency RMBS;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financing and our hedge positions;</w:t>
      </w:r>
    </w:p>
    <w:p>
      <w:pPr>
        <w:spacing w:after="0" w:line="63"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value of our assets, including from changes in net interest spreads, market liquidity or depth, and changes in our "at risk" leverage or hedge positions;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2" w:name="page43"/>
    <w:bookmarkEnd w:id="42"/>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mitigation strategies;</w:t>
      </w:r>
    </w:p>
    <w:p>
      <w:pPr>
        <w:spacing w:after="0" w:line="15" w:lineRule="exact"/>
        <w:rPr>
          <w:rFonts w:ascii="Times New Roman" w:cs="Times New Roman" w:eastAsia="Times New Roman" w:hAnsi="Times New Roman"/>
          <w:sz w:val="18"/>
          <w:szCs w:val="18"/>
          <w:color w:val="auto"/>
        </w:rPr>
      </w:pPr>
    </w:p>
    <w:p>
      <w:pPr>
        <w:ind w:left="660" w:right="100" w:hanging="247"/>
        <w:spacing w:after="0" w:line="243"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market for Agency RMBS and other mortgage securities, including changes in the available supply of such securities or investor appetite therefor;</w:t>
      </w:r>
    </w:p>
    <w:p>
      <w:pPr>
        <w:spacing w:after="0" w:line="3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federal, state, or local governments that affect the economy, the housing sector or financial markets;</w:t>
      </w:r>
    </w:p>
    <w:p>
      <w:pPr>
        <w:spacing w:after="0" w:line="63" w:lineRule="exact"/>
        <w:rPr>
          <w:rFonts w:ascii="Times New Roman" w:cs="Times New Roman" w:eastAsia="Times New Roman" w:hAnsi="Times New Roman"/>
          <w:sz w:val="18"/>
          <w:szCs w:val="18"/>
          <w:color w:val="auto"/>
        </w:rPr>
      </w:pPr>
    </w:p>
    <w:p>
      <w:pPr>
        <w:jc w:val="both"/>
        <w:ind w:left="660" w:hanging="247"/>
        <w:spacing w:after="0" w:line="25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effects of geopolitical events, including war, terrorism, civil discord, embargos, trade or other disputes, or natural disasters, on conditions in the markets for Agency RMBS or other mortgage securities, the terms or availability of funding for our business, or our ongoing business operations;</w:t>
      </w:r>
    </w:p>
    <w:p>
      <w:pPr>
        <w:spacing w:after="0" w:line="2"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personnel, operational resources, information technology and other systems to conduct our operations;</w:t>
      </w:r>
    </w:p>
    <w:p>
      <w:pPr>
        <w:spacing w:after="0" w:line="4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regulations, rules or policies that affect U.S. housing finance activity, the GSE's or the markets for Agency RMBS; and</w:t>
      </w:r>
    </w:p>
    <w:p>
      <w:pPr>
        <w:spacing w:after="0" w:line="63"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that affect our status as a REIT, our exemption from the Investment Company Act of 1940 or the mortgage markets in which we participate.</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our most recent Annual Report on Form 10-K and Part II of this Form 10-Q. We caution readers not to place undue reliance on our forward-looking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3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3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 Our estimated duration gap, which is a measure of the difference between the interest rate sensitivity of our assets and our liabilities, inclusive of interest rate hedges, was 0.2 years as of March 31, 2024, compared to -0.5 years as of December 31,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3" w:name="page44"/>
    <w:bookmarkEnd w:id="43"/>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table below quantifies the estimated changes in the fair value of our investment portfolio (including derivatives and other securities used for hedging purposes) and in our tangible net book value per common share as of March 31, 2024 and December 31, 2023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March 31, 2024 and December 31, 2023.</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1,2</w:t>
      </w:r>
    </w:p>
    <w:p>
      <w:pPr>
        <w:spacing w:after="0" w:line="10" w:lineRule="exact"/>
        <w:rPr>
          <w:sz w:val="20"/>
          <w:szCs w:val="20"/>
          <w:color w:val="auto"/>
        </w:rPr>
      </w:pPr>
    </w:p>
    <w:tbl>
      <w:tblPr>
        <w:tblLayout w:type="fixed"/>
        <w:tblInd w:w="1240" w:type="dxa"/>
        <w:tblCellMar>
          <w:top w:w="0" w:type="dxa"/>
          <w:left w:w="0" w:type="dxa"/>
          <w:bottom w:w="0" w:type="dxa"/>
          <w:right w:w="0" w:type="dxa"/>
        </w:tblCellMar>
      </w:tblPr>
      <w:tr>
        <w:trPr>
          <w:trHeight w:val="193"/>
        </w:trPr>
        <w:tc>
          <w:tcPr>
            <w:tcW w:w="2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780" w:type="dxa"/>
            <w:vAlign w:val="bottom"/>
            <w:tcBorders>
              <w:top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16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 in</w:t>
            </w:r>
          </w:p>
        </w:tc>
        <w:tc>
          <w:tcPr>
            <w:tcW w:w="13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14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0" w:type="dxa"/>
            <w:vAlign w:val="bottom"/>
          </w:tcPr>
          <w:p>
            <w:pPr>
              <w:spacing w:after="0"/>
              <w:rPr>
                <w:sz w:val="1"/>
                <w:szCs w:val="1"/>
                <w:color w:val="auto"/>
              </w:rPr>
            </w:pPr>
          </w:p>
        </w:tc>
      </w:tr>
      <w:tr>
        <w:trPr>
          <w:trHeight w:val="137"/>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4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48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14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Portfolio Market</w:t>
            </w: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0" w:type="dxa"/>
            <w:vAlign w:val="bottom"/>
          </w:tcPr>
          <w:p>
            <w:pPr>
              <w:spacing w:after="0"/>
              <w:rPr>
                <w:sz w:val="1"/>
                <w:szCs w:val="1"/>
                <w:color w:val="auto"/>
              </w:rPr>
            </w:pPr>
          </w:p>
        </w:tc>
      </w:tr>
      <w:tr>
        <w:trPr>
          <w:trHeight w:val="190"/>
        </w:trPr>
        <w:tc>
          <w:tcPr>
            <w:tcW w:w="310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3"/>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8"/>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right="20" w:hanging="328"/>
        <w:spacing w:after="0" w:line="259" w:lineRule="auto"/>
        <w:tabs>
          <w:tab w:leader="none" w:pos="6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assumes there are no changes in mortgage spreads and assumes a static portfolio. Actual results could differ materially from these estimates.</w:t>
      </w:r>
    </w:p>
    <w:p>
      <w:pPr>
        <w:ind w:left="660" w:hanging="328"/>
        <w:spacing w:after="0"/>
        <w:tabs>
          <w:tab w:leader="none" w:pos="6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 Interest rates are assumed to be floored at 0% in down rate scenarios.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Risk and Extension Risk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our investment securities (excluding TBAs) had a weighted average projected CPR of 10.4% and 11.4%, respectively, and a weighted average yield of 4.52% and 4.41%,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w:t>
      </w:r>
    </w:p>
    <w:p>
      <w:pPr>
        <w:spacing w:after="0" w:line="10" w:lineRule="exact"/>
        <w:rPr>
          <w:sz w:val="20"/>
          <w:szCs w:val="20"/>
          <w:color w:val="auto"/>
        </w:rPr>
      </w:pPr>
    </w:p>
    <w:tbl>
      <w:tblPr>
        <w:tblLayout w:type="fixed"/>
        <w:tblInd w:w="1280" w:type="dxa"/>
        <w:tblCellMar>
          <w:top w:w="0" w:type="dxa"/>
          <w:left w:w="0" w:type="dxa"/>
          <w:bottom w:w="0" w:type="dxa"/>
          <w:right w:w="0" w:type="dxa"/>
        </w:tblCellMar>
      </w:tblPr>
      <w:tr>
        <w:trPr>
          <w:trHeight w:val="193"/>
        </w:trPr>
        <w:tc>
          <w:tcPr>
            <w:tcW w:w="3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80" w:type="dxa"/>
            <w:vAlign w:val="bottom"/>
            <w:tcBorders>
              <w:top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1"/>
        </w:trPr>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400" w:type="dxa"/>
            <w:vAlign w:val="bottom"/>
            <w:tcBorders>
              <w:top w:val="single" w:sz="8" w:color="auto"/>
            </w:tcBorders>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3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03"/>
        </w:trPr>
        <w:tc>
          <w:tcPr>
            <w:tcW w:w="3180" w:type="dxa"/>
            <w:vAlign w:val="bottom"/>
            <w:gridSpan w:val="2"/>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44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Asset Yield </w:t>
            </w:r>
            <w:r>
              <w:rPr>
                <w:rFonts w:ascii="Times New Roman" w:cs="Times New Roman" w:eastAsia="Times New Roman" w:hAnsi="Times New Roman"/>
                <w:sz w:val="18"/>
                <w:szCs w:val="18"/>
                <w:b w:val="1"/>
                <w:bCs w:val="1"/>
                <w:color w:val="auto"/>
                <w:w w:val="98"/>
                <w:vertAlign w:val="superscript"/>
              </w:rPr>
              <w:t>2</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3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Asset Yield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96"/>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4.42%</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17.8%</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9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4.46%</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15.4%</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4.49%</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95"/>
        </w:trPr>
        <w:tc>
          <w:tcPr>
            <w:tcW w:w="3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Actual as of Period 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4.52%</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11.4%</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9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4.57%</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4.58%</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and assumes a static portfolio. Actual results could differ materially from these estimates. Table excludes TBA securities.</w:t>
      </w:r>
    </w:p>
    <w:p>
      <w:pPr>
        <w:ind w:left="660" w:hanging="328"/>
        <w:spacing w:after="0"/>
        <w:tabs>
          <w:tab w:leader="none" w:pos="6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yield based on historical cost basis and does not include the impact of retroactive "catch-up" premium amortization adjustments due to changes in projected CPR.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Spread Risk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March 31, 2024 and December 31, 2023 should spreads widen or tighten by 10, 25 and 50 basis points. The estimated impact of changes in spreads is in addition to our interest rate shock sensitivity included in the interest rate shock table above. The table below assumes a spread duration of 4.8 and 4.7 years as of March 31, 2024 and December 31, 2023,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Spread Sensitivity </w:t>
      </w:r>
      <w:r>
        <w:rPr>
          <w:rFonts w:ascii="Times New Roman" w:cs="Times New Roman" w:eastAsia="Times New Roman" w:hAnsi="Times New Roman"/>
          <w:sz w:val="18"/>
          <w:szCs w:val="18"/>
          <w:b w:val="1"/>
          <w:bCs w:val="1"/>
          <w:color w:val="auto"/>
          <w:vertAlign w:val="superscript"/>
        </w:rPr>
        <w:t>1,2</w:t>
      </w:r>
    </w:p>
    <w:p>
      <w:pPr>
        <w:spacing w:after="0" w:line="10" w:lineRule="exact"/>
        <w:rPr>
          <w:sz w:val="20"/>
          <w:szCs w:val="20"/>
          <w:color w:val="auto"/>
        </w:rPr>
      </w:pPr>
    </w:p>
    <w:tbl>
      <w:tblPr>
        <w:tblLayout w:type="fixed"/>
        <w:tblInd w:w="1240" w:type="dxa"/>
        <w:tblCellMar>
          <w:top w:w="0" w:type="dxa"/>
          <w:left w:w="0" w:type="dxa"/>
          <w:bottom w:w="0" w:type="dxa"/>
          <w:right w:w="0" w:type="dxa"/>
        </w:tblCellMar>
      </w:tblPr>
      <w:tr>
        <w:trPr>
          <w:trHeight w:val="193"/>
        </w:trPr>
        <w:tc>
          <w:tcPr>
            <w:tcW w:w="3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720" w:type="dxa"/>
            <w:vAlign w:val="bottom"/>
            <w:tcBorders>
              <w:top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2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2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1400" w:type="dxa"/>
            <w:vAlign w:val="bottom"/>
            <w:gridSpan w:val="2"/>
            <w:vMerge w:val="continue"/>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MBS Spread</w:t>
            </w: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4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0" w:type="dxa"/>
            <w:vAlign w:val="bottom"/>
          </w:tcPr>
          <w:p>
            <w:pPr>
              <w:spacing w:after="0"/>
              <w:rPr>
                <w:sz w:val="1"/>
                <w:szCs w:val="1"/>
                <w:color w:val="auto"/>
              </w:rPr>
            </w:pPr>
          </w:p>
        </w:tc>
      </w:tr>
      <w:tr>
        <w:trPr>
          <w:trHeight w:val="196"/>
        </w:trPr>
        <w:tc>
          <w:tcPr>
            <w:tcW w:w="3160" w:type="dxa"/>
            <w:vAlign w:val="bottom"/>
            <w:gridSpan w:val="2"/>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2"/>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+23.7%</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+23.1%</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+11.9%</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+11.6%</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-11.9%</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-23.7%</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Spread sensitivity is derived from models that are dependent on inputs and assumptions, assumes there are no changes in interest rates and assumes a static portfolio. Actual results could differ materially from these estimates.</w:t>
      </w:r>
    </w:p>
    <w:p>
      <w:pPr>
        <w:ind w:left="660" w:hanging="328"/>
        <w:spacing w:after="0"/>
        <w:tabs>
          <w:tab w:leader="none" w:pos="6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75"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Our liquidity risk principally arises from financing long-term fixed rate assets with shorter-term variable rate borrowings. Future borrowings are dependent upon the willingness of lenders to finance our investments, lender collateral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5" w:name="page46"/>
    <w:bookmarkEnd w:id="4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requirements and the lenders’ determination of the fair value of the securities pledged as collateral, which fluctuates with changes in interest rates and liquidity conditions within the commercial banking and mortgage finance industries.</w:t>
      </w:r>
    </w:p>
    <w:p>
      <w:pPr>
        <w:spacing w:after="0" w:line="10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As of March 31, 2024, we believe that we have sufficient liquidity and capital resources available to execute our business strategy (see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in this Form 10-Q for additional details). However, should the value of our collateral or the value of our derivative instruments suddenly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2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March 31, 2024, our maximum amount at risk with any counterparty related to our repurchase agreements and derivative agreements was less than 3% and 1%, respectively, of tangible stockholders' equity.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including our Chief Executive Officer and Chief Financial Officer, evaluated the effectiveness of the design and operation of our disclosure controls and procedures as of March 31, 2024. Based on the foregoing, our Chief Executive Officer and Chief Financial Officer concluded that our disclosure controls and procedures were effective.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none of our directors or officers (as defined in Rule 16a-1(f) of the Exchange Act) informed us of the adoption or termination of a "Rule 10b5-1 trading arrangement" or "non-Rule 10b5-1 trading arrangement," as those terms are defined in Regulation S-K, Item 408.</w:t>
      </w:r>
    </w:p>
    <w:p>
      <w:pPr>
        <w:spacing w:after="0" w:line="6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 Index</w:t>
      </w:r>
    </w:p>
    <w:p>
      <w:pPr>
        <w:spacing w:after="0" w:line="16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tab/>
        <w:t>Description</w:t>
      </w:r>
    </w:p>
    <w:p>
      <w:pPr>
        <w:spacing w:after="0" w:line="183" w:lineRule="exact"/>
        <w:rPr>
          <w:sz w:val="20"/>
          <w:szCs w:val="20"/>
          <w:color w:val="auto"/>
        </w:rPr>
      </w:pPr>
    </w:p>
    <w:p>
      <w:pPr>
        <w:jc w:val="both"/>
        <w:ind w:left="500" w:right="20" w:hanging="1295"/>
        <w:spacing w:after="0" w:line="282" w:lineRule="auto"/>
        <w:tabs>
          <w:tab w:leader="none" w:pos="480" w:val="left"/>
        </w:tabs>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*3.1</w:t>
        </w:r>
      </w:hyperlink>
      <w:r>
        <w:rPr>
          <w:rFonts w:ascii="Times New Roman" w:cs="Times New Roman" w:eastAsia="Times New Roman" w:hAnsi="Times New Roman"/>
          <w:sz w:val="18"/>
          <w:szCs w:val="18"/>
          <w:color w:val="auto"/>
        </w:rPr>
        <w:tab/>
      </w:r>
      <w:hyperlink r:id="rId73">
        <w:r>
          <w:rPr>
            <w:rFonts w:ascii="Times New Roman" w:cs="Times New Roman" w:eastAsia="Times New Roman" w:hAnsi="Times New Roman"/>
            <w:sz w:val="18"/>
            <w:szCs w:val="18"/>
            <w:color w:val="auto"/>
          </w:rPr>
          <w:t>AGNC Investment Corp. Amended and Restated Certificate of Incorporation, as amended, incorporated by reference from Exhibit 3.1 of Form 10-K</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color w:val="auto"/>
          </w:rPr>
          <w:t>for the year ended December 31, 2021 (File No. 001-34057), filed February 23, 2022.</w:t>
        </w:r>
      </w:hyperlink>
    </w:p>
    <w:p>
      <w:pPr>
        <w:spacing w:after="0" w:line="108" w:lineRule="exact"/>
        <w:rPr>
          <w:rFonts w:ascii="Times New Roman" w:cs="Times New Roman" w:eastAsia="Times New Roman" w:hAnsi="Times New Roman"/>
          <w:sz w:val="18"/>
          <w:szCs w:val="18"/>
          <w:color w:val="auto"/>
        </w:rPr>
      </w:pPr>
    </w:p>
    <w:p>
      <w:pPr>
        <w:spacing w:after="0"/>
        <w:tabs>
          <w:tab w:leader="none" w:pos="500" w:val="left"/>
        </w:tabs>
        <w:rPr>
          <w:rFonts w:ascii="Times New Roman" w:cs="Times New Roman" w:eastAsia="Times New Roman" w:hAnsi="Times New Roman"/>
          <w:sz w:val="18"/>
          <w:szCs w:val="18"/>
          <w:color w:val="auto"/>
        </w:rPr>
      </w:pPr>
      <w:hyperlink r:id="rId74">
        <w:r>
          <w:rPr>
            <w:rFonts w:ascii="Times New Roman" w:cs="Times New Roman" w:eastAsia="Times New Roman" w:hAnsi="Times New Roman"/>
            <w:sz w:val="18"/>
            <w:szCs w:val="18"/>
            <w:color w:val="auto"/>
          </w:rPr>
          <w:t>*3.2</w:t>
        </w:r>
      </w:hyperlink>
      <w:r>
        <w:rPr>
          <w:rFonts w:ascii="Times New Roman" w:cs="Times New Roman" w:eastAsia="Times New Roman" w:hAnsi="Times New Roman"/>
          <w:sz w:val="18"/>
          <w:szCs w:val="18"/>
          <w:color w:val="auto"/>
        </w:rPr>
        <w:tab/>
      </w:r>
      <w:hyperlink r:id="rId75">
        <w:r>
          <w:rPr>
            <w:rFonts w:ascii="Times New Roman" w:cs="Times New Roman" w:eastAsia="Times New Roman" w:hAnsi="Times New Roman"/>
            <w:sz w:val="18"/>
            <w:szCs w:val="18"/>
            <w:color w:val="auto"/>
          </w:rPr>
          <w:t>AGNC Investment Corp. Amended and Restated Bylaws, as amended, incorporated herein by reference to Exhibit 3.1 of Form 8-K (File No. 001-</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75">
        <w:r>
          <w:rPr>
            <w:rFonts w:ascii="Times New Roman" w:cs="Times New Roman" w:eastAsia="Times New Roman" w:hAnsi="Times New Roman"/>
            <w:sz w:val="18"/>
            <w:szCs w:val="18"/>
            <w:color w:val="auto"/>
          </w:rPr>
          <w:t>34057), filed July 21, 2023.</w:t>
        </w:r>
      </w:hyperlink>
    </w:p>
    <w:p>
      <w:pPr>
        <w:spacing w:after="0" w:line="153" w:lineRule="exact"/>
        <w:rPr>
          <w:sz w:val="20"/>
          <w:szCs w:val="20"/>
          <w:color w:val="auto"/>
        </w:rPr>
      </w:pPr>
    </w:p>
    <w:p>
      <w:pPr>
        <w:jc w:val="both"/>
        <w:ind w:left="520" w:hanging="1295"/>
        <w:spacing w:after="0" w:line="282" w:lineRule="auto"/>
        <w:tabs>
          <w:tab w:leader="none" w:pos="500" w:val="left"/>
        </w:tabs>
        <w:rPr>
          <w:rFonts w:ascii="Times New Roman" w:cs="Times New Roman" w:eastAsia="Times New Roman" w:hAnsi="Times New Roman"/>
          <w:sz w:val="18"/>
          <w:szCs w:val="18"/>
          <w:color w:val="auto"/>
        </w:rPr>
      </w:pPr>
      <w:hyperlink r:id="rId76">
        <w:r>
          <w:rPr>
            <w:rFonts w:ascii="Times New Roman" w:cs="Times New Roman" w:eastAsia="Times New Roman" w:hAnsi="Times New Roman"/>
            <w:sz w:val="18"/>
            <w:szCs w:val="18"/>
            <w:color w:val="auto"/>
          </w:rPr>
          <w:t>*3.3</w:t>
        </w:r>
      </w:hyperlink>
      <w:r>
        <w:rPr>
          <w:rFonts w:ascii="Times New Roman" w:cs="Times New Roman" w:eastAsia="Times New Roman" w:hAnsi="Times New Roman"/>
          <w:sz w:val="18"/>
          <w:szCs w:val="18"/>
          <w:color w:val="auto"/>
        </w:rPr>
        <w:tab/>
      </w:r>
      <w:hyperlink r:id="rId76">
        <w:r>
          <w:rPr>
            <w:rFonts w:ascii="Times New Roman" w:cs="Times New Roman" w:eastAsia="Times New Roman" w:hAnsi="Times New Roman"/>
            <w:sz w:val="18"/>
            <w:szCs w:val="18"/>
            <w:color w:val="auto"/>
          </w:rPr>
          <w:t>Certificate of Designations of 7.00% Series C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color w:val="auto"/>
          </w:rPr>
          <w:t>Exhibit 3.5 of Form 8-A (File No. 001-34057), filed August 18, 2017.</w:t>
        </w:r>
      </w:hyperlink>
    </w:p>
    <w:p>
      <w:pPr>
        <w:spacing w:after="0" w:line="108" w:lineRule="exact"/>
        <w:rPr>
          <w:rFonts w:ascii="Times New Roman" w:cs="Times New Roman" w:eastAsia="Times New Roman" w:hAnsi="Times New Roman"/>
          <w:sz w:val="18"/>
          <w:szCs w:val="18"/>
          <w:color w:val="auto"/>
        </w:rPr>
      </w:pPr>
    </w:p>
    <w:p>
      <w:pPr>
        <w:jc w:val="both"/>
        <w:ind w:left="500" w:hanging="1295"/>
        <w:spacing w:after="0" w:line="282" w:lineRule="auto"/>
        <w:tabs>
          <w:tab w:leader="none" w:pos="480" w:val="left"/>
        </w:tabs>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*3.4</w:t>
        </w:r>
      </w:hyperlink>
      <w:r>
        <w:rPr>
          <w:rFonts w:ascii="Times New Roman" w:cs="Times New Roman" w:eastAsia="Times New Roman" w:hAnsi="Times New Roman"/>
          <w:sz w:val="18"/>
          <w:szCs w:val="18"/>
          <w:color w:val="auto"/>
        </w:rPr>
        <w:tab/>
      </w:r>
      <w:hyperlink r:id="rId77">
        <w:r>
          <w:rPr>
            <w:rFonts w:ascii="Times New Roman" w:cs="Times New Roman" w:eastAsia="Times New Roman" w:hAnsi="Times New Roman"/>
            <w:sz w:val="18"/>
            <w:szCs w:val="18"/>
            <w:color w:val="auto"/>
          </w:rPr>
          <w:t>Certificate of Elimination of 8.000% Series A Cumulative Redeemable Preferred Stock, incorporated herein by reference to Exhibit 3.1 of Form 8-K</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color w:val="auto"/>
          </w:rPr>
          <w:t>(File No 001-34057), filed October 26, 2017.</w:t>
        </w:r>
      </w:hyperlink>
    </w:p>
    <w:p>
      <w:pPr>
        <w:spacing w:after="0" w:line="108" w:lineRule="exact"/>
        <w:rPr>
          <w:rFonts w:ascii="Times New Roman" w:cs="Times New Roman" w:eastAsia="Times New Roman" w:hAnsi="Times New Roman"/>
          <w:sz w:val="18"/>
          <w:szCs w:val="18"/>
          <w:color w:val="auto"/>
        </w:rPr>
      </w:pPr>
    </w:p>
    <w:p>
      <w:pPr>
        <w:jc w:val="both"/>
        <w:ind w:left="500" w:hanging="1295"/>
        <w:spacing w:after="0" w:line="282" w:lineRule="auto"/>
        <w:tabs>
          <w:tab w:leader="none" w:pos="480" w:val="left"/>
        </w:tabs>
        <w:rPr>
          <w:rFonts w:ascii="Times New Roman" w:cs="Times New Roman" w:eastAsia="Times New Roman" w:hAnsi="Times New Roman"/>
          <w:sz w:val="18"/>
          <w:szCs w:val="18"/>
          <w:color w:val="auto"/>
        </w:rPr>
      </w:pPr>
      <w:hyperlink r:id="rId78">
        <w:r>
          <w:rPr>
            <w:rFonts w:ascii="Times New Roman" w:cs="Times New Roman" w:eastAsia="Times New Roman" w:hAnsi="Times New Roman"/>
            <w:sz w:val="18"/>
            <w:szCs w:val="18"/>
            <w:color w:val="auto"/>
          </w:rPr>
          <w:t>*3.5</w:t>
        </w:r>
      </w:hyperlink>
      <w:r>
        <w:rPr>
          <w:rFonts w:ascii="Times New Roman" w:cs="Times New Roman" w:eastAsia="Times New Roman" w:hAnsi="Times New Roman"/>
          <w:sz w:val="18"/>
          <w:szCs w:val="18"/>
          <w:color w:val="auto"/>
        </w:rPr>
        <w:tab/>
      </w:r>
      <w:hyperlink r:id="rId78">
        <w:r>
          <w:rPr>
            <w:rFonts w:ascii="Times New Roman" w:cs="Times New Roman" w:eastAsia="Times New Roman" w:hAnsi="Times New Roman"/>
            <w:sz w:val="18"/>
            <w:szCs w:val="18"/>
            <w:color w:val="auto"/>
          </w:rPr>
          <w:t>Certificate of Designations of 6.875% Series D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color w:val="auto"/>
          </w:rPr>
          <w:t>Exhibit 3.5 of Form 8-A (File No 001-34057), filed March 6, 2019.</w:t>
        </w:r>
      </w:hyperlink>
    </w:p>
    <w:p>
      <w:pPr>
        <w:spacing w:after="0" w:line="108" w:lineRule="exact"/>
        <w:rPr>
          <w:rFonts w:ascii="Times New Roman" w:cs="Times New Roman" w:eastAsia="Times New Roman" w:hAnsi="Times New Roman"/>
          <w:sz w:val="18"/>
          <w:szCs w:val="18"/>
          <w:color w:val="auto"/>
        </w:rPr>
      </w:pPr>
    </w:p>
    <w:p>
      <w:pPr>
        <w:jc w:val="both"/>
        <w:ind w:left="520" w:right="20" w:hanging="1295"/>
        <w:spacing w:after="0" w:line="282" w:lineRule="auto"/>
        <w:tabs>
          <w:tab w:leader="none" w:pos="500" w:val="left"/>
        </w:tabs>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*3.6</w:t>
        </w:r>
      </w:hyperlink>
      <w:r>
        <w:rPr>
          <w:rFonts w:ascii="Times New Roman" w:cs="Times New Roman" w:eastAsia="Times New Roman" w:hAnsi="Times New Roman"/>
          <w:sz w:val="18"/>
          <w:szCs w:val="18"/>
          <w:color w:val="auto"/>
        </w:rPr>
        <w:tab/>
      </w:r>
      <w:hyperlink r:id="rId79">
        <w:r>
          <w:rPr>
            <w:rFonts w:ascii="Times New Roman" w:cs="Times New Roman" w:eastAsia="Times New Roman" w:hAnsi="Times New Roman"/>
            <w:sz w:val="18"/>
            <w:szCs w:val="18"/>
            <w:color w:val="auto"/>
          </w:rPr>
          <w:t>Certificate of Designations of 6.50% Series E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color w:val="auto"/>
          </w:rPr>
          <w:t>Exhibit 3.6 of Form 8-A (File No 001-34057), filed October 3, 2019.</w:t>
        </w:r>
      </w:hyperlink>
    </w:p>
    <w:p>
      <w:pPr>
        <w:spacing w:after="0" w:line="108" w:lineRule="exact"/>
        <w:rPr>
          <w:rFonts w:ascii="Times New Roman" w:cs="Times New Roman" w:eastAsia="Times New Roman" w:hAnsi="Times New Roman"/>
          <w:sz w:val="18"/>
          <w:szCs w:val="18"/>
          <w:color w:val="auto"/>
        </w:rPr>
      </w:pPr>
    </w:p>
    <w:p>
      <w:pPr>
        <w:jc w:val="both"/>
        <w:ind w:left="500" w:right="20" w:hanging="1295"/>
        <w:spacing w:after="0" w:line="282" w:lineRule="auto"/>
        <w:tabs>
          <w:tab w:leader="none" w:pos="480" w:val="left"/>
        </w:tabs>
        <w:rPr>
          <w:rFonts w:ascii="Times New Roman" w:cs="Times New Roman" w:eastAsia="Times New Roman" w:hAnsi="Times New Roman"/>
          <w:sz w:val="18"/>
          <w:szCs w:val="18"/>
          <w:color w:val="auto"/>
        </w:rPr>
      </w:pPr>
      <w:hyperlink r:id="rId80">
        <w:r>
          <w:rPr>
            <w:rFonts w:ascii="Times New Roman" w:cs="Times New Roman" w:eastAsia="Times New Roman" w:hAnsi="Times New Roman"/>
            <w:sz w:val="18"/>
            <w:szCs w:val="18"/>
            <w:color w:val="auto"/>
          </w:rPr>
          <w:t>*3.7</w:t>
        </w:r>
      </w:hyperlink>
      <w:r>
        <w:rPr>
          <w:rFonts w:ascii="Times New Roman" w:cs="Times New Roman" w:eastAsia="Times New Roman" w:hAnsi="Times New Roman"/>
          <w:sz w:val="18"/>
          <w:szCs w:val="18"/>
          <w:color w:val="auto"/>
        </w:rPr>
        <w:tab/>
      </w:r>
      <w:hyperlink r:id="rId80">
        <w:r>
          <w:rPr>
            <w:rFonts w:ascii="Times New Roman" w:cs="Times New Roman" w:eastAsia="Times New Roman" w:hAnsi="Times New Roman"/>
            <w:sz w:val="18"/>
            <w:szCs w:val="18"/>
            <w:color w:val="auto"/>
          </w:rPr>
          <w:t>Certificate of Elimination of 7.750% Series B Cumulative Redeemable Preferred Stock, incorporated herein by reference to Exhibit 3.1 of Form 8-K</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color w:val="auto"/>
          </w:rPr>
          <w:t>(File No 001-34057), filed December 13, 2019.</w:t>
        </w:r>
      </w:hyperlink>
    </w:p>
    <w:p>
      <w:pPr>
        <w:spacing w:after="0" w:line="108" w:lineRule="exact"/>
        <w:rPr>
          <w:rFonts w:ascii="Times New Roman" w:cs="Times New Roman" w:eastAsia="Times New Roman" w:hAnsi="Times New Roman"/>
          <w:sz w:val="18"/>
          <w:szCs w:val="18"/>
          <w:color w:val="auto"/>
        </w:rPr>
      </w:pPr>
    </w:p>
    <w:p>
      <w:pPr>
        <w:jc w:val="both"/>
        <w:ind w:left="520" w:right="20" w:hanging="1295"/>
        <w:spacing w:after="0" w:line="282" w:lineRule="auto"/>
        <w:tabs>
          <w:tab w:leader="none" w:pos="500" w:val="left"/>
        </w:tabs>
        <w:rPr>
          <w:rFonts w:ascii="Times New Roman" w:cs="Times New Roman" w:eastAsia="Times New Roman" w:hAnsi="Times New Roman"/>
          <w:sz w:val="18"/>
          <w:szCs w:val="18"/>
          <w:color w:val="auto"/>
        </w:rPr>
      </w:pPr>
      <w:hyperlink r:id="rId81">
        <w:r>
          <w:rPr>
            <w:rFonts w:ascii="Times New Roman" w:cs="Times New Roman" w:eastAsia="Times New Roman" w:hAnsi="Times New Roman"/>
            <w:sz w:val="18"/>
            <w:szCs w:val="18"/>
            <w:color w:val="auto"/>
          </w:rPr>
          <w:t>*3.8</w:t>
        </w:r>
      </w:hyperlink>
      <w:r>
        <w:rPr>
          <w:rFonts w:ascii="Times New Roman" w:cs="Times New Roman" w:eastAsia="Times New Roman" w:hAnsi="Times New Roman"/>
          <w:sz w:val="18"/>
          <w:szCs w:val="18"/>
          <w:color w:val="auto"/>
        </w:rPr>
        <w:tab/>
      </w:r>
      <w:hyperlink r:id="rId81">
        <w:r>
          <w:rPr>
            <w:rFonts w:ascii="Times New Roman" w:cs="Times New Roman" w:eastAsia="Times New Roman" w:hAnsi="Times New Roman"/>
            <w:sz w:val="18"/>
            <w:szCs w:val="18"/>
            <w:color w:val="auto"/>
          </w:rPr>
          <w:t>Certificate of Designations of 6.125% Series F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color w:val="auto"/>
          </w:rPr>
          <w:t>Exhibit 3.6 of Form 8-A (File No 001-34057), filed February 11, 2020.</w:t>
        </w:r>
      </w:hyperlink>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7" w:name="page48"/>
    <w:bookmarkEnd w:id="47"/>
    <w:p>
      <w:pPr>
        <w:jc w:val="both"/>
        <w:ind w:left="600" w:hanging="1295"/>
        <w:spacing w:after="0" w:line="282" w:lineRule="auto"/>
        <w:tabs>
          <w:tab w:leader="none" w:pos="580" w:val="left"/>
        </w:tabs>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*3.9</w:t>
        </w:r>
      </w:hyperlink>
      <w:r>
        <w:rPr>
          <w:rFonts w:ascii="Times New Roman" w:cs="Times New Roman" w:eastAsia="Times New Roman" w:hAnsi="Times New Roman"/>
          <w:sz w:val="18"/>
          <w:szCs w:val="18"/>
          <w:color w:val="auto"/>
        </w:rPr>
        <w:tab/>
      </w:r>
      <w:hyperlink r:id="rId83">
        <w:r>
          <w:rPr>
            <w:rFonts w:ascii="Times New Roman" w:cs="Times New Roman" w:eastAsia="Times New Roman" w:hAnsi="Times New Roman"/>
            <w:sz w:val="18"/>
            <w:szCs w:val="18"/>
            <w:color w:val="auto"/>
          </w:rPr>
          <w:t>Certificate of Designations of 7.75% Series G Fixed-Rate Reset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color w:val="auto"/>
          </w:rPr>
          <w:t>Exhibit 3.7 of Form 8-A (File No 001-34057), filed September 14, 2022.</w:t>
        </w:r>
      </w:hyperlink>
    </w:p>
    <w:p>
      <w:pPr>
        <w:spacing w:after="0" w:line="108" w:lineRule="exact"/>
        <w:rPr>
          <w:rFonts w:ascii="Times New Roman" w:cs="Times New Roman" w:eastAsia="Times New Roman" w:hAnsi="Times New Roman"/>
          <w:sz w:val="18"/>
          <w:szCs w:val="18"/>
          <w:color w:val="auto"/>
        </w:rPr>
      </w:pPr>
    </w:p>
    <w:p>
      <w:pPr>
        <w:jc w:val="both"/>
        <w:ind w:left="580" w:hanging="1295"/>
        <w:spacing w:after="0" w:line="275" w:lineRule="auto"/>
        <w:tabs>
          <w:tab w:leader="none" w:pos="560" w:val="left"/>
        </w:tabs>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*4.1</w:t>
        </w:r>
      </w:hyperlink>
      <w:r>
        <w:rPr>
          <w:rFonts w:ascii="Times New Roman" w:cs="Times New Roman" w:eastAsia="Times New Roman" w:hAnsi="Times New Roman"/>
          <w:sz w:val="18"/>
          <w:szCs w:val="18"/>
          <w:color w:val="auto"/>
        </w:rPr>
        <w:tab/>
      </w:r>
      <w:hyperlink r:id="rId73">
        <w:r>
          <w:rPr>
            <w:rFonts w:ascii="Times New Roman" w:cs="Times New Roman" w:eastAsia="Times New Roman" w:hAnsi="Times New Roman"/>
            <w:sz w:val="18"/>
            <w:szCs w:val="18"/>
            <w:color w:val="auto"/>
          </w:rPr>
          <w:t>Instruments defining the rights of holders of securities: See Article IV of our Amended and Restated Certificate of Incorporation, as amended,</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color w:val="auto"/>
          </w:rPr>
          <w:t>incorporated herein by reference to Exhibit 3.1 of Form 10-K for the year ended December 31, 2021 (File No. 001-34057), filed February</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color w:val="auto"/>
          </w:rPr>
          <w:t>23, 2022.</w:t>
        </w:r>
      </w:hyperlink>
    </w:p>
    <w:p>
      <w:pPr>
        <w:spacing w:after="0" w:line="336" w:lineRule="exact"/>
        <w:rPr>
          <w:rFonts w:ascii="Times New Roman" w:cs="Times New Roman" w:eastAsia="Times New Roman" w:hAnsi="Times New Roman"/>
          <w:sz w:val="18"/>
          <w:szCs w:val="18"/>
          <w:color w:val="auto"/>
        </w:rPr>
      </w:pPr>
    </w:p>
    <w:p>
      <w:pPr>
        <w:jc w:val="both"/>
        <w:ind w:left="540" w:hanging="1295"/>
        <w:spacing w:after="0" w:line="282" w:lineRule="auto"/>
        <w:tabs>
          <w:tab w:leader="none" w:pos="520" w:val="left"/>
        </w:tabs>
        <w:rPr>
          <w:rFonts w:ascii="Times New Roman" w:cs="Times New Roman" w:eastAsia="Times New Roman" w:hAnsi="Times New Roman"/>
          <w:sz w:val="18"/>
          <w:szCs w:val="18"/>
          <w:color w:val="auto"/>
        </w:rPr>
      </w:pPr>
      <w:hyperlink r:id="rId74">
        <w:r>
          <w:rPr>
            <w:rFonts w:ascii="Times New Roman" w:cs="Times New Roman" w:eastAsia="Times New Roman" w:hAnsi="Times New Roman"/>
            <w:sz w:val="18"/>
            <w:szCs w:val="18"/>
            <w:color w:val="auto"/>
          </w:rPr>
          <w:t>*4.2</w:t>
        </w:r>
      </w:hyperlink>
      <w:r>
        <w:rPr>
          <w:rFonts w:ascii="Times New Roman" w:cs="Times New Roman" w:eastAsia="Times New Roman" w:hAnsi="Times New Roman"/>
          <w:sz w:val="18"/>
          <w:szCs w:val="18"/>
          <w:color w:val="auto"/>
        </w:rPr>
        <w:tab/>
      </w:r>
      <w:hyperlink r:id="rId75">
        <w:r>
          <w:rPr>
            <w:rFonts w:ascii="Times New Roman" w:cs="Times New Roman" w:eastAsia="Times New Roman" w:hAnsi="Times New Roman"/>
            <w:sz w:val="18"/>
            <w:szCs w:val="18"/>
            <w:color w:val="auto"/>
          </w:rPr>
          <w:t>Instruments defining the rights of holders of securities: See Article VI of our Amended and Restated Bylaws, as amended, incorporated herein by</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color w:val="auto"/>
          </w:rPr>
          <w:t>reference to Exhibit 3.1 of Form 8-K, filed July 21, 2023.</w:t>
        </w:r>
      </w:hyperlink>
    </w:p>
    <w:p>
      <w:pPr>
        <w:spacing w:after="0" w:line="108" w:lineRule="exact"/>
        <w:rPr>
          <w:rFonts w:ascii="Times New Roman" w:cs="Times New Roman" w:eastAsia="Times New Roman" w:hAnsi="Times New Roman"/>
          <w:sz w:val="18"/>
          <w:szCs w:val="18"/>
          <w:color w:val="auto"/>
        </w:rPr>
      </w:pPr>
    </w:p>
    <w:p>
      <w:pPr>
        <w:jc w:val="both"/>
        <w:ind w:left="560" w:hanging="1295"/>
        <w:spacing w:after="0" w:line="282" w:lineRule="auto"/>
        <w:tabs>
          <w:tab w:leader="none" w:pos="540" w:val="left"/>
        </w:tabs>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*4.3</w:t>
        </w:r>
      </w:hyperlink>
      <w:r>
        <w:rPr>
          <w:rFonts w:ascii="Times New Roman" w:cs="Times New Roman" w:eastAsia="Times New Roman" w:hAnsi="Times New Roman"/>
          <w:sz w:val="18"/>
          <w:szCs w:val="18"/>
          <w:color w:val="auto"/>
        </w:rPr>
        <w:tab/>
      </w:r>
      <w:hyperlink r:id="rId84">
        <w:r>
          <w:rPr>
            <w:rFonts w:ascii="Times New Roman" w:cs="Times New Roman" w:eastAsia="Times New Roman" w:hAnsi="Times New Roman"/>
            <w:sz w:val="18"/>
            <w:szCs w:val="18"/>
            <w:color w:val="auto"/>
          </w:rPr>
          <w:t>Form of Certificate for Common Stock, incorporated herein by reference to Exhibit 4.3 of Form 10-Q for the quarter ended September 30, 2022</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color w:val="auto"/>
          </w:rPr>
          <w:t>(File No. 001-34057), filed November 7, 2022.</w:t>
        </w:r>
      </w:hyperlink>
    </w:p>
    <w:p>
      <w:pPr>
        <w:spacing w:after="0" w:line="108" w:lineRule="exact"/>
        <w:rPr>
          <w:rFonts w:ascii="Times New Roman" w:cs="Times New Roman" w:eastAsia="Times New Roman" w:hAnsi="Times New Roman"/>
          <w:sz w:val="18"/>
          <w:szCs w:val="18"/>
          <w:color w:val="auto"/>
        </w:rPr>
      </w:pPr>
    </w:p>
    <w:p>
      <w:pPr>
        <w:spacing w:after="0"/>
        <w:tabs>
          <w:tab w:leader="none" w:pos="500" w:val="left"/>
        </w:tabs>
        <w:rPr>
          <w:rFonts w:ascii="Times New Roman" w:cs="Times New Roman" w:eastAsia="Times New Roman" w:hAnsi="Times New Roman"/>
          <w:sz w:val="18"/>
          <w:szCs w:val="18"/>
          <w:color w:val="auto"/>
        </w:rPr>
      </w:pPr>
      <w:hyperlink r:id="rId85">
        <w:r>
          <w:rPr>
            <w:rFonts w:ascii="Times New Roman" w:cs="Times New Roman" w:eastAsia="Times New Roman" w:hAnsi="Times New Roman"/>
            <w:sz w:val="18"/>
            <w:szCs w:val="18"/>
            <w:color w:val="auto"/>
          </w:rPr>
          <w:t>*4.4</w:t>
        </w:r>
      </w:hyperlink>
      <w:r>
        <w:rPr>
          <w:rFonts w:ascii="Times New Roman" w:cs="Times New Roman" w:eastAsia="Times New Roman" w:hAnsi="Times New Roman"/>
          <w:sz w:val="18"/>
          <w:szCs w:val="18"/>
          <w:color w:val="auto"/>
        </w:rPr>
        <w:tab/>
      </w:r>
      <w:hyperlink r:id="rId85">
        <w:r>
          <w:rPr>
            <w:rFonts w:ascii="Times New Roman" w:cs="Times New Roman" w:eastAsia="Times New Roman" w:hAnsi="Times New Roman"/>
            <w:sz w:val="18"/>
            <w:szCs w:val="18"/>
            <w:color w:val="auto"/>
          </w:rPr>
          <w:t>Specimen 7.00% Series C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85">
        <w:r>
          <w:rPr>
            <w:rFonts w:ascii="Times New Roman" w:cs="Times New Roman" w:eastAsia="Times New Roman" w:hAnsi="Times New Roman"/>
            <w:sz w:val="18"/>
            <w:szCs w:val="18"/>
            <w:color w:val="auto"/>
          </w:rPr>
          <w:t>4.1 of Form 8-A (File No. 001-34057), filed August 18, 2017.</w:t>
        </w:r>
      </w:hyperlink>
    </w:p>
    <w:p>
      <w:pPr>
        <w:spacing w:after="0" w:line="153" w:lineRule="exact"/>
        <w:rPr>
          <w:sz w:val="20"/>
          <w:szCs w:val="20"/>
          <w:color w:val="auto"/>
        </w:rPr>
      </w:pPr>
    </w:p>
    <w:p>
      <w:pPr>
        <w:spacing w:after="0"/>
        <w:tabs>
          <w:tab w:leader="none" w:pos="500" w:val="left"/>
        </w:tabs>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*4.5</w:t>
        </w:r>
      </w:hyperlink>
      <w:r>
        <w:rPr>
          <w:rFonts w:ascii="Times New Roman" w:cs="Times New Roman" w:eastAsia="Times New Roman" w:hAnsi="Times New Roman"/>
          <w:sz w:val="18"/>
          <w:szCs w:val="18"/>
          <w:color w:val="auto"/>
        </w:rPr>
        <w:tab/>
      </w:r>
      <w:hyperlink r:id="rId86">
        <w:r>
          <w:rPr>
            <w:rFonts w:ascii="Times New Roman" w:cs="Times New Roman" w:eastAsia="Times New Roman" w:hAnsi="Times New Roman"/>
            <w:sz w:val="18"/>
            <w:szCs w:val="18"/>
            <w:color w:val="auto"/>
          </w:rPr>
          <w:t>Specimen 6.875% Series D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4.1 of Form 8-A (File No. 001-34057), filed March 6, 2019.</w:t>
        </w:r>
      </w:hyperlink>
    </w:p>
    <w:p>
      <w:pPr>
        <w:spacing w:after="0" w:line="153" w:lineRule="exact"/>
        <w:rPr>
          <w:sz w:val="20"/>
          <w:szCs w:val="20"/>
          <w:color w:val="auto"/>
        </w:rPr>
      </w:pPr>
    </w:p>
    <w:p>
      <w:pPr>
        <w:spacing w:after="0"/>
        <w:tabs>
          <w:tab w:leader="none" w:pos="520" w:val="left"/>
        </w:tabs>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*4.6</w:t>
        </w:r>
      </w:hyperlink>
      <w:r>
        <w:rPr>
          <w:rFonts w:ascii="Times New Roman" w:cs="Times New Roman" w:eastAsia="Times New Roman" w:hAnsi="Times New Roman"/>
          <w:sz w:val="18"/>
          <w:szCs w:val="18"/>
          <w:color w:val="auto"/>
        </w:rPr>
        <w:tab/>
      </w:r>
      <w:hyperlink r:id="rId87">
        <w:r>
          <w:rPr>
            <w:rFonts w:ascii="Times New Roman" w:cs="Times New Roman" w:eastAsia="Times New Roman" w:hAnsi="Times New Roman"/>
            <w:sz w:val="18"/>
            <w:szCs w:val="18"/>
            <w:color w:val="auto"/>
          </w:rPr>
          <w:t>Specimen 6.50% Series E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4.1 of Form 8-A (File No. 001-34057), filed October 3, 2019.</w:t>
        </w:r>
      </w:hyperlink>
    </w:p>
    <w:p>
      <w:pPr>
        <w:spacing w:after="0" w:line="153" w:lineRule="exact"/>
        <w:rPr>
          <w:sz w:val="20"/>
          <w:szCs w:val="20"/>
          <w:color w:val="auto"/>
        </w:rPr>
      </w:pPr>
    </w:p>
    <w:p>
      <w:pPr>
        <w:spacing w:after="0"/>
        <w:tabs>
          <w:tab w:leader="none" w:pos="500" w:val="left"/>
        </w:tabs>
        <w:rPr>
          <w:rFonts w:ascii="Times New Roman" w:cs="Times New Roman" w:eastAsia="Times New Roman" w:hAnsi="Times New Roman"/>
          <w:sz w:val="18"/>
          <w:szCs w:val="18"/>
          <w:color w:val="auto"/>
        </w:rPr>
      </w:pPr>
      <w:hyperlink r:id="rId88">
        <w:r>
          <w:rPr>
            <w:rFonts w:ascii="Times New Roman" w:cs="Times New Roman" w:eastAsia="Times New Roman" w:hAnsi="Times New Roman"/>
            <w:sz w:val="18"/>
            <w:szCs w:val="18"/>
            <w:color w:val="auto"/>
          </w:rPr>
          <w:t>*4.7</w:t>
        </w:r>
      </w:hyperlink>
      <w:r>
        <w:rPr>
          <w:rFonts w:ascii="Times New Roman" w:cs="Times New Roman" w:eastAsia="Times New Roman" w:hAnsi="Times New Roman"/>
          <w:sz w:val="18"/>
          <w:szCs w:val="18"/>
          <w:color w:val="auto"/>
        </w:rPr>
        <w:tab/>
      </w:r>
      <w:hyperlink r:id="rId88">
        <w:r>
          <w:rPr>
            <w:rFonts w:ascii="Times New Roman" w:cs="Times New Roman" w:eastAsia="Times New Roman" w:hAnsi="Times New Roman"/>
            <w:sz w:val="18"/>
            <w:szCs w:val="18"/>
            <w:color w:val="auto"/>
          </w:rPr>
          <w:t>Specimen 6.125% Series F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88">
        <w:r>
          <w:rPr>
            <w:rFonts w:ascii="Times New Roman" w:cs="Times New Roman" w:eastAsia="Times New Roman" w:hAnsi="Times New Roman"/>
            <w:sz w:val="18"/>
            <w:szCs w:val="18"/>
            <w:color w:val="auto"/>
          </w:rPr>
          <w:t>4.1 of Form 8-A (File No 001-34057), filed February 11, 2020.</w:t>
        </w:r>
      </w:hyperlink>
    </w:p>
    <w:p>
      <w:pPr>
        <w:spacing w:after="0" w:line="153" w:lineRule="exact"/>
        <w:rPr>
          <w:sz w:val="20"/>
          <w:szCs w:val="20"/>
          <w:color w:val="auto"/>
        </w:rPr>
      </w:pPr>
    </w:p>
    <w:p>
      <w:pPr>
        <w:jc w:val="both"/>
        <w:ind w:left="520" w:right="20" w:hanging="1295"/>
        <w:spacing w:after="0" w:line="282" w:lineRule="auto"/>
        <w:tabs>
          <w:tab w:leader="none" w:pos="500" w:val="left"/>
        </w:tabs>
        <w:rPr>
          <w:rFonts w:ascii="Times New Roman" w:cs="Times New Roman" w:eastAsia="Times New Roman" w:hAnsi="Times New Roman"/>
          <w:sz w:val="18"/>
          <w:szCs w:val="18"/>
          <w:color w:val="auto"/>
        </w:rPr>
      </w:pPr>
      <w:hyperlink r:id="rId89">
        <w:r>
          <w:rPr>
            <w:rFonts w:ascii="Times New Roman" w:cs="Times New Roman" w:eastAsia="Times New Roman" w:hAnsi="Times New Roman"/>
            <w:sz w:val="18"/>
            <w:szCs w:val="18"/>
            <w:color w:val="auto"/>
          </w:rPr>
          <w:t>*4.8</w:t>
        </w:r>
      </w:hyperlink>
      <w:r>
        <w:rPr>
          <w:rFonts w:ascii="Times New Roman" w:cs="Times New Roman" w:eastAsia="Times New Roman" w:hAnsi="Times New Roman"/>
          <w:sz w:val="18"/>
          <w:szCs w:val="18"/>
          <w:color w:val="auto"/>
        </w:rPr>
        <w:tab/>
      </w:r>
      <w:hyperlink r:id="rId89">
        <w:r>
          <w:rPr>
            <w:rFonts w:ascii="Times New Roman" w:cs="Times New Roman" w:eastAsia="Times New Roman" w:hAnsi="Times New Roman"/>
            <w:sz w:val="18"/>
            <w:szCs w:val="18"/>
            <w:color w:val="auto"/>
          </w:rPr>
          <w:t>Specimen 7.75% Series G Fixed-Rate Reset Cumulative Redeemable Preferred Stock Certificate, incorporated herein by reference to Exhibit 4.1 of</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color w:val="auto"/>
          </w:rPr>
          <w:t>Form 8-A (File No 001-34057), filed September 14, 2022.</w:t>
        </w:r>
      </w:hyperlink>
    </w:p>
    <w:p>
      <w:pPr>
        <w:spacing w:after="0" w:line="108" w:lineRule="exact"/>
        <w:rPr>
          <w:rFonts w:ascii="Times New Roman" w:cs="Times New Roman" w:eastAsia="Times New Roman" w:hAnsi="Times New Roman"/>
          <w:sz w:val="18"/>
          <w:szCs w:val="18"/>
          <w:color w:val="auto"/>
        </w:rPr>
      </w:pPr>
    </w:p>
    <w:p>
      <w:pPr>
        <w:jc w:val="both"/>
        <w:ind w:left="580" w:hanging="1295"/>
        <w:spacing w:after="0" w:line="266" w:lineRule="auto"/>
        <w:tabs>
          <w:tab w:leader="none" w:pos="560" w:val="left"/>
        </w:tabs>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*4.9</w:t>
        </w:r>
      </w:hyperlink>
      <w:r>
        <w:rPr>
          <w:rFonts w:ascii="Times New Roman" w:cs="Times New Roman" w:eastAsia="Times New Roman" w:hAnsi="Times New Roman"/>
          <w:sz w:val="18"/>
          <w:szCs w:val="18"/>
          <w:color w:val="auto"/>
        </w:rPr>
        <w:tab/>
      </w:r>
      <w:hyperlink r:id="rId90">
        <w:r>
          <w:rPr>
            <w:rFonts w:ascii="Times New Roman" w:cs="Times New Roman" w:eastAsia="Times New Roman" w:hAnsi="Times New Roman"/>
            <w:sz w:val="18"/>
            <w:szCs w:val="18"/>
            <w:color w:val="auto"/>
          </w:rPr>
          <w:t>Deposit Agreement relating to 7.00% Series C Fixed-to-Floating Rate Cumulative Redeemable Preferred Stock, dated August 22, 2017, among</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auto"/>
          </w:rPr>
          <w:t>reference to Exhibit 4.2 of Form 8-K (File No. 001-34057) filed August 22, 2017.</w:t>
        </w:r>
      </w:hyperlink>
    </w:p>
    <w:p>
      <w:pPr>
        <w:spacing w:after="0" w:line="122" w:lineRule="exact"/>
        <w:rPr>
          <w:rFonts w:ascii="Times New Roman" w:cs="Times New Roman" w:eastAsia="Times New Roman" w:hAnsi="Times New Roman"/>
          <w:sz w:val="18"/>
          <w:szCs w:val="18"/>
          <w:color w:val="auto"/>
        </w:rPr>
      </w:pPr>
    </w:p>
    <w:p>
      <w:pPr>
        <w:jc w:val="both"/>
        <w:ind w:left="620" w:hanging="1295"/>
        <w:spacing w:after="0" w:line="266" w:lineRule="auto"/>
        <w:tabs>
          <w:tab w:leader="none" w:pos="600" w:val="left"/>
        </w:tabs>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*4.10</w:t>
        </w:r>
      </w:hyperlink>
      <w:r>
        <w:rPr>
          <w:rFonts w:ascii="Times New Roman" w:cs="Times New Roman" w:eastAsia="Times New Roman" w:hAnsi="Times New Roman"/>
          <w:sz w:val="18"/>
          <w:szCs w:val="18"/>
          <w:color w:val="auto"/>
        </w:rPr>
        <w:tab/>
      </w:r>
      <w:hyperlink r:id="rId90">
        <w:r>
          <w:rPr>
            <w:rFonts w:ascii="Times New Roman" w:cs="Times New Roman" w:eastAsia="Times New Roman" w:hAnsi="Times New Roman"/>
            <w:sz w:val="18"/>
            <w:szCs w:val="18"/>
            <w:color w:val="auto"/>
          </w:rPr>
          <w:t>Form of Depositary Receipt representing 1/1,000th of a share of 7.00% Series C Fixed-to-Floating Rate Cumulative Redeemable Preferred Stock</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auto"/>
          </w:rPr>
          <w:t>(included as part of Exhibit 4.9),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auto"/>
          </w:rPr>
          <w:t>August 22, 2017.</w:t>
        </w:r>
      </w:hyperlink>
    </w:p>
    <w:p>
      <w:pPr>
        <w:spacing w:after="0" w:line="122" w:lineRule="exact"/>
        <w:rPr>
          <w:rFonts w:ascii="Times New Roman" w:cs="Times New Roman" w:eastAsia="Times New Roman" w:hAnsi="Times New Roman"/>
          <w:sz w:val="18"/>
          <w:szCs w:val="18"/>
          <w:color w:val="auto"/>
        </w:rPr>
      </w:pPr>
    </w:p>
    <w:p>
      <w:pPr>
        <w:jc w:val="both"/>
        <w:ind w:left="660" w:hanging="1295"/>
        <w:spacing w:after="0" w:line="266" w:lineRule="auto"/>
        <w:tabs>
          <w:tab w:leader="none" w:pos="640" w:val="left"/>
        </w:tabs>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*4.11</w:t>
        </w:r>
      </w:hyperlink>
      <w:r>
        <w:rPr>
          <w:rFonts w:ascii="Times New Roman" w:cs="Times New Roman" w:eastAsia="Times New Roman" w:hAnsi="Times New Roman"/>
          <w:sz w:val="18"/>
          <w:szCs w:val="18"/>
          <w:color w:val="auto"/>
        </w:rPr>
        <w:tab/>
      </w:r>
      <w:hyperlink r:id="rId91">
        <w:r>
          <w:rPr>
            <w:rFonts w:ascii="Times New Roman" w:cs="Times New Roman" w:eastAsia="Times New Roman" w:hAnsi="Times New Roman"/>
            <w:sz w:val="18"/>
            <w:szCs w:val="18"/>
            <w:color w:val="auto"/>
          </w:rPr>
          <w:t>Deposit Agreement relating to 6.875% Series D Fixed-to-Floating Rate Cumulative Redeemable Preferred Stock, dated March 6, 2019, among</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auto"/>
          </w:rPr>
          <w:t>reference to Exhibit 4.2 of Form 8-K (File No. 001-34057) filed March 6, 2019.</w:t>
        </w:r>
      </w:hyperlink>
    </w:p>
    <w:p>
      <w:pPr>
        <w:spacing w:after="0" w:line="122" w:lineRule="exact"/>
        <w:rPr>
          <w:rFonts w:ascii="Times New Roman" w:cs="Times New Roman" w:eastAsia="Times New Roman" w:hAnsi="Times New Roman"/>
          <w:sz w:val="18"/>
          <w:szCs w:val="18"/>
          <w:color w:val="auto"/>
        </w:rPr>
      </w:pPr>
    </w:p>
    <w:p>
      <w:pPr>
        <w:jc w:val="both"/>
        <w:ind w:left="600" w:hanging="1295"/>
        <w:spacing w:after="0" w:line="266" w:lineRule="auto"/>
        <w:tabs>
          <w:tab w:leader="none" w:pos="580" w:val="left"/>
        </w:tabs>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*4.12</w:t>
        </w:r>
      </w:hyperlink>
      <w:r>
        <w:rPr>
          <w:rFonts w:ascii="Times New Roman" w:cs="Times New Roman" w:eastAsia="Times New Roman" w:hAnsi="Times New Roman"/>
          <w:sz w:val="18"/>
          <w:szCs w:val="18"/>
          <w:color w:val="auto"/>
        </w:rPr>
        <w:tab/>
      </w:r>
      <w:hyperlink r:id="rId91">
        <w:r>
          <w:rPr>
            <w:rFonts w:ascii="Times New Roman" w:cs="Times New Roman" w:eastAsia="Times New Roman" w:hAnsi="Times New Roman"/>
            <w:sz w:val="18"/>
            <w:szCs w:val="18"/>
            <w:color w:val="auto"/>
          </w:rPr>
          <w:t>Form of Depositary Receipt representing 1/1,000th of a share of 6.875% Series D Fixed-to-Floating Rate Cumulative Redeemable Preferred Stock</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auto"/>
          </w:rPr>
          <w:t>(included as part of Exhibit 4.11),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auto"/>
          </w:rPr>
          <w:t>March 6, 2019.</w:t>
        </w:r>
      </w:hyperlink>
    </w:p>
    <w:p>
      <w:pPr>
        <w:spacing w:after="0" w:line="122" w:lineRule="exact"/>
        <w:rPr>
          <w:rFonts w:ascii="Times New Roman" w:cs="Times New Roman" w:eastAsia="Times New Roman" w:hAnsi="Times New Roman"/>
          <w:sz w:val="18"/>
          <w:szCs w:val="18"/>
          <w:color w:val="auto"/>
        </w:rPr>
      </w:pPr>
    </w:p>
    <w:p>
      <w:pPr>
        <w:jc w:val="both"/>
        <w:ind w:left="600" w:right="320" w:hanging="1295"/>
        <w:spacing w:after="0" w:line="266" w:lineRule="auto"/>
        <w:tabs>
          <w:tab w:leader="none" w:pos="580" w:val="left"/>
        </w:tabs>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*4.13</w:t>
        </w:r>
      </w:hyperlink>
      <w:r>
        <w:rPr>
          <w:rFonts w:ascii="Times New Roman" w:cs="Times New Roman" w:eastAsia="Times New Roman" w:hAnsi="Times New Roman"/>
          <w:sz w:val="18"/>
          <w:szCs w:val="18"/>
          <w:color w:val="auto"/>
        </w:rPr>
        <w:tab/>
      </w:r>
      <w:hyperlink r:id="rId92">
        <w:r>
          <w:rPr>
            <w:rFonts w:ascii="Times New Roman" w:cs="Times New Roman" w:eastAsia="Times New Roman" w:hAnsi="Times New Roman"/>
            <w:sz w:val="18"/>
            <w:szCs w:val="18"/>
            <w:color w:val="auto"/>
          </w:rPr>
          <w:t>Deposit Agreement relating to 6.50% Series E Fixed-to-Floating Rate Cumulative Redeemable Preferred Stock, dated October 3, 2019, among</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auto"/>
          </w:rPr>
          <w:t>reference to Exhibit 4.2 of Form 8-K (File No. 001-34057) filed October 3, 2019.</w:t>
        </w:r>
      </w:hyperlink>
    </w:p>
    <w:p>
      <w:pPr>
        <w:spacing w:after="0" w:line="122" w:lineRule="exact"/>
        <w:rPr>
          <w:rFonts w:ascii="Times New Roman" w:cs="Times New Roman" w:eastAsia="Times New Roman" w:hAnsi="Times New Roman"/>
          <w:sz w:val="18"/>
          <w:szCs w:val="18"/>
          <w:color w:val="auto"/>
        </w:rPr>
      </w:pPr>
    </w:p>
    <w:p>
      <w:pPr>
        <w:jc w:val="both"/>
        <w:ind w:left="600" w:right="200" w:hanging="1295"/>
        <w:spacing w:after="0" w:line="266" w:lineRule="auto"/>
        <w:tabs>
          <w:tab w:leader="none" w:pos="580" w:val="left"/>
        </w:tabs>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*4.14</w:t>
        </w:r>
      </w:hyperlink>
      <w:r>
        <w:rPr>
          <w:rFonts w:ascii="Times New Roman" w:cs="Times New Roman" w:eastAsia="Times New Roman" w:hAnsi="Times New Roman"/>
          <w:sz w:val="18"/>
          <w:szCs w:val="18"/>
          <w:color w:val="auto"/>
        </w:rPr>
        <w:tab/>
      </w:r>
      <w:hyperlink r:id="rId92">
        <w:r>
          <w:rPr>
            <w:rFonts w:ascii="Times New Roman" w:cs="Times New Roman" w:eastAsia="Times New Roman" w:hAnsi="Times New Roman"/>
            <w:sz w:val="18"/>
            <w:szCs w:val="18"/>
            <w:color w:val="auto"/>
          </w:rPr>
          <w:t>Form of Depositary Receipt representing 1/1,000th of a share of 6.50% Series E Fixed-to-Floating Rate Cumulative Redeemable Preferred Stock</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auto"/>
          </w:rPr>
          <w:t>(included as part of Exhibit 4.13),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auto"/>
          </w:rPr>
          <w:t>October 3, 2019.</w:t>
        </w:r>
      </w:hyperlink>
    </w:p>
    <w:p>
      <w:pPr>
        <w:spacing w:after="0" w:line="122" w:lineRule="exact"/>
        <w:rPr>
          <w:rFonts w:ascii="Times New Roman" w:cs="Times New Roman" w:eastAsia="Times New Roman" w:hAnsi="Times New Roman"/>
          <w:sz w:val="18"/>
          <w:szCs w:val="18"/>
          <w:color w:val="auto"/>
        </w:rPr>
      </w:pPr>
    </w:p>
    <w:p>
      <w:pPr>
        <w:ind w:left="600" w:right="140" w:hanging="1295"/>
        <w:spacing w:after="0" w:line="266" w:lineRule="auto"/>
        <w:tabs>
          <w:tab w:leader="none" w:pos="580" w:val="left"/>
        </w:tabs>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*4.15</w:t>
        </w:r>
      </w:hyperlink>
      <w:r>
        <w:rPr>
          <w:rFonts w:ascii="Times New Roman" w:cs="Times New Roman" w:eastAsia="Times New Roman" w:hAnsi="Times New Roman"/>
          <w:sz w:val="18"/>
          <w:szCs w:val="18"/>
          <w:color w:val="auto"/>
        </w:rPr>
        <w:tab/>
      </w:r>
      <w:hyperlink r:id="rId93">
        <w:r>
          <w:rPr>
            <w:rFonts w:ascii="Times New Roman" w:cs="Times New Roman" w:eastAsia="Times New Roman" w:hAnsi="Times New Roman"/>
            <w:sz w:val="18"/>
            <w:szCs w:val="18"/>
            <w:color w:val="auto"/>
          </w:rPr>
          <w:t>Deposit Agreement relating to 6.125% Series F Fixed-to-Floating Rate Cumulative Redeemable Preferred Stock, dated February 11, 2020, among</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reference to Exhibit 4.1 of Form 8-K (File No. 001-34057) filed February 11, 2020.</w:t>
        </w:r>
      </w:hyperlink>
    </w:p>
    <w:p>
      <w:pPr>
        <w:spacing w:after="0" w:line="122" w:lineRule="exact"/>
        <w:rPr>
          <w:rFonts w:ascii="Times New Roman" w:cs="Times New Roman" w:eastAsia="Times New Roman" w:hAnsi="Times New Roman"/>
          <w:sz w:val="18"/>
          <w:szCs w:val="18"/>
          <w:color w:val="auto"/>
        </w:rPr>
      </w:pPr>
    </w:p>
    <w:p>
      <w:pPr>
        <w:ind w:left="600" w:right="120" w:hanging="1295"/>
        <w:spacing w:after="0" w:line="266" w:lineRule="auto"/>
        <w:tabs>
          <w:tab w:leader="none" w:pos="580" w:val="left"/>
        </w:tabs>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*4.16</w:t>
        </w:r>
      </w:hyperlink>
      <w:r>
        <w:rPr>
          <w:rFonts w:ascii="Times New Roman" w:cs="Times New Roman" w:eastAsia="Times New Roman" w:hAnsi="Times New Roman"/>
          <w:sz w:val="18"/>
          <w:szCs w:val="18"/>
          <w:color w:val="auto"/>
        </w:rPr>
        <w:tab/>
      </w:r>
      <w:hyperlink r:id="rId93">
        <w:r>
          <w:rPr>
            <w:rFonts w:ascii="Times New Roman" w:cs="Times New Roman" w:eastAsia="Times New Roman" w:hAnsi="Times New Roman"/>
            <w:sz w:val="18"/>
            <w:szCs w:val="18"/>
            <w:color w:val="auto"/>
          </w:rPr>
          <w:t>Form of Depositary Receipt representing 1/1,000th of a share of 6.125% Series F Fixed-to-Floating Rate Cumulative Redeemable Preferred Stock</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(included as part of Exhibit 4.15), incorporated herein by reference to Exhibit A of Exhibit 4.1 of Form 8-K (File No. 001-34057) filed</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February 11, 2020.</w:t>
        </w:r>
      </w:hyperlink>
    </w:p>
    <w:p>
      <w:pPr>
        <w:sectPr>
          <w:pgSz w:w="11900" w:h="16838" w:orient="portrait"/>
          <w:cols w:equalWidth="0" w:num="1">
            <w:col w:w="11240"/>
          </w:cols>
          <w:pgMar w:left="320" w:top="1053" w:right="339"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48" w:name="page49"/>
    <w:bookmarkEnd w:id="48"/>
    <w:p>
      <w:pPr>
        <w:ind w:left="600" w:right="320" w:hanging="1295"/>
        <w:spacing w:after="0" w:line="266" w:lineRule="auto"/>
        <w:tabs>
          <w:tab w:leader="none" w:pos="580" w:val="left"/>
        </w:tabs>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*4.17</w:t>
        </w:r>
      </w:hyperlink>
      <w:r>
        <w:rPr>
          <w:rFonts w:ascii="Times New Roman" w:cs="Times New Roman" w:eastAsia="Times New Roman" w:hAnsi="Times New Roman"/>
          <w:sz w:val="18"/>
          <w:szCs w:val="18"/>
          <w:color w:val="auto"/>
        </w:rPr>
        <w:tab/>
      </w:r>
      <w:hyperlink r:id="rId95">
        <w:r>
          <w:rPr>
            <w:rFonts w:ascii="Times New Roman" w:cs="Times New Roman" w:eastAsia="Times New Roman" w:hAnsi="Times New Roman"/>
            <w:sz w:val="18"/>
            <w:szCs w:val="18"/>
            <w:color w:val="auto"/>
          </w:rPr>
          <w:t>Deposit Agreement relating to 7.75% Series G Fixed-Rate Reset Cumulative Redeemable Preferred Stock, dated September 14, 2022, among</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reference to Exhibit 4.2 of Form 8-K (File No. 001-34057) filed September 14, 2022.</w:t>
        </w:r>
      </w:hyperlink>
    </w:p>
    <w:p>
      <w:pPr>
        <w:spacing w:after="0" w:line="122" w:lineRule="exact"/>
        <w:rPr>
          <w:rFonts w:ascii="Times New Roman" w:cs="Times New Roman" w:eastAsia="Times New Roman" w:hAnsi="Times New Roman"/>
          <w:sz w:val="18"/>
          <w:szCs w:val="18"/>
          <w:color w:val="auto"/>
        </w:rPr>
      </w:pPr>
    </w:p>
    <w:p>
      <w:pPr>
        <w:ind w:left="600" w:right="240" w:hanging="1295"/>
        <w:spacing w:after="0" w:line="266" w:lineRule="auto"/>
        <w:tabs>
          <w:tab w:leader="none" w:pos="580" w:val="left"/>
        </w:tabs>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*4.18</w:t>
        </w:r>
      </w:hyperlink>
      <w:r>
        <w:rPr>
          <w:rFonts w:ascii="Times New Roman" w:cs="Times New Roman" w:eastAsia="Times New Roman" w:hAnsi="Times New Roman"/>
          <w:sz w:val="18"/>
          <w:szCs w:val="18"/>
          <w:color w:val="auto"/>
        </w:rPr>
        <w:tab/>
      </w:r>
      <w:hyperlink r:id="rId95">
        <w:r>
          <w:rPr>
            <w:rFonts w:ascii="Times New Roman" w:cs="Times New Roman" w:eastAsia="Times New Roman" w:hAnsi="Times New Roman"/>
            <w:sz w:val="18"/>
            <w:szCs w:val="18"/>
            <w:color w:val="auto"/>
          </w:rPr>
          <w:t>Form of Depositary Receipt representing 1/1,000th of a share of 7.75% Series G Fixed-Rate Reset Cumulative Redeemable Preferred Stock</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(included as part of Exhibit 4.17),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September 14, 2022.</w:t>
        </w:r>
      </w:hyperlink>
    </w:p>
    <w:p>
      <w:pPr>
        <w:spacing w:after="0" w:line="122" w:lineRule="exact"/>
        <w:rPr>
          <w:rFonts w:ascii="Times New Roman" w:cs="Times New Roman" w:eastAsia="Times New Roman" w:hAnsi="Times New Roman"/>
          <w:sz w:val="18"/>
          <w:szCs w:val="18"/>
          <w:color w:val="auto"/>
        </w:rPr>
      </w:pPr>
    </w:p>
    <w:p>
      <w:pPr>
        <w:ind w:left="1300" w:hanging="1292"/>
        <w:spacing w:after="0" w:line="261" w:lineRule="auto"/>
        <w:tabs>
          <w:tab w:leader="none" w:pos="12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Amended and Restated Employment Agreement dated January 31, 2023 between AGNC Mortgage Management, LLC and Sean Reid, filed herewith.</w:t>
      </w:r>
    </w:p>
    <w:p>
      <w:pPr>
        <w:spacing w:after="0" w:line="369" w:lineRule="exact"/>
        <w:rPr>
          <w:rFonts w:ascii="Times New Roman" w:cs="Times New Roman" w:eastAsia="Times New Roman" w:hAnsi="Times New Roman"/>
          <w:sz w:val="18"/>
          <w:szCs w:val="18"/>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31.1</w:t>
        <w:tab/>
        <w:t>Certification of CEO Pursuant to Section 302(a) of the Sarbanes-Oxley Act of 2002.</w:t>
      </w:r>
    </w:p>
    <w:p>
      <w:pPr>
        <w:spacing w:after="0" w:line="171" w:lineRule="exact"/>
        <w:rPr>
          <w:rFonts w:ascii="Times New Roman" w:cs="Times New Roman" w:eastAsia="Times New Roman" w:hAnsi="Times New Roman"/>
          <w:sz w:val="18"/>
          <w:szCs w:val="18"/>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CFO Pursuant to Section 302(a) of the Sarbanes-Oxley Act of 2002.</w:t>
      </w:r>
    </w:p>
    <w:p>
      <w:pPr>
        <w:spacing w:after="0" w:line="171" w:lineRule="exact"/>
        <w:rPr>
          <w:rFonts w:ascii="Times New Roman" w:cs="Times New Roman" w:eastAsia="Times New Roman" w:hAnsi="Times New Roman"/>
          <w:sz w:val="18"/>
          <w:szCs w:val="18"/>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32</w:t>
        <w:tab/>
        <w:t>Certification of CEO and CFO Pursuant to Section 906 of the Sarbanes-Oxley Act of 2002.</w:t>
      </w:r>
    </w:p>
    <w:p>
      <w:pPr>
        <w:sectPr>
          <w:pgSz w:w="11900" w:h="16838" w:orient="portrait"/>
          <w:cols w:equalWidth="0" w:num="1">
            <w:col w:w="11240"/>
          </w:cols>
          <w:pgMar w:left="320" w:top="1053" w:right="339" w:bottom="1440" w:gutter="0" w:footer="0" w:header="0"/>
        </w:sectPr>
      </w:pPr>
    </w:p>
    <w:p>
      <w:pPr>
        <w:spacing w:after="0" w:line="17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5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171" w:lineRule="exact"/>
        <w:rPr>
          <w:rFonts w:ascii="Times New Roman" w:cs="Times New Roman" w:eastAsia="Times New Roman" w:hAnsi="Times New Roman"/>
          <w:sz w:val="18"/>
          <w:szCs w:val="18"/>
          <w:color w:val="auto"/>
        </w:rPr>
      </w:pPr>
    </w:p>
    <w:p>
      <w:pPr>
        <w:sectPr>
          <w:pgSz w:w="11900" w:h="16838" w:orient="portrait"/>
          <w:cols w:equalWidth="0" w:num="2">
            <w:col w:w="800" w:space="160"/>
            <w:col w:w="1028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p>
      <w:pPr>
        <w:spacing w:after="0" w:line="182" w:lineRule="exact"/>
        <w:rPr>
          <w:rFonts w:ascii="Times New Roman" w:cs="Times New Roman" w:eastAsia="Times New Roman" w:hAnsi="Times New Roman"/>
          <w:sz w:val="18"/>
          <w:szCs w:val="18"/>
          <w:color w:val="auto"/>
        </w:rPr>
      </w:pPr>
    </w:p>
    <w:p>
      <w:pPr>
        <w:sectPr>
          <w:pgSz w:w="11900" w:h="16838" w:orient="portrait"/>
          <w:cols w:equalWidth="0" w:num="2">
            <w:col w:w="860" w:space="180"/>
            <w:col w:w="1020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p>
      <w:pPr>
        <w:spacing w:after="0" w:line="182" w:lineRule="exact"/>
        <w:rPr>
          <w:rFonts w:ascii="Times New Roman" w:cs="Times New Roman" w:eastAsia="Times New Roman" w:hAnsi="Times New Roman"/>
          <w:sz w:val="18"/>
          <w:szCs w:val="18"/>
          <w:color w:val="auto"/>
        </w:rPr>
      </w:pPr>
    </w:p>
    <w:p>
      <w:pPr>
        <w:sectPr>
          <w:pgSz w:w="11900" w:h="16838" w:orient="portrait"/>
          <w:cols w:equalWidth="0" w:num="2">
            <w:col w:w="860" w:space="180"/>
            <w:col w:w="1020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Labels Linkbase Document</w:t>
      </w:r>
    </w:p>
    <w:p>
      <w:pPr>
        <w:spacing w:after="0" w:line="182" w:lineRule="exact"/>
        <w:rPr>
          <w:rFonts w:ascii="Times New Roman" w:cs="Times New Roman" w:eastAsia="Times New Roman" w:hAnsi="Times New Roman"/>
          <w:sz w:val="18"/>
          <w:szCs w:val="18"/>
          <w:color w:val="auto"/>
        </w:rPr>
      </w:pPr>
    </w:p>
    <w:p>
      <w:pPr>
        <w:sectPr>
          <w:pgSz w:w="11900" w:h="16838" w:orient="portrait"/>
          <w:cols w:equalWidth="0" w:num="2">
            <w:col w:w="860" w:space="180"/>
            <w:col w:w="1020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p>
      <w:pPr>
        <w:spacing w:after="0" w:line="182" w:lineRule="exact"/>
        <w:rPr>
          <w:rFonts w:ascii="Times New Roman" w:cs="Times New Roman" w:eastAsia="Times New Roman" w:hAnsi="Times New Roman"/>
          <w:sz w:val="18"/>
          <w:szCs w:val="18"/>
          <w:color w:val="auto"/>
        </w:rPr>
      </w:pPr>
    </w:p>
    <w:p>
      <w:pPr>
        <w:sectPr>
          <w:pgSz w:w="11900" w:h="16838" w:orient="portrait"/>
          <w:cols w:equalWidth="0" w:num="2">
            <w:col w:w="840" w:space="180"/>
            <w:col w:w="1022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p>
      <w:pPr>
        <w:spacing w:after="0" w:line="38" w:lineRule="exact"/>
        <w:rPr>
          <w:rFonts w:ascii="Times New Roman" w:cs="Times New Roman" w:eastAsia="Times New Roman" w:hAnsi="Times New Roman"/>
          <w:sz w:val="18"/>
          <w:szCs w:val="18"/>
          <w:color w:val="auto"/>
        </w:rPr>
      </w:pPr>
    </w:p>
    <w:p>
      <w:pPr>
        <w:sectPr>
          <w:pgSz w:w="11900" w:h="16838" w:orient="portrait"/>
          <w:cols w:equalWidth="0" w:num="2">
            <w:col w:w="840" w:space="180"/>
            <w:col w:w="1022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Previously filed</w:t>
      </w:r>
    </w:p>
    <w:p>
      <w:pPr>
        <w:spacing w:after="0" w:line="18" w:lineRule="exact"/>
        <w:rPr>
          <w:rFonts w:ascii="Times New Roman" w:cs="Times New Roman" w:eastAsia="Times New Roman" w:hAnsi="Times New Roman"/>
          <w:sz w:val="18"/>
          <w:szCs w:val="18"/>
          <w:color w:val="auto"/>
        </w:rPr>
      </w:pPr>
    </w:p>
    <w:p>
      <w:pPr>
        <w:ind w:left="360" w:right="360" w:hanging="647"/>
        <w:spacing w:after="0" w:line="250" w:lineRule="auto"/>
        <w:tabs>
          <w:tab w:leader="none" w:pos="340" w:val="left"/>
        </w:tabs>
        <w:rPr>
          <w:sz w:val="20"/>
          <w:szCs w:val="20"/>
          <w:color w:val="auto"/>
        </w:rPr>
      </w:pPr>
      <w:r>
        <w:rPr>
          <w:rFonts w:ascii="Times New Roman" w:cs="Times New Roman" w:eastAsia="Times New Roman" w:hAnsi="Times New Roman"/>
          <w:sz w:val="18"/>
          <w:szCs w:val="18"/>
          <w:color w:val="auto"/>
        </w:rPr>
        <w:t>**</w:t>
        <w:tab/>
        <w:t>This exhibit is being furnished rather than filed, and shall not be deemed incorporated by reference into any filing, in accordance with Item 601 of Regulation S-K</w:t>
      </w:r>
    </w:p>
    <w:p>
      <w:pPr>
        <w:spacing w:after="0" w:line="1" w:lineRule="exact"/>
        <w:rPr>
          <w:rFonts w:ascii="Times New Roman" w:cs="Times New Roman" w:eastAsia="Times New Roman" w:hAnsi="Times New Roman"/>
          <w:sz w:val="18"/>
          <w:szCs w:val="18"/>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234" w:lineRule="exact"/>
        <w:rPr>
          <w:rFonts w:ascii="Times New Roman" w:cs="Times New Roman" w:eastAsia="Times New Roman" w:hAnsi="Times New Roman"/>
          <w:sz w:val="18"/>
          <w:szCs w:val="18"/>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Exhibits</w:t>
      </w:r>
    </w:p>
    <w:p>
      <w:pPr>
        <w:spacing w:after="0" w:line="27" w:lineRule="exact"/>
        <w:rPr>
          <w:rFonts w:ascii="Times New Roman" w:cs="Times New Roman" w:eastAsia="Times New Roman" w:hAnsi="Times New Roman"/>
          <w:sz w:val="18"/>
          <w:szCs w:val="18"/>
          <w:color w:val="auto"/>
        </w:rPr>
      </w:pPr>
    </w:p>
    <w:p>
      <w:pPr>
        <w:ind w:left="820"/>
        <w:spacing w:after="0"/>
        <w:rPr>
          <w:sz w:val="20"/>
          <w:szCs w:val="20"/>
          <w:color w:val="auto"/>
        </w:rPr>
      </w:pPr>
      <w:r>
        <w:rPr>
          <w:rFonts w:ascii="Times New Roman" w:cs="Times New Roman" w:eastAsia="Times New Roman" w:hAnsi="Times New Roman"/>
          <w:sz w:val="18"/>
          <w:szCs w:val="18"/>
          <w:color w:val="auto"/>
        </w:rPr>
        <w:t>See the exhibits filed herewith.</w:t>
      </w:r>
    </w:p>
    <w:p>
      <w:pPr>
        <w:spacing w:after="0" w:line="207" w:lineRule="exact"/>
        <w:rPr>
          <w:rFonts w:ascii="Times New Roman" w:cs="Times New Roman" w:eastAsia="Times New Roman" w:hAnsi="Times New Roman"/>
          <w:sz w:val="18"/>
          <w:szCs w:val="18"/>
          <w:color w:val="auto"/>
        </w:rPr>
      </w:pPr>
    </w:p>
    <w:p>
      <w:pPr>
        <w:ind w:left="680" w:right="7500" w:hanging="227"/>
        <w:spacing w:after="0" w:line="282" w:lineRule="auto"/>
        <w:tabs>
          <w:tab w:leader="none" w:pos="8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financial statement schedules None.</w:t>
      </w:r>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49" w:name="page50"/>
    <w:bookmarkEnd w:id="4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AGNC I</w:t>
      </w:r>
      <w:r>
        <w:rPr>
          <w:rFonts w:ascii="Times New Roman" w:cs="Times New Roman" w:eastAsia="Times New Roman" w:hAnsi="Times New Roman"/>
          <w:sz w:val="14"/>
          <w:szCs w:val="14"/>
          <w:color w:val="auto"/>
        </w:rPr>
        <w:t>NVESTMENT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5540"/>
        <w:spacing w:after="0"/>
        <w:tabs>
          <w:tab w:leader="none" w:pos="7760" w:val="left"/>
          <w:tab w:leader="none" w:pos="8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4"/>
          <w:szCs w:val="14"/>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32658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Peter J. Federico</w:t>
      </w:r>
    </w:p>
    <w:p>
      <w:pPr>
        <w:jc w:val="center"/>
        <w:ind w:left="6020"/>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w:t>
      </w: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Chief Executive Officer (Principal Executive Officer)</w:t>
      </w:r>
    </w:p>
    <w:p>
      <w:pPr>
        <w:spacing w:after="0" w:line="16"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7, 2024</w:t>
      </w:r>
    </w:p>
    <w:p>
      <w:pPr>
        <w:spacing w:after="0" w:line="293" w:lineRule="exact"/>
        <w:rPr>
          <w:sz w:val="20"/>
          <w:szCs w:val="20"/>
          <w:color w:val="auto"/>
        </w:rPr>
      </w:pPr>
    </w:p>
    <w:p>
      <w:pPr>
        <w:ind w:left="5540"/>
        <w:spacing w:after="0"/>
        <w:tabs>
          <w:tab w:leader="none" w:pos="7820" w:val="left"/>
          <w:tab w:leader="none" w:pos="8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32658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Bernice E. Bell</w:t>
      </w:r>
    </w:p>
    <w:p>
      <w:pPr>
        <w:ind w:left="7740"/>
        <w:spacing w:after="0" w:line="229" w:lineRule="auto"/>
        <w:rPr>
          <w:sz w:val="20"/>
          <w:szCs w:val="20"/>
          <w:color w:val="auto"/>
        </w:rPr>
      </w:pPr>
      <w:r>
        <w:rPr>
          <w:rFonts w:ascii="Times New Roman" w:cs="Times New Roman" w:eastAsia="Times New Roman" w:hAnsi="Times New Roman"/>
          <w:sz w:val="14"/>
          <w:szCs w:val="14"/>
          <w:b w:val="1"/>
          <w:bCs w:val="1"/>
          <w:color w:val="auto"/>
        </w:rPr>
        <w:t>Executive Vice President and</w:t>
      </w:r>
    </w:p>
    <w:p>
      <w:pPr>
        <w:ind w:left="6260"/>
        <w:spacing w:after="0" w:line="201" w:lineRule="auto"/>
        <w:rPr>
          <w:sz w:val="20"/>
          <w:szCs w:val="20"/>
          <w:color w:val="auto"/>
        </w:rPr>
      </w:pPr>
      <w:r>
        <w:rPr>
          <w:rFonts w:ascii="Times New Roman" w:cs="Times New Roman" w:eastAsia="Times New Roman" w:hAnsi="Times New Roman"/>
          <w:sz w:val="14"/>
          <w:szCs w:val="14"/>
          <w:b w:val="1"/>
          <w:bCs w:val="1"/>
          <w:color w:val="auto"/>
        </w:rPr>
        <w:t>Chief Financial Officer (Principal Financial Officer and Principal Accounting</w:t>
      </w:r>
    </w:p>
    <w:p>
      <w:pPr>
        <w:spacing w:after="0" w:line="1"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Officer)</w:t>
      </w:r>
    </w:p>
    <w:p>
      <w:pPr>
        <w:spacing w:after="0" w:line="30"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80"/>
          </w:cols>
          <w:pgMar w:left="320" w:top="887" w:right="39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359"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21"/>
          <w:szCs w:val="21"/>
          <w:color w:val="auto"/>
        </w:rPr>
        <w:t>This Amended and Restated Employment Agreement is entered into on January 31, 2023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between Sean P. Reid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AGNC Mortgage Management, LLC, a Delaware limited liability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and supersedes and replaces in its entirety that certain Employment Agreement entered into between the Company and the Executive, effective as of January 21, 2019 and as amended January 21, 2022 (collectively, “the </w:t>
      </w:r>
      <w:r>
        <w:rPr>
          <w:rFonts w:ascii="Times New Roman" w:cs="Times New Roman" w:eastAsia="Times New Roman" w:hAnsi="Times New Roman"/>
          <w:sz w:val="21"/>
          <w:szCs w:val="21"/>
          <w:u w:val="single" w:color="auto"/>
          <w:color w:val="auto"/>
        </w:rPr>
        <w:t>Prior Agreement</w:t>
      </w:r>
      <w:r>
        <w:rPr>
          <w:rFonts w:ascii="Times New Roman" w:cs="Times New Roman" w:eastAsia="Times New Roman" w:hAnsi="Times New Roman"/>
          <w:sz w:val="21"/>
          <w:szCs w:val="21"/>
          <w:color w:val="auto"/>
        </w:rPr>
        <w:t>”).</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1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the Company is currently engaged through its affiliates in the business of, among other things, managing mortgage real estate investment trusts, which invest in (a) agency securities for which the principal and interest payments are guaranteed by U.S. Government agencies and U.S. Government-sponsored entities, (b) non-agency securities and/or (c) other mortgage related investments; and</w:t>
      </w:r>
    </w:p>
    <w:p>
      <w:pPr>
        <w:spacing w:after="0" w:line="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the Executive has received and will continue to receive specific trade secrets and confidential information, training and the benefit of established customer relationships relating to the businesses of the Company, which trade secrets and confidential information, training and access to established customer relationships are necessary to enable the Executive to perform the Executive’s duties and to receive future compensation, and the Executive has played and will continue to play a significant role in the development and management of the businesses of the Company; and</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it is in the interests of the Company that the Executive’s services continue to be available to the Company;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88" w:lineRule="exact"/>
        <w:rPr>
          <w:sz w:val="20"/>
          <w:szCs w:val="20"/>
          <w:color w:val="auto"/>
        </w:rPr>
      </w:pPr>
    </w:p>
    <w:p>
      <w:pPr>
        <w:ind w:left="660" w:right="2800"/>
        <w:spacing w:after="0" w:line="368" w:lineRule="auto"/>
        <w:rPr>
          <w:sz w:val="20"/>
          <w:szCs w:val="20"/>
          <w:color w:val="auto"/>
        </w:rPr>
      </w:pPr>
      <w:r>
        <w:rPr>
          <w:rFonts w:ascii="Times New Roman" w:cs="Times New Roman" w:eastAsia="Times New Roman" w:hAnsi="Times New Roman"/>
          <w:sz w:val="21"/>
          <w:szCs w:val="21"/>
          <w:color w:val="auto"/>
        </w:rPr>
        <w:t>WHEREAS, the Company and the Executive are parties to the Prior Agreement; and WHEREAS, the parties wish to amend and restate the Prior Agreement in its entirety; and</w:t>
      </w:r>
    </w:p>
    <w:p>
      <w:pPr>
        <w:spacing w:after="0" w:line="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it is a condition to the Executive’s continued employment by the Company that the Executive execute and deliver this Agreement, and in order to induce the Executive to continue the Executive’s employment, the Company has agreed to provide the Executive with the rights and benefits described more fully herein.</w:t>
      </w:r>
    </w:p>
    <w:p>
      <w:pPr>
        <w:spacing w:after="0" w:line="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mutual covenants, representations, warranties and agreements contained herein, and for other valuable consideration, the receipt and adequacy of which are hereby acknowledged, the parties hereto agree to enter into this Agreement as follows:</w:t>
      </w:r>
    </w:p>
    <w:p>
      <w:pPr>
        <w:spacing w:after="0" w:line="59" w:lineRule="exact"/>
        <w:rPr>
          <w:sz w:val="20"/>
          <w:szCs w:val="20"/>
          <w:color w:val="auto"/>
        </w:rPr>
      </w:pPr>
    </w:p>
    <w:p>
      <w:pPr>
        <w:ind w:left="660" w:hanging="328"/>
        <w:spacing w:after="0" w:line="270" w:lineRule="auto"/>
        <w:tabs>
          <w:tab w:leader="none" w:pos="651" w:val="left"/>
        </w:tabs>
        <w:numPr>
          <w:ilvl w:val="0"/>
          <w:numId w:val="42"/>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Definitions; Interpretations</w:t>
      </w:r>
      <w:r>
        <w:rPr>
          <w:rFonts w:ascii="Times New Roman" w:cs="Times New Roman" w:eastAsia="Times New Roman" w:hAnsi="Times New Roman"/>
          <w:sz w:val="22"/>
          <w:szCs w:val="22"/>
          <w:color w:val="auto"/>
        </w:rPr>
        <w:t>. For purposes of this Agreement, except as otherwise expressly provided or unless the context otherwise requires, the following terms shall have the following respective meanings:</w:t>
      </w:r>
    </w:p>
    <w:p>
      <w:pPr>
        <w:spacing w:after="0" w:line="50" w:lineRule="exact"/>
        <w:rPr>
          <w:rFonts w:ascii="Arial" w:cs="Arial" w:eastAsia="Arial" w:hAnsi="Arial"/>
          <w:sz w:val="22"/>
          <w:szCs w:val="22"/>
          <w:color w:val="auto"/>
        </w:rPr>
      </w:pPr>
    </w:p>
    <w:p>
      <w:pPr>
        <w:ind w:left="1120" w:hanging="464"/>
        <w:spacing w:after="0"/>
        <w:tabs>
          <w:tab w:leader="none" w:pos="11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AGNC</w:t>
      </w:r>
      <w:r>
        <w:rPr>
          <w:rFonts w:ascii="Times New Roman" w:cs="Times New Roman" w:eastAsia="Times New Roman" w:hAnsi="Times New Roman"/>
          <w:sz w:val="22"/>
          <w:szCs w:val="22"/>
          <w:color w:val="auto"/>
        </w:rPr>
        <w:t>” shall mean AGNC Investment Corp. and its successors and assigns.</w:t>
      </w:r>
    </w:p>
    <w:p>
      <w:pPr>
        <w:spacing w:after="0" w:line="11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shall have the meaning specified in subparagraph 4(a).</w:t>
      </w:r>
    </w:p>
    <w:p>
      <w:pPr>
        <w:spacing w:after="0" w:line="11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AGNC.</w:t>
      </w:r>
    </w:p>
    <w:p>
      <w:pPr>
        <w:sectPr>
          <w:pgSz w:w="11900" w:h="16838" w:orient="portrait"/>
          <w:cols w:equalWidth="0" w:num="1">
            <w:col w:w="11240"/>
          </w:cols>
          <w:pgMar w:left="320" w:top="127" w:right="339" w:bottom="1440" w:gutter="0" w:footer="0" w:header="0"/>
        </w:sectPr>
      </w:pPr>
    </w:p>
    <w:bookmarkStart w:id="51" w:name="page52"/>
    <w:bookmarkEnd w:id="51"/>
    <w:p>
      <w:pPr>
        <w:spacing w:after="0" w:line="90" w:lineRule="exact"/>
        <w:rPr>
          <w:sz w:val="20"/>
          <w:szCs w:val="20"/>
          <w:color w:val="auto"/>
        </w:rPr>
      </w:pPr>
    </w:p>
    <w:p>
      <w:pPr>
        <w:ind w:left="-656" w:firstLine="656"/>
        <w:spacing w:after="0" w:line="271" w:lineRule="auto"/>
        <w:tabs>
          <w:tab w:leader="none" w:pos="4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shall have the meaning set forth in the Equity Plan, including the relevant provisions of Section 17 of the Equity Plan, as of the Effective Date.</w:t>
      </w:r>
    </w:p>
    <w:p>
      <w:pPr>
        <w:spacing w:after="0" w:line="49"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125" w:lineRule="exact"/>
        <w:rPr>
          <w:rFonts w:ascii="Times New Roman" w:cs="Times New Roman" w:eastAsia="Times New Roman" w:hAnsi="Times New Roman"/>
          <w:sz w:val="22"/>
          <w:szCs w:val="22"/>
          <w:color w:val="auto"/>
        </w:rPr>
      </w:pPr>
    </w:p>
    <w:p>
      <w:pPr>
        <w:ind w:left="-656" w:right="20" w:firstLine="656"/>
        <w:spacing w:after="0" w:line="271" w:lineRule="auto"/>
        <w:tabs>
          <w:tab w:leader="none" w:pos="43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Managed Fund</w:t>
      </w:r>
      <w:r>
        <w:rPr>
          <w:rFonts w:ascii="Times New Roman" w:cs="Times New Roman" w:eastAsia="Times New Roman" w:hAnsi="Times New Roman"/>
          <w:sz w:val="22"/>
          <w:szCs w:val="22"/>
          <w:color w:val="auto"/>
        </w:rPr>
        <w:t>” shall mean (i) AGNC and (ii) any other entity for which the Company or a subsidiary of the Company serves as investment manager or in a substantially similar capacity pursuant to a written agreement.</w:t>
      </w:r>
    </w:p>
    <w:p>
      <w:pPr>
        <w:spacing w:after="0" w:line="49"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Company’s Business</w:t>
      </w:r>
      <w:r>
        <w:rPr>
          <w:rFonts w:ascii="Times New Roman" w:cs="Times New Roman" w:eastAsia="Times New Roman" w:hAnsi="Times New Roman"/>
          <w:sz w:val="22"/>
          <w:szCs w:val="22"/>
          <w:color w:val="auto"/>
        </w:rPr>
        <w:t>” shall mean:</w:t>
      </w:r>
    </w:p>
    <w:p>
      <w:pPr>
        <w:spacing w:after="0" w:line="111" w:lineRule="exact"/>
        <w:rPr>
          <w:rFonts w:ascii="Times New Roman" w:cs="Times New Roman" w:eastAsia="Times New Roman" w:hAnsi="Times New Roman"/>
          <w:sz w:val="22"/>
          <w:szCs w:val="22"/>
          <w:color w:val="auto"/>
        </w:rPr>
      </w:pPr>
    </w:p>
    <w:p>
      <w:pPr>
        <w:jc w:val="both"/>
        <w:ind w:left="4" w:firstLine="644"/>
        <w:spacing w:after="0" w:line="263" w:lineRule="auto"/>
        <w:tabs>
          <w:tab w:leader="none" w:pos="108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business activity that would be the same or competitive with any business activity engaged in by AGNC, the Company or any of their subsidiaries or any Company Managed Fund during the term of the Executive’s employment; and</w:t>
      </w:r>
    </w:p>
    <w:p>
      <w:pPr>
        <w:spacing w:after="0" w:line="59" w:lineRule="exact"/>
        <w:rPr>
          <w:rFonts w:ascii="Times New Roman" w:cs="Times New Roman" w:eastAsia="Times New Roman" w:hAnsi="Times New Roman"/>
          <w:sz w:val="22"/>
          <w:szCs w:val="22"/>
          <w:color w:val="auto"/>
        </w:rPr>
      </w:pPr>
    </w:p>
    <w:p>
      <w:pPr>
        <w:jc w:val="both"/>
        <w:ind w:left="4" w:firstLine="644"/>
        <w:spacing w:after="0" w:line="257" w:lineRule="auto"/>
        <w:tabs>
          <w:tab w:leader="none" w:pos="114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management, advisory or other investment services to mortgage real estate investment trusts or any other investment vehicles that engage primarily in the acquisition, trading, sales, financing, investment or management of mortgage-backed securities or other real estate assets.</w:t>
      </w:r>
    </w:p>
    <w:p>
      <w:pPr>
        <w:spacing w:after="0" w:line="64"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shall mean the Compensation and Corporate Governance Committee of the Board.</w:t>
      </w:r>
    </w:p>
    <w:p>
      <w:pPr>
        <w:spacing w:after="0" w:line="111" w:lineRule="exact"/>
        <w:rPr>
          <w:rFonts w:ascii="Times New Roman" w:cs="Times New Roman" w:eastAsia="Times New Roman" w:hAnsi="Times New Roman"/>
          <w:sz w:val="22"/>
          <w:szCs w:val="22"/>
          <w:color w:val="auto"/>
        </w:rPr>
      </w:pPr>
    </w:p>
    <w:p>
      <w:pPr>
        <w:ind w:left="-656" w:right="20" w:firstLine="656"/>
        <w:spacing w:after="0" w:line="284" w:lineRule="auto"/>
        <w:tabs>
          <w:tab w:leader="none" w:pos="64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 Committee Charter</w:t>
      </w:r>
      <w:r>
        <w:rPr>
          <w:rFonts w:ascii="Times New Roman" w:cs="Times New Roman" w:eastAsia="Times New Roman" w:hAnsi="Times New Roman"/>
          <w:sz w:val="22"/>
          <w:szCs w:val="22"/>
          <w:color w:val="auto"/>
        </w:rPr>
        <w:t>” shall mean the AGNC Investment Corp. Compensation and Corporate Governance Committee Charter, as may be in effect from time to time.</w:t>
      </w:r>
    </w:p>
    <w:p>
      <w:pPr>
        <w:spacing w:after="0" w:line="35" w:lineRule="exact"/>
        <w:rPr>
          <w:rFonts w:ascii="Times New Roman" w:cs="Times New Roman" w:eastAsia="Times New Roman" w:hAnsi="Times New Roman"/>
          <w:sz w:val="22"/>
          <w:szCs w:val="22"/>
          <w:color w:val="auto"/>
        </w:rPr>
      </w:pPr>
    </w:p>
    <w:p>
      <w:pPr>
        <w:jc w:val="both"/>
        <w:ind w:left="-656" w:firstLine="656"/>
        <w:spacing w:after="0" w:line="249" w:lineRule="auto"/>
        <w:tabs>
          <w:tab w:leader="none" w:pos="53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a physical or mental condition of the Executive that, in the good faith judgment of the Company, prevents the Executive from being able to perform the services required under this Agreement and that results in the Executive becoming eligible for long-term disability benefits (if such benefits are provided by the Company). If any dispute arises as to whether a Disability has occurred, or whether a Disability has ceased and the Executive is able to resume duties, then such dispute shall be referred to a licensed physician, at the request of either the Executive or the Company. The Executive shall submit to such examinations and provide information as such physician may request and the determination of such physician as to the Executive’s physical or mental condition shall be binding and conclusive on the parties. The Company shall pay the cost of any such physician and examination.</w:t>
      </w:r>
    </w:p>
    <w:p>
      <w:pPr>
        <w:spacing w:after="0" w:line="73" w:lineRule="exact"/>
        <w:rPr>
          <w:rFonts w:ascii="Times New Roman" w:cs="Times New Roman" w:eastAsia="Times New Roman" w:hAnsi="Times New Roman"/>
          <w:sz w:val="22"/>
          <w:szCs w:val="22"/>
          <w:color w:val="auto"/>
        </w:rPr>
      </w:pPr>
    </w:p>
    <w:p>
      <w:pPr>
        <w:ind w:left="-656" w:firstLine="656"/>
        <w:spacing w:after="0" w:line="284" w:lineRule="auto"/>
        <w:tabs>
          <w:tab w:leader="none" w:pos="48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shall mean the AGNC Investment Corp. 2016 Equity and Incentive Compensation Plan, as approved by the Board on October 18, 2016, as amended from time to time, and any successor plan thereto.</w:t>
      </w:r>
    </w:p>
    <w:p>
      <w:pPr>
        <w:spacing w:after="0" w:line="35" w:lineRule="exact"/>
        <w:rPr>
          <w:rFonts w:ascii="Times New Roman" w:cs="Times New Roman" w:eastAsia="Times New Roman" w:hAnsi="Times New Roman"/>
          <w:sz w:val="22"/>
          <w:szCs w:val="22"/>
          <w:color w:val="auto"/>
        </w:rPr>
      </w:pPr>
    </w:p>
    <w:p>
      <w:pPr>
        <w:jc w:val="both"/>
        <w:ind w:left="-656" w:firstLine="656"/>
        <w:spacing w:after="0" w:line="250" w:lineRule="auto"/>
        <w:tabs>
          <w:tab w:leader="none" w:pos="4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any of the following, which occur without the Executive’s express written consent: (i) a material diminution of the Executive’s authority, duties or responsibilities with the Company, (ii) a material breach by the Company of any material provision of this Agreement, or (iii) a relocation of the Executive’s principal office to a location that is in excess of 50 miles from Bethesda, Maryland. The Executive must provide written notice to the Company within 90 days of the initial existence of a condition that constitutes Good Reason as defined herein and the Company shall have 30 days after receipt of any such notice to remedy the condition. If the Company timely remedies such condition, such condition shall not constitute Good Reason. The Executive may not terminate the Executive’s employment</w:t>
      </w:r>
    </w:p>
    <w:p>
      <w:pPr>
        <w:sectPr>
          <w:pgSz w:w="11900" w:h="16838" w:orient="portrait"/>
          <w:cols w:equalWidth="0" w:num="1">
            <w:col w:w="10584"/>
          </w:cols>
          <w:pgMar w:left="976" w:top="1440" w:right="339" w:bottom="1440" w:gutter="0" w:footer="0" w:header="0"/>
        </w:sectPr>
      </w:pPr>
    </w:p>
    <w:bookmarkStart w:id="52" w:name="page53"/>
    <w:bookmarkEnd w:id="52"/>
    <w:p>
      <w:pPr>
        <w:spacing w:after="0" w:line="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hereunder for Good Reason more than six months after the initial existence of one (or more) of the conditions that constitutes Good Reason.</w:t>
      </w:r>
    </w:p>
    <w:p>
      <w:pPr>
        <w:spacing w:after="0" w:line="50" w:lineRule="exact"/>
        <w:rPr>
          <w:sz w:val="20"/>
          <w:szCs w:val="20"/>
          <w:color w:val="auto"/>
        </w:rPr>
      </w:pPr>
    </w:p>
    <w:p>
      <w:pPr>
        <w:ind w:firstLine="656"/>
        <w:spacing w:after="0" w:line="284" w:lineRule="auto"/>
        <w:tabs>
          <w:tab w:leader="none" w:pos="143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and include an individual, a partnership, a joint venture, a corporation, a trust and an unincorporated organization.</w:t>
      </w:r>
    </w:p>
    <w:p>
      <w:pPr>
        <w:spacing w:after="0" w:line="35"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Territory</w:t>
      </w:r>
      <w:r>
        <w:rPr>
          <w:rFonts w:ascii="Times New Roman" w:cs="Times New Roman" w:eastAsia="Times New Roman" w:hAnsi="Times New Roman"/>
          <w:sz w:val="22"/>
          <w:szCs w:val="22"/>
          <w:color w:val="auto"/>
        </w:rPr>
        <w:t>” shall mean:</w:t>
      </w:r>
    </w:p>
    <w:p>
      <w:pPr>
        <w:spacing w:after="0" w:line="111"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world; and</w:t>
      </w:r>
    </w:p>
    <w:p>
      <w:pPr>
        <w:spacing w:after="0" w:line="11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North America; and</w:t>
      </w:r>
    </w:p>
    <w:p>
      <w:pPr>
        <w:spacing w:after="0" w:line="111"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States; and</w:t>
      </w:r>
    </w:p>
    <w:p>
      <w:pPr>
        <w:spacing w:after="0" w:line="125"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Maryland.</w:t>
      </w:r>
    </w:p>
    <w:p>
      <w:pPr>
        <w:spacing w:after="0" w:line="11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 shall mean Section 280G of the Code and the regulations thereunder.</w:t>
      </w:r>
    </w:p>
    <w:p>
      <w:pPr>
        <w:spacing w:after="0" w:line="11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mean Section 409A of the Code and the regulations thereunder.</w:t>
      </w:r>
    </w:p>
    <w:p>
      <w:pPr>
        <w:spacing w:after="0" w:line="111"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xml:space="preserve">” shall be deemed to exist if Executive: (i) commits or engages in an act of fraud, embezzlement, sexual harassment, dishonesty or theft in connection with Executive’s duties for the Company; (ii) is convicted of, or pleads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with respect to, an act of criminal misconduct, involving any financial crime or an act of moral turpitude; (iii) engages in an act of gross negligence or willful failure to perform in any material respect Executive’s duties or responsibilities to the Company (other than as a result of ill health or disability); and/or (iv) materially breaches or violates the Company’s employment policies, including its Code of Ethics; provided, however, that prior to any termination for cause under clauses (iii) or (iv) of this paragraph, Executive will have been given written notice of such matter from the Company’s Chief Executive Officer and a 15 day period to correct any such matter.</w:t>
      </w:r>
    </w:p>
    <w:p>
      <w:pPr>
        <w:spacing w:after="0" w:line="87" w:lineRule="exact"/>
        <w:rPr>
          <w:rFonts w:ascii="Times New Roman" w:cs="Times New Roman" w:eastAsia="Times New Roman" w:hAnsi="Times New Roman"/>
          <w:sz w:val="22"/>
          <w:szCs w:val="22"/>
          <w:color w:val="auto"/>
        </w:rPr>
      </w:pPr>
    </w:p>
    <w:p>
      <w:pPr>
        <w:ind w:firstLine="656"/>
        <w:spacing w:after="0" w:line="271" w:lineRule="auto"/>
        <w:tabs>
          <w:tab w:leader="none" w:pos="116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For Good Reason</w:t>
      </w:r>
      <w:r>
        <w:rPr>
          <w:rFonts w:ascii="Times New Roman" w:cs="Times New Roman" w:eastAsia="Times New Roman" w:hAnsi="Times New Roman"/>
          <w:sz w:val="22"/>
          <w:szCs w:val="22"/>
          <w:color w:val="auto"/>
        </w:rPr>
        <w:t>” shall mean the Executive’s termination of the Executive’s employment with the Company as a result of Good Reason.</w:t>
      </w:r>
    </w:p>
    <w:p>
      <w:pPr>
        <w:spacing w:after="0" w:line="4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3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shall mean the termination by the Company of the Executive’s employment with the Company for any reason other than a termination for Disability or a Termination For Cause and shall not include the Company’s giving notice pursuant to subparagraph 5(a) that the Employment Period shall not be extended.</w:t>
      </w:r>
    </w:p>
    <w:p>
      <w:pPr>
        <w:spacing w:after="0" w:line="78" w:lineRule="exact"/>
        <w:rPr>
          <w:rFonts w:ascii="Times New Roman" w:cs="Times New Roman" w:eastAsia="Times New Roman" w:hAnsi="Times New Roman"/>
          <w:sz w:val="22"/>
          <w:szCs w:val="22"/>
          <w:color w:val="auto"/>
        </w:rPr>
      </w:pPr>
    </w:p>
    <w:p>
      <w:pPr>
        <w:ind w:firstLine="656"/>
        <w:spacing w:after="0" w:line="271" w:lineRule="auto"/>
        <w:tabs>
          <w:tab w:leader="none" w:pos="110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Voluntary Termination</w:t>
      </w:r>
      <w:r>
        <w:rPr>
          <w:rFonts w:ascii="Times New Roman" w:cs="Times New Roman" w:eastAsia="Times New Roman" w:hAnsi="Times New Roman"/>
          <w:sz w:val="22"/>
          <w:szCs w:val="22"/>
          <w:color w:val="auto"/>
        </w:rPr>
        <w:t>” shall mean the Executive’s termination of the Executive’s employment with the Company for any reason, other than a Termination For Good Reason.</w:t>
      </w:r>
    </w:p>
    <w:p>
      <w:pPr>
        <w:spacing w:after="0" w:line="5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this Agreement, unless a clear contrary intention appears, (a) the words “herein,” “hereof” and “hereunder” and other words of similar import refer to this Agreement as a whole and not to any particular paragraph or subparagraph, (b) reference to any paragraph or subparagraph means such paragraph or subparagraph hereof, (c) the words “including” (and with correlative meaning “include”) means including, without limiting the generality of any description preceding such term, and (d) where any provision of this Agreement refers to action</w:t>
      </w:r>
    </w:p>
    <w:p>
      <w:pPr>
        <w:sectPr>
          <w:pgSz w:w="11900" w:h="16838" w:orient="portrait"/>
          <w:cols w:equalWidth="0" w:num="1">
            <w:col w:w="11240"/>
          </w:cols>
          <w:pgMar w:left="320" w:top="1440" w:right="339" w:bottom="1440" w:gutter="0" w:footer="0" w:header="0"/>
        </w:sectPr>
      </w:pPr>
    </w:p>
    <w:bookmarkStart w:id="53" w:name="page54"/>
    <w:bookmarkEnd w:id="53"/>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to be taken by a specific party, or which such party is prohibited from taking, such provision shall be applicable whether such action is taken directly or indirectly by such party. The paragraph and subparagraph headings herein are for convenience only and shall not affect the construction hereof.</w:t>
      </w:r>
    </w:p>
    <w:p>
      <w:pPr>
        <w:spacing w:after="0" w:line="78" w:lineRule="exact"/>
        <w:rPr>
          <w:sz w:val="20"/>
          <w:szCs w:val="20"/>
          <w:color w:val="auto"/>
        </w:rPr>
      </w:pPr>
    </w:p>
    <w:p>
      <w:pPr>
        <w:jc w:val="both"/>
        <w:ind w:firstLine="656"/>
        <w:spacing w:after="0" w:line="251" w:lineRule="auto"/>
        <w:tabs>
          <w:tab w:leader="none" w:pos="110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Company agrees to continue to employ the Executive, and the Executive agrees to accept such continued employment with the Company, in each case on the terms and conditions set forth in this Agreement for the period beginning on the Effective Date and ending as provided in paragraph 5 hereof (the “</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 Notwithstanding anything in this Agreement to the contrary, the Executive shall be an at-will employee of the Company and the Executive or the Company may terminate the Executive’s employment with the Company for any reason or no reason at any time, subject to the terms and conditions hereof, including any obligations the Company may have pursuant to paragraph 6 hereof.</w:t>
      </w:r>
    </w:p>
    <w:p>
      <w:pPr>
        <w:spacing w:after="0" w:line="73"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Positions and Duties</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jc w:val="both"/>
        <w:ind w:firstLine="656"/>
        <w:spacing w:after="0" w:line="252" w:lineRule="auto"/>
        <w:tabs>
          <w:tab w:leader="none" w:pos="1158"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the Executive shall serve as the Executive Vice President, Strategy and Corporate Development of the Company. As such, the Executive shall have the responsibilities and authorities customary for persons holding such positions and such other duties as may reasonably be designated to Executive by the Chief Executive Officer of the Company or an executive of comparable seniority as designated by the Company.</w:t>
      </w:r>
    </w:p>
    <w:p>
      <w:pPr>
        <w:spacing w:after="0" w:line="8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the Executive shall (i) report directly to the Chief Executive Officer of the Company and (ii) observe and comply with all lawful policies, directions and instructions of the Chief Executive Officer of the Company or the Board that are consistent with this paragraph 3. At the Company’s request and instruction, Executive shall, in lieu of reporting to the Chief Executive Officer, instead report to and receive instruction from an executive of the Company with comparable seniority.</w:t>
      </w:r>
    </w:p>
    <w:p>
      <w:pPr>
        <w:spacing w:after="0" w:line="8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0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the Executive shall (i) devote substantially all of the Executive’s business time, attention, skill and efforts to the faithful and efficient performance of the Executive’s duties hereunder (except for permitted vacation periods and reasonable periods of illness or other incapacity) and (ii) not accept employment with any Person other than with the Company. Notwithstanding the foregoing, the Executive may engage in the following activities so long as they do not interfere in any material respect with the performance of the Executive’s duties and responsibilities hereunder: (A) serve on corporate (if approved by the Board, such approval not to be unreasonably withheld), civic, religious, educational or charitable boards or committees or (B) manage the Executive’s personal investments.</w:t>
      </w:r>
    </w:p>
    <w:p>
      <w:pPr>
        <w:spacing w:after="0" w:line="7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jc w:val="both"/>
        <w:ind w:firstLine="656"/>
        <w:spacing w:after="0" w:line="256" w:lineRule="auto"/>
        <w:tabs>
          <w:tab w:leader="none" w:pos="1225"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For services rendered by the Executive under this Agreement during the Employment Period, the Company shall pay to the Executive an annual base salary (“Base Salary”), evenly paid twice a month or on such other schedule as salaried employees of the Company are generally and regularly compensated. Effective as of January 1, 2023, through the term of this Agreement, the Base Salary shall be at the rate of no less than $650,000 per year.</w:t>
      </w:r>
    </w:p>
    <w:p>
      <w:pPr>
        <w:spacing w:after="0" w:line="68" w:lineRule="exact"/>
        <w:rPr>
          <w:rFonts w:ascii="Times New Roman" w:cs="Times New Roman" w:eastAsia="Times New Roman" w:hAnsi="Times New Roman"/>
          <w:sz w:val="22"/>
          <w:szCs w:val="22"/>
          <w:color w:val="auto"/>
        </w:rPr>
      </w:pPr>
    </w:p>
    <w:p>
      <w:pPr>
        <w:ind w:firstLine="656"/>
        <w:spacing w:after="0" w:line="271" w:lineRule="auto"/>
        <w:tabs>
          <w:tab w:leader="none" w:pos="122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Cash Bonus</w:t>
      </w:r>
      <w:r>
        <w:rPr>
          <w:rFonts w:ascii="Times New Roman" w:cs="Times New Roman" w:eastAsia="Times New Roman" w:hAnsi="Times New Roman"/>
          <w:sz w:val="22"/>
          <w:szCs w:val="22"/>
          <w:color w:val="auto"/>
        </w:rPr>
        <w:t>. With respect to each calendar year during the Employment Period, the Executive shall be eligible to earn an annual cash bonus. The actual annual bonus will</w:t>
      </w:r>
    </w:p>
    <w:p>
      <w:pPr>
        <w:sectPr>
          <w:pgSz w:w="11900" w:h="16838" w:orient="portrait"/>
          <w:cols w:equalWidth="0" w:num="1">
            <w:col w:w="11240"/>
          </w:cols>
          <w:pgMar w:left="320" w:top="1440" w:right="339" w:bottom="1440" w:gutter="0" w:footer="0" w:header="0"/>
        </w:sectPr>
      </w:pPr>
    </w:p>
    <w:bookmarkStart w:id="54" w:name="page55"/>
    <w:bookmarkEnd w:id="54"/>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be the product of the target value (the “</w:t>
      </w:r>
      <w:r>
        <w:rPr>
          <w:rFonts w:ascii="Times New Roman" w:cs="Times New Roman" w:eastAsia="Times New Roman" w:hAnsi="Times New Roman"/>
          <w:sz w:val="22"/>
          <w:szCs w:val="22"/>
          <w:u w:val="single" w:color="auto"/>
          <w:color w:val="auto"/>
        </w:rPr>
        <w:t>Target Annual Bonus Amount</w:t>
      </w:r>
      <w:r>
        <w:rPr>
          <w:rFonts w:ascii="Times New Roman" w:cs="Times New Roman" w:eastAsia="Times New Roman" w:hAnsi="Times New Roman"/>
          <w:sz w:val="22"/>
          <w:szCs w:val="22"/>
          <w:color w:val="auto"/>
        </w:rPr>
        <w:t>”) and a factor based on the level of achievement of specified performance measures and goals set by the Compensation Committee (with, subject to the Compensation Committee Charter, input from the Chief Executive Officer) for such calendar year (the “</w:t>
      </w:r>
      <w:r>
        <w:rPr>
          <w:rFonts w:ascii="Times New Roman" w:cs="Times New Roman" w:eastAsia="Times New Roman" w:hAnsi="Times New Roman"/>
          <w:sz w:val="22"/>
          <w:szCs w:val="22"/>
          <w:u w:val="single" w:color="auto"/>
          <w:color w:val="auto"/>
        </w:rPr>
        <w:t>Annual Performance Goals</w:t>
      </w:r>
      <w:r>
        <w:rPr>
          <w:rFonts w:ascii="Times New Roman" w:cs="Times New Roman" w:eastAsia="Times New Roman" w:hAnsi="Times New Roman"/>
          <w:sz w:val="22"/>
          <w:szCs w:val="22"/>
          <w:color w:val="auto"/>
        </w:rPr>
        <w:t>”). The factor is expected to be above 1.0 for above plan performance and below 1.0 if performance is below expectations or corporate goals are not fully met. Performance below a defined threshold level may result in no bonus payment for such measure. For the calendar year 2023 bonus to be paid in 2024, and for each calendar year thereafter, the Target Annual Bonus Amount shall be no less than $1,300,000. The Compensation Committee (with, subject to the Compensation Committee Charter, input from the Chief Executive Officer), in its reasonable judgment and no later than ninety (90) days after the beginning of each calendar year, shall determine the weightings of each performance measure and the threshold, target and maximum for each performance goal, which in aggregate will comprise the “Corporate Scorecard” for that calendar year. Executive’s Annual Performance Goals may be a combination of the “corporate scorecard” and individual contributions of the Executive, and, the weighting thereof, as well as performance versus this criteria, shall be determined by the Compensation Committee (with, subject to the Compensation Committee Charter, input from the Chief Executive Officer), in its reasonable judgment. To the extent that specified performance measures and goals apply to other executives of the Company, the threshold, target and maximum levels associated with such specified performance measures and goals will apply to the Executive in the same manner as they apply to such other executives. Subject to the provisions of paragraph 6, the Executive must be employed on the date on which the annual cash bonus is paid in order to receive payment of any such annual cash bonus pursuant to this subparagraph 4(b). Any annual cash bonus earned pursuant to this subparagraph 4(b) shall be paid to the Executive by March 15 of the calendar year following the calendar year to which such annual cash bonus relates.</w:t>
      </w:r>
    </w:p>
    <w:p>
      <w:pPr>
        <w:spacing w:after="0" w:line="89" w:lineRule="exact"/>
        <w:rPr>
          <w:sz w:val="20"/>
          <w:szCs w:val="20"/>
          <w:color w:val="auto"/>
        </w:rPr>
      </w:pPr>
    </w:p>
    <w:p>
      <w:pPr>
        <w:jc w:val="both"/>
        <w:ind w:firstLine="656"/>
        <w:spacing w:after="0" w:line="247" w:lineRule="auto"/>
        <w:tabs>
          <w:tab w:leader="none" w:pos="115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Awards</w:t>
      </w:r>
      <w:r>
        <w:rPr>
          <w:rFonts w:ascii="Times New Roman" w:cs="Times New Roman" w:eastAsia="Times New Roman" w:hAnsi="Times New Roman"/>
          <w:sz w:val="22"/>
          <w:szCs w:val="22"/>
          <w:color w:val="auto"/>
        </w:rPr>
        <w:t>. During the first quarter of each calendar year of the Employment Period, Executive shall be eligible to receive long-term incentive award(s), subject to approval by the Board, as part of the Company’s long-term incentive program applicable to other executives (the “</w:t>
      </w:r>
      <w:r>
        <w:rPr>
          <w:rFonts w:ascii="Times New Roman" w:cs="Times New Roman" w:eastAsia="Times New Roman" w:hAnsi="Times New Roman"/>
          <w:sz w:val="22"/>
          <w:szCs w:val="22"/>
          <w:u w:val="single" w:color="auto"/>
          <w:color w:val="auto"/>
        </w:rPr>
        <w:t>Target Annual LTIA</w:t>
      </w:r>
      <w:r>
        <w:rPr>
          <w:rFonts w:ascii="Times New Roman" w:cs="Times New Roman" w:eastAsia="Times New Roman" w:hAnsi="Times New Roman"/>
          <w:sz w:val="22"/>
          <w:szCs w:val="22"/>
          <w:color w:val="auto"/>
        </w:rPr>
        <w:t>”). Beginning in the calendar year 2023 and in each calendar year thereafter, such grants shall have an aggregate target fair value equal to no less than $1,040,000. Annual grants will be comprised of a combination of 50% “Performance-Based Awards” that shall vest based upon the achievement of certain specified performance metrics (as determined by the Compensation Committee in its reasonable judgment) (the “</w:t>
      </w:r>
      <w:r>
        <w:rPr>
          <w:rFonts w:ascii="Times New Roman" w:cs="Times New Roman" w:eastAsia="Times New Roman" w:hAnsi="Times New Roman"/>
          <w:sz w:val="22"/>
          <w:szCs w:val="22"/>
          <w:u w:val="single" w:color="auto"/>
          <w:color w:val="auto"/>
        </w:rPr>
        <w:t>Performance-Based Metrics</w:t>
      </w:r>
      <w:r>
        <w:rPr>
          <w:rFonts w:ascii="Times New Roman" w:cs="Times New Roman" w:eastAsia="Times New Roman" w:hAnsi="Times New Roman"/>
          <w:sz w:val="22"/>
          <w:szCs w:val="22"/>
          <w:color w:val="auto"/>
        </w:rPr>
        <w:t>”) measured over a multi-year performance period with the amount of shares and the associated performance targets specified at or before the grant date of the award, and 50% time-based awards that shall vest based on continued service over a multi-year period. If the Performance-Based Metrics are exceeded (as determined by the Compensation Committee in its reasonable judgment), the Executive may earn up to 200% of the target number of shares underlying the Performance-Based Award. Notwithstanding the foregoing, each Target Annual LTIA shall be subject to approval by the Board and to the terms and conditions of the Equity Plan and the applicable award agreement(s) to be entered into between AGNC and the Executive, which shall be consistent with the terms hereof. In the event that AGNC cannot grant the Target Annual LTIA to the Executive during any such calendar year, AGNC shall instead provide a cash award to the Executive with an equivalent fair value and under equivalent vesting</w:t>
      </w:r>
    </w:p>
    <w:p>
      <w:pPr>
        <w:sectPr>
          <w:pgSz w:w="11900" w:h="16838" w:orient="portrait"/>
          <w:cols w:equalWidth="0" w:num="1">
            <w:col w:w="11240"/>
          </w:cols>
          <w:pgMar w:left="320" w:top="1440" w:right="339" w:bottom="1440" w:gutter="0" w:footer="0" w:header="0"/>
        </w:sectPr>
      </w:pPr>
    </w:p>
    <w:bookmarkStart w:id="55" w:name="page56"/>
    <w:bookmarkEnd w:id="55"/>
    <w:p>
      <w:pPr>
        <w:spacing w:after="0" w:line="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terms, which shall be subject to the terms and conditions of an applicable award agreement to be entered into between AGNC and the Executive (as approved by the Compensation Committee).</w:t>
      </w:r>
    </w:p>
    <w:p>
      <w:pPr>
        <w:spacing w:after="0" w:line="50" w:lineRule="exact"/>
        <w:rPr>
          <w:sz w:val="20"/>
          <w:szCs w:val="20"/>
          <w:color w:val="auto"/>
        </w:rPr>
      </w:pPr>
    </w:p>
    <w:p>
      <w:pPr>
        <w:ind w:firstLine="656"/>
        <w:spacing w:after="0" w:line="284" w:lineRule="auto"/>
        <w:tabs>
          <w:tab w:leader="none" w:pos="118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During the Employment Period, the Executive shall be entitled to 25 days of paid vacation during each calendar year.</w:t>
      </w:r>
    </w:p>
    <w:p>
      <w:pPr>
        <w:spacing w:after="0" w:line="35" w:lineRule="exact"/>
        <w:rPr>
          <w:rFonts w:ascii="Times New Roman" w:cs="Times New Roman" w:eastAsia="Times New Roman" w:hAnsi="Times New Roman"/>
          <w:sz w:val="22"/>
          <w:szCs w:val="22"/>
          <w:color w:val="auto"/>
        </w:rPr>
      </w:pPr>
    </w:p>
    <w:p>
      <w:pPr>
        <w:jc w:val="both"/>
        <w:ind w:firstLine="656"/>
        <w:spacing w:after="0" w:line="248" w:lineRule="auto"/>
        <w:tabs>
          <w:tab w:leader="none" w:pos="119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During the Employment Period, the Executive shall be entitled to receive all employee benefits, fringe benefits and other perquisites that may be offered by the Company to its senior employees as a group, including, without limitation, participation by the Executive and, where applicable, the Executive’s dependents, in the various employee benefit plans or programs (including, without limitation, retirement plans, stock plans, health plans, life insurance, parking and disability insurance but excluding, except as hereinafter provided in subparagraph 6(b), 6(c) or 6(d), any severance pay program or policy of AGNC, the Company or any of their subsidiaries) generally provided to senior employees of the Company, subject to meeting the eligibility requirements with respect to each of such benefit plans or programs. However, nothing in this subparagraph 4(e) shall be deemed to prohibit the applicable plan sponsor from making any changes in any of the plans, programs or benefits described herein, provided such changes apply to all similarly situated senior employees.</w:t>
      </w:r>
    </w:p>
    <w:p>
      <w:pPr>
        <w:spacing w:after="0" w:line="77" w:lineRule="exact"/>
        <w:rPr>
          <w:rFonts w:ascii="Times New Roman" w:cs="Times New Roman" w:eastAsia="Times New Roman" w:hAnsi="Times New Roman"/>
          <w:sz w:val="22"/>
          <w:szCs w:val="22"/>
          <w:color w:val="auto"/>
        </w:rPr>
      </w:pPr>
    </w:p>
    <w:p>
      <w:pPr>
        <w:jc w:val="both"/>
        <w:ind w:firstLine="656"/>
        <w:spacing w:after="0" w:line="247" w:lineRule="auto"/>
        <w:tabs>
          <w:tab w:leader="none" w:pos="110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Executive agrees that performance-based incentive compensation awarded or paid by AGNC or the Company to the Executive (whether in cash or equity) shall be subject to the clawback policy of the Company in effect as of the Effective Date, including as it may be amended from time to time in order to comply with the final rules or regulations adopted by the U.S. Securities and Exchange Commission and the Nasdaq Stock Market that implement the incentive-based compensation recovery requirements set forth in Section 10D of the Securities Exchange Act of 1934, as added by Section 954 of the Dodd-Frank Wall Street Reform and Consumer Protection Act, and any other applicable legal requirements or listing standards that may be enacted and in effect from time to time (the “</w:t>
      </w:r>
      <w:r>
        <w:rPr>
          <w:rFonts w:ascii="Times New Roman" w:cs="Times New Roman" w:eastAsia="Times New Roman" w:hAnsi="Times New Roman"/>
          <w:sz w:val="22"/>
          <w:szCs w:val="22"/>
          <w:u w:val="single" w:color="auto"/>
          <w:color w:val="auto"/>
        </w:rPr>
        <w:t>Clawback Rules</w:t>
      </w:r>
      <w:r>
        <w:rPr>
          <w:rFonts w:ascii="Times New Roman" w:cs="Times New Roman" w:eastAsia="Times New Roman" w:hAnsi="Times New Roman"/>
          <w:sz w:val="22"/>
          <w:szCs w:val="22"/>
          <w:color w:val="auto"/>
        </w:rPr>
        <w:t>”) or as otherwise may be amended or adopted in good faith by the Board for the Company’s employees. Such clawback policy, as it may be amended or adopted, will trigger the forfeiture or recoupment of the Executive’s performance-based incentive compensation (and such other compensation covered by the Clawback Rules or determined by the Board in good faith and specified in such policy) if the performance-based incentive compensation (or other compensation) is of the type covered by the Clawback Rules or such clawback policy for employees as adopted by the Board in good faith and (i) in the event that AGNC is required to prepare an accounting restatement due to AGNC’s material noncompliance with any financial reporting requirement under U.S. federal securities laws, provided that such forfeiture or recoupment shall be limited to the portion of applicable compensation that would not have been awarded or paid to the Executive for or in respect of such restated fiscal year had such financial statements been accurate (as reasonably determined by the Board in accordance with the Clawback Rules), (ii) in such other circumstances as may be required to comply with the Clawback Rules, in which case such forfeiture or recoupment shall be limited to the portion of the applicable compensation required to be forfeited/recouped under the Clawback Rules, or (iii) in such other circumstances and in such amount as the Board may determine in good faith as specified in such policy.</w:t>
      </w:r>
    </w:p>
    <w:p>
      <w:pPr>
        <w:sectPr>
          <w:pgSz w:w="11900" w:h="16838" w:orient="portrait"/>
          <w:cols w:equalWidth="0" w:num="1">
            <w:col w:w="11240"/>
          </w:cols>
          <w:pgMar w:left="320" w:top="1440" w:right="339" w:bottom="1440" w:gutter="0" w:footer="0" w:header="0"/>
        </w:sectPr>
      </w:pPr>
    </w:p>
    <w:bookmarkStart w:id="56" w:name="page57"/>
    <w:bookmarkEnd w:id="56"/>
    <w:p>
      <w:pPr>
        <w:spacing w:after="0" w:line="90" w:lineRule="exact"/>
        <w:rPr>
          <w:sz w:val="20"/>
          <w:szCs w:val="20"/>
          <w:color w:val="auto"/>
        </w:rPr>
      </w:pPr>
    </w:p>
    <w:p>
      <w:pPr>
        <w:jc w:val="both"/>
        <w:ind w:left="-8" w:firstLine="656"/>
        <w:spacing w:after="0" w:line="257" w:lineRule="auto"/>
        <w:tabs>
          <w:tab w:leader="none" w:pos="125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Guidelines</w:t>
      </w:r>
      <w:r>
        <w:rPr>
          <w:rFonts w:ascii="Times New Roman" w:cs="Times New Roman" w:eastAsia="Times New Roman" w:hAnsi="Times New Roman"/>
          <w:sz w:val="22"/>
          <w:szCs w:val="22"/>
          <w:color w:val="auto"/>
        </w:rPr>
        <w:t>. The Executive agrees that all shares of common stock of AGNC owned by the Executive shall be subject to any applicable stock ownership guidelines that may be reasonably implemented by the Board from time to time.</w:t>
      </w:r>
    </w:p>
    <w:p>
      <w:pPr>
        <w:spacing w:after="0" w:line="78" w:lineRule="exact"/>
        <w:rPr>
          <w:rFonts w:ascii="Times New Roman" w:cs="Times New Roman" w:eastAsia="Times New Roman" w:hAnsi="Times New Roman"/>
          <w:sz w:val="22"/>
          <w:szCs w:val="22"/>
          <w:color w:val="auto"/>
        </w:rPr>
      </w:pPr>
    </w:p>
    <w:p>
      <w:pPr>
        <w:jc w:val="both"/>
        <w:ind w:left="-8" w:firstLine="656"/>
        <w:spacing w:after="0" w:line="250" w:lineRule="auto"/>
        <w:tabs>
          <w:tab w:leader="none" w:pos="118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periods commencing on and after January 1, 2024, the Compensation Committee in consultation with the Chief Executive Officer shall review Executive’s Base Salary, Target Annual Bonus Amount, and Target Annual LTIA (each, a “Target Pay Element”) from time to time and may, in its sole discretion, increase the amount of one or more of the Target Pay Elements; provided, however, that the amount of each Target Pay Element (at target) shall not be lowered from the amount that may then be in effect from time to time.</w:t>
      </w:r>
    </w:p>
    <w:p>
      <w:pPr>
        <w:spacing w:after="0" w:line="86" w:lineRule="exact"/>
        <w:rPr>
          <w:rFonts w:ascii="Times New Roman" w:cs="Times New Roman" w:eastAsia="Times New Roman" w:hAnsi="Times New Roman"/>
          <w:sz w:val="22"/>
          <w:szCs w:val="22"/>
          <w:color w:val="auto"/>
        </w:rPr>
      </w:pPr>
    </w:p>
    <w:p>
      <w:pPr>
        <w:ind w:left="372" w:hanging="372"/>
        <w:spacing w:after="0"/>
        <w:tabs>
          <w:tab w:leader="none" w:pos="37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jc w:val="both"/>
        <w:ind w:left="-8" w:firstLine="656"/>
        <w:spacing w:after="0" w:line="251" w:lineRule="auto"/>
        <w:tabs>
          <w:tab w:leader="none" w:pos="109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hereinafter provided, the Employment Period shall continue until, and shall end on, the second anniversary of the Effective Date (such date, the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 each day following the Effective Date, the Expiration Date shall be extended to the second anniversary of such date. Notwithstanding the preceding sentence, the Board or the Executive may terminate the Employment Period at any time by providing prior written notice that such daily extensions of the Expiration Date shall be discontinued, in which case the Expiration Date shall be the second anniversary of the date on which such notice is provided.</w:t>
      </w:r>
    </w:p>
    <w:p>
      <w:pPr>
        <w:spacing w:after="0" w:line="73" w:lineRule="exact"/>
        <w:rPr>
          <w:rFonts w:ascii="Times New Roman" w:cs="Times New Roman" w:eastAsia="Times New Roman" w:hAnsi="Times New Roman"/>
          <w:sz w:val="22"/>
          <w:szCs w:val="22"/>
          <w:color w:val="auto"/>
        </w:rPr>
      </w:pPr>
    </w:p>
    <w:p>
      <w:pPr>
        <w:ind w:left="-8" w:firstLine="656"/>
        <w:spacing w:after="0" w:line="271" w:lineRule="auto"/>
        <w:tabs>
          <w:tab w:leader="none" w:pos="114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subparagraph 5(a) above, the Employment Period shall end early upon the first to occur of any of the following events:</w:t>
      </w:r>
    </w:p>
    <w:p>
      <w:pPr>
        <w:spacing w:after="0" w:line="49" w:lineRule="exact"/>
        <w:rPr>
          <w:rFonts w:ascii="Times New Roman" w:cs="Times New Roman" w:eastAsia="Times New Roman" w:hAnsi="Times New Roman"/>
          <w:sz w:val="22"/>
          <w:szCs w:val="22"/>
          <w:color w:val="auto"/>
        </w:rPr>
      </w:pPr>
    </w:p>
    <w:p>
      <w:pPr>
        <w:ind w:left="1712" w:hanging="416"/>
        <w:spacing w:after="0"/>
        <w:tabs>
          <w:tab w:leader="none" w:pos="1712"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death;</w:t>
      </w:r>
    </w:p>
    <w:p>
      <w:pPr>
        <w:spacing w:after="0" w:line="111" w:lineRule="exact"/>
        <w:rPr>
          <w:rFonts w:ascii="Times New Roman" w:cs="Times New Roman" w:eastAsia="Times New Roman" w:hAnsi="Times New Roman"/>
          <w:sz w:val="22"/>
          <w:szCs w:val="22"/>
          <w:color w:val="auto"/>
        </w:rPr>
      </w:pPr>
    </w:p>
    <w:p>
      <w:pPr>
        <w:ind w:left="1772" w:hanging="476"/>
        <w:spacing w:after="0"/>
        <w:tabs>
          <w:tab w:leader="none" w:pos="1772"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Board’s termination of the Executive’s employment due to Disability;</w:t>
      </w:r>
    </w:p>
    <w:p>
      <w:pPr>
        <w:spacing w:after="0" w:line="125" w:lineRule="exact"/>
        <w:rPr>
          <w:rFonts w:ascii="Times New Roman" w:cs="Times New Roman" w:eastAsia="Times New Roman" w:hAnsi="Times New Roman"/>
          <w:sz w:val="22"/>
          <w:szCs w:val="22"/>
          <w:color w:val="auto"/>
        </w:rPr>
      </w:pPr>
    </w:p>
    <w:p>
      <w:pPr>
        <w:ind w:left="1832" w:hanging="536"/>
        <w:spacing w:after="0"/>
        <w:tabs>
          <w:tab w:leader="none" w:pos="1832"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For Cause;</w:t>
      </w:r>
    </w:p>
    <w:p>
      <w:pPr>
        <w:spacing w:after="0" w:line="111" w:lineRule="exact"/>
        <w:rPr>
          <w:rFonts w:ascii="Times New Roman" w:cs="Times New Roman" w:eastAsia="Times New Roman" w:hAnsi="Times New Roman"/>
          <w:sz w:val="22"/>
          <w:szCs w:val="22"/>
          <w:color w:val="auto"/>
        </w:rPr>
      </w:pPr>
    </w:p>
    <w:p>
      <w:pPr>
        <w:ind w:left="1832" w:hanging="536"/>
        <w:spacing w:after="0"/>
        <w:tabs>
          <w:tab w:leader="none" w:pos="1832"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Without Cause;</w:t>
      </w:r>
    </w:p>
    <w:p>
      <w:pPr>
        <w:spacing w:after="0" w:line="111" w:lineRule="exact"/>
        <w:rPr>
          <w:rFonts w:ascii="Times New Roman" w:cs="Times New Roman" w:eastAsia="Times New Roman" w:hAnsi="Times New Roman"/>
          <w:sz w:val="22"/>
          <w:szCs w:val="22"/>
          <w:color w:val="auto"/>
        </w:rPr>
      </w:pPr>
    </w:p>
    <w:p>
      <w:pPr>
        <w:ind w:left="1772" w:hanging="476"/>
        <w:spacing w:after="0"/>
        <w:tabs>
          <w:tab w:leader="none" w:pos="1772"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For Good Reason; or</w:t>
      </w:r>
    </w:p>
    <w:p>
      <w:pPr>
        <w:spacing w:after="0" w:line="111" w:lineRule="exact"/>
        <w:rPr>
          <w:rFonts w:ascii="Times New Roman" w:cs="Times New Roman" w:eastAsia="Times New Roman" w:hAnsi="Times New Roman"/>
          <w:sz w:val="22"/>
          <w:szCs w:val="22"/>
          <w:color w:val="auto"/>
        </w:rPr>
      </w:pPr>
    </w:p>
    <w:p>
      <w:pPr>
        <w:ind w:left="1832" w:hanging="536"/>
        <w:spacing w:after="0"/>
        <w:tabs>
          <w:tab w:leader="none" w:pos="1832"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Voluntary Termination.</w:t>
      </w:r>
    </w:p>
    <w:p>
      <w:pPr>
        <w:spacing w:after="0" w:line="111" w:lineRule="exact"/>
        <w:rPr>
          <w:rFonts w:ascii="Times New Roman" w:cs="Times New Roman" w:eastAsia="Times New Roman" w:hAnsi="Times New Roman"/>
          <w:sz w:val="22"/>
          <w:szCs w:val="22"/>
          <w:color w:val="auto"/>
        </w:rPr>
      </w:pPr>
    </w:p>
    <w:p>
      <w:pPr>
        <w:ind w:left="372" w:hanging="372"/>
        <w:spacing w:after="0"/>
        <w:tabs>
          <w:tab w:leader="none" w:pos="37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Post-Employment Payments</w:t>
      </w:r>
      <w:r>
        <w:rPr>
          <w:rFonts w:ascii="Times New Roman" w:cs="Times New Roman" w:eastAsia="Times New Roman" w:hAnsi="Times New Roman"/>
          <w:sz w:val="22"/>
          <w:szCs w:val="22"/>
          <w:color w:val="auto"/>
        </w:rPr>
        <w:t>.</w:t>
      </w:r>
    </w:p>
    <w:p>
      <w:pPr>
        <w:spacing w:after="0" w:line="125" w:lineRule="exact"/>
        <w:rPr>
          <w:rFonts w:ascii="Times New Roman" w:cs="Times New Roman" w:eastAsia="Times New Roman" w:hAnsi="Times New Roman"/>
          <w:sz w:val="22"/>
          <w:szCs w:val="22"/>
          <w:color w:val="auto"/>
        </w:rPr>
      </w:pPr>
    </w:p>
    <w:p>
      <w:pPr>
        <w:jc w:val="both"/>
        <w:ind w:left="-8" w:firstLine="656"/>
        <w:spacing w:after="0" w:line="247" w:lineRule="auto"/>
        <w:tabs>
          <w:tab w:leader="none" w:pos="117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end of the Executive’s employment for any reason, the Executive shall cease to have any rights to salary, expense reimbursements or other benefits, except that (to the extent applicable) the Executive shall be entitled to (i) any Base Salary which has been earned but is unpaid as of the end of the Employment Period, which shall be paid by the Company to the Executive on the first payroll date following the Executive’s termination of employment, (ii) any annual cash bonus that has been earned for a prior calendar year pursuant to subparagraph 4(b) but is unpaid, which shall be paid by the Company to the Executive by March 15 of the calendar year in which the Executive’s termination of employment occurs (but only if the termination is not a Termination For Cause or a Voluntary Termination), (iii) any reimbursable expenses which have been incurred but are unpaid as of the end of the Employment Period, which shall be paid by the Company to the Executive in accordance with the Company’s applicable reimbursement policies, (iv) any plan benefits which by their terms extend beyond termination of the</w:t>
      </w:r>
    </w:p>
    <w:p>
      <w:pPr>
        <w:sectPr>
          <w:pgSz w:w="11900" w:h="16838" w:orient="portrait"/>
          <w:cols w:equalWidth="0" w:num="1">
            <w:col w:w="11232"/>
          </w:cols>
          <w:pgMar w:left="328" w:top="1440" w:right="339" w:bottom="1440" w:gutter="0" w:footer="0" w:header="0"/>
        </w:sectPr>
      </w:pPr>
    </w:p>
    <w:bookmarkStart w:id="57" w:name="page58"/>
    <w:bookmarkEnd w:id="57"/>
    <w:p>
      <w:pPr>
        <w:spacing w:after="0" w:line="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Executive’s employment (but only to the extent provided in any benefit plan in which the Executive has participated as an employee of the Company and excluding, except as hereinafter provided in subparagraph 6(b), 6(c) or 6(d), any severance pay program or policy of AGNC, the Company or any of their subsidiaries) and (v) any benefits to which the Executive is entitled under Part 6 of Subtitle B of Title I of the Employee Retirement Income Security Act of 1974,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In addition, subject to subparagraph 6(f), the Executive shall be entitled to the additional amounts described in subparagraph 6(b), 6(c) or 6(d), in the circumstances described in such subparagraphs. Moreover, subject to subparagraph 6(f), unless otherwise expressly agreed to by the parties, if the Executive’s employment is terminated by the Company following the end of the Employment Period (for any reason other than a reason that would have constituted a Termination For Cause had such termination of employment occurred during the Employment Period), then the Executive shall be entitled to the severance provided under any severance policy or arrangement of AGNC, the Company or their affiliates that is applicable to the Executive at the time of such termination but shall be no less than six (6) months of targeted cash compensation (salary plus targeted cash bonus).</w:t>
      </w:r>
    </w:p>
    <w:p>
      <w:pPr>
        <w:spacing w:after="0" w:line="76" w:lineRule="exact"/>
        <w:rPr>
          <w:sz w:val="20"/>
          <w:szCs w:val="20"/>
          <w:color w:val="auto"/>
        </w:rPr>
      </w:pPr>
    </w:p>
    <w:p>
      <w:pPr>
        <w:jc w:val="both"/>
        <w:ind w:firstLine="656"/>
        <w:spacing w:after="0" w:line="263" w:lineRule="auto"/>
        <w:tabs>
          <w:tab w:leader="none" w:pos="11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Employment Period ends early pursuant to subparagraph 5(b) on account of a Termination Without Cause or a Termination For Good Reason (except in circumstances in which subparagraph 6(c) would apply), the Executive shall be entitled to receive the following:</w:t>
      </w:r>
    </w:p>
    <w:p>
      <w:pPr>
        <w:spacing w:after="0" w:line="5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727"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greater of any amounts under any applicable severance policy or arrangement of AGNC, the Company or their affiliates applicable to the Executive at the time of such termination or an amount equal to the product of (A) 1.0, multiplied by (B) the sum of (x) the Executive’s Base Salary at the time of such termination of employment, plus (y) the Target Annual Bonus Amount for the calendar year in which such termination of employment occurs, which shall be paid by the Company to the Executive in equal installments over the 12-month period following such termination of employment in accordance with the Company’s normal payroll practices;</w:t>
      </w:r>
    </w:p>
    <w:p>
      <w:pPr>
        <w:spacing w:after="0" w:line="73"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88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product of (A) the annual cash bonus the Executive would have been entitled to receive pursuant to subparagraph 4(b) if Executive had remained employed through December 31 of the calendar year in which such termination of employment occurs (as determined by the Compensation Committee but assuming that the Executive achieved all qualitative and subjective metrics of the Annual Performance Goals at their target level), multiplied by (B) a fraction (x) the numerator of which is the number of days that the Executive remained employed during the calendar year in which such termination of employment occurs and (y) the denominator of which is 365 (the “</w:t>
      </w:r>
      <w:r>
        <w:rPr>
          <w:rFonts w:ascii="Times New Roman" w:cs="Times New Roman" w:eastAsia="Times New Roman" w:hAnsi="Times New Roman"/>
          <w:sz w:val="22"/>
          <w:szCs w:val="22"/>
          <w:u w:val="single" w:color="auto"/>
          <w:color w:val="auto"/>
        </w:rPr>
        <w:t>Assumed Pro Rata Bonus</w:t>
      </w:r>
      <w:r>
        <w:rPr>
          <w:rFonts w:ascii="Times New Roman" w:cs="Times New Roman" w:eastAsia="Times New Roman" w:hAnsi="Times New Roman"/>
          <w:sz w:val="22"/>
          <w:szCs w:val="22"/>
          <w:color w:val="auto"/>
        </w:rPr>
        <w:t>”), which shall be paid by the Company to the Executive in a single lump sum by March 15 of the calendar year following the calendar year in which such termination of employment occurs;</w:t>
      </w:r>
    </w:p>
    <w:p>
      <w:pPr>
        <w:spacing w:after="0" w:line="73"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65"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if the Executive (or any of Executive’s eligible dependents) elects continuation coverage under the Company’s medical, dental and/or vision plans pursuant to COBRA, reimbursement for the Executive’s (and any such eligible dependent’s) COBRA premium payments (provided such reimbursement does not result in any taxes or penalties for the Company) until the earlier of (x) the Executive’s eligibility for any such coverage under another employer’s or any other medical plan or (y) the date that is</w:t>
      </w:r>
    </w:p>
    <w:p>
      <w:pPr>
        <w:sectPr>
          <w:pgSz w:w="11900" w:h="16838" w:orient="portrait"/>
          <w:cols w:equalWidth="0" w:num="1">
            <w:col w:w="11240"/>
          </w:cols>
          <w:pgMar w:left="320" w:top="1440" w:right="339" w:bottom="1440" w:gutter="0" w:footer="0" w:header="0"/>
        </w:sectPr>
      </w:pPr>
    </w:p>
    <w:bookmarkStart w:id="58" w:name="page59"/>
    <w:bookmarkEnd w:id="58"/>
    <w:p>
      <w:pPr>
        <w:spacing w:after="0" w:line="90"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2"/>
          <w:szCs w:val="22"/>
          <w:color w:val="auto"/>
        </w:rPr>
        <w:t>twelve (12) months following such termination of employment (such period, the “</w:t>
      </w:r>
      <w:r>
        <w:rPr>
          <w:rFonts w:ascii="Times New Roman" w:cs="Times New Roman" w:eastAsia="Times New Roman" w:hAnsi="Times New Roman"/>
          <w:sz w:val="22"/>
          <w:szCs w:val="22"/>
          <w:u w:val="single" w:color="auto"/>
          <w:color w:val="auto"/>
        </w:rPr>
        <w:t>COBRA Period</w:t>
      </w:r>
      <w:r>
        <w:rPr>
          <w:rFonts w:ascii="Times New Roman" w:cs="Times New Roman" w:eastAsia="Times New Roman" w:hAnsi="Times New Roman"/>
          <w:sz w:val="22"/>
          <w:szCs w:val="22"/>
          <w:color w:val="auto"/>
        </w:rPr>
        <w:t>”), with each such COBRA reimbursement being made by the Company to the Executive within thirty (30) days following the payment of any such COBRA premiums by the Executive (and any such eligible dependent) (the “</w:t>
      </w:r>
      <w:r>
        <w:rPr>
          <w:rFonts w:ascii="Times New Roman" w:cs="Times New Roman" w:eastAsia="Times New Roman" w:hAnsi="Times New Roman"/>
          <w:sz w:val="22"/>
          <w:szCs w:val="22"/>
          <w:u w:val="single" w:color="auto"/>
          <w:color w:val="auto"/>
        </w:rPr>
        <w:t>COBRA Reimbursements</w:t>
      </w:r>
      <w:r>
        <w:rPr>
          <w:rFonts w:ascii="Times New Roman" w:cs="Times New Roman" w:eastAsia="Times New Roman" w:hAnsi="Times New Roman"/>
          <w:sz w:val="22"/>
          <w:szCs w:val="22"/>
          <w:color w:val="auto"/>
        </w:rPr>
        <w:t>”); or (B) if the Executive (or any of Executive’s eligible dependents) elects continuation coverage under the Company’s medical, dental and/or vision plans pursuant to COBRA but the COBRA Reimbursements would result in taxes or penalties for the Company, monthly cash payments, with each such monthly cash payment being equal to the Executive’s (and any such eligible dependent’s) monthly COBRA premium payments during the COBRA Period, which shall be paid by the Company to the Executive on the first payroll date of each month following the month with respect to which the Executive’s (and any such eligible dependent’s) monthly COBRA premiums were paid during the COBRA Period (the “</w:t>
      </w:r>
      <w:r>
        <w:rPr>
          <w:rFonts w:ascii="Times New Roman" w:cs="Times New Roman" w:eastAsia="Times New Roman" w:hAnsi="Times New Roman"/>
          <w:sz w:val="22"/>
          <w:szCs w:val="22"/>
          <w:u w:val="single" w:color="auto"/>
          <w:color w:val="auto"/>
        </w:rPr>
        <w:t>Substitute Payments</w:t>
      </w:r>
      <w:r>
        <w:rPr>
          <w:rFonts w:ascii="Times New Roman" w:cs="Times New Roman" w:eastAsia="Times New Roman" w:hAnsi="Times New Roman"/>
          <w:sz w:val="22"/>
          <w:szCs w:val="22"/>
          <w:color w:val="auto"/>
        </w:rPr>
        <w:t>”); and</w:t>
      </w:r>
    </w:p>
    <w:p>
      <w:pPr>
        <w:spacing w:after="0" w:line="75" w:lineRule="exact"/>
        <w:rPr>
          <w:sz w:val="20"/>
          <w:szCs w:val="20"/>
          <w:color w:val="auto"/>
        </w:rPr>
      </w:pPr>
    </w:p>
    <w:p>
      <w:pPr>
        <w:ind w:left="4" w:firstLine="644"/>
        <w:spacing w:after="0" w:line="271" w:lineRule="auto"/>
        <w:tabs>
          <w:tab w:leader="none" w:pos="12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acceleration of any outstanding unvested awards under the Equity Plan, subject to and in accordance with the applicable award agreement(s) to be entered into between AGNC and the Executive.</w:t>
      </w:r>
    </w:p>
    <w:p>
      <w:pPr>
        <w:spacing w:after="0" w:line="49" w:lineRule="exact"/>
        <w:rPr>
          <w:rFonts w:ascii="Times New Roman" w:cs="Times New Roman" w:eastAsia="Times New Roman" w:hAnsi="Times New Roman"/>
          <w:sz w:val="22"/>
          <w:szCs w:val="22"/>
          <w:color w:val="auto"/>
        </w:rPr>
      </w:pPr>
    </w:p>
    <w:p>
      <w:pPr>
        <w:jc w:val="both"/>
        <w:ind w:left="-656" w:firstLine="656"/>
        <w:spacing w:after="0" w:line="263" w:lineRule="auto"/>
        <w:tabs>
          <w:tab w:leader="none" w:pos="46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Employment Period ends early pursuant to subparagraph 5(b) on account of a Termination Without Cause or a Termination For Good Reason, and such termination of employment occurs within twenty-four (24) months after a Change of Control, the Executive shall be entitled to receive the following:</w:t>
      </w:r>
    </w:p>
    <w:p>
      <w:pPr>
        <w:spacing w:after="0" w:line="59" w:lineRule="exact"/>
        <w:rPr>
          <w:rFonts w:ascii="Times New Roman" w:cs="Times New Roman" w:eastAsia="Times New Roman" w:hAnsi="Times New Roman"/>
          <w:sz w:val="22"/>
          <w:szCs w:val="22"/>
          <w:color w:val="auto"/>
        </w:rPr>
      </w:pPr>
    </w:p>
    <w:p>
      <w:pPr>
        <w:jc w:val="both"/>
        <w:ind w:left="4" w:firstLine="644"/>
        <w:spacing w:after="0" w:line="251" w:lineRule="auto"/>
        <w:tabs>
          <w:tab w:leader="none" w:pos="108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greater of any amounts under any applicable severance policy or arrangement of AGNC, the Company or their affiliates applicable to the Executive at the time of such termination or an amount equal to the product of (A) 1.5, multiplied by (B) the sum of (x) the Executive’s Base Salary at the time of such termination of employment, plus (y) the Target Annual Bonus Amount for the calendar year in which such termination of employment occurs, which shall be paid by the Company to the Executive in a lump sum on the first payroll date following the 60th day after such termination of employment;</w:t>
      </w:r>
    </w:p>
    <w:p>
      <w:pPr>
        <w:spacing w:after="0" w:line="73"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153"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product of (A) the Target Annual Bonus Amount for the calendar year in which such termination of employment occurs, multiplied by (B) a fraction (x) the numerator of which is the number of days that the Executive remained employed during the calendar year in which such termination of employment occurs and (y) the denominator of which is 365, which shall be paid by the Company to the Executive in a single lump sum by March 15 of the calendar year following the calendar year in which such termination of employment occurs;</w:t>
      </w:r>
    </w:p>
    <w:p>
      <w:pPr>
        <w:spacing w:after="0" w:line="70" w:lineRule="exact"/>
        <w:rPr>
          <w:rFonts w:ascii="Times New Roman" w:cs="Times New Roman" w:eastAsia="Times New Roman" w:hAnsi="Times New Roman"/>
          <w:sz w:val="22"/>
          <w:szCs w:val="22"/>
          <w:color w:val="auto"/>
        </w:rPr>
      </w:pPr>
    </w:p>
    <w:p>
      <w:pPr>
        <w:jc w:val="both"/>
        <w:ind w:left="4" w:firstLine="644"/>
        <w:spacing w:after="0" w:line="252" w:lineRule="auto"/>
        <w:tabs>
          <w:tab w:leader="none" w:pos="130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COBRA Reimbursements or the Substitute Payments (each as defined in subparagraph 6(b)(iii)), as applicable; provided, however, that the COBRA Period shall continue until the earlier of (A) the Executive’s eligibility for any such coverage under another employer’s or any other medical plan or (B) the date that is eighteen (18) months following such termination of employment; and</w:t>
      </w:r>
    </w:p>
    <w:p>
      <w:pPr>
        <w:sectPr>
          <w:pgSz w:w="11900" w:h="16838" w:orient="portrait"/>
          <w:cols w:equalWidth="0" w:num="1">
            <w:col w:w="10584"/>
          </w:cols>
          <w:pgMar w:left="976" w:top="1440" w:right="339" w:bottom="1440" w:gutter="0" w:footer="0" w:header="0"/>
        </w:sectPr>
      </w:pPr>
    </w:p>
    <w:bookmarkStart w:id="59" w:name="page60"/>
    <w:bookmarkEnd w:id="59"/>
    <w:p>
      <w:pPr>
        <w:spacing w:after="0" w:line="90" w:lineRule="exact"/>
        <w:rPr>
          <w:sz w:val="20"/>
          <w:szCs w:val="20"/>
          <w:color w:val="auto"/>
        </w:rPr>
      </w:pPr>
    </w:p>
    <w:p>
      <w:pPr>
        <w:ind w:left="652" w:firstLine="644"/>
        <w:spacing w:after="0" w:line="271" w:lineRule="auto"/>
        <w:tabs>
          <w:tab w:leader="none" w:pos="1888"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acceleration of any outstanding unvested awards under the Equity Plan, subject to and in accordance with the applicable award agreement(s) to be entered into between AGNC and the Executive.</w:t>
      </w:r>
    </w:p>
    <w:p>
      <w:pPr>
        <w:spacing w:after="0" w:line="49" w:lineRule="exact"/>
        <w:rPr>
          <w:rFonts w:ascii="Times New Roman" w:cs="Times New Roman" w:eastAsia="Times New Roman" w:hAnsi="Times New Roman"/>
          <w:sz w:val="22"/>
          <w:szCs w:val="22"/>
          <w:color w:val="auto"/>
        </w:rPr>
      </w:pPr>
    </w:p>
    <w:p>
      <w:pPr>
        <w:jc w:val="both"/>
        <w:ind w:left="-8" w:firstLine="656"/>
        <w:spacing w:after="0" w:line="263" w:lineRule="auto"/>
        <w:tabs>
          <w:tab w:leader="none" w:pos="113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Employment Period ends early at any time pursuant to subparagraph 5(b) on account of the Executive’s death or Disability, the Executive (or in the event of the Executive’s death, Executive’s estate or eligible dependents, as applicable) shall be entitled to receive the following:</w:t>
      </w:r>
    </w:p>
    <w:p>
      <w:pPr>
        <w:spacing w:after="0" w:line="59" w:lineRule="exact"/>
        <w:rPr>
          <w:rFonts w:ascii="Times New Roman" w:cs="Times New Roman" w:eastAsia="Times New Roman" w:hAnsi="Times New Roman"/>
          <w:sz w:val="22"/>
          <w:szCs w:val="22"/>
          <w:color w:val="auto"/>
        </w:rPr>
      </w:pPr>
    </w:p>
    <w:p>
      <w:pPr>
        <w:jc w:val="both"/>
        <w:ind w:left="652" w:firstLine="644"/>
        <w:spacing w:after="0" w:line="257" w:lineRule="auto"/>
        <w:tabs>
          <w:tab w:leader="none" w:pos="173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Assumed Pro Rata Bonus, which shall be paid by the Company to the Executive (or to Executive’s estate) in a single lump sum by March 15 of the calendar year following the calendar year in which such termination of employment occurs;</w:t>
      </w:r>
    </w:p>
    <w:p>
      <w:pPr>
        <w:spacing w:after="0" w:line="78" w:lineRule="exact"/>
        <w:rPr>
          <w:rFonts w:ascii="Times New Roman" w:cs="Times New Roman" w:eastAsia="Times New Roman" w:hAnsi="Times New Roman"/>
          <w:sz w:val="22"/>
          <w:szCs w:val="22"/>
          <w:color w:val="auto"/>
        </w:rPr>
      </w:pPr>
    </w:p>
    <w:p>
      <w:pPr>
        <w:jc w:val="both"/>
        <w:ind w:left="652" w:firstLine="644"/>
        <w:spacing w:after="0" w:line="257" w:lineRule="auto"/>
        <w:tabs>
          <w:tab w:leader="none" w:pos="1904"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COBRA Reimbursements or the Substitute Payments (each as defined in subparagraph 6(b)(iii)), as applicable (provided that in the event of the Executive’s death, the COBRA Reimbursements or the Substitute Payments, as applicable, shall be paid to the Executive’s eligible dependents); and</w:t>
      </w:r>
    </w:p>
    <w:p>
      <w:pPr>
        <w:spacing w:after="0" w:line="64" w:lineRule="exact"/>
        <w:rPr>
          <w:rFonts w:ascii="Times New Roman" w:cs="Times New Roman" w:eastAsia="Times New Roman" w:hAnsi="Times New Roman"/>
          <w:sz w:val="22"/>
          <w:szCs w:val="22"/>
          <w:color w:val="auto"/>
        </w:rPr>
      </w:pPr>
    </w:p>
    <w:p>
      <w:pPr>
        <w:ind w:left="652" w:firstLine="644"/>
        <w:spacing w:after="0" w:line="271" w:lineRule="auto"/>
        <w:tabs>
          <w:tab w:leader="none" w:pos="1897"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acceleration of any outstanding unvested awards under the Equity Plan, subject to and in accordance with the applicable award agreement(s) to be entered into between AGNC and the Executive.</w:t>
      </w:r>
    </w:p>
    <w:p>
      <w:pPr>
        <w:spacing w:after="0" w:line="49" w:lineRule="exact"/>
        <w:rPr>
          <w:rFonts w:ascii="Times New Roman" w:cs="Times New Roman" w:eastAsia="Times New Roman" w:hAnsi="Times New Roman"/>
          <w:sz w:val="22"/>
          <w:szCs w:val="22"/>
          <w:color w:val="auto"/>
        </w:rPr>
      </w:pPr>
    </w:p>
    <w:p>
      <w:pPr>
        <w:jc w:val="both"/>
        <w:ind w:left="-8" w:firstLine="656"/>
        <w:spacing w:after="0" w:line="251" w:lineRule="auto"/>
        <w:tabs>
          <w:tab w:leader="none" w:pos="113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reimbursement or benefit under the last sentence of subparagraph 6(a) or subparagraph 6(b), 6(c) or 6(d) that is not made or provided during the period following the Executive’s termination of employment because the Executive (or, if applicable, Executive’s estate) has not executed the release described in subparagraph 6(f) shall be paid to the Executive in a single lump sum (or shall be provided to the Executive) on the first payroll date following the 60th day after such termination of employment; provided that the Executive (or, if applicable, Executive’s estate) executes and does not revoke the release in accordance with the requirements of subparagraph 6(f).</w:t>
      </w:r>
    </w:p>
    <w:p>
      <w:pPr>
        <w:spacing w:after="0" w:line="86" w:lineRule="exact"/>
        <w:rPr>
          <w:rFonts w:ascii="Times New Roman" w:cs="Times New Roman" w:eastAsia="Times New Roman" w:hAnsi="Times New Roman"/>
          <w:sz w:val="22"/>
          <w:szCs w:val="22"/>
          <w:color w:val="auto"/>
        </w:rPr>
      </w:pPr>
    </w:p>
    <w:p>
      <w:pPr>
        <w:jc w:val="both"/>
        <w:ind w:left="-8" w:firstLine="656"/>
        <w:spacing w:after="0" w:line="249" w:lineRule="auto"/>
        <w:tabs>
          <w:tab w:leader="none" w:pos="116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Executive (or, if applicable, Executive’s estate) shall not be entitled to receive any payment, reimbursement or benefit under the last sentence of subparagraph 6(a) or subparagraph 6(b), 6(c) or 6(d) hereof unless (i) prior to the 60th day following such termination of employment, the Executive (or, if applicable, Executive’s estate) executes a standard release of all claims, known or unknown, arising on or before the date of the release, against AGNC, the Company and their subsidiaries and their directors, managers, officers, employees and affiliates, in a standard form of release provided by the Board and agreed to by the Executive (which release shall not impose any further obligations, covenants or duties on the Executive), and (ii) any applicable revocation period has expired prior to the 60th day following such termination of employment without the Executive (or, if applicable, Executive’s estate) revoking such release.</w:t>
      </w:r>
    </w:p>
    <w:p>
      <w:pPr>
        <w:spacing w:after="0" w:line="73" w:lineRule="exact"/>
        <w:rPr>
          <w:rFonts w:ascii="Times New Roman" w:cs="Times New Roman" w:eastAsia="Times New Roman" w:hAnsi="Times New Roman"/>
          <w:sz w:val="22"/>
          <w:szCs w:val="22"/>
          <w:color w:val="auto"/>
        </w:rPr>
      </w:pPr>
    </w:p>
    <w:p>
      <w:pPr>
        <w:ind w:left="372" w:hanging="372"/>
        <w:spacing w:after="0"/>
        <w:tabs>
          <w:tab w:leader="none" w:pos="37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Non-Competition; Intellectual Property</w:t>
      </w: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ind w:left="1112" w:hanging="464"/>
        <w:spacing w:after="0"/>
        <w:tabs>
          <w:tab w:leader="none" w:pos="111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jc w:val="both"/>
        <w:ind w:left="652" w:firstLine="644"/>
        <w:spacing w:after="0" w:line="263" w:lineRule="auto"/>
        <w:tabs>
          <w:tab w:leader="none" w:pos="1781"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recognizes that the services to be performed by the Executive hereunder are special, unique and extraordinary and that, by reason of such employment with the Company, the Executive has acquired and will continue to acquire</w:t>
      </w:r>
    </w:p>
    <w:p>
      <w:pPr>
        <w:sectPr>
          <w:pgSz w:w="11900" w:h="16838" w:orient="portrait"/>
          <w:cols w:equalWidth="0" w:num="1">
            <w:col w:w="11232"/>
          </w:cols>
          <w:pgMar w:left="328" w:top="1440" w:right="339" w:bottom="1440" w:gutter="0" w:footer="0" w:header="0"/>
        </w:sectPr>
      </w:pPr>
    </w:p>
    <w:bookmarkStart w:id="60" w:name="page61"/>
    <w:bookmarkEnd w:id="60"/>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Confidential Information (as defined below) concerning the operation of the Company, the use or disclosure of which would cause the Company substantial loss and damages which could not be readily calculated and for which no remedy at law would be adequate. Accordingly, the Executive agrees that the Executive will not (directly or indirectly) at any time, whether during or after the Executive’s employment hereunder, (A) knowingly use for an improper personal benefit any Confidential Information that the Executive may learn or has learned by reason of the Executive’s employment with the Company or (B) disclose any such Confidential Information to any Person except (1) in the performance of the Executive’s obligations to the Company hereunder, (2) as required by applicable law, (3) in connection with the enforcement of the Executive’s rights under this Agreement, (4) in connection with any disagreement, dispute or litigation (pending or threatened) between the Executive and the Company or (5) with the prior written consent of the Board. As used herein,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includes information with respect to the operation and performance of the Company and the Company Managed Funds, their investments, portfolio companies, products, services, facilities, product methods, research and development, trade secrets and other intellectual property, systems, patents and patent applications, procedures, manuals, confidential reports, product price lists, customer lists, financial information, business plans, prospects or opportunities (including, as applicable, all of the foregoing information regarding the Company’s and/or the Company Managed Funds’ past, current and prospective portfolio companies);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term shall not include any information that (x) is or becomes generally known or available other than as a result of a disclosure by the Executive or (y) is or becomes known or available to the Executive on a nonconfidential basis from a source (other than the Company) that, to the Executive’s knowledge, is not prohibited from disclosing such information to the Executive by a legal, contractual, fiduciary or other obligation to the Company.</w:t>
      </w:r>
    </w:p>
    <w:p>
      <w:pPr>
        <w:spacing w:after="0" w:line="345" w:lineRule="exact"/>
        <w:rPr>
          <w:sz w:val="20"/>
          <w:szCs w:val="20"/>
          <w:color w:val="auto"/>
        </w:rPr>
      </w:pPr>
    </w:p>
    <w:p>
      <w:pPr>
        <w:jc w:val="both"/>
        <w:ind w:firstLine="644"/>
        <w:spacing w:after="0" w:line="247" w:lineRule="auto"/>
        <w:tabs>
          <w:tab w:leader="none" w:pos="12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confirms that all Confidential Information is the exclusive property of the Company. All business records, papers and documents kept or made by the Executive while employed by the Company relating to the business of the Company shall be and remain the property of the Company at all times. Upon the request of the Company at any time, the Executive shall promptly deliver to the Company, and shall retain no copies of, any written materials, records and documents made by the Executive or coming into the Executive’s possession while employed by the Company concerning the business or affairs of the Company other than personal materials, records and documents (including notes and correspondence) of the Executive not containing proprietary information relating to such business or affairs. Notwithstanding the foregoing, the Executive shall be permitted to retain copies of, or have access to, all such materials, records and documents relating to any disagreement, dispute or litigation (pending or threatened) between the Executive and the Company.</w:t>
      </w:r>
    </w:p>
    <w:p>
      <w:pPr>
        <w:spacing w:after="0" w:line="82" w:lineRule="exact"/>
        <w:rPr>
          <w:rFonts w:ascii="Times New Roman" w:cs="Times New Roman" w:eastAsia="Times New Roman" w:hAnsi="Times New Roman"/>
          <w:sz w:val="22"/>
          <w:szCs w:val="22"/>
          <w:color w:val="auto"/>
        </w:rPr>
      </w:pPr>
    </w:p>
    <w:p>
      <w:pPr>
        <w:jc w:val="both"/>
        <w:ind w:firstLine="644"/>
        <w:spacing w:after="0" w:line="256" w:lineRule="auto"/>
        <w:tabs>
          <w:tab w:leader="none" w:pos="102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Defend Trade Secrets Act of 2016 (“</w:t>
      </w:r>
      <w:r>
        <w:rPr>
          <w:rFonts w:ascii="Times New Roman" w:cs="Times New Roman" w:eastAsia="Times New Roman" w:hAnsi="Times New Roman"/>
          <w:sz w:val="22"/>
          <w:szCs w:val="22"/>
          <w:u w:val="single" w:color="auto"/>
          <w:color w:val="auto"/>
        </w:rPr>
        <w:t>DTSA</w:t>
      </w:r>
      <w:r>
        <w:rPr>
          <w:rFonts w:ascii="Times New Roman" w:cs="Times New Roman" w:eastAsia="Times New Roman" w:hAnsi="Times New Roman"/>
          <w:sz w:val="22"/>
          <w:szCs w:val="22"/>
          <w:color w:val="auto"/>
        </w:rPr>
        <w:t>”) provides that an individual shall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 (B) is</w:t>
      </w:r>
    </w:p>
    <w:p>
      <w:pPr>
        <w:sectPr>
          <w:pgSz w:w="11900" w:h="16838" w:orient="portrait"/>
          <w:cols w:equalWidth="0" w:num="1">
            <w:col w:w="10580"/>
          </w:cols>
          <w:pgMar w:left="980" w:top="1440" w:right="339" w:bottom="1440" w:gutter="0" w:footer="0" w:header="0"/>
        </w:sectPr>
      </w:pPr>
    </w:p>
    <w:bookmarkStart w:id="61" w:name="page62"/>
    <w:bookmarkEnd w:id="61"/>
    <w:p>
      <w:pPr>
        <w:spacing w:after="0" w:line="90"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2"/>
          <w:szCs w:val="22"/>
          <w:color w:val="auto"/>
        </w:rPr>
        <w:t>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sz w:val="20"/>
          <w:szCs w:val="20"/>
          <w:color w:val="auto"/>
        </w:rPr>
      </w:pPr>
    </w:p>
    <w:p>
      <w:pPr>
        <w:spacing w:after="0" w:line="222" w:lineRule="exact"/>
        <w:rPr>
          <w:sz w:val="20"/>
          <w:szCs w:val="20"/>
          <w:color w:val="auto"/>
        </w:rPr>
      </w:pPr>
    </w:p>
    <w:p>
      <w:pPr>
        <w:ind w:left="464" w:hanging="464"/>
        <w:spacing w:after="0"/>
        <w:tabs>
          <w:tab w:leader="none" w:pos="46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Non-Solicitation</w:t>
      </w: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jc w:val="both"/>
        <w:ind w:left="644" w:firstLine="652"/>
        <w:spacing w:after="0" w:line="248" w:lineRule="auto"/>
        <w:tabs>
          <w:tab w:leader="none" w:pos="1719"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agrees that (A) during the term of Executive’s employment with the Company and, (B) during the 12-month period following the termination of Executive’s employment with the Company for any reason (the “</w:t>
      </w:r>
      <w:r>
        <w:rPr>
          <w:rFonts w:ascii="Times New Roman" w:cs="Times New Roman" w:eastAsia="Times New Roman" w:hAnsi="Times New Roman"/>
          <w:sz w:val="22"/>
          <w:szCs w:val="22"/>
          <w:u w:val="single" w:color="auto"/>
          <w:color w:val="auto"/>
        </w:rPr>
        <w:t>Non-Competition Period</w:t>
      </w:r>
      <w:r>
        <w:rPr>
          <w:rFonts w:ascii="Times New Roman" w:cs="Times New Roman" w:eastAsia="Times New Roman" w:hAnsi="Times New Roman"/>
          <w:sz w:val="22"/>
          <w:szCs w:val="22"/>
          <w:color w:val="auto"/>
        </w:rPr>
        <w:t>”) within the Restricted Territory, the Executive shall not, directly or indirectly, engage or participate in, prepare or set up, assist or have any interest in any person, partnership, corporation, firm, association or other business organization, entity or enterprise, whether as an officer, employee, director, partner, stockholder, consultant or otherwise, that engages in the Company’s Business. Notwithstanding the foregoing, (x) the Executive shall not be precluded from purchasing or owning, directly or beneficially, as a passive investment, two percent (2%) or less of any class of publicly traded securities if Executive does not actively participate in or control, directly or indirectly, any investment or other decisions with respect to such entity, and (y) if the Board terminates the Executive’s employment following the end of the Employment Period (for any reason other than a reason that would have constituted a Termination For Cause had such termination of employment occurred during the Employment Period), then solely for purposes of this subparagraph 7(b)(i), the “Non-Competition Period” shall be the 3-month period following such termination of the Executive’s employment.</w:t>
      </w:r>
    </w:p>
    <w:p>
      <w:pPr>
        <w:spacing w:after="0" w:line="79" w:lineRule="exact"/>
        <w:rPr>
          <w:rFonts w:ascii="Times New Roman" w:cs="Times New Roman" w:eastAsia="Times New Roman" w:hAnsi="Times New Roman"/>
          <w:sz w:val="22"/>
          <w:szCs w:val="22"/>
          <w:color w:val="auto"/>
        </w:rPr>
      </w:pPr>
    </w:p>
    <w:p>
      <w:pPr>
        <w:ind w:left="1784" w:hanging="488"/>
        <w:spacing w:after="0"/>
        <w:tabs>
          <w:tab w:leader="none" w:pos="178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Non-Competition Period, the Executive shall not, directly or indirectly:</w:t>
      </w:r>
    </w:p>
    <w:p>
      <w:pPr>
        <w:spacing w:after="0" w:line="112" w:lineRule="exact"/>
        <w:rPr>
          <w:sz w:val="20"/>
          <w:szCs w:val="20"/>
          <w:color w:val="auto"/>
        </w:rPr>
      </w:pPr>
    </w:p>
    <w:p>
      <w:pPr>
        <w:ind w:left="1944" w:hanging="648"/>
        <w:spacing w:after="0" w:line="249" w:lineRule="auto"/>
        <w:tabs>
          <w:tab w:leader="none" w:pos="183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 to hire, divert, entice away, solicit or in any other manner persuade, or attempt to do any of the foregoing (each, a “</w:t>
      </w:r>
      <w:r>
        <w:rPr>
          <w:rFonts w:ascii="Times New Roman" w:cs="Times New Roman" w:eastAsia="Times New Roman" w:hAnsi="Times New Roman"/>
          <w:sz w:val="22"/>
          <w:szCs w:val="22"/>
          <w:u w:val="single" w:color="auto"/>
          <w:color w:val="auto"/>
        </w:rPr>
        <w:t>Solicitation</w:t>
      </w:r>
      <w:r>
        <w:rPr>
          <w:rFonts w:ascii="Times New Roman" w:cs="Times New Roman" w:eastAsia="Times New Roman" w:hAnsi="Times New Roman"/>
          <w:sz w:val="22"/>
          <w:szCs w:val="22"/>
          <w:color w:val="auto"/>
        </w:rPr>
        <w:t>”), for any person who is an officer, employee, consultant or board member of the Company or any Company Managed Fund to accept employment or an engagement with a third party or engage in a Solicitation with respect to any person or entity who is, or was, at any time within six months prior to the Solicitation, an officer, employee, agent or consultant of the Company or any Company Managed Fund to work for a third party engaged in the Company’s Business or to engage in any of the activities hereby prohibited with respect to the Executive under this subparagraph 7(b)(ii);</w:t>
      </w:r>
    </w:p>
    <w:p>
      <w:pPr>
        <w:sectPr>
          <w:pgSz w:w="11900" w:h="16838" w:orient="portrait"/>
          <w:cols w:equalWidth="0" w:num="1">
            <w:col w:w="10584"/>
          </w:cols>
          <w:pgMar w:left="976" w:top="1440" w:right="339" w:bottom="1440" w:gutter="0" w:footer="0" w:header="0"/>
        </w:sectPr>
      </w:pPr>
    </w:p>
    <w:bookmarkStart w:id="62" w:name="page63"/>
    <w:bookmarkEnd w:id="62"/>
    <w:p>
      <w:pPr>
        <w:spacing w:after="0" w:line="90" w:lineRule="exact"/>
        <w:rPr>
          <w:sz w:val="20"/>
          <w:szCs w:val="20"/>
          <w:color w:val="auto"/>
        </w:rPr>
      </w:pPr>
    </w:p>
    <w:p>
      <w:pPr>
        <w:ind w:left="1340" w:hanging="508"/>
        <w:spacing w:after="0"/>
        <w:tabs>
          <w:tab w:leader="none" w:pos="1340"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divert, entice away or in any other manner persuade, or attempt to do any of the foregoing, on</w:t>
      </w:r>
    </w:p>
    <w:p>
      <w:pPr>
        <w:spacing w:after="0" w:line="39" w:lineRule="exact"/>
        <w:rPr>
          <w:rFonts w:ascii="Times New Roman" w:cs="Times New Roman" w:eastAsia="Times New Roman" w:hAnsi="Times New Roman"/>
          <w:sz w:val="21"/>
          <w:szCs w:val="21"/>
          <w:color w:val="auto"/>
        </w:rPr>
      </w:pPr>
    </w:p>
    <w:p>
      <w:pPr>
        <w:jc w:val="both"/>
        <w:ind w:left="1480"/>
        <w:spacing w:after="0" w:line="255" w:lineRule="auto"/>
        <w:tabs>
          <w:tab w:leader="none" w:pos="1807" w:val="left"/>
        </w:tabs>
        <w:numPr>
          <w:ilvl w:val="2"/>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actual or prospective customer of or investor in the Company or any Company Managed Fund to become a customer of or investor in any third party engaged in the Company’s Business or</w:t>
      </w:r>
    </w:p>
    <w:p>
      <w:pPr>
        <w:spacing w:after="0" w:line="1" w:lineRule="exact"/>
        <w:rPr>
          <w:rFonts w:ascii="Times New Roman" w:cs="Times New Roman" w:eastAsia="Times New Roman" w:hAnsi="Times New Roman"/>
          <w:sz w:val="21"/>
          <w:szCs w:val="21"/>
          <w:color w:val="auto"/>
        </w:rPr>
      </w:pPr>
    </w:p>
    <w:p>
      <w:pPr>
        <w:ind w:left="1480"/>
        <w:spacing w:after="0" w:line="259" w:lineRule="auto"/>
        <w:tabs>
          <w:tab w:leader="none" w:pos="1793"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customer or investor to cease doing business with the Company or any Company Managed Fund; or</w:t>
      </w:r>
    </w:p>
    <w:p>
      <w:pPr>
        <w:spacing w:after="0" w:line="62" w:lineRule="exact"/>
        <w:rPr>
          <w:rFonts w:ascii="Times New Roman" w:cs="Times New Roman" w:eastAsia="Times New Roman" w:hAnsi="Times New Roman"/>
          <w:sz w:val="22"/>
          <w:szCs w:val="22"/>
          <w:color w:val="auto"/>
        </w:rPr>
      </w:pPr>
    </w:p>
    <w:p>
      <w:pPr>
        <w:ind w:left="1480" w:hanging="648"/>
        <w:spacing w:after="0" w:line="257" w:lineRule="auto"/>
        <w:tabs>
          <w:tab w:leader="none" w:pos="138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statements or perform any acts intended to advance the interest of any person engaged in or proposing to engage in the Company’s Business in any way that is intended to injure the interests of the Company or any Company Managed Fund.</w:t>
      </w:r>
    </w:p>
    <w:p>
      <w:pPr>
        <w:spacing w:after="0" w:line="78" w:lineRule="exact"/>
        <w:rPr>
          <w:rFonts w:ascii="Times New Roman" w:cs="Times New Roman" w:eastAsia="Times New Roman" w:hAnsi="Times New Roman"/>
          <w:sz w:val="22"/>
          <w:szCs w:val="22"/>
          <w:color w:val="auto"/>
        </w:rPr>
      </w:pPr>
    </w:p>
    <w:p>
      <w:pPr>
        <w:jc w:val="both"/>
        <w:ind w:left="-460" w:firstLine="644"/>
        <w:spacing w:after="0" w:line="246" w:lineRule="auto"/>
        <w:tabs>
          <w:tab w:leader="none" w:pos="73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The Executive agrees that during the term of the Executive’s employment with the Company, and for a period of 12 months following the termination of the Executive’s employment for any reason, any and all inventions, discoveries, innovations, writings, domain names, improvements, trade secrets, designs, drawings, business processes, secret processes and know-how, whether or not patentable or a copyright or trademark, which the Executive may create, conceive, develop or make, either alone or in conjunction with others and related or in any way connected with the Company, its strategic plans, products, processes, apparatus or business now or hereafter carried on by the Company (collectively,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shall be fully and promptly disclosed to the Company and shall be the sole and exclusive property of the Company (as the Board shall determine) as against the Executive or any of the Executive’s assignees. Regardless of the status of the Executive’s employment by the Company, the Executive and the Executive’s heirs, assigns and representatives hereby assigns, or shall promptly assign, to the Company any and all right, title and interest in and to such Inventions made during the term of the Executive’s employment by the Company. There are no Inventions with respect to the Company conceived of, developed or made by the Executive before the Effective Date which have not been disclosed to and assigned to the Company. The Executive further agrees that at the request of and without charge to the Company, but at the Company’s expense, the Executive shall execute a written assignment of any Inventions to the Company and shall assign to the Company any application for letters patent or for trademark registration made thereon, and to any common-law or statutory copyright therein; and the Executive shall do whatever may be necessary or desirable to enable the Company to secure any patent, trademark, copyright, or other property right therein in the United States of America and in any foreign country, and any division, renewal, continuation, or continuation in part thereof, or for any reissue of any patent issues thereon. In the event that the Company is unable, after reasonable effort, and in any event after 10 business days, to secure the Executive’s signature on a written assignment to the Company of any application for letters patent or to any common-law statutory copyright or other property right therein, whether because of the Executive’s physical or mental incapacity or for any other reason whatsoever, the Executive irrevocably designates and appoints the Chief Executive Officer of the Company as Executive’s attorney-in-fact to act on Executive’s behalf to execute and file</w:t>
      </w:r>
    </w:p>
    <w:p>
      <w:pPr>
        <w:sectPr>
          <w:pgSz w:w="11900" w:h="16838" w:orient="portrait"/>
          <w:cols w:equalWidth="0" w:num="1">
            <w:col w:w="10120"/>
          </w:cols>
          <w:pgMar w:left="1440" w:top="1440" w:right="339" w:bottom="1440" w:gutter="0" w:footer="0" w:header="0"/>
        </w:sectPr>
      </w:pPr>
    </w:p>
    <w:bookmarkStart w:id="63" w:name="page64"/>
    <w:bookmarkEnd w:id="63"/>
    <w:p>
      <w:pPr>
        <w:spacing w:after="0" w:line="90" w:lineRule="exact"/>
        <w:rPr>
          <w:sz w:val="20"/>
          <w:szCs w:val="20"/>
          <w:color w:val="auto"/>
        </w:rPr>
      </w:pPr>
    </w:p>
    <w:p>
      <w:pPr>
        <w:ind w:left="652"/>
        <w:spacing w:after="0" w:line="271" w:lineRule="auto"/>
        <w:rPr>
          <w:sz w:val="20"/>
          <w:szCs w:val="20"/>
          <w:color w:val="auto"/>
        </w:rPr>
      </w:pPr>
      <w:r>
        <w:rPr>
          <w:rFonts w:ascii="Times New Roman" w:cs="Times New Roman" w:eastAsia="Times New Roman" w:hAnsi="Times New Roman"/>
          <w:sz w:val="22"/>
          <w:szCs w:val="22"/>
          <w:color w:val="auto"/>
        </w:rPr>
        <w:t>any such application and to do all other lawfully permitted acts to further the prosecution and issuance of such letters patent, copyright or trademark.</w:t>
      </w:r>
    </w:p>
    <w:p>
      <w:pPr>
        <w:spacing w:after="0" w:line="50" w:lineRule="exact"/>
        <w:rPr>
          <w:sz w:val="20"/>
          <w:szCs w:val="20"/>
          <w:color w:val="auto"/>
        </w:rPr>
      </w:pPr>
    </w:p>
    <w:p>
      <w:pPr>
        <w:ind w:left="1772" w:hanging="476"/>
        <w:spacing w:after="0"/>
        <w:tabs>
          <w:tab w:leader="none" w:pos="177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w:t>
      </w:r>
    </w:p>
    <w:p>
      <w:pPr>
        <w:spacing w:after="0" w:line="125" w:lineRule="exact"/>
        <w:rPr>
          <w:rFonts w:ascii="Times New Roman" w:cs="Times New Roman" w:eastAsia="Times New Roman" w:hAnsi="Times New Roman"/>
          <w:sz w:val="22"/>
          <w:szCs w:val="22"/>
          <w:color w:val="auto"/>
        </w:rPr>
      </w:pPr>
    </w:p>
    <w:p>
      <w:pPr>
        <w:jc w:val="both"/>
        <w:ind w:left="1292" w:firstLine="652"/>
        <w:spacing w:after="0" w:line="250" w:lineRule="auto"/>
        <w:tabs>
          <w:tab w:leader="none" w:pos="2380"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that a breach of any of the covenants contained in this paragraph 7 may result in material irreparable injury to the Company for which there is no adequate remedy at law, that it will not be possible to measure damages for such injuries precisely and that, in the event of such a breach, any payments or benefits remaining under the terms of this Agreement shall cease and the Company shall be entitled to obtain a temporary restraining order or a preliminary or permanent injunction restraining the Executive from engaging in activities prohibited by this paragraph 7 or such other relief as may be required to specifically enforce any of the covenants contained in this paragraph 7.</w:t>
      </w:r>
    </w:p>
    <w:p>
      <w:pPr>
        <w:spacing w:after="0" w:line="72" w:lineRule="exact"/>
        <w:rPr>
          <w:rFonts w:ascii="Times New Roman" w:cs="Times New Roman" w:eastAsia="Times New Roman" w:hAnsi="Times New Roman"/>
          <w:sz w:val="22"/>
          <w:szCs w:val="22"/>
          <w:color w:val="auto"/>
        </w:rPr>
      </w:pPr>
    </w:p>
    <w:p>
      <w:pPr>
        <w:jc w:val="both"/>
        <w:ind w:left="1292" w:firstLine="652"/>
        <w:spacing w:after="0" w:line="257" w:lineRule="auto"/>
        <w:tabs>
          <w:tab w:leader="none" w:pos="2444"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of time during which the restrictions set forth in this paragraph 7 will be in effect will be extended by the length of time during which the Executive is in breach of the terms of those provisions as determined by any court of competent jurisdiction on the Company’s application for injunctive relief.</w:t>
      </w:r>
    </w:p>
    <w:p>
      <w:pPr>
        <w:spacing w:after="0" w:line="64" w:lineRule="exact"/>
        <w:rPr>
          <w:rFonts w:ascii="Times New Roman" w:cs="Times New Roman" w:eastAsia="Times New Roman" w:hAnsi="Times New Roman"/>
          <w:sz w:val="22"/>
          <w:szCs w:val="22"/>
          <w:color w:val="auto"/>
        </w:rPr>
      </w:pPr>
    </w:p>
    <w:p>
      <w:pPr>
        <w:jc w:val="both"/>
        <w:ind w:left="652" w:firstLine="644"/>
        <w:spacing w:after="0" w:line="263" w:lineRule="auto"/>
        <w:tabs>
          <w:tab w:leader="none" w:pos="1823"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Communication of Contents of Agreement</w:t>
      </w:r>
      <w:r>
        <w:rPr>
          <w:rFonts w:ascii="Times New Roman" w:cs="Times New Roman" w:eastAsia="Times New Roman" w:hAnsi="Times New Roman"/>
          <w:sz w:val="22"/>
          <w:szCs w:val="22"/>
          <w:color w:val="auto"/>
        </w:rPr>
        <w:t>. While employed by the Company and for twelve (12) months thereafter, the Executive shall communicate the contents of this paragraph 7 to any Person that the Executive intends to be employed by, associated with or represent.</w:t>
      </w:r>
    </w:p>
    <w:p>
      <w:pPr>
        <w:spacing w:after="0" w:line="59" w:lineRule="exact"/>
        <w:rPr>
          <w:rFonts w:ascii="Times New Roman" w:cs="Times New Roman" w:eastAsia="Times New Roman" w:hAnsi="Times New Roman"/>
          <w:sz w:val="22"/>
          <w:szCs w:val="22"/>
          <w:color w:val="auto"/>
        </w:rPr>
      </w:pPr>
    </w:p>
    <w:p>
      <w:pPr>
        <w:jc w:val="both"/>
        <w:ind w:left="652" w:firstLine="644"/>
        <w:spacing w:after="0" w:line="256" w:lineRule="auto"/>
        <w:tabs>
          <w:tab w:leader="none" w:pos="173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Company</w:t>
      </w:r>
      <w:r>
        <w:rPr>
          <w:rFonts w:ascii="Times New Roman" w:cs="Times New Roman" w:eastAsia="Times New Roman" w:hAnsi="Times New Roman"/>
          <w:sz w:val="22"/>
          <w:szCs w:val="22"/>
          <w:color w:val="auto"/>
        </w:rPr>
        <w:t>. For purposes of this paragraph 7, the Company shall include AGNC and any and all direct and indirect subsidiary, parent, affiliated, or related companies of the Company for which the Executive worked or had responsibility at the time of termination of the Executive’s employment and at any time during the 2-year period prior to such termination.</w:t>
      </w:r>
    </w:p>
    <w:p>
      <w:pPr>
        <w:spacing w:after="0" w:line="68" w:lineRule="exact"/>
        <w:rPr>
          <w:rFonts w:ascii="Times New Roman" w:cs="Times New Roman" w:eastAsia="Times New Roman" w:hAnsi="Times New Roman"/>
          <w:sz w:val="22"/>
          <w:szCs w:val="22"/>
          <w:color w:val="auto"/>
        </w:rPr>
      </w:pPr>
    </w:p>
    <w:p>
      <w:pPr>
        <w:ind w:left="372" w:hanging="372"/>
        <w:spacing w:after="0"/>
        <w:tabs>
          <w:tab w:leader="none" w:pos="37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jc w:val="both"/>
        <w:ind w:left="652" w:firstLine="644"/>
        <w:spacing w:after="0" w:line="261" w:lineRule="auto"/>
        <w:tabs>
          <w:tab w:leader="none" w:pos="1793"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agrees that Executive shall not talk about or otherwise communicate to any third parties in a malicious, disparaging or defamatory manner regarding AGNC, the Company or any of their subsidiaries or any aspect of Executive’s employment with the Company. Further, the Executive shall not make or authorize to be made any written or oral statement that may disparage or damage the reputation of AGNC, the Company or any of their subsidiaries. The Company shall instruct its senior executives and members of the Board not to talk about or otherwise communicate to any third parties outside of AGNC, the Company or any of their subsidiaries in a malicious, disparaging or defamatory manner regarding the Executive or any aspect of Executive’s employment with the Company, and the Company shall not make or authorize to be made any written or oral statement to any third parties outside of AGNC, the Company or any of their subsidiaries that may disparage or damage the reputation of the Executive.</w:t>
      </w:r>
    </w:p>
    <w:p>
      <w:pPr>
        <w:spacing w:after="0" w:line="80" w:lineRule="exact"/>
        <w:rPr>
          <w:rFonts w:ascii="Times New Roman" w:cs="Times New Roman" w:eastAsia="Times New Roman" w:hAnsi="Times New Roman"/>
          <w:sz w:val="21"/>
          <w:szCs w:val="21"/>
          <w:color w:val="auto"/>
        </w:rPr>
      </w:pPr>
    </w:p>
    <w:p>
      <w:pPr>
        <w:ind w:left="652" w:firstLine="644"/>
        <w:spacing w:after="0" w:line="271" w:lineRule="auto"/>
        <w:tabs>
          <w:tab w:leader="none" w:pos="1828"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nothing in the Agreement prohibits or will be interpreted or construed to prohibit Executive from</w:t>
      </w:r>
    </w:p>
    <w:p>
      <w:pPr>
        <w:sectPr>
          <w:pgSz w:w="11900" w:h="16838" w:orient="portrait"/>
          <w:cols w:equalWidth="0" w:num="1">
            <w:col w:w="11232"/>
          </w:cols>
          <w:pgMar w:left="328" w:top="1440" w:right="339" w:bottom="1440" w:gutter="0" w:footer="0" w:header="0"/>
        </w:sectPr>
      </w:pPr>
    </w:p>
    <w:bookmarkStart w:id="64" w:name="page65"/>
    <w:bookmarkEnd w:id="64"/>
    <w:p>
      <w:pPr>
        <w:spacing w:after="0" w:line="90" w:lineRule="exact"/>
        <w:rPr>
          <w:sz w:val="20"/>
          <w:szCs w:val="20"/>
          <w:color w:val="auto"/>
        </w:rPr>
      </w:pPr>
    </w:p>
    <w:p>
      <w:pPr>
        <w:jc w:val="both"/>
        <w:ind w:left="652"/>
        <w:spacing w:after="0" w:line="268" w:lineRule="auto"/>
        <w:rPr>
          <w:sz w:val="20"/>
          <w:szCs w:val="20"/>
          <w:color w:val="auto"/>
        </w:rPr>
      </w:pPr>
      <w:r>
        <w:rPr>
          <w:rFonts w:ascii="Times New Roman" w:cs="Times New Roman" w:eastAsia="Times New Roman" w:hAnsi="Times New Roman"/>
          <w:sz w:val="21"/>
          <w:szCs w:val="21"/>
          <w:color w:val="auto"/>
        </w:rPr>
        <w:t>reporting any possible violation of federal law or regulation to any governmental agency or entity, including but not limited to the U.S. Department of Justice or the Securities and Exchange Commission, or providing testimony to or communicating with such agency or entity in the course of its investigation, or from making any other disclosures that are protected under the whistleblower provisions of federal law and regulation. Any such reports, testimony or disclosures do not require Executive to provide notice or receive the authorization or consent of the Company or the Board.</w:t>
      </w:r>
    </w:p>
    <w:p>
      <w:pPr>
        <w:spacing w:after="0" w:line="56" w:lineRule="exact"/>
        <w:rPr>
          <w:sz w:val="20"/>
          <w:szCs w:val="20"/>
          <w:color w:val="auto"/>
        </w:rPr>
      </w:pPr>
    </w:p>
    <w:p>
      <w:pPr>
        <w:ind w:left="-8" w:firstLine="656"/>
        <w:spacing w:after="0" w:line="295" w:lineRule="auto"/>
        <w:tabs>
          <w:tab w:leader="none" w:pos="1031"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Subject to any limits on applicability contained therein, paragraphs 6, 7, 8, 9, 10, 11, 21 and 22 hereof shall survive and continue in full force in accordance with their terms notwithstanding any termination of the Employment Period.</w:t>
      </w:r>
    </w:p>
    <w:p>
      <w:pPr>
        <w:spacing w:after="0" w:line="27" w:lineRule="exact"/>
        <w:rPr>
          <w:rFonts w:ascii="Times New Roman" w:cs="Times New Roman" w:eastAsia="Times New Roman" w:hAnsi="Times New Roman"/>
          <w:sz w:val="21"/>
          <w:szCs w:val="21"/>
          <w:color w:val="auto"/>
        </w:rPr>
      </w:pPr>
    </w:p>
    <w:p>
      <w:pPr>
        <w:jc w:val="both"/>
        <w:ind w:left="-8" w:firstLine="656"/>
        <w:spacing w:after="0" w:line="248" w:lineRule="auto"/>
        <w:tabs>
          <w:tab w:leader="none" w:pos="116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AGNC, the Company or any of their subsidiaries shall withhold from all payments due to the Executive all applicable taxes (federal, state or other) that it is required to withhold therefrom unless the Executive has otherwise paid (or made other arrangements satisfactory) to AGNC, the Company or any of their subsidiaries, as applicable, the amount of such taxes. Notwithstanding any other provision of this Agreement, none of AGNC, the Company or any of their subsidiaries shall be obligated to guarantee any particular tax result for the Executive with respect to any payment or benefit provided to the Executive by AGNC, the Company or any of their subsidiaries (whether pursuant to this Agreement or otherwise), and the Executive shall be responsible for any taxes imposed on the Executive with respect to any such payment. For the avoidance of doubt, in no event shall any provision of this Agreement (including, without limitation, paragraph 21 or 22) be construed to require AGNC, the Company or any of their subsidiaries to provide any gross-up for the tax consequences of any provision under this Agreement or any payment or benefit provided to the Executive by AGNC, the Company or any of their subsidiaries (whether pursuant to this Agreement or otherwise).</w:t>
      </w:r>
    </w:p>
    <w:p>
      <w:pPr>
        <w:spacing w:after="0" w:line="80" w:lineRule="exact"/>
        <w:rPr>
          <w:rFonts w:ascii="Times New Roman" w:cs="Times New Roman" w:eastAsia="Times New Roman" w:hAnsi="Times New Roman"/>
          <w:sz w:val="22"/>
          <w:szCs w:val="22"/>
          <w:color w:val="auto"/>
        </w:rPr>
      </w:pPr>
    </w:p>
    <w:p>
      <w:pPr>
        <w:jc w:val="both"/>
        <w:ind w:left="-8" w:firstLine="656"/>
        <w:spacing w:after="0" w:line="252" w:lineRule="auto"/>
        <w:tabs>
          <w:tab w:leader="none" w:pos="122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 or Offset</w:t>
      </w:r>
      <w:r>
        <w:rPr>
          <w:rFonts w:ascii="Times New Roman" w:cs="Times New Roman" w:eastAsia="Times New Roman" w:hAnsi="Times New Roman"/>
          <w:sz w:val="22"/>
          <w:szCs w:val="22"/>
          <w:color w:val="auto"/>
        </w:rPr>
        <w:t>. The provisions of this Agreement are not intended to, nor shall they be construed to, require that the Executive mitigate the amount of any payment provided for in this Agreement by seeking or accepting other employment, nor shall the amount of any payment provided for in this Agreement be reduced by any compensation earned by the Executive as the result of employment by another employer or otherwise. Without limitation of the foregoing, the Company’s obligations to make the payments to the Executive required under this Agreement and otherwise to perform its obligations hereunder shall not be affected by any set off, counterclaim, recoupment, defense or other claim, right or action that the Company may have against the Executive.</w:t>
      </w:r>
    </w:p>
    <w:p>
      <w:pPr>
        <w:spacing w:after="0" w:line="71" w:lineRule="exact"/>
        <w:rPr>
          <w:rFonts w:ascii="Times New Roman" w:cs="Times New Roman" w:eastAsia="Times New Roman" w:hAnsi="Times New Roman"/>
          <w:sz w:val="22"/>
          <w:szCs w:val="22"/>
          <w:color w:val="auto"/>
        </w:rPr>
      </w:pPr>
    </w:p>
    <w:p>
      <w:pPr>
        <w:jc w:val="both"/>
        <w:ind w:left="-8" w:firstLine="656"/>
        <w:spacing w:after="0" w:line="252" w:lineRule="auto"/>
        <w:tabs>
          <w:tab w:leader="none" w:pos="113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Assignability</w:t>
      </w:r>
      <w:r>
        <w:rPr>
          <w:rFonts w:ascii="Times New Roman" w:cs="Times New Roman" w:eastAsia="Times New Roman" w:hAnsi="Times New Roman"/>
          <w:sz w:val="22"/>
          <w:szCs w:val="22"/>
          <w:color w:val="auto"/>
        </w:rPr>
        <w:t>. The obligations of the Executive hereunder are personal and may not be assigned or delegated by the Executive or transferred in any manner whatsoever, nor are such obligations subject to involuntary alienation, assignment or transfer. The Company shall have the right to assign this Agreement and to delegate all rights, duties and obligations hereunder as provided in paragraph 15.</w:t>
      </w:r>
    </w:p>
    <w:p>
      <w:pPr>
        <w:spacing w:after="0" w:line="71" w:lineRule="exact"/>
        <w:rPr>
          <w:rFonts w:ascii="Times New Roman" w:cs="Times New Roman" w:eastAsia="Times New Roman" w:hAnsi="Times New Roman"/>
          <w:sz w:val="22"/>
          <w:szCs w:val="22"/>
          <w:color w:val="auto"/>
        </w:rPr>
      </w:pPr>
    </w:p>
    <w:p>
      <w:pPr>
        <w:ind w:left="1152" w:hanging="504"/>
        <w:spacing w:after="0"/>
        <w:tabs>
          <w:tab w:leader="none" w:pos="1152"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all other communications provided for in the Agreement shall be in writing and addressed</w:t>
      </w:r>
    </w:p>
    <w:p>
      <w:pPr>
        <w:spacing w:after="0" w:line="40" w:lineRule="exact"/>
        <w:rPr>
          <w:rFonts w:ascii="Times New Roman" w:cs="Times New Roman" w:eastAsia="Times New Roman" w:hAnsi="Times New Roman"/>
          <w:sz w:val="21"/>
          <w:szCs w:val="21"/>
          <w:color w:val="auto"/>
        </w:rPr>
      </w:pPr>
    </w:p>
    <w:p>
      <w:pPr>
        <w:jc w:val="both"/>
        <w:ind w:left="-8" w:firstLine="8"/>
        <w:spacing w:after="0" w:line="251" w:lineRule="auto"/>
        <w:tabs>
          <w:tab w:leader="none" w:pos="29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(i) at its principal office address or such other address as it may have designated by written notice to the Executive for purposes hereof, directed to the attention of the Board with a copy to the Chief Executive Officer of the Company or (ii) to the company electronic mail address of the Chief Executive Officer of the Company and</w:t>
      </w:r>
    </w:p>
    <w:p>
      <w:pPr>
        <w:sectPr>
          <w:pgSz w:w="11900" w:h="16838" w:orient="portrait"/>
          <w:cols w:equalWidth="0" w:num="1">
            <w:col w:w="11232"/>
          </w:cols>
          <w:pgMar w:left="328" w:top="1440" w:right="339" w:bottom="1440" w:gutter="0" w:footer="0" w:header="0"/>
        </w:sectPr>
      </w:pPr>
    </w:p>
    <w:bookmarkStart w:id="65" w:name="page66"/>
    <w:bookmarkEnd w:id="65"/>
    <w:p>
      <w:pPr>
        <w:spacing w:after="0" w:line="90" w:lineRule="exact"/>
        <w:rPr>
          <w:sz w:val="20"/>
          <w:szCs w:val="20"/>
          <w:color w:val="auto"/>
        </w:rPr>
      </w:pPr>
    </w:p>
    <w:p>
      <w:pPr>
        <w:jc w:val="both"/>
        <w:ind w:left="-8" w:firstLine="8"/>
        <w:spacing w:after="0" w:line="253" w:lineRule="auto"/>
        <w:tabs>
          <w:tab w:leader="none" w:pos="31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Executive, (i) at the Executive’s residence address on the records of the Company or to such other address as the Executive may have designated to the Company in writing for purposes hereof or (ii) to the Executive’s company electronic mail address. Each such notice or other communication shall be deemed to have been duly given when (A) delivered or mailed by United States registered mail, return receipt requested, postage prepaid or (B) when electronic evidence of electronic mail transmission is received, except that any notice of change of address shall be effective only upon receipt.</w:t>
      </w:r>
    </w:p>
    <w:p>
      <w:pPr>
        <w:spacing w:after="0" w:line="70" w:lineRule="exact"/>
        <w:rPr>
          <w:rFonts w:ascii="Times New Roman" w:cs="Times New Roman" w:eastAsia="Times New Roman" w:hAnsi="Times New Roman"/>
          <w:sz w:val="22"/>
          <w:szCs w:val="22"/>
          <w:color w:val="auto"/>
        </w:rPr>
      </w:pPr>
    </w:p>
    <w:p>
      <w:pPr>
        <w:ind w:left="-8" w:firstLine="656"/>
        <w:spacing w:after="0" w:line="271" w:lineRule="auto"/>
        <w:tabs>
          <w:tab w:leader="none" w:pos="1193"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which shall remain in full force and effect.</w:t>
      </w:r>
    </w:p>
    <w:p>
      <w:pPr>
        <w:spacing w:after="0" w:line="49" w:lineRule="exact"/>
        <w:rPr>
          <w:rFonts w:ascii="Times New Roman" w:cs="Times New Roman" w:eastAsia="Times New Roman" w:hAnsi="Times New Roman"/>
          <w:sz w:val="22"/>
          <w:szCs w:val="22"/>
          <w:color w:val="auto"/>
        </w:rPr>
      </w:pPr>
    </w:p>
    <w:p>
      <w:pPr>
        <w:jc w:val="both"/>
        <w:ind w:left="-8" w:firstLine="656"/>
        <w:spacing w:after="0" w:line="251" w:lineRule="auto"/>
        <w:tabs>
          <w:tab w:leader="none" w:pos="1139"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Binding Agreement</w:t>
      </w:r>
      <w:r>
        <w:rPr>
          <w:rFonts w:ascii="Times New Roman" w:cs="Times New Roman" w:eastAsia="Times New Roman" w:hAnsi="Times New Roman"/>
          <w:sz w:val="22"/>
          <w:szCs w:val="22"/>
          <w:color w:val="auto"/>
        </w:rPr>
        <w:t>. This Agreement and all rights of the Executive hereunder shall inure to the benefit of and be enforceable by the Executive’s personal or legal representatives, executors, administrators, successors, heirs, distributes, devisees and legatees. If the Executive should die while any amounts would be payable to the Executive hereunder if the Executive had continued to live, all such amounts, unless otherwise provided herein, shall be paid in accordance with the terms of this Agreement to the Executive’s devisee, legatee or other designee or, if there be no such designee, to the Executive’s estate.</w:t>
      </w:r>
    </w:p>
    <w:p>
      <w:pPr>
        <w:spacing w:after="0" w:line="73" w:lineRule="exact"/>
        <w:rPr>
          <w:rFonts w:ascii="Times New Roman" w:cs="Times New Roman" w:eastAsia="Times New Roman" w:hAnsi="Times New Roman"/>
          <w:sz w:val="22"/>
          <w:szCs w:val="22"/>
          <w:color w:val="auto"/>
        </w:rPr>
      </w:pPr>
    </w:p>
    <w:p>
      <w:pPr>
        <w:jc w:val="both"/>
        <w:ind w:left="-8" w:firstLine="656"/>
        <w:spacing w:after="0" w:line="253" w:lineRule="auto"/>
        <w:tabs>
          <w:tab w:leader="none" w:pos="122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provision of this Agreement may be modified, waived or discharged unless such waiver, modification or discharge is agreed to in writing and signed by the Executive and the Board. No waiver by either party hereto at any time of any breach by the Executive or the Company of, or in compliance with, any condition or provision of this Agreement to be performed by the Executive or the Company, as applicable, shall be deemed a waiver of similar or dissimilar provisions or conditions at the same or at any prior or subsequent time.</w:t>
      </w:r>
    </w:p>
    <w:p>
      <w:pPr>
        <w:spacing w:after="0" w:line="70" w:lineRule="exact"/>
        <w:rPr>
          <w:rFonts w:ascii="Times New Roman" w:cs="Times New Roman" w:eastAsia="Times New Roman" w:hAnsi="Times New Roman"/>
          <w:sz w:val="22"/>
          <w:szCs w:val="22"/>
          <w:color w:val="auto"/>
        </w:rPr>
      </w:pPr>
    </w:p>
    <w:p>
      <w:pPr>
        <w:jc w:val="both"/>
        <w:ind w:left="-8" w:firstLine="656"/>
        <w:spacing w:after="0" w:line="256" w:lineRule="auto"/>
        <w:tabs>
          <w:tab w:leader="none" w:pos="1139"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(a) This Agreement embodies the complete agreement and understanding between the parties with respect to the subject matter hereof and (b) this Agreement supersedes and preempts any prior understandings, agreements or representations by or between the Executive and AGNC, the Company and any of their subsidiaries, written or oral (including, without limitation, the Prior Agreement), which may have related to the subject matter hereof in any way.</w:t>
      </w:r>
    </w:p>
    <w:p>
      <w:pPr>
        <w:spacing w:after="0" w:line="68" w:lineRule="exact"/>
        <w:rPr>
          <w:rFonts w:ascii="Times New Roman" w:cs="Times New Roman" w:eastAsia="Times New Roman" w:hAnsi="Times New Roman"/>
          <w:sz w:val="22"/>
          <w:szCs w:val="22"/>
          <w:color w:val="auto"/>
        </w:rPr>
      </w:pPr>
    </w:p>
    <w:p>
      <w:pPr>
        <w:jc w:val="both"/>
        <w:ind w:left="-8" w:firstLine="656"/>
        <w:spacing w:after="0" w:line="263" w:lineRule="auto"/>
        <w:tabs>
          <w:tab w:leader="none" w:pos="1193"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electronically transmitted counterparts), each of which shall be deemed to be an original, but all of which together will constitute one and the same instrument.</w:t>
      </w:r>
    </w:p>
    <w:p>
      <w:pPr>
        <w:spacing w:after="0" w:line="59" w:lineRule="exact"/>
        <w:rPr>
          <w:rFonts w:ascii="Times New Roman" w:cs="Times New Roman" w:eastAsia="Times New Roman" w:hAnsi="Times New Roman"/>
          <w:sz w:val="22"/>
          <w:szCs w:val="22"/>
          <w:color w:val="auto"/>
        </w:rPr>
      </w:pPr>
    </w:p>
    <w:p>
      <w:pPr>
        <w:jc w:val="both"/>
        <w:ind w:left="-8" w:firstLine="656"/>
        <w:spacing w:after="0" w:line="251" w:lineRule="auto"/>
        <w:tabs>
          <w:tab w:leader="none" w:pos="118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shall be governed by, and construed in accordance with, the internal, substantive laws of the State of Maryland. The Company and the Executive agree that the state and federal courts located in the State of Maryland shall have jurisdiction in any action, suit or proceeding based on or arising out of this Agreement and the Company and the Executive hereby: (a) submit to the personal jurisdiction of such courts, (b) consent to service of process in connection with any action, suit or proceeding and (c) waive any other requirement (whether imposed by statute, rule of court or otherwise) with respect to personal jurisdiction, venue or service of process.</w:t>
      </w:r>
    </w:p>
    <w:p>
      <w:pPr>
        <w:sectPr>
          <w:pgSz w:w="11900" w:h="16838" w:orient="portrait"/>
          <w:cols w:equalWidth="0" w:num="1">
            <w:col w:w="11232"/>
          </w:cols>
          <w:pgMar w:left="328" w:top="1440" w:right="339" w:bottom="1440" w:gutter="0" w:footer="0" w:header="0"/>
        </w:sectPr>
      </w:pPr>
    </w:p>
    <w:bookmarkStart w:id="66" w:name="page67"/>
    <w:bookmarkEnd w:id="66"/>
    <w:p>
      <w:pPr>
        <w:spacing w:after="0" w:line="90" w:lineRule="exact"/>
        <w:rPr>
          <w:sz w:val="20"/>
          <w:szCs w:val="20"/>
          <w:color w:val="auto"/>
        </w:rPr>
      </w:pPr>
    </w:p>
    <w:p>
      <w:pPr>
        <w:jc w:val="both"/>
        <w:ind w:left="-656" w:firstLine="656"/>
        <w:spacing w:after="0" w:line="250" w:lineRule="auto"/>
        <w:tabs>
          <w:tab w:leader="none" w:pos="50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D&amp;O Insurance</w:t>
      </w:r>
      <w:r>
        <w:rPr>
          <w:rFonts w:ascii="Times New Roman" w:cs="Times New Roman" w:eastAsia="Times New Roman" w:hAnsi="Times New Roman"/>
          <w:sz w:val="22"/>
          <w:szCs w:val="22"/>
          <w:color w:val="auto"/>
        </w:rPr>
        <w:t>. The Executive will be provided indemnification and mandatory advancement of expenses to the maximum extent permitted by AGNC’s, the Company’s and their subsidiaries’ and affiliates’ Articles of Incorporation or Bylaws, with such indemnification to be on terms determined by the Board or the applicable board of directors or managers, or any of their committees, but on terms no less favorable than provided to any other executive officer or director of such entities. AGNC and the Company shall maintain customary directors and officers insurance coverage for the Executive’s benefit on the same basis as such coverage is maintained for the benefit of AGNC’s and the Company’s other executive officers and directors (including former executive officers and directors).</w:t>
      </w:r>
    </w:p>
    <w:p>
      <w:pPr>
        <w:spacing w:after="0" w:line="72" w:lineRule="exact"/>
        <w:rPr>
          <w:rFonts w:ascii="Times New Roman" w:cs="Times New Roman" w:eastAsia="Times New Roman" w:hAnsi="Times New Roman"/>
          <w:sz w:val="22"/>
          <w:szCs w:val="22"/>
          <w:color w:val="auto"/>
        </w:rPr>
      </w:pPr>
    </w:p>
    <w:p>
      <w:pPr>
        <w:ind w:left="484" w:hanging="484"/>
        <w:spacing w:after="0"/>
        <w:tabs>
          <w:tab w:leader="none" w:pos="48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125"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225"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for this Agreement to either comply with, or be exempt from, Section 409A, and all provisions of this Agreement shall be interpreted and applied accordingly. If any compensation or benefits provided by this Agreement may result in the application of Section 409A, the Company shall, subject to the Executive’s prior written approval, modify the Agreement in the least restrictive manner necessary in order to exclude such compensation from the definition of “deferral of compensation” within the meaning of Section 409A or in order to comply with the provisions of Section 409A and without any diminution in the value of the payments or benefits to the Executive. Each payment or reimbursement under this Agreement shall be considered a separate payment and not one of a series of payments for purposes of Section 409A. Any payments or reimbursements of any expenses provided for under this Agreement shall be made in accordance with Treas. Reg. §1.409A-3(i)(1)(iv).</w:t>
      </w:r>
    </w:p>
    <w:p>
      <w:pPr>
        <w:spacing w:after="0" w:line="77" w:lineRule="exact"/>
        <w:rPr>
          <w:rFonts w:ascii="Times New Roman" w:cs="Times New Roman" w:eastAsia="Times New Roman" w:hAnsi="Times New Roman"/>
          <w:sz w:val="22"/>
          <w:szCs w:val="22"/>
          <w:color w:val="auto"/>
        </w:rPr>
      </w:pPr>
    </w:p>
    <w:p>
      <w:pPr>
        <w:jc w:val="both"/>
        <w:ind w:left="4" w:firstLine="644"/>
        <w:spacing w:after="0" w:line="247" w:lineRule="auto"/>
        <w:tabs>
          <w:tab w:leader="none" w:pos="139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pursuant to this Agreement constitutes a “deferral of compensation” subject to Section 409A (after taking into account to the maximum extent possible any applicable exemptions) (a “</w:t>
      </w:r>
      <w:r>
        <w:rPr>
          <w:rFonts w:ascii="Times New Roman" w:cs="Times New Roman" w:eastAsia="Times New Roman" w:hAnsi="Times New Roman"/>
          <w:sz w:val="22"/>
          <w:szCs w:val="22"/>
          <w:u w:val="single" w:color="auto"/>
          <w:color w:val="auto"/>
        </w:rPr>
        <w:t>409A Payment</w:t>
      </w:r>
      <w:r>
        <w:rPr>
          <w:rFonts w:ascii="Times New Roman" w:cs="Times New Roman" w:eastAsia="Times New Roman" w:hAnsi="Times New Roman"/>
          <w:sz w:val="22"/>
          <w:szCs w:val="22"/>
          <w:color w:val="auto"/>
        </w:rPr>
        <w:t>”) and is treated as payable upon Separation from Service, then, if on the date of the Executive’s Separation from Service, the Executive is a Specified Employee, to the extent required for the Executive not to incur additional taxes pursuant to Section 409A, no such 409A Payment shall be made to the Executive prior to the earlier of (i) six (6) months after the Executive’s Separation from Service or (ii) the date of the Executive’s death. Should this paragraph 21 result in payments or benefits to the Executive at a later time than otherwise would have been made under this Agreement, on the first day any such payments or benefits may be made without incurring additional tax pursuant to Section 409A, the Company shall make such payments and provide such benefits as provided for in this Agreement. For purposes of this paragraph 21, the terms “Specified Employee” and “Separation from Service” shall have the meanings ascribed to them in Section 409A. The parties intend that the phrase “termination of employment” and words and phrases of similar import used in this Agreement means a Separation From Service with the Company and its subsidiaries.</w:t>
      </w:r>
    </w:p>
    <w:p>
      <w:pPr>
        <w:spacing w:after="0" w:line="98" w:lineRule="exact"/>
        <w:rPr>
          <w:rFonts w:ascii="Times New Roman" w:cs="Times New Roman" w:eastAsia="Times New Roman" w:hAnsi="Times New Roman"/>
          <w:sz w:val="22"/>
          <w:szCs w:val="22"/>
          <w:color w:val="auto"/>
        </w:rPr>
      </w:pPr>
    </w:p>
    <w:p>
      <w:pPr>
        <w:jc w:val="both"/>
        <w:ind w:left="-656" w:firstLine="656"/>
        <w:spacing w:after="0" w:line="257" w:lineRule="auto"/>
        <w:tabs>
          <w:tab w:leader="none" w:pos="47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 In the event that any payments, distributions, benefits or entitlements of any type payable or provided by AGNC, the Company or any of their subsidiaries to the Executive, whether or not payable in connection with this Agreement or upon a termination of employment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(i) constitute “parachute payments” within the</w:t>
      </w:r>
    </w:p>
    <w:p>
      <w:pPr>
        <w:sectPr>
          <w:pgSz w:w="11900" w:h="16838" w:orient="portrait"/>
          <w:cols w:equalWidth="0" w:num="1">
            <w:col w:w="10584"/>
          </w:cols>
          <w:pgMar w:left="976" w:top="1440" w:right="339" w:bottom="1440" w:gutter="0" w:footer="0" w:header="0"/>
        </w:sectPr>
      </w:pPr>
    </w:p>
    <w:bookmarkStart w:id="67" w:name="page68"/>
    <w:bookmarkEnd w:id="67"/>
    <w:p>
      <w:pPr>
        <w:spacing w:after="0" w:line="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meaning of Section 280G, and (ii) but for this paragraph 22 would be subject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Payments shall be reduced to such lesser amount (the “</w:t>
      </w:r>
      <w:r>
        <w:rPr>
          <w:rFonts w:ascii="Times New Roman" w:cs="Times New Roman" w:eastAsia="Times New Roman" w:hAnsi="Times New Roman"/>
          <w:sz w:val="22"/>
          <w:szCs w:val="22"/>
          <w:u w:val="single" w:color="auto"/>
          <w:color w:val="auto"/>
        </w:rPr>
        <w:t>Reduced Amount</w:t>
      </w:r>
      <w:r>
        <w:rPr>
          <w:rFonts w:ascii="Times New Roman" w:cs="Times New Roman" w:eastAsia="Times New Roman" w:hAnsi="Times New Roman"/>
          <w:sz w:val="22"/>
          <w:szCs w:val="22"/>
          <w:color w:val="auto"/>
        </w:rPr>
        <w:t xml:space="preserve">”) that would result in no portion of the Payments being subject to the Excise Tax;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Payments shall not be so reduced if a nationally recognized accounting firm selected by the Board in good faith (the “</w:t>
      </w: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determines that without such reduction, the Executive would be entitled to receive and retain, on a net after-tax basis (including, without limitation, any excise taxes payable under Section 4999 of the Code, federal, state and local income taxes, social security and Medicare taxes and all other applicable taxes, determined by applying the highest marginal rate under Section 1 of the Code and under state and local tax laws which applied (or is likely to apply) to the Executive’s taxable income for the tax year in which the transaction which causes the application of Section 280G occurs, or such other rate(s) as the Accountants determine to be likely to apply to the Executive in the relevant tax year(s) in which any of the Payments are expected to be made), an amount that is greater than the amount, on a net after-tax basis, that the Executive would be entitled to retain upon receipt of the Reduced Amount. Unless the Board and the Executive otherwise agree in writing, any determination required under this paragraph 22 shall be made in good faith by the Accountants in a timely manner and shall be binding on the parties absent manifest error. In the event of a reduction of Payments hereunder, the Payments shall be reduced in the order determined by the Accountants that results in the greatest economic benefit to the Executive in a manner that would not result in subjecting the Executive to additional taxation under Section 409A. For purposes of making the calculations required by this paragraph 22, the Accountants may make reasonable assumptions and approximations concerning applicable taxes and may rely on reasonable, good faith interpretations concerning the application of the Code and other applicable legal authority. The Board and the Executive shall furnish to the Accountants such information and documents as the Accountants may reasonably require in order to make a determination under this paragraph 22, and the Company shall bear the cost of all fees charged by the Accountants in connection with any calculations contemplated by this paragraph 22. To the extent requested by the Executive, the Company shall cooperate with the Executive in good faith in valuing, and the Accountants shall value, services to be provided by the Executive (including the Executive refraining from performing services pursuant to a covenant not to compete) before, on or after the date of the transaction which causes the application of Section 280G such that Payments in respect of such services may be considered to be “reasonable compensation” within the meaning of Section 280G. Notwithstanding the foregoing, if the transaction which causes the application of Section 280G occurs at a time during which Section 2(a)(i) of Q&amp;A-6 of Treasury Regulation Section 1.280G would apply to the Executive, upon the request of the Executive, the Company shall use reasonable efforts to obtain the vote of equity holders described in Q&amp;A-7 of Treasury Regulation Section 1.280G.</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ON FOLLOWING PAGE]</w:t>
      </w:r>
    </w:p>
    <w:p>
      <w:pPr>
        <w:sectPr>
          <w:pgSz w:w="11900" w:h="16838" w:orient="portrait"/>
          <w:cols w:equalWidth="0" w:num="1">
            <w:col w:w="11240"/>
          </w:cols>
          <w:pgMar w:left="320" w:top="144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date first written above.</w:t>
      </w:r>
    </w:p>
    <w:p>
      <w:pPr>
        <w:sectPr>
          <w:pgSz w:w="11900" w:h="16838" w:orient="portrait"/>
          <w:cols w:equalWidth="0" w:num="1">
            <w:col w:w="9939"/>
          </w:cols>
          <w:pgMar w:left="520" w:top="1408" w:right="1440" w:bottom="1440" w:gutter="0" w:footer="0" w:header="0"/>
        </w:sectPr>
      </w:pPr>
    </w:p>
    <w:p>
      <w:pPr>
        <w:spacing w:after="0" w:line="25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b w:val="1"/>
          <w:bCs w:val="1"/>
          <w:color w:val="auto"/>
        </w:rPr>
        <w:t>AGNC MORTGAGE MANAGEMENT, LLC</w:t>
      </w:r>
    </w:p>
    <w:p>
      <w:pPr>
        <w:spacing w:after="0" w:line="200" w:lineRule="exact"/>
        <w:rPr>
          <w:sz w:val="20"/>
          <w:szCs w:val="20"/>
          <w:color w:val="auto"/>
        </w:rPr>
      </w:pPr>
    </w:p>
    <w:p>
      <w:pPr>
        <w:spacing w:after="0" w:line="332" w:lineRule="exact"/>
        <w:rPr>
          <w:sz w:val="20"/>
          <w:szCs w:val="20"/>
          <w:color w:val="auto"/>
        </w:rPr>
      </w:pPr>
    </w:p>
    <w:tbl>
      <w:tblPr>
        <w:tblLayout w:type="fixed"/>
        <w:tblInd w:w="4040" w:type="dxa"/>
        <w:tblCellMar>
          <w:top w:w="0" w:type="dxa"/>
          <w:left w:w="0" w:type="dxa"/>
          <w:bottom w:w="0" w:type="dxa"/>
          <w:right w:w="0" w:type="dxa"/>
        </w:tblCellMar>
      </w:tblP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/s/ Peter Federico</w:t>
            </w:r>
          </w:p>
        </w:tc>
      </w:tr>
      <w:tr>
        <w:trPr>
          <w:trHeight w:val="251"/>
        </w:trPr>
        <w:tc>
          <w:tcPr>
            <w:tcW w:w="12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22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Peter Federico</w:t>
            </w: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Title:</w:t>
            </w:r>
          </w:p>
        </w:tc>
        <w:tc>
          <w:tcPr>
            <w:tcW w:w="2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President and Chief</w:t>
            </w:r>
          </w:p>
        </w:tc>
      </w:tr>
      <w:tr>
        <w:trPr>
          <w:trHeight w:val="282"/>
        </w:trPr>
        <w:tc>
          <w:tcPr>
            <w:tcW w:w="1220" w:type="dxa"/>
            <w:vAlign w:val="bottom"/>
          </w:tcPr>
          <w:p>
            <w:pPr>
              <w:spacing w:after="0"/>
              <w:rPr>
                <w:sz w:val="24"/>
                <w:szCs w:val="2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Operating Officer</w:t>
            </w:r>
          </w:p>
        </w:tc>
      </w:tr>
    </w:tbl>
    <w:p>
      <w:pPr>
        <w:spacing w:after="0" w:line="25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6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/s/ Sean Reid</w:t>
      </w:r>
    </w:p>
    <w:p>
      <w:pPr>
        <w:spacing w:after="0" w:line="3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Sean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-160020</wp:posOffset>
            </wp:positionV>
            <wp:extent cx="14401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ectPr>
          <w:pgSz w:w="11900" w:h="16838" w:orient="portrait"/>
          <w:cols w:equalWidth="0" w:num="1">
            <w:col w:w="9939"/>
          </w:cols>
          <w:pgMar w:left="520" w:top="1408" w:right="1440" w:bottom="1440" w:gutter="0" w:footer="0" w:header="0"/>
          <w:type w:val="continuous"/>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Federico, certify that:</w:t>
      </w:r>
    </w:p>
    <w:p>
      <w:pPr>
        <w:spacing w:after="0" w:line="158" w:lineRule="exact"/>
        <w:rPr>
          <w:sz w:val="20"/>
          <w:szCs w:val="20"/>
          <w:color w:val="auto"/>
        </w:rPr>
      </w:pPr>
    </w:p>
    <w:p>
      <w:pPr>
        <w:ind w:left="760" w:hanging="307"/>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5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860" w:hanging="407"/>
        <w:spacing w:after="0" w:line="282" w:lineRule="auto"/>
        <w:tabs>
          <w:tab w:leader="none" w:pos="8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860" w:hanging="407"/>
        <w:spacing w:after="0" w:line="261" w:lineRule="auto"/>
        <w:tabs>
          <w:tab w:leader="none" w:pos="8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53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0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420" w:hanging="400"/>
        <w:spacing w:after="0" w:line="282" w:lineRule="auto"/>
        <w:tabs>
          <w:tab w:leader="none" w:pos="142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2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860" w:hanging="407"/>
        <w:spacing w:after="0" w:line="282" w:lineRule="auto"/>
        <w:tabs>
          <w:tab w:leader="none" w:pos="7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4" w:lineRule="exact"/>
        <w:rPr>
          <w:rFonts w:ascii="Times New Roman" w:cs="Times New Roman" w:eastAsia="Times New Roman" w:hAnsi="Times New Roman"/>
          <w:sz w:val="18"/>
          <w:szCs w:val="18"/>
          <w:color w:val="auto"/>
        </w:rPr>
      </w:pPr>
    </w:p>
    <w:p>
      <w:pPr>
        <w:ind w:left="1420" w:hanging="400"/>
        <w:spacing w:after="0" w:line="282" w:lineRule="auto"/>
        <w:tabs>
          <w:tab w:leader="none" w:pos="145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420" w:right="20" w:hanging="400"/>
        <w:spacing w:after="0" w:line="282" w:lineRule="auto"/>
        <w:tabs>
          <w:tab w:leader="none" w:pos="140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7, 2024</w:t>
      </w:r>
    </w:p>
    <w:p>
      <w:pPr>
        <w:spacing w:after="0" w:line="225"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8"/>
          <w:szCs w:val="18"/>
          <w:color w:val="auto"/>
        </w:rPr>
        <w:t>/s/</w:t>
        <w:tab/>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4"/>
          <w:szCs w:val="14"/>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26035</wp:posOffset>
            </wp:positionV>
            <wp:extent cx="23488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Peter J. Federico</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President and Chief Executive Officer (Principal</w:t>
      </w:r>
    </w:p>
    <w:p>
      <w:pPr>
        <w:ind w:left="620"/>
        <w:spacing w:after="0"/>
        <w:rPr>
          <w:sz w:val="20"/>
          <w:szCs w:val="20"/>
          <w:color w:val="auto"/>
        </w:rPr>
      </w:pPr>
      <w:r>
        <w:rPr>
          <w:rFonts w:ascii="Times New Roman" w:cs="Times New Roman" w:eastAsia="Times New Roman" w:hAnsi="Times New Roman"/>
          <w:sz w:val="18"/>
          <w:szCs w:val="18"/>
          <w:color w:val="auto"/>
        </w:rPr>
        <w:t>Executive Officer)</w:t>
      </w:r>
    </w:p>
    <w:p>
      <w:pPr>
        <w:sectPr>
          <w:pgSz w:w="11900" w:h="16838" w:orient="portrait"/>
          <w:cols w:equalWidth="0" w:num="1">
            <w:col w:w="11240"/>
          </w:cols>
          <w:pgMar w:left="320" w:top="89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Bernice E. Bell, certify that:</w:t>
      </w:r>
    </w:p>
    <w:p>
      <w:pPr>
        <w:spacing w:after="0" w:line="158" w:lineRule="exact"/>
        <w:rPr>
          <w:sz w:val="20"/>
          <w:szCs w:val="20"/>
          <w:color w:val="auto"/>
        </w:rPr>
      </w:pPr>
    </w:p>
    <w:p>
      <w:pPr>
        <w:ind w:left="760" w:hanging="307"/>
        <w:spacing w:after="0"/>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5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860" w:hanging="407"/>
        <w:spacing w:after="0" w:line="282" w:lineRule="auto"/>
        <w:tabs>
          <w:tab w:leader="none" w:pos="8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860" w:hanging="407"/>
        <w:spacing w:after="0" w:line="261" w:lineRule="auto"/>
        <w:tabs>
          <w:tab w:leader="none" w:pos="80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53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0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420" w:hanging="400"/>
        <w:spacing w:after="0" w:line="282" w:lineRule="auto"/>
        <w:tabs>
          <w:tab w:leader="none" w:pos="142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2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860" w:hanging="407"/>
        <w:spacing w:after="0" w:line="282" w:lineRule="auto"/>
        <w:tabs>
          <w:tab w:leader="none" w:pos="7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4" w:lineRule="exact"/>
        <w:rPr>
          <w:rFonts w:ascii="Times New Roman" w:cs="Times New Roman" w:eastAsia="Times New Roman" w:hAnsi="Times New Roman"/>
          <w:sz w:val="18"/>
          <w:szCs w:val="18"/>
          <w:color w:val="auto"/>
        </w:rPr>
      </w:pPr>
    </w:p>
    <w:p>
      <w:pPr>
        <w:ind w:left="1420" w:hanging="400"/>
        <w:spacing w:after="0" w:line="282" w:lineRule="auto"/>
        <w:tabs>
          <w:tab w:leader="none" w:pos="147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420" w:right="20" w:hanging="400"/>
        <w:spacing w:after="0" w:line="282" w:lineRule="auto"/>
        <w:tabs>
          <w:tab w:leader="none" w:pos="140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7, 2024</w:t>
      </w:r>
    </w:p>
    <w:p>
      <w:pPr>
        <w:spacing w:after="0" w:line="225"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8"/>
          <w:szCs w:val="18"/>
          <w:color w:val="auto"/>
        </w:rPr>
        <w:t>/s/</w:t>
        <w:tab/>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26035</wp:posOffset>
            </wp:positionV>
            <wp:extent cx="23488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Bernice E. Bell</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ind w:left="620"/>
        <w:spacing w:after="0"/>
        <w:rPr>
          <w:sz w:val="20"/>
          <w:szCs w:val="20"/>
          <w:color w:val="auto"/>
        </w:rPr>
      </w:pPr>
      <w:r>
        <w:rPr>
          <w:rFonts w:ascii="Times New Roman" w:cs="Times New Roman" w:eastAsia="Times New Roman" w:hAnsi="Times New Roman"/>
          <w:sz w:val="18"/>
          <w:szCs w:val="18"/>
          <w:color w:val="auto"/>
        </w:rPr>
        <w:t>Officer (Principal Financial Officer)</w:t>
      </w:r>
    </w:p>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Peter J. Federico, President and Chief Executive Officer, and Bernice E. Bell, Executive Vice President and Chief Financial Officer of AGNC Investment Corp. (the “Company”), certify pursuant to Section 906 of the Sarbanes-Oxley Act of 2002, 18 U.S.C. Section 1350 that:</w:t>
      </w:r>
    </w:p>
    <w:p>
      <w:pPr>
        <w:spacing w:after="0" w:line="108" w:lineRule="exact"/>
        <w:rPr>
          <w:sz w:val="20"/>
          <w:szCs w:val="20"/>
          <w:color w:val="auto"/>
        </w:rPr>
      </w:pPr>
    </w:p>
    <w:p>
      <w:pPr>
        <w:ind w:left="660" w:right="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2024 (the “Report”) fully complies with the requirements of Section 13(a) of the Securities Exchange Act of 1934 (15 U.S.C. 78m);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4"/>
                <w:szCs w:val="14"/>
                <w:color w:val="auto"/>
              </w:rPr>
              <w:t>EDERICO</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J. Federico</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President and</w:t>
            </w: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7, 2024</w:t>
            </w:r>
          </w:p>
        </w:tc>
      </w:tr>
      <w:tr>
        <w:trPr>
          <w:trHeight w:val="493"/>
        </w:trPr>
        <w:tc>
          <w:tcPr>
            <w:tcW w:w="70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Bernice E. Bell</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Executive Vice President and</w:t>
            </w: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7, 2024</w:t>
            </w:r>
          </w:p>
        </w:tc>
      </w:tr>
    </w:tbl>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1."/>
      <w:numFmt w:val="decimal"/>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decimal"/>
      <w:start w:val="4"/>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1."/>
      <w:numFmt w:val="decimal"/>
      <w:start w:val="1"/>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7"/>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decimal"/>
      <w:start w:val="1"/>
    </w:lvl>
  </w:abstractNum>
  <w:abstractNum w:abstractNumId="29">
    <w:nsid w:val="3DC240FB"/>
    <w:multiLevelType w:val="hybridMultilevel"/>
    <w:lvl w:ilvl="0">
      <w:lvlJc w:val="left"/>
      <w:lvlText w:val="%1."/>
      <w:numFmt w:val="decimal"/>
      <w:start w:val="5"/>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3"/>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1)"/>
      <w:numFmt w:val="lowerLetter"/>
      <w:start w:val="3"/>
    </w:lvl>
  </w:abstractNum>
  <w:abstractNum w:abstractNumId="41">
    <w:nsid w:val="39386575"/>
    <w:multiLevelType w:val="hybridMultilevel"/>
    <w:lvl w:ilvl="0">
      <w:lvlJc w:val="left"/>
      <w:lvlText w:val="%1."/>
      <w:numFmt w:val="decimal"/>
      <w:start w:val="1"/>
    </w:lvl>
    <w:lvl w:ilvl="1">
      <w:lvlJc w:val="left"/>
      <w:lvlText w:val="(%2)"/>
      <w:numFmt w:val="lowerLetter"/>
      <w:start w:val="1"/>
    </w:lvl>
  </w:abstractNum>
  <w:abstractNum w:abstractNumId="42">
    <w:nsid w:val="1CF10FD8"/>
    <w:multiLevelType w:val="hybridMultilevel"/>
    <w:lvl w:ilvl="0">
      <w:lvlJc w:val="left"/>
      <w:lvlText w:val="(%1)"/>
      <w:numFmt w:val="lowerLetter"/>
      <w:start w:val="4"/>
    </w:lvl>
    <w:lvl w:ilvl="1">
      <w:lvlJc w:val="left"/>
      <w:lvlText w:val="(%2)"/>
      <w:numFmt w:val="lowerRoman"/>
      <w:start w:val="1"/>
    </w:lvl>
  </w:abstractNum>
  <w:abstractNum w:abstractNumId="43">
    <w:nsid w:val="180115BE"/>
    <w:multiLevelType w:val="hybridMultilevel"/>
    <w:lvl w:ilvl="0">
      <w:lvlJc w:val="left"/>
      <w:lvlText w:val="(%1)"/>
      <w:numFmt w:val="lowerLetter"/>
      <w:start w:val="13"/>
    </w:lvl>
    <w:lvl w:ilvl="1">
      <w:lvlJc w:val="left"/>
      <w:lvlText w:val="(%2)"/>
      <w:numFmt w:val="lowerRoman"/>
      <w:start w:val="1"/>
    </w:lvl>
  </w:abstractNum>
  <w:abstractNum w:abstractNumId="44">
    <w:nsid w:val="235BA861"/>
    <w:multiLevelType w:val="hybridMultilevel"/>
    <w:lvl w:ilvl="0">
      <w:lvlJc w:val="left"/>
      <w:lvlText w:val="%1."/>
      <w:numFmt w:val="decimal"/>
      <w:start w:val="2"/>
    </w:lvl>
  </w:abstractNum>
  <w:abstractNum w:abstractNumId="45">
    <w:nsid w:val="47398C89"/>
    <w:multiLevelType w:val="hybridMultilevel"/>
    <w:lvl w:ilvl="0">
      <w:lvlJc w:val="left"/>
      <w:lvlText w:val="%1"/>
      <w:numFmt w:val="decimal"/>
      <w:start w:val="1"/>
    </w:lvl>
    <w:lvl w:ilvl="1">
      <w:lvlJc w:val="left"/>
      <w:lvlText w:val="(%2)"/>
      <w:numFmt w:val="lowerLetter"/>
      <w:start w:val="1"/>
    </w:lvl>
  </w:abstractNum>
  <w:abstractNum w:abstractNumId="46">
    <w:nsid w:val="354FE9F9"/>
    <w:multiLevelType w:val="hybridMultilevel"/>
    <w:lvl w:ilvl="0">
      <w:lvlJc w:val="left"/>
      <w:lvlText w:val="%1."/>
      <w:numFmt w:val="decimal"/>
      <w:start w:val="4"/>
    </w:lvl>
    <w:lvl w:ilvl="1">
      <w:lvlJc w:val="left"/>
      <w:lvlText w:val="(%2)"/>
      <w:numFmt w:val="lowerLetter"/>
      <w:start w:val="1"/>
    </w:lvl>
  </w:abstractNum>
  <w:abstractNum w:abstractNumId="47">
    <w:nsid w:val="15B5AF5C"/>
    <w:multiLevelType w:val="hybridMultilevel"/>
    <w:lvl w:ilvl="0">
      <w:lvlJc w:val="left"/>
      <w:lvlText w:val="(%1)"/>
      <w:numFmt w:val="lowerLetter"/>
      <w:start w:val="3"/>
    </w:lvl>
  </w:abstractNum>
  <w:abstractNum w:abstractNumId="48">
    <w:nsid w:val="741226BB"/>
    <w:multiLevelType w:val="hybridMultilevel"/>
    <w:lvl w:ilvl="0">
      <w:lvlJc w:val="left"/>
      <w:lvlText w:val="(%1)"/>
      <w:numFmt w:val="lowerLetter"/>
      <w:start w:val="4"/>
    </w:lvl>
  </w:abstractNum>
  <w:abstractNum w:abstractNumId="49">
    <w:nsid w:val="D34B6A8"/>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50">
    <w:nsid w:val="10233C9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1">
    <w:nsid w:val="3F6AB60F"/>
    <w:multiLevelType w:val="hybridMultilevel"/>
    <w:lvl w:ilvl="0">
      <w:lvlJc w:val="left"/>
      <w:lvlText w:val="(%1)"/>
      <w:numFmt w:val="lowerLetter"/>
      <w:start w:val="2"/>
    </w:lvl>
    <w:lvl w:ilvl="1">
      <w:lvlJc w:val="left"/>
      <w:lvlText w:val="(%2)"/>
      <w:numFmt w:val="lowerRoman"/>
      <w:start w:val="1"/>
    </w:lvl>
  </w:abstractNum>
  <w:abstractNum w:abstractNumId="52">
    <w:nsid w:val="61574095"/>
    <w:multiLevelType w:val="hybridMultilevel"/>
    <w:lvl w:ilvl="0">
      <w:lvlJc w:val="left"/>
      <w:lvlText w:val="%1"/>
      <w:numFmt w:val="lowerLetter"/>
      <w:start w:val="1"/>
    </w:lvl>
    <w:lvl w:ilvl="1">
      <w:lvlJc w:val="left"/>
      <w:lvlText w:val="(%2)"/>
      <w:numFmt w:val="lowerRoman"/>
      <w:start w:val="4"/>
    </w:lvl>
  </w:abstractNum>
  <w:abstractNum w:abstractNumId="53">
    <w:nsid w:val="7E0C57B1"/>
    <w:multiLevelType w:val="hybridMultilevel"/>
    <w:lvl w:ilvl="0">
      <w:lvlJc w:val="left"/>
      <w:lvlText w:val="(%1)"/>
      <w:numFmt w:val="lowerLetter"/>
      <w:start w:val="3"/>
    </w:lvl>
    <w:lvl w:ilvl="1">
      <w:lvlJc w:val="left"/>
      <w:lvlText w:val="(%2)"/>
      <w:numFmt w:val="lowerRoman"/>
      <w:start w:val="1"/>
    </w:lvl>
  </w:abstractNum>
  <w:abstractNum w:abstractNumId="54">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5">
    <w:nsid w:val="579BE4F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6">
    <w:nsid w:val="310C50B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7">
    <w:nsid w:val="5FF87E05"/>
    <w:multiLevelType w:val="hybridMultilevel"/>
    <w:lvl w:ilvl="0">
      <w:lvlJc w:val="left"/>
      <w:lvlText w:val="(%1)"/>
      <w:numFmt w:val="lowerRoman"/>
      <w:start w:val="2"/>
    </w:lvl>
  </w:abstractNum>
  <w:abstractNum w:abstractNumId="58">
    <w:nsid w:val="2F305DEF"/>
    <w:multiLevelType w:val="hybridMultilevel"/>
    <w:lvl w:ilvl="0">
      <w:lvlJc w:val="left"/>
      <w:lvlText w:val="(%1)"/>
      <w:numFmt w:val="lowerLetter"/>
      <w:start w:val="2"/>
    </w:lvl>
    <w:lvl w:ilvl="1">
      <w:lvlJc w:val="left"/>
      <w:lvlText w:val="(%2)"/>
      <w:numFmt w:val="lowerRoman"/>
      <w:start w:val="1"/>
    </w:lvl>
  </w:abstractNum>
  <w:abstractNum w:abstractNumId="59">
    <w:nsid w:val="25A70BF7"/>
    <w:multiLevelType w:val="hybridMultilevel"/>
    <w:lvl w:ilvl="0">
      <w:lvlJc w:val="left"/>
      <w:lvlText w:val="(%1)"/>
      <w:numFmt w:val="upperLetter"/>
      <w:start w:val="1"/>
    </w:lvl>
  </w:abstractNum>
  <w:abstractNum w:abstractNumId="60">
    <w:nsid w:val="1DBABF00"/>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abstractNum>
  <w:abstractNum w:abstractNumId="61">
    <w:nsid w:val="4AD084E9"/>
    <w:multiLevelType w:val="hybridMultilevel"/>
    <w:lvl w:ilvl="0">
      <w:lvlJc w:val="left"/>
      <w:lvlText w:val="(%1)"/>
      <w:numFmt w:val="lowerLetter"/>
      <w:start w:val="3"/>
    </w:lvl>
    <w:lvl w:ilvl="1">
      <w:lvlJc w:val="left"/>
      <w:lvlText w:val="%2"/>
      <w:numFmt w:val="upperLetter"/>
      <w:start w:val="1"/>
    </w:lvl>
    <w:lvl w:ilvl="2">
      <w:lvlJc w:val="left"/>
      <w:lvlText w:val="%3"/>
      <w:numFmt w:val="decimal"/>
      <w:start w:val="1"/>
    </w:lvl>
  </w:abstractNum>
  <w:abstractNum w:abstractNumId="62">
    <w:nsid w:val="1F48EAA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3">
    <w:nsid w:val="1381823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4">
    <w:nsid w:val="5DB70AE5"/>
    <w:multiLevelType w:val="hybridMultilevel"/>
    <w:lvl w:ilvl="0">
      <w:lvlJc w:val="left"/>
      <w:lvlText w:val="%1"/>
      <w:numFmt w:val="lowerLetter"/>
      <w:start w:val="1"/>
    </w:lvl>
    <w:lvl w:ilvl="1">
      <w:lvlJc w:val="left"/>
      <w:lvlText w:val="%2."/>
      <w:numFmt w:val="decimal"/>
      <w:start w:val="9"/>
    </w:lvl>
  </w:abstractNum>
  <w:abstractNum w:abstractNumId="65">
    <w:nsid w:val="100F8FCA"/>
    <w:multiLevelType w:val="hybridMultilevel"/>
    <w:lvl w:ilvl="0">
      <w:lvlJc w:val="left"/>
      <w:lvlText w:val="(%1)"/>
      <w:numFmt w:val="lowerLetter"/>
      <w:start w:val="1"/>
    </w:lvl>
    <w:lvl w:ilvl="1">
      <w:lvlJc w:val="left"/>
      <w:lvlText w:val="%2"/>
      <w:numFmt w:val="decimal"/>
      <w:start w:val="1"/>
    </w:lvl>
  </w:abstractNum>
  <w:abstractNum w:abstractNumId="66">
    <w:nsid w:val="6590700B"/>
    <w:multiLevelType w:val="hybridMultilevel"/>
    <w:lvl w:ilvl="0">
      <w:lvlJc w:val="left"/>
      <w:lvlText w:val="(%1)"/>
      <w:numFmt w:val="lowerLetter"/>
      <w:start w:val="2"/>
    </w:lvl>
    <w:lvl w:ilvl="1">
      <w:lvlJc w:val="left"/>
      <w:lvlText w:val="%2."/>
      <w:numFmt w:val="decimal"/>
      <w:start w:val="14"/>
    </w:lvl>
  </w:abstractNum>
  <w:abstractNum w:abstractNumId="67">
    <w:nsid w:val="15014ACB"/>
    <w:multiLevelType w:val="hybridMultilevel"/>
    <w:lvl w:ilvl="0">
      <w:lvlJc w:val="left"/>
      <w:lvlText w:val="%1."/>
      <w:numFmt w:val="decimal"/>
      <w:start w:val="20"/>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2" Type="http://schemas.openxmlformats.org/officeDocument/2006/relationships/image" Target="media/image66.png"/><Relationship Id="rId94"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73" Type="http://schemas.openxmlformats.org/officeDocument/2006/relationships/hyperlink" Target="https://www.sec.gov/Archives/edgar/data/1423689/000142368922000014/agncexhibit3112312110-k.htm" TargetMode="External"/><Relationship Id="rId74" Type="http://schemas.openxmlformats.org/officeDocument/2006/relationships/hyperlink" Target="https://www.sec.gov/Archives/edgar/data/1423689/000142368921000017/arbylaws-march2021vrevised.htm" TargetMode="External"/><Relationship Id="rId75" Type="http://schemas.openxmlformats.org/officeDocument/2006/relationships/hyperlink" Target="https://www.sec.gov/Archives/edgar/data/1423689/000142368923000046/bylaws72023-ex.htm" TargetMode="External"/><Relationship Id="rId76" Type="http://schemas.openxmlformats.org/officeDocument/2006/relationships/hyperlink" Target="https://www.sec.gov/Archives/edgar/data/1423689/000142368917000044/ex35certificateofdesignati.htm" TargetMode="External"/><Relationship Id="rId77" Type="http://schemas.openxmlformats.org/officeDocument/2006/relationships/hyperlink" Target="https://www.sec.gov/Archives/edgar/data/1423689/000142368917000065/certificateofelimination.htm" TargetMode="External"/><Relationship Id="rId78" Type="http://schemas.openxmlformats.org/officeDocument/2006/relationships/hyperlink" Target="https://www.sec.gov/Archives/edgar/data/1423689/000142368919000019/certificateofdesignations.htm" TargetMode="External"/><Relationship Id="rId79" Type="http://schemas.openxmlformats.org/officeDocument/2006/relationships/hyperlink" Target="https://www.sec.gov/Archives/edgar/data/1423689/000142368919000064/certofdesignations.htm" TargetMode="External"/><Relationship Id="rId80" Type="http://schemas.openxmlformats.org/officeDocument/2006/relationships/hyperlink" Target="https://www.sec.gov/Archives/edgar/data/1423689/000142368919000078/certificateofeliminati.htm" TargetMode="External"/><Relationship Id="rId81" Type="http://schemas.openxmlformats.org/officeDocument/2006/relationships/hyperlink" Target="https://www.sec.gov/Archives/edgar/data/1423689/000142368920000012/certificateofdesignations-.htm" TargetMode="External"/><Relationship Id="rId83" Type="http://schemas.openxmlformats.org/officeDocument/2006/relationships/hyperlink" Target="https://www.sec.gov/Archives/edgar/data/1423689/000142368922000061/seriesgcertificateofdesign.htm" TargetMode="External"/><Relationship Id="rId84" Type="http://schemas.openxmlformats.org/officeDocument/2006/relationships/hyperlink" Target="https://www.sec.gov/Archives/edgar/data/1423689/000142368922000076/exhibit43.htm" TargetMode="External"/><Relationship Id="rId85" Type="http://schemas.openxmlformats.org/officeDocument/2006/relationships/hyperlink" Target="https://www.sec.gov/Archives/edgar/data/1423689/000142368917000044/exhibit41.htm" TargetMode="External"/><Relationship Id="rId86" Type="http://schemas.openxmlformats.org/officeDocument/2006/relationships/hyperlink" Target="https://www.sec.gov/Archives/edgar/data/1423689/000142368919000019/stockcertificateb98.htm" TargetMode="External"/><Relationship Id="rId87" Type="http://schemas.openxmlformats.org/officeDocument/2006/relationships/hyperlink" Target="https://www.sec.gov/Archives/edgar/data/1423689/000142368919000064/stockcertificate.htm" TargetMode="External"/><Relationship Id="rId88" Type="http://schemas.openxmlformats.org/officeDocument/2006/relationships/hyperlink" Target="https://www.sec.gov/Archives/edgar/data/1423689/000142368920000012/stockcertificate.htm" TargetMode="External"/><Relationship Id="rId89" Type="http://schemas.openxmlformats.org/officeDocument/2006/relationships/hyperlink" Target="https://www.sec.gov/Archives/edgar/data/1423689/000142368922000061/stockcertificate1.htm" TargetMode="External"/><Relationship Id="rId90" Type="http://schemas.openxmlformats.org/officeDocument/2006/relationships/hyperlink" Target="https://www.sec.gov/Archives/edgar/data/1423689/000142368917000049/depositagreement.htm" TargetMode="External"/><Relationship Id="rId91" Type="http://schemas.openxmlformats.org/officeDocument/2006/relationships/hyperlink" Target="https://www.sec.gov/Archives/edgar/data/1423689/000142368919000021/prefddepositagmt.htm" TargetMode="External"/><Relationship Id="rId92" Type="http://schemas.openxmlformats.org/officeDocument/2006/relationships/hyperlink" Target="https://www.sec.gov/Archives/edgar/data/1423689/000142368919000068/depositagmt-prefe.htm" TargetMode="External"/><Relationship Id="rId93" Type="http://schemas.openxmlformats.org/officeDocument/2006/relationships/hyperlink" Target="https://www.sec.gov/Archives/edgar/data/1423689/000142368920000014/depositaryagmt-seriesf.htm" TargetMode="External"/><Relationship Id="rId95" Type="http://schemas.openxmlformats.org/officeDocument/2006/relationships/hyperlink" Target="https://www.sec.gov/Archives/edgar/data/1423689/000142368922000069/depositaryagm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2024-05-07T15:29:29Z</dcterms:created>
  <dcterms:modified xsi:type="dcterms:W3CDTF">2024-05-07T15:29:29Z</dcterms:modified>
</cp:coreProperties>
</file>