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2" w:lineRule="exact"/>
        <w:rPr>
          <w:sz w:val="24"/>
          <w:szCs w:val="24"/>
          <w:color w:val="auto"/>
        </w:rPr>
      </w:pPr>
    </w:p>
    <w:p>
      <w:pPr>
        <w:jc w:val="right"/>
        <w:ind w:right="40"/>
        <w:spacing w:after="0"/>
        <w:rPr>
          <w:sz w:val="20"/>
          <w:szCs w:val="20"/>
          <w:color w:val="auto"/>
        </w:rPr>
      </w:pPr>
      <w:r>
        <w:rPr>
          <w:rFonts w:ascii="Arial" w:cs="Arial" w:eastAsia="Arial" w:hAnsi="Arial"/>
          <w:sz w:val="19"/>
          <w:szCs w:val="19"/>
          <w:b w:val="1"/>
          <w:bCs w:val="1"/>
          <w:color w:val="auto"/>
        </w:rPr>
        <w:t>SECURITIES AND EXCHANGE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COMMISSION</w:t>
      </w:r>
    </w:p>
    <w:p>
      <w:pPr>
        <w:spacing w:after="0" w:line="26" w:lineRule="exact"/>
        <w:rPr>
          <w:sz w:val="24"/>
          <w:szCs w:val="24"/>
          <w:color w:val="auto"/>
        </w:rPr>
      </w:pPr>
    </w:p>
    <w:p>
      <w:pPr>
        <w:sectPr>
          <w:pgSz w:w="11900" w:h="16838" w:orient="portrait"/>
          <w:cols w:equalWidth="0" w:num="2">
            <w:col w:w="6400" w:space="20"/>
            <w:col w:w="4820"/>
          </w:cols>
          <w:pgMar w:left="320" w:top="913" w:right="339" w:bottom="1440" w:gutter="0" w:footer="0" w:header="0"/>
        </w:sect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ectPr>
          <w:pgSz w:w="11900" w:h="16838" w:orient="portrait"/>
          <w:cols w:equalWidth="0" w:num="1">
            <w:col w:w="11240"/>
          </w:cols>
          <w:pgMar w:left="320" w:top="913" w:right="339" w:bottom="1440" w:gutter="0" w:footer="0" w:header="0"/>
          <w:type w:val="continuous"/>
        </w:sectPr>
      </w:pPr>
    </w:p>
    <w:p>
      <w:pPr>
        <w:spacing w:after="0" w:line="22" w:lineRule="exact"/>
        <w:rPr>
          <w:sz w:val="24"/>
          <w:szCs w:val="24"/>
          <w:color w:val="auto"/>
        </w:rPr>
      </w:pPr>
    </w:p>
    <w:p>
      <w:pPr>
        <w:ind w:left="2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23" w:lineRule="exact"/>
        <w:rPr>
          <w:sz w:val="24"/>
          <w:szCs w:val="24"/>
          <w:color w:val="auto"/>
        </w:rPr>
      </w:pPr>
    </w:p>
    <w:p>
      <w:pPr>
        <w:sectPr>
          <w:pgSz w:w="11900" w:h="16838" w:orient="portrait"/>
          <w:cols w:equalWidth="0" w:num="2">
            <w:col w:w="1560" w:space="720"/>
            <w:col w:w="8960"/>
          </w:cols>
          <w:pgMar w:left="320" w:top="913" w:right="33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For the quarterly period ended June 30, 2020</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ectPr>
          <w:pgSz w:w="11900" w:h="16838" w:orient="portrait"/>
          <w:cols w:equalWidth="0" w:num="1">
            <w:col w:w="11240"/>
          </w:cols>
          <w:pgMar w:left="320" w:top="913" w:right="339" w:bottom="1440" w:gutter="0" w:footer="0" w:header="0"/>
          <w:type w:val="continuous"/>
        </w:sectPr>
      </w:pPr>
    </w:p>
    <w:p>
      <w:pPr>
        <w:spacing w:after="0" w:line="29" w:lineRule="exact"/>
        <w:rPr>
          <w:sz w:val="24"/>
          <w:szCs w:val="24"/>
          <w:color w:val="auto"/>
        </w:rPr>
      </w:pPr>
    </w:p>
    <w:p>
      <w:pPr>
        <w:ind w:left="2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sectPr>
          <w:pgSz w:w="11900" w:h="16838" w:orient="portrait"/>
          <w:cols w:equalWidth="0" w:num="2">
            <w:col w:w="1560" w:space="720"/>
            <w:col w:w="8960"/>
          </w:cols>
          <w:pgMar w:left="320" w:top="913" w:right="3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Commission file number 001-34057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132715</wp:posOffset>
            </wp:positionV>
            <wp:extent cx="204025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61722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5460" w:type="dxa"/>
            <w:vAlign w:val="bottom"/>
          </w:tcPr>
          <w:p>
            <w:pPr>
              <w:jc w:val="center"/>
              <w:ind w:right="1666"/>
              <w:spacing w:after="0"/>
              <w:rPr>
                <w:sz w:val="20"/>
                <w:szCs w:val="20"/>
                <w:color w:val="auto"/>
              </w:rPr>
            </w:pPr>
            <w:r>
              <w:rPr>
                <w:rFonts w:ascii="Arial" w:cs="Arial" w:eastAsia="Arial" w:hAnsi="Arial"/>
                <w:sz w:val="20"/>
                <w:szCs w:val="20"/>
                <w:b w:val="1"/>
                <w:bCs w:val="1"/>
                <w:color w:val="auto"/>
                <w:w w:val="99"/>
              </w:rPr>
              <w:t>AGNC INVESTMENT CORP.</w:t>
            </w:r>
          </w:p>
        </w:tc>
      </w:tr>
      <w:tr>
        <w:trPr>
          <w:trHeight w:val="166"/>
        </w:trPr>
        <w:tc>
          <w:tcPr>
            <w:tcW w:w="2000" w:type="dxa"/>
            <w:vAlign w:val="bottom"/>
          </w:tcPr>
          <w:p>
            <w:pPr>
              <w:spacing w:after="0"/>
              <w:rPr>
                <w:sz w:val="14"/>
                <w:szCs w:val="14"/>
                <w:color w:val="auto"/>
              </w:rPr>
            </w:pPr>
          </w:p>
        </w:tc>
        <w:tc>
          <w:tcPr>
            <w:tcW w:w="5460" w:type="dxa"/>
            <w:vAlign w:val="bottom"/>
          </w:tcPr>
          <w:p>
            <w:pPr>
              <w:jc w:val="center"/>
              <w:ind w:right="164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182"/>
        </w:trPr>
        <w:tc>
          <w:tcPr>
            <w:tcW w:w="2000" w:type="dxa"/>
            <w:vAlign w:val="bottom"/>
          </w:tcPr>
          <w:p>
            <w:pPr>
              <w:spacing w:after="0"/>
              <w:rPr>
                <w:sz w:val="15"/>
                <w:szCs w:val="15"/>
                <w:color w:val="auto"/>
              </w:rPr>
            </w:pPr>
          </w:p>
        </w:tc>
        <w:tc>
          <w:tcPr>
            <w:tcW w:w="5460" w:type="dxa"/>
            <w:vAlign w:val="bottom"/>
          </w:tcPr>
          <w:p>
            <w:pPr>
              <w:jc w:val="right"/>
              <w:ind w:right="1726"/>
              <w:spacing w:after="0"/>
              <w:rPr>
                <w:sz w:val="20"/>
                <w:szCs w:val="20"/>
                <w:color w:val="auto"/>
              </w:rPr>
            </w:pPr>
            <w:r>
              <w:rPr>
                <w:rFonts w:ascii="Arial" w:cs="Arial" w:eastAsia="Arial" w:hAnsi="Arial"/>
                <w:sz w:val="14"/>
                <w:szCs w:val="14"/>
                <w:color w:val="auto"/>
                <w:w w:val="93"/>
              </w:rPr>
              <w:t>__________________________________________________</w:t>
            </w:r>
          </w:p>
        </w:tc>
      </w:tr>
      <w:tr>
        <w:trPr>
          <w:trHeight w:val="216"/>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5460" w:type="dxa"/>
            <w:vAlign w:val="bottom"/>
          </w:tcPr>
          <w:p>
            <w:pPr>
              <w:jc w:val="center"/>
              <w:ind w:left="4246"/>
              <w:spacing w:after="0"/>
              <w:rPr>
                <w:sz w:val="20"/>
                <w:szCs w:val="20"/>
                <w:color w:val="auto"/>
              </w:rPr>
            </w:pPr>
            <w:r>
              <w:rPr>
                <w:rFonts w:ascii="Arial" w:cs="Arial" w:eastAsia="Arial" w:hAnsi="Arial"/>
                <w:sz w:val="14"/>
                <w:szCs w:val="14"/>
                <w:b w:val="1"/>
                <w:bCs w:val="1"/>
                <w:color w:val="auto"/>
                <w:w w:val="93"/>
              </w:rPr>
              <w:t>26-1701984</w:t>
            </w:r>
          </w:p>
        </w:tc>
      </w:tr>
      <w:tr>
        <w:trPr>
          <w:trHeight w:val="165"/>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460" w:type="dxa"/>
            <w:vAlign w:val="bottom"/>
          </w:tcPr>
          <w:p>
            <w:pPr>
              <w:jc w:val="center"/>
              <w:ind w:left="4226"/>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460" w:type="dxa"/>
            <w:vAlign w:val="bottom"/>
          </w:tcPr>
          <w:p>
            <w:pPr>
              <w:jc w:val="center"/>
              <w:ind w:left="4246"/>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2000" w:type="dxa"/>
            <w:vAlign w:val="bottom"/>
          </w:tcPr>
          <w:p>
            <w:pPr>
              <w:spacing w:after="0"/>
              <w:rPr>
                <w:sz w:val="22"/>
                <w:szCs w:val="22"/>
                <w:color w:val="auto"/>
              </w:rPr>
            </w:pPr>
          </w:p>
        </w:tc>
        <w:tc>
          <w:tcPr>
            <w:tcW w:w="5460" w:type="dxa"/>
            <w:vAlign w:val="bottom"/>
          </w:tcPr>
          <w:p>
            <w:pPr>
              <w:jc w:val="center"/>
              <w:ind w:right="1666"/>
              <w:spacing w:after="0"/>
              <w:rPr>
                <w:sz w:val="20"/>
                <w:szCs w:val="20"/>
                <w:color w:val="auto"/>
              </w:rPr>
            </w:pPr>
            <w:r>
              <w:rPr>
                <w:rFonts w:ascii="Arial" w:cs="Arial" w:eastAsia="Arial" w:hAnsi="Arial"/>
                <w:sz w:val="14"/>
                <w:szCs w:val="14"/>
                <w:b w:val="1"/>
                <w:bCs w:val="1"/>
                <w:color w:val="auto"/>
                <w:w w:val="93"/>
              </w:rPr>
              <w:t>2 Bethesda Metro Center, 12th Floor</w:t>
            </w:r>
          </w:p>
        </w:tc>
      </w:tr>
      <w:tr>
        <w:trPr>
          <w:trHeight w:val="162"/>
        </w:trPr>
        <w:tc>
          <w:tcPr>
            <w:tcW w:w="2000" w:type="dxa"/>
            <w:vAlign w:val="bottom"/>
          </w:tcPr>
          <w:p>
            <w:pPr>
              <w:spacing w:after="0"/>
              <w:rPr>
                <w:sz w:val="14"/>
                <w:szCs w:val="14"/>
                <w:color w:val="auto"/>
              </w:rPr>
            </w:pPr>
          </w:p>
        </w:tc>
        <w:tc>
          <w:tcPr>
            <w:tcW w:w="5460" w:type="dxa"/>
            <w:vAlign w:val="bottom"/>
          </w:tcPr>
          <w:p>
            <w:pPr>
              <w:jc w:val="center"/>
              <w:ind w:right="1666"/>
              <w:spacing w:after="0"/>
              <w:rPr>
                <w:sz w:val="20"/>
                <w:szCs w:val="20"/>
                <w:color w:val="auto"/>
              </w:rPr>
            </w:pPr>
            <w:r>
              <w:rPr>
                <w:rFonts w:ascii="Arial" w:cs="Arial" w:eastAsia="Arial" w:hAnsi="Arial"/>
                <w:sz w:val="14"/>
                <w:szCs w:val="14"/>
                <w:b w:val="1"/>
                <w:bCs w:val="1"/>
                <w:color w:val="auto"/>
                <w:w w:val="93"/>
              </w:rPr>
              <w:t>Bethesda, Maryland 20814</w:t>
            </w:r>
          </w:p>
        </w:tc>
      </w:tr>
      <w:tr>
        <w:trPr>
          <w:trHeight w:val="162"/>
        </w:trPr>
        <w:tc>
          <w:tcPr>
            <w:tcW w:w="2000" w:type="dxa"/>
            <w:vAlign w:val="bottom"/>
          </w:tcPr>
          <w:p>
            <w:pPr>
              <w:spacing w:after="0"/>
              <w:rPr>
                <w:sz w:val="14"/>
                <w:szCs w:val="14"/>
                <w:color w:val="auto"/>
              </w:rPr>
            </w:pPr>
          </w:p>
        </w:tc>
        <w:tc>
          <w:tcPr>
            <w:tcW w:w="5460" w:type="dxa"/>
            <w:vAlign w:val="bottom"/>
          </w:tcPr>
          <w:p>
            <w:pPr>
              <w:jc w:val="center"/>
              <w:ind w:right="1646"/>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62"/>
        </w:trPr>
        <w:tc>
          <w:tcPr>
            <w:tcW w:w="2000" w:type="dxa"/>
            <w:vAlign w:val="bottom"/>
          </w:tcPr>
          <w:p>
            <w:pPr>
              <w:spacing w:after="0"/>
              <w:rPr>
                <w:sz w:val="14"/>
                <w:szCs w:val="14"/>
                <w:color w:val="auto"/>
              </w:rPr>
            </w:pPr>
          </w:p>
        </w:tc>
        <w:tc>
          <w:tcPr>
            <w:tcW w:w="5460" w:type="dxa"/>
            <w:vAlign w:val="bottom"/>
          </w:tcPr>
          <w:p>
            <w:pPr>
              <w:jc w:val="right"/>
              <w:ind w:right="3066"/>
              <w:spacing w:after="0"/>
              <w:rPr>
                <w:sz w:val="20"/>
                <w:szCs w:val="20"/>
                <w:color w:val="auto"/>
              </w:rPr>
            </w:pPr>
            <w:r>
              <w:rPr>
                <w:rFonts w:ascii="Arial" w:cs="Arial" w:eastAsia="Arial" w:hAnsi="Arial"/>
                <w:sz w:val="14"/>
                <w:szCs w:val="14"/>
                <w:b w:val="1"/>
                <w:bCs w:val="1"/>
                <w:color w:val="auto"/>
              </w:rPr>
              <w:t>(301) 968-9315</w:t>
            </w:r>
          </w:p>
        </w:tc>
      </w:tr>
      <w:tr>
        <w:trPr>
          <w:trHeight w:val="166"/>
        </w:trPr>
        <w:tc>
          <w:tcPr>
            <w:tcW w:w="2000" w:type="dxa"/>
            <w:vAlign w:val="bottom"/>
          </w:tcPr>
          <w:p>
            <w:pPr>
              <w:spacing w:after="0"/>
              <w:rPr>
                <w:sz w:val="14"/>
                <w:szCs w:val="14"/>
                <w:color w:val="auto"/>
              </w:rPr>
            </w:pPr>
          </w:p>
        </w:tc>
        <w:tc>
          <w:tcPr>
            <w:tcW w:w="5460" w:type="dxa"/>
            <w:vAlign w:val="bottom"/>
          </w:tcPr>
          <w:p>
            <w:pPr>
              <w:jc w:val="center"/>
              <w:ind w:right="166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74"/>
        </w:trPr>
        <w:tc>
          <w:tcPr>
            <w:tcW w:w="2000" w:type="dxa"/>
            <w:vAlign w:val="bottom"/>
          </w:tcPr>
          <w:p>
            <w:pPr>
              <w:spacing w:after="0"/>
              <w:rPr>
                <w:sz w:val="15"/>
                <w:szCs w:val="15"/>
                <w:color w:val="auto"/>
              </w:rPr>
            </w:pPr>
          </w:p>
        </w:tc>
        <w:tc>
          <w:tcPr>
            <w:tcW w:w="5460" w:type="dxa"/>
            <w:vAlign w:val="bottom"/>
          </w:tcPr>
          <w:p>
            <w:pPr>
              <w:jc w:val="center"/>
              <w:ind w:right="1626"/>
              <w:spacing w:after="0"/>
              <w:rPr>
                <w:sz w:val="20"/>
                <w:szCs w:val="20"/>
                <w:color w:val="auto"/>
              </w:rPr>
            </w:pPr>
            <w:r>
              <w:rPr>
                <w:rFonts w:ascii="Arial" w:cs="Arial" w:eastAsia="Arial" w:hAnsi="Arial"/>
                <w:sz w:val="14"/>
                <w:szCs w:val="14"/>
                <w:color w:val="auto"/>
                <w:w w:val="92"/>
              </w:rPr>
              <w:t>__________________________________________________</w:t>
            </w:r>
          </w:p>
        </w:tc>
      </w:tr>
    </w:tbl>
    <w:p>
      <w:pPr>
        <w:ind w:right="10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300" w:type="dxa"/>
        <w:tblCellMar>
          <w:top w:w="0" w:type="dxa"/>
          <w:left w:w="0" w:type="dxa"/>
          <w:bottom w:w="0" w:type="dxa"/>
          <w:right w:w="0" w:type="dxa"/>
        </w:tblCellMar>
      </w:tblP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6"/>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9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 emerging growth company, indicate by check mark if registrant has elected not to use the extended transition period for complying with any new or revised financial accounting</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standards provided pursuant to Section 13(a) of the Exchange Act. </w:t>
            </w:r>
            <w:r>
              <w:rPr>
                <w:rFonts w:ascii="MS PGothic" w:cs="MS PGothic" w:eastAsia="MS PGothic" w:hAnsi="MS PGothic"/>
                <w:sz w:val="14"/>
                <w:szCs w:val="14"/>
                <w:color w:val="auto"/>
              </w:rPr>
              <w:t>☐</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00" w:type="dxa"/>
            <w:vAlign w:val="bottom"/>
            <w:gridSpan w:val="5"/>
          </w:tcPr>
          <w:p>
            <w:pPr>
              <w:ind w:left="34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740" w:type="dxa"/>
            <w:vAlign w:val="bottom"/>
          </w:tcPr>
          <w:p>
            <w:pPr>
              <w:ind w:left="6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190"/>
        </w:trPr>
        <w:tc>
          <w:tcPr>
            <w:tcW w:w="57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Common Stock, par value $0.01 per share</w:t>
            </w:r>
          </w:p>
        </w:tc>
        <w:tc>
          <w:tcPr>
            <w:tcW w:w="1760" w:type="dxa"/>
            <w:vAlign w:val="bottom"/>
            <w:gridSpan w:val="3"/>
          </w:tcPr>
          <w:p>
            <w:pPr>
              <w:jc w:val="center"/>
              <w:ind w:right="200"/>
              <w:spacing w:after="0"/>
              <w:rPr>
                <w:sz w:val="20"/>
                <w:szCs w:val="20"/>
                <w:color w:val="auto"/>
              </w:rPr>
            </w:pPr>
            <w:r>
              <w:rPr>
                <w:rFonts w:ascii="Arial" w:cs="Arial" w:eastAsia="Arial" w:hAnsi="Arial"/>
                <w:sz w:val="14"/>
                <w:szCs w:val="14"/>
                <w:color w:val="auto"/>
                <w:w w:val="98"/>
              </w:rPr>
              <w:t>AGNC</w:t>
            </w:r>
          </w:p>
        </w:tc>
        <w:tc>
          <w:tcPr>
            <w:tcW w:w="3740" w:type="dxa"/>
            <w:vAlign w:val="bottom"/>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69"/>
        </w:trPr>
        <w:tc>
          <w:tcPr>
            <w:tcW w:w="57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76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rPr>
              <w:t>AGNCN</w:t>
            </w:r>
          </w:p>
        </w:tc>
        <w:tc>
          <w:tcPr>
            <w:tcW w:w="37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760" w:type="dxa"/>
            <w:vAlign w:val="bottom"/>
            <w:gridSpan w:val="3"/>
            <w:vMerge w:val="continue"/>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7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176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rPr>
              <w:t>AGNCM</w:t>
            </w:r>
          </w:p>
        </w:tc>
        <w:tc>
          <w:tcPr>
            <w:tcW w:w="37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760" w:type="dxa"/>
            <w:vAlign w:val="bottom"/>
            <w:gridSpan w:val="3"/>
            <w:vMerge w:val="continue"/>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7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176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rPr>
              <w:t>AGNCO</w:t>
            </w:r>
          </w:p>
        </w:tc>
        <w:tc>
          <w:tcPr>
            <w:tcW w:w="37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760" w:type="dxa"/>
            <w:vAlign w:val="bottom"/>
            <w:gridSpan w:val="3"/>
            <w:vMerge w:val="continue"/>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7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176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6"/>
              </w:rPr>
              <w:t>AGNCP</w:t>
            </w:r>
          </w:p>
        </w:tc>
        <w:tc>
          <w:tcPr>
            <w:tcW w:w="374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Stock</w:t>
            </w:r>
          </w:p>
        </w:tc>
        <w:tc>
          <w:tcPr>
            <w:tcW w:w="1760" w:type="dxa"/>
            <w:vAlign w:val="bottom"/>
            <w:gridSpan w:val="3"/>
            <w:vMerge w:val="continue"/>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July 31, 2020 was 555,517,135.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29845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u w:val="single" w:color="auto"/>
                  <w:color w:val="0000FF"/>
                </w:rPr>
                <w:t>PART I</w:t>
              </w:r>
              <w:r>
                <w:rPr>
                  <w:rFonts w:ascii="Arial" w:cs="Arial" w:eastAsia="Arial" w:hAnsi="Arial"/>
                  <w:sz w:val="16"/>
                  <w:szCs w:val="16"/>
                  <w:b w:val="1"/>
                  <w:bCs w:val="1"/>
                  <w:color w:val="0000FF"/>
                </w:rPr>
                <w:t>.</w:t>
              </w:r>
            </w:hyperlink>
          </w:p>
        </w:tc>
        <w:tc>
          <w:tcPr>
            <w:tcW w:w="7920" w:type="dxa"/>
            <w:vAlign w:val="bottom"/>
          </w:tcPr>
          <w:p>
            <w:pPr>
              <w:ind w:left="360"/>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FINANCIAL INFORMATION</w:t>
              </w:r>
            </w:hyperlink>
          </w:p>
        </w:tc>
        <w:tc>
          <w:tcPr>
            <w:tcW w:w="1940" w:type="dxa"/>
            <w:vAlign w:val="bottom"/>
          </w:tcPr>
          <w:p>
            <w:pPr>
              <w:spacing w:after="0"/>
              <w:rPr>
                <w:sz w:val="18"/>
                <w:szCs w:val="18"/>
                <w:color w:val="auto"/>
              </w:rPr>
            </w:pPr>
          </w:p>
        </w:tc>
      </w:tr>
      <w:tr>
        <w:trPr>
          <w:trHeight w:val="235"/>
        </w:trPr>
        <w:tc>
          <w:tcPr>
            <w:tcW w:w="680" w:type="dxa"/>
            <w:vAlign w:val="bottom"/>
          </w:tcPr>
          <w:p>
            <w:pPr>
              <w:spacing w:after="0"/>
              <w:rPr>
                <w:rFonts w:ascii="Arial" w:cs="Arial" w:eastAsia="Arial" w:hAnsi="Arial"/>
                <w:sz w:val="16"/>
                <w:szCs w:val="16"/>
                <w:color w:val="0000FF"/>
              </w:rPr>
            </w:pPr>
            <w:hyperlink w:anchor="page3">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Financial Statements</w:t>
              </w:r>
            </w:hyperlink>
          </w:p>
        </w:tc>
        <w:tc>
          <w:tcPr>
            <w:tcW w:w="1940" w:type="dxa"/>
            <w:vAlign w:val="bottom"/>
          </w:tcPr>
          <w:p>
            <w:pPr>
              <w:jc w:val="center"/>
              <w:ind w:left="1698"/>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r>
      <w:tr>
        <w:trPr>
          <w:trHeight w:val="210"/>
        </w:trPr>
        <w:tc>
          <w:tcPr>
            <w:tcW w:w="680" w:type="dxa"/>
            <w:vAlign w:val="bottom"/>
          </w:tcPr>
          <w:p>
            <w:pPr>
              <w:spacing w:after="0"/>
              <w:rPr>
                <w:rFonts w:ascii="Arial" w:cs="Arial" w:eastAsia="Arial" w:hAnsi="Arial"/>
                <w:sz w:val="16"/>
                <w:szCs w:val="16"/>
                <w:color w:val="0000FF"/>
              </w:rPr>
            </w:pPr>
            <w:hyperlink w:anchor="page24">
              <w:r>
                <w:rPr>
                  <w:rFonts w:ascii="Arial" w:cs="Arial" w:eastAsia="Arial" w:hAnsi="Arial"/>
                  <w:sz w:val="16"/>
                  <w:szCs w:val="16"/>
                  <w:u w:val="single" w:color="auto"/>
                  <w:color w:val="0000FF"/>
                </w:rPr>
                <w:t>Item 2</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Management's Discussion and Analysis of Financial Condition and Results of Operations</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24">
              <w:r>
                <w:rPr>
                  <w:rFonts w:ascii="Arial" w:cs="Arial" w:eastAsia="Arial" w:hAnsi="Arial"/>
                  <w:sz w:val="16"/>
                  <w:szCs w:val="16"/>
                  <w:u w:val="single" w:color="auto"/>
                  <w:color w:val="0000FF"/>
                  <w:w w:val="89"/>
                </w:rPr>
                <w:t>24</w:t>
              </w:r>
            </w:hyperlink>
          </w:p>
        </w:tc>
      </w:tr>
      <w:tr>
        <w:trPr>
          <w:trHeight w:val="216"/>
        </w:trPr>
        <w:tc>
          <w:tcPr>
            <w:tcW w:w="680" w:type="dxa"/>
            <w:vAlign w:val="bottom"/>
          </w:tcPr>
          <w:p>
            <w:pPr>
              <w:spacing w:after="0"/>
              <w:rPr>
                <w:rFonts w:ascii="Arial" w:cs="Arial" w:eastAsia="Arial" w:hAnsi="Arial"/>
                <w:sz w:val="16"/>
                <w:szCs w:val="16"/>
                <w:color w:val="0000FF"/>
              </w:rPr>
            </w:pPr>
            <w:hyperlink w:anchor="page43">
              <w:r>
                <w:rPr>
                  <w:rFonts w:ascii="Arial" w:cs="Arial" w:eastAsia="Arial" w:hAnsi="Arial"/>
                  <w:sz w:val="16"/>
                  <w:szCs w:val="16"/>
                  <w:u w:val="single" w:color="auto"/>
                  <w:color w:val="0000FF"/>
                </w:rPr>
                <w:t>Item 3</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Quantitative and Qualitative Disclosures About Market Risk</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43">
              <w:r>
                <w:rPr>
                  <w:rFonts w:ascii="Arial" w:cs="Arial" w:eastAsia="Arial" w:hAnsi="Arial"/>
                  <w:sz w:val="16"/>
                  <w:szCs w:val="16"/>
                  <w:u w:val="single" w:color="auto"/>
                  <w:color w:val="0000FF"/>
                  <w:w w:val="89"/>
                </w:rPr>
                <w:t>42</w:t>
              </w:r>
            </w:hyperlink>
          </w:p>
        </w:tc>
      </w:tr>
      <w:tr>
        <w:trPr>
          <w:trHeight w:val="216"/>
        </w:trPr>
        <w:tc>
          <w:tcPr>
            <w:tcW w:w="680" w:type="dxa"/>
            <w:vAlign w:val="bottom"/>
          </w:tcPr>
          <w:p>
            <w:pPr>
              <w:spacing w:after="0"/>
              <w:rPr>
                <w:rFonts w:ascii="Arial" w:cs="Arial" w:eastAsia="Arial" w:hAnsi="Arial"/>
                <w:sz w:val="16"/>
                <w:szCs w:val="16"/>
                <w:color w:val="0000FF"/>
              </w:rPr>
            </w:pPr>
            <w:hyperlink w:anchor="page46">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Controls and Procedures</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46">
              <w:r>
                <w:rPr>
                  <w:rFonts w:ascii="Arial" w:cs="Arial" w:eastAsia="Arial" w:hAnsi="Arial"/>
                  <w:sz w:val="16"/>
                  <w:szCs w:val="16"/>
                  <w:u w:val="single" w:color="auto"/>
                  <w:color w:val="0000FF"/>
                  <w:w w:val="89"/>
                </w:rPr>
                <w:t>46</w:t>
              </w:r>
            </w:hyperlink>
          </w:p>
        </w:tc>
      </w:tr>
      <w:tr>
        <w:trPr>
          <w:trHeight w:val="473"/>
        </w:trPr>
        <w:tc>
          <w:tcPr>
            <w:tcW w:w="680" w:type="dxa"/>
            <w:vAlign w:val="bottom"/>
          </w:tcPr>
          <w:p>
            <w:pPr>
              <w:spacing w:after="0"/>
              <w:rPr>
                <w:rFonts w:ascii="Arial" w:cs="Arial" w:eastAsia="Arial" w:hAnsi="Arial"/>
                <w:sz w:val="16"/>
                <w:szCs w:val="16"/>
                <w:b w:val="1"/>
                <w:bCs w:val="1"/>
                <w:u w:val="single" w:color="auto"/>
                <w:color w:val="0000FF"/>
              </w:rPr>
            </w:pPr>
            <w:hyperlink w:anchor="page47">
              <w:r>
                <w:rPr>
                  <w:rFonts w:ascii="Arial" w:cs="Arial" w:eastAsia="Arial" w:hAnsi="Arial"/>
                  <w:sz w:val="16"/>
                  <w:szCs w:val="16"/>
                  <w:b w:val="1"/>
                  <w:bCs w:val="1"/>
                  <w:u w:val="single" w:color="auto"/>
                  <w:color w:val="0000FF"/>
                </w:rPr>
                <w:t>PART II.</w:t>
              </w:r>
            </w:hyperlink>
          </w:p>
        </w:tc>
        <w:tc>
          <w:tcPr>
            <w:tcW w:w="7920" w:type="dxa"/>
            <w:vAlign w:val="bottom"/>
          </w:tcPr>
          <w:p>
            <w:pPr>
              <w:ind w:left="360"/>
              <w:spacing w:after="0"/>
              <w:rPr>
                <w:rFonts w:ascii="Arial" w:cs="Arial" w:eastAsia="Arial" w:hAnsi="Arial"/>
                <w:sz w:val="16"/>
                <w:szCs w:val="16"/>
                <w:b w:val="1"/>
                <w:bCs w:val="1"/>
                <w:u w:val="single" w:color="auto"/>
                <w:color w:val="0000FF"/>
              </w:rPr>
            </w:pPr>
            <w:hyperlink w:anchor="page47">
              <w:r>
                <w:rPr>
                  <w:rFonts w:ascii="Arial" w:cs="Arial" w:eastAsia="Arial" w:hAnsi="Arial"/>
                  <w:sz w:val="16"/>
                  <w:szCs w:val="16"/>
                  <w:b w:val="1"/>
                  <w:bCs w:val="1"/>
                  <w:u w:val="single" w:color="auto"/>
                  <w:color w:val="0000FF"/>
                </w:rPr>
                <w:t>OTHER INFORMATION</w:t>
              </w:r>
            </w:hyperlink>
          </w:p>
        </w:tc>
        <w:tc>
          <w:tcPr>
            <w:tcW w:w="1940" w:type="dxa"/>
            <w:vAlign w:val="bottom"/>
          </w:tcPr>
          <w:p>
            <w:pPr>
              <w:spacing w:after="0"/>
              <w:rPr>
                <w:sz w:val="24"/>
                <w:szCs w:val="24"/>
                <w:color w:val="auto"/>
              </w:rPr>
            </w:pPr>
          </w:p>
        </w:tc>
      </w:tr>
      <w:tr>
        <w:trPr>
          <w:trHeight w:val="216"/>
        </w:trPr>
        <w:tc>
          <w:tcPr>
            <w:tcW w:w="680" w:type="dxa"/>
            <w:vAlign w:val="bottom"/>
          </w:tcPr>
          <w:p>
            <w:pPr>
              <w:spacing w:after="0"/>
              <w:rPr>
                <w:rFonts w:ascii="Arial" w:cs="Arial" w:eastAsia="Arial" w:hAnsi="Arial"/>
                <w:sz w:val="16"/>
                <w:szCs w:val="16"/>
                <w:color w:val="0000FF"/>
              </w:rPr>
            </w:pPr>
            <w:hyperlink w:anchor="page47">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Legal Proceedings</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47">
              <w:r>
                <w:rPr>
                  <w:rFonts w:ascii="Arial" w:cs="Arial" w:eastAsia="Arial" w:hAnsi="Arial"/>
                  <w:sz w:val="16"/>
                  <w:szCs w:val="16"/>
                  <w:u w:val="single" w:color="auto"/>
                  <w:color w:val="0000FF"/>
                  <w:w w:val="89"/>
                </w:rPr>
                <w:t>46</w:t>
              </w:r>
            </w:hyperlink>
          </w:p>
        </w:tc>
      </w:tr>
      <w:tr>
        <w:trPr>
          <w:trHeight w:val="216"/>
        </w:trPr>
        <w:tc>
          <w:tcPr>
            <w:tcW w:w="680" w:type="dxa"/>
            <w:vAlign w:val="bottom"/>
          </w:tcPr>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Item 1A.</w:t>
              </w:r>
            </w:hyperlink>
          </w:p>
        </w:tc>
        <w:tc>
          <w:tcPr>
            <w:tcW w:w="7920" w:type="dxa"/>
            <w:vAlign w:val="bottom"/>
          </w:tcPr>
          <w:p>
            <w:pPr>
              <w:ind w:left="36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Risk Factors</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47">
              <w:r>
                <w:rPr>
                  <w:rFonts w:ascii="Arial" w:cs="Arial" w:eastAsia="Arial" w:hAnsi="Arial"/>
                  <w:sz w:val="16"/>
                  <w:szCs w:val="16"/>
                  <w:u w:val="single" w:color="auto"/>
                  <w:color w:val="0000FF"/>
                  <w:w w:val="89"/>
                </w:rPr>
                <w:t>46</w:t>
              </w:r>
            </w:hyperlink>
          </w:p>
        </w:tc>
      </w:tr>
      <w:tr>
        <w:trPr>
          <w:trHeight w:val="216"/>
        </w:trPr>
        <w:tc>
          <w:tcPr>
            <w:tcW w:w="680" w:type="dxa"/>
            <w:vAlign w:val="bottom"/>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Item 2</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Properties</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49">
              <w:r>
                <w:rPr>
                  <w:rFonts w:ascii="Arial" w:cs="Arial" w:eastAsia="Arial" w:hAnsi="Arial"/>
                  <w:sz w:val="16"/>
                  <w:szCs w:val="16"/>
                  <w:u w:val="single" w:color="auto"/>
                  <w:color w:val="0000FF"/>
                  <w:w w:val="89"/>
                </w:rPr>
                <w:t>48</w:t>
              </w:r>
            </w:hyperlink>
          </w:p>
        </w:tc>
      </w:tr>
      <w:tr>
        <w:trPr>
          <w:trHeight w:val="216"/>
        </w:trPr>
        <w:tc>
          <w:tcPr>
            <w:tcW w:w="680" w:type="dxa"/>
            <w:vAlign w:val="bottom"/>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Item 3</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Defaults upon Senior Securities</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49">
              <w:r>
                <w:rPr>
                  <w:rFonts w:ascii="Arial" w:cs="Arial" w:eastAsia="Arial" w:hAnsi="Arial"/>
                  <w:sz w:val="16"/>
                  <w:szCs w:val="16"/>
                  <w:u w:val="single" w:color="auto"/>
                  <w:color w:val="0000FF"/>
                  <w:w w:val="89"/>
                </w:rPr>
                <w:t>48</w:t>
              </w:r>
            </w:hyperlink>
          </w:p>
        </w:tc>
      </w:tr>
      <w:tr>
        <w:trPr>
          <w:trHeight w:val="216"/>
        </w:trPr>
        <w:tc>
          <w:tcPr>
            <w:tcW w:w="680" w:type="dxa"/>
            <w:vAlign w:val="bottom"/>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Mine Safety Disclosures</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49">
              <w:r>
                <w:rPr>
                  <w:rFonts w:ascii="Arial" w:cs="Arial" w:eastAsia="Arial" w:hAnsi="Arial"/>
                  <w:sz w:val="16"/>
                  <w:szCs w:val="16"/>
                  <w:u w:val="single" w:color="auto"/>
                  <w:color w:val="0000FF"/>
                  <w:w w:val="89"/>
                </w:rPr>
                <w:t>49</w:t>
              </w:r>
            </w:hyperlink>
          </w:p>
        </w:tc>
      </w:tr>
      <w:tr>
        <w:trPr>
          <w:trHeight w:val="216"/>
        </w:trPr>
        <w:tc>
          <w:tcPr>
            <w:tcW w:w="680" w:type="dxa"/>
            <w:vAlign w:val="bottom"/>
          </w:tcPr>
          <w:p>
            <w:pPr>
              <w:spacing w:after="0"/>
              <w:rPr>
                <w:rFonts w:ascii="Arial" w:cs="Arial" w:eastAsia="Arial" w:hAnsi="Arial"/>
                <w:sz w:val="16"/>
                <w:szCs w:val="16"/>
                <w:color w:val="0000FF"/>
              </w:rPr>
            </w:pPr>
            <w:hyperlink w:anchor="page50">
              <w:r>
                <w:rPr>
                  <w:rFonts w:ascii="Arial" w:cs="Arial" w:eastAsia="Arial" w:hAnsi="Arial"/>
                  <w:sz w:val="16"/>
                  <w:szCs w:val="16"/>
                  <w:u w:val="single" w:color="auto"/>
                  <w:color w:val="0000FF"/>
                </w:rPr>
                <w:t>Item 5</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Other Information</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50">
              <w:r>
                <w:rPr>
                  <w:rFonts w:ascii="Arial" w:cs="Arial" w:eastAsia="Arial" w:hAnsi="Arial"/>
                  <w:sz w:val="16"/>
                  <w:szCs w:val="16"/>
                  <w:u w:val="single" w:color="auto"/>
                  <w:color w:val="0000FF"/>
                  <w:w w:val="89"/>
                </w:rPr>
                <w:t>49</w:t>
              </w:r>
            </w:hyperlink>
          </w:p>
        </w:tc>
      </w:tr>
      <w:tr>
        <w:trPr>
          <w:trHeight w:val="216"/>
        </w:trPr>
        <w:tc>
          <w:tcPr>
            <w:tcW w:w="680" w:type="dxa"/>
            <w:vAlign w:val="bottom"/>
          </w:tcPr>
          <w:p>
            <w:pPr>
              <w:spacing w:after="0"/>
              <w:rPr>
                <w:rFonts w:ascii="Arial" w:cs="Arial" w:eastAsia="Arial" w:hAnsi="Arial"/>
                <w:sz w:val="16"/>
                <w:szCs w:val="16"/>
                <w:color w:val="0000FF"/>
              </w:rPr>
            </w:pPr>
            <w:hyperlink w:anchor="page50">
              <w:r>
                <w:rPr>
                  <w:rFonts w:ascii="Arial" w:cs="Arial" w:eastAsia="Arial" w:hAnsi="Arial"/>
                  <w:sz w:val="16"/>
                  <w:szCs w:val="16"/>
                  <w:u w:val="single" w:color="auto"/>
                  <w:color w:val="0000FF"/>
                </w:rPr>
                <w:t>Item 6</w:t>
              </w:r>
              <w:r>
                <w:rPr>
                  <w:rFonts w:ascii="Arial" w:cs="Arial" w:eastAsia="Arial" w:hAnsi="Arial"/>
                  <w:sz w:val="16"/>
                  <w:szCs w:val="16"/>
                  <w:color w:val="0000FF"/>
                </w:rPr>
                <w:t>.</w:t>
              </w:r>
            </w:hyperlink>
          </w:p>
        </w:tc>
        <w:tc>
          <w:tcPr>
            <w:tcW w:w="7920" w:type="dxa"/>
            <w:vAlign w:val="bottom"/>
          </w:tcPr>
          <w:p>
            <w:pPr>
              <w:ind w:left="36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Exhibits</w:t>
              </w:r>
            </w:hyperlink>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50">
              <w:r>
                <w:rPr>
                  <w:rFonts w:ascii="Arial" w:cs="Arial" w:eastAsia="Arial" w:hAnsi="Arial"/>
                  <w:sz w:val="16"/>
                  <w:szCs w:val="16"/>
                  <w:u w:val="single" w:color="auto"/>
                  <w:color w:val="0000FF"/>
                  <w:w w:val="89"/>
                </w:rPr>
                <w:t>50</w:t>
              </w:r>
            </w:hyperlink>
          </w:p>
        </w:tc>
      </w:tr>
      <w:tr>
        <w:trPr>
          <w:trHeight w:val="438"/>
        </w:trPr>
        <w:tc>
          <w:tcPr>
            <w:tcW w:w="6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6"/>
              </w:rPr>
              <w:t>Signatures</w:t>
            </w:r>
          </w:p>
        </w:tc>
        <w:tc>
          <w:tcPr>
            <w:tcW w:w="7920" w:type="dxa"/>
            <w:vAlign w:val="bottom"/>
          </w:tcPr>
          <w:p>
            <w:pPr>
              <w:spacing w:after="0"/>
              <w:rPr>
                <w:sz w:val="24"/>
                <w:szCs w:val="24"/>
                <w:color w:val="auto"/>
              </w:rPr>
            </w:pPr>
          </w:p>
        </w:tc>
        <w:tc>
          <w:tcPr>
            <w:tcW w:w="1940" w:type="dxa"/>
            <w:vAlign w:val="bottom"/>
          </w:tcPr>
          <w:p>
            <w:pPr>
              <w:jc w:val="center"/>
              <w:ind w:left="1698"/>
              <w:spacing w:after="0"/>
              <w:rPr>
                <w:rFonts w:ascii="Arial" w:cs="Arial" w:eastAsia="Arial" w:hAnsi="Arial"/>
                <w:sz w:val="16"/>
                <w:szCs w:val="16"/>
                <w:u w:val="single" w:color="auto"/>
                <w:color w:val="0000FF"/>
                <w:w w:val="89"/>
              </w:rPr>
            </w:pPr>
            <w:hyperlink w:anchor="page52">
              <w:r>
                <w:rPr>
                  <w:rFonts w:ascii="Arial" w:cs="Arial" w:eastAsia="Arial" w:hAnsi="Arial"/>
                  <w:sz w:val="16"/>
                  <w:szCs w:val="16"/>
                  <w:u w:val="single" w:color="auto"/>
                  <w:color w:val="0000FF"/>
                  <w:w w:val="89"/>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40" w:top="891" w:right="10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900" w:type="dxa"/>
            <w:vAlign w:val="bottom"/>
          </w:tcPr>
          <w:p>
            <w:pPr>
              <w:ind w:left="220"/>
              <w:spacing w:after="0"/>
              <w:rPr>
                <w:sz w:val="20"/>
                <w:szCs w:val="20"/>
                <w:color w:val="auto"/>
              </w:rPr>
            </w:pPr>
            <w:r>
              <w:rPr>
                <w:rFonts w:ascii="Arial" w:cs="Arial" w:eastAsia="Arial" w:hAnsi="Arial"/>
                <w:sz w:val="16"/>
                <w:szCs w:val="16"/>
                <w:color w:val="auto"/>
              </w:rPr>
              <w:t>Agency securities, at fair value (including pledged securities of $69,956 and $92,608, respectively)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75,488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98,516</w:t>
            </w:r>
          </w:p>
        </w:tc>
        <w:tc>
          <w:tcPr>
            <w:tcW w:w="0" w:type="dxa"/>
            <w:vAlign w:val="bottom"/>
          </w:tcPr>
          <w:p>
            <w:pPr>
              <w:spacing w:after="0"/>
              <w:rPr>
                <w:sz w:val="1"/>
                <w:szCs w:val="1"/>
                <w:color w:val="auto"/>
              </w:rPr>
            </w:pPr>
          </w:p>
        </w:tc>
      </w:tr>
      <w:tr>
        <w:trPr>
          <w:trHeight w:val="239"/>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53"/>
        </w:trPr>
        <w:tc>
          <w:tcPr>
            <w:tcW w:w="7900" w:type="dxa"/>
            <w:vAlign w:val="bottom"/>
          </w:tcPr>
          <w:p>
            <w:pPr>
              <w:ind w:left="220"/>
              <w:spacing w:after="0"/>
              <w:rPr>
                <w:sz w:val="20"/>
                <w:szCs w:val="20"/>
                <w:color w:val="auto"/>
              </w:rPr>
            </w:pPr>
            <w:r>
              <w:rPr>
                <w:rFonts w:ascii="Arial" w:cs="Arial" w:eastAsia="Arial" w:hAnsi="Arial"/>
                <w:sz w:val="16"/>
                <w:szCs w:val="16"/>
                <w:color w:val="auto"/>
              </w:rPr>
              <w:t>Credit risk transfer securities, at fair value (including pledged securities of $479 and $309, respectively)</w:t>
            </w:r>
          </w:p>
        </w:tc>
        <w:tc>
          <w:tcPr>
            <w:tcW w:w="24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5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Non-Agency securities, at fair value (including pledged securities of $511 and $0, respectively)</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53"/>
        </w:trPr>
        <w:tc>
          <w:tcPr>
            <w:tcW w:w="7900" w:type="dxa"/>
            <w:vAlign w:val="bottom"/>
          </w:tcPr>
          <w:p>
            <w:pPr>
              <w:ind w:left="220"/>
              <w:spacing w:after="0"/>
              <w:rPr>
                <w:sz w:val="20"/>
                <w:szCs w:val="20"/>
                <w:color w:val="auto"/>
              </w:rPr>
            </w:pPr>
            <w:r>
              <w:rPr>
                <w:rFonts w:ascii="Arial" w:cs="Arial" w:eastAsia="Arial" w:hAnsi="Arial"/>
                <w:sz w:val="16"/>
                <w:szCs w:val="16"/>
                <w:color w:val="auto"/>
              </w:rPr>
              <w:t>U.S. Treasury securities, at fair value (including pledged securities of $1,136 and $97, respectively)</w:t>
            </w:r>
          </w:p>
        </w:tc>
        <w:tc>
          <w:tcPr>
            <w:tcW w:w="24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23"/>
        </w:trPr>
        <w:tc>
          <w:tcPr>
            <w:tcW w:w="79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Derivative assets, at fair value</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54"/>
        </w:trPr>
        <w:tc>
          <w:tcPr>
            <w:tcW w:w="7900" w:type="dxa"/>
            <w:vAlign w:val="bottom"/>
          </w:tcPr>
          <w:p>
            <w:pPr>
              <w:ind w:left="220"/>
              <w:spacing w:after="0"/>
              <w:rPr>
                <w:sz w:val="20"/>
                <w:szCs w:val="20"/>
                <w:color w:val="auto"/>
              </w:rPr>
            </w:pPr>
            <w:r>
              <w:rPr>
                <w:rFonts w:ascii="Arial" w:cs="Arial" w:eastAsia="Arial" w:hAnsi="Arial"/>
                <w:sz w:val="16"/>
                <w:szCs w:val="16"/>
                <w:color w:val="auto"/>
              </w:rPr>
              <w:t>Receivable for investment securities sold (including pledged securities of $480 and $0, respectively)</w:t>
            </w:r>
          </w:p>
        </w:tc>
        <w:tc>
          <w:tcPr>
            <w:tcW w:w="24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Receivable under reverse repurchase agreements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7,944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10,181</w:t>
            </w:r>
          </w:p>
        </w:tc>
        <w:tc>
          <w:tcPr>
            <w:tcW w:w="0" w:type="dxa"/>
            <w:vAlign w:val="bottom"/>
          </w:tcPr>
          <w:p>
            <w:pPr>
              <w:spacing w:after="0"/>
              <w:rPr>
                <w:sz w:val="1"/>
                <w:szCs w:val="1"/>
                <w:color w:val="auto"/>
              </w:rPr>
            </w:pPr>
          </w:p>
        </w:tc>
      </w:tr>
      <w:tr>
        <w:trPr>
          <w:trHeight w:val="224"/>
        </w:trPr>
        <w:tc>
          <w:tcPr>
            <w:tcW w:w="79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47"/>
        </w:trPr>
        <w:tc>
          <w:tcPr>
            <w:tcW w:w="790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89,853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113,082</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220"/>
              <w:spacing w:after="0"/>
              <w:rPr>
                <w:sz w:val="20"/>
                <w:szCs w:val="20"/>
                <w:color w:val="auto"/>
              </w:rPr>
            </w:pPr>
            <w:r>
              <w:rPr>
                <w:rFonts w:ascii="Arial" w:cs="Arial" w:eastAsia="Arial" w:hAnsi="Arial"/>
                <w:sz w:val="16"/>
                <w:szCs w:val="16"/>
                <w:color w:val="auto"/>
              </w:rPr>
              <w:t>Repurchase agreements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69,685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89,182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Debt of consolidated variable interest entities, at fair value</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24"/>
        </w:trPr>
        <w:tc>
          <w:tcPr>
            <w:tcW w:w="7900" w:type="dxa"/>
            <w:vAlign w:val="bottom"/>
          </w:tcPr>
          <w:p>
            <w:pPr>
              <w:ind w:left="220"/>
              <w:spacing w:after="0"/>
              <w:rPr>
                <w:sz w:val="20"/>
                <w:szCs w:val="20"/>
                <w:color w:val="auto"/>
              </w:rPr>
            </w:pPr>
            <w:r>
              <w:rPr>
                <w:rFonts w:ascii="Arial" w:cs="Arial" w:eastAsia="Arial" w:hAnsi="Arial"/>
                <w:sz w:val="16"/>
                <w:szCs w:val="16"/>
                <w:color w:val="auto"/>
              </w:rPr>
              <w:t>Payable for investment securities purchased</w:t>
            </w:r>
          </w:p>
        </w:tc>
        <w:tc>
          <w:tcPr>
            <w:tcW w:w="24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Derivative liabilities, at fair value</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4"/>
        </w:trPr>
        <w:tc>
          <w:tcPr>
            <w:tcW w:w="7900" w:type="dxa"/>
            <w:vAlign w:val="bottom"/>
          </w:tcPr>
          <w:p>
            <w:pPr>
              <w:ind w:left="22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7,929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23"/>
        </w:trPr>
        <w:tc>
          <w:tcPr>
            <w:tcW w:w="7900" w:type="dxa"/>
            <w:vAlign w:val="bottom"/>
          </w:tcPr>
          <w:p>
            <w:pPr>
              <w:ind w:left="220"/>
              <w:spacing w:after="0"/>
              <w:rPr>
                <w:sz w:val="20"/>
                <w:szCs w:val="20"/>
                <w:color w:val="auto"/>
              </w:rPr>
            </w:pPr>
            <w:r>
              <w:rPr>
                <w:rFonts w:ascii="Arial" w:cs="Arial" w:eastAsia="Arial" w:hAnsi="Arial"/>
                <w:sz w:val="16"/>
                <w:szCs w:val="16"/>
                <w:color w:val="auto"/>
              </w:rPr>
              <w:t>Accounts payable and other liabilities</w:t>
            </w:r>
          </w:p>
        </w:tc>
        <w:tc>
          <w:tcPr>
            <w:tcW w:w="24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79,503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102,041</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 aggregate liquidation preference of $1,538 and $963, respectively</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166"/>
        </w:trPr>
        <w:tc>
          <w:tcPr>
            <w:tcW w:w="7900" w:type="dxa"/>
            <w:vAlign w:val="bottom"/>
          </w:tcPr>
          <w:p>
            <w:pPr>
              <w:ind w:left="220"/>
              <w:spacing w:after="0" w:line="166" w:lineRule="exact"/>
              <w:rPr>
                <w:sz w:val="20"/>
                <w:szCs w:val="20"/>
                <w:color w:val="auto"/>
              </w:rPr>
            </w:pPr>
            <w:r>
              <w:rPr>
                <w:rFonts w:ascii="Arial" w:cs="Arial" w:eastAsia="Arial" w:hAnsi="Arial"/>
                <w:sz w:val="16"/>
                <w:szCs w:val="16"/>
                <w:color w:val="auto"/>
                <w:w w:val="92"/>
              </w:rPr>
              <w:t>Common stock - $0.01 par value; 1,500 and 900 shares authorized, respectively; 555.5 and 540.9 shares issued and</w:t>
            </w:r>
          </w:p>
        </w:tc>
        <w:tc>
          <w:tcPr>
            <w:tcW w:w="240" w:type="dxa"/>
            <w:vAlign w:val="bottom"/>
          </w:tcPr>
          <w:p>
            <w:pPr>
              <w:spacing w:after="0"/>
              <w:rPr>
                <w:sz w:val="14"/>
                <w:szCs w:val="14"/>
                <w:color w:val="auto"/>
              </w:rPr>
            </w:pPr>
          </w:p>
        </w:tc>
        <w:tc>
          <w:tcPr>
            <w:tcW w:w="1360" w:type="dxa"/>
            <w:vAlign w:val="bottom"/>
            <w:vMerge w:val="restart"/>
          </w:tcPr>
          <w:p>
            <w:pPr>
              <w:jc w:val="right"/>
              <w:ind w:right="6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7900" w:type="dxa"/>
            <w:vAlign w:val="bottom"/>
          </w:tcPr>
          <w:p>
            <w:pPr>
              <w:ind w:left="220"/>
              <w:spacing w:after="0"/>
              <w:rPr>
                <w:sz w:val="20"/>
                <w:szCs w:val="20"/>
                <w:color w:val="auto"/>
              </w:rPr>
            </w:pPr>
            <w:r>
              <w:rPr>
                <w:rFonts w:ascii="Arial" w:cs="Arial" w:eastAsia="Arial" w:hAnsi="Arial"/>
                <w:sz w:val="16"/>
                <w:szCs w:val="16"/>
                <w:color w:val="auto"/>
              </w:rPr>
              <w:t>outstanding, respectively</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14,191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13,893</w:t>
            </w:r>
          </w:p>
        </w:tc>
        <w:tc>
          <w:tcPr>
            <w:tcW w:w="0" w:type="dxa"/>
            <w:vAlign w:val="bottom"/>
          </w:tcPr>
          <w:p>
            <w:pPr>
              <w:spacing w:after="0"/>
              <w:rPr>
                <w:sz w:val="1"/>
                <w:szCs w:val="1"/>
                <w:color w:val="auto"/>
              </w:rPr>
            </w:pPr>
          </w:p>
        </w:tc>
      </w:tr>
      <w:tr>
        <w:trPr>
          <w:trHeight w:val="223"/>
        </w:trPr>
        <w:tc>
          <w:tcPr>
            <w:tcW w:w="7900" w:type="dxa"/>
            <w:vAlign w:val="bottom"/>
          </w:tcPr>
          <w:p>
            <w:pPr>
              <w:ind w:left="220"/>
              <w:spacing w:after="0"/>
              <w:rPr>
                <w:sz w:val="20"/>
                <w:szCs w:val="20"/>
                <w:color w:val="auto"/>
              </w:rPr>
            </w:pPr>
            <w:r>
              <w:rPr>
                <w:rFonts w:ascii="Arial" w:cs="Arial" w:eastAsia="Arial" w:hAnsi="Arial"/>
                <w:sz w:val="16"/>
                <w:szCs w:val="16"/>
                <w:color w:val="auto"/>
              </w:rPr>
              <w:t>Retained deficit</w:t>
            </w:r>
          </w:p>
        </w:tc>
        <w:tc>
          <w:tcPr>
            <w:tcW w:w="240" w:type="dxa"/>
            <w:vAlign w:val="bottom"/>
          </w:tcPr>
          <w:p>
            <w:pPr>
              <w:spacing w:after="0"/>
              <w:rPr>
                <w:sz w:val="19"/>
                <w:szCs w:val="19"/>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(6,100)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0"/>
        </w:trPr>
        <w:tc>
          <w:tcPr>
            <w:tcW w:w="7900" w:type="dxa"/>
            <w:vAlign w:val="bottom"/>
          </w:tcPr>
          <w:p>
            <w:pPr>
              <w:ind w:left="540"/>
              <w:spacing w:after="0"/>
              <w:rPr>
                <w:sz w:val="20"/>
                <w:szCs w:val="20"/>
                <w:color w:val="auto"/>
              </w:rPr>
            </w:pPr>
            <w:r>
              <w:rPr>
                <w:rFonts w:ascii="Arial" w:cs="Arial" w:eastAsia="Arial" w:hAnsi="Arial"/>
                <w:sz w:val="16"/>
                <w:szCs w:val="16"/>
                <w:color w:val="auto"/>
              </w:rPr>
              <w:t>Total stockholders' equity</w:t>
            </w:r>
          </w:p>
        </w:tc>
        <w:tc>
          <w:tcPr>
            <w:tcW w:w="24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10,350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11,041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89,853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113,082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2060" w:type="dxa"/>
            <w:vAlign w:val="bottom"/>
            <w:gridSpan w:val="7"/>
          </w:tcPr>
          <w:p>
            <w:pPr>
              <w:ind w:left="60"/>
              <w:spacing w:after="0"/>
              <w:rPr>
                <w:sz w:val="20"/>
                <w:szCs w:val="20"/>
                <w:color w:val="auto"/>
              </w:rPr>
            </w:pPr>
            <w:r>
              <w:rPr>
                <w:rFonts w:ascii="Arial" w:cs="Arial" w:eastAsia="Arial" w:hAnsi="Arial"/>
                <w:sz w:val="16"/>
                <w:szCs w:val="16"/>
                <w:b w:val="1"/>
                <w:bCs w:val="1"/>
                <w:color w:val="auto"/>
                <w:w w:val="98"/>
              </w:rPr>
              <w:t>Three Months Ended June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w w:val="98"/>
              </w:rPr>
              <w:t>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7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0"/>
              <w:spacing w:after="0"/>
              <w:rPr>
                <w:sz w:val="20"/>
                <w:szCs w:val="20"/>
                <w:color w:val="auto"/>
              </w:rPr>
            </w:pPr>
            <w:r>
              <w:rPr>
                <w:rFonts w:ascii="Arial" w:cs="Arial" w:eastAsia="Arial" w:hAnsi="Arial"/>
                <w:sz w:val="16"/>
                <w:szCs w:val="16"/>
                <w:b w:val="1"/>
                <w:bCs w:val="1"/>
                <w:color w:val="auto"/>
              </w:rPr>
              <w:t>2019</w:t>
            </w:r>
          </w:p>
        </w:tc>
      </w:tr>
      <w:tr>
        <w:trPr>
          <w:trHeight w:val="33"/>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1,398</w:t>
            </w:r>
          </w:p>
        </w:tc>
      </w:tr>
      <w:tr>
        <w:trPr>
          <w:trHeight w:val="27"/>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1,111</w:t>
            </w:r>
          </w:p>
        </w:tc>
      </w:tr>
      <w:tr>
        <w:trPr>
          <w:trHeight w:val="237"/>
        </w:trPr>
        <w:tc>
          <w:tcPr>
            <w:tcW w:w="7240" w:type="dxa"/>
            <w:vAlign w:val="bottom"/>
          </w:tcPr>
          <w:p>
            <w:pPr>
              <w:ind w:left="66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287</w:t>
            </w:r>
          </w:p>
        </w:tc>
      </w:tr>
      <w:tr>
        <w:trPr>
          <w:trHeight w:val="27"/>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Gain on sale of investment securities, net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192</w:t>
            </w:r>
          </w:p>
        </w:tc>
      </w:tr>
      <w:tr>
        <w:trPr>
          <w:trHeight w:val="27"/>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Unrealized gain on investment securities measured at fair value through net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1,819</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Loss on derivative instruments and other securities, net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(2,438)</w:t>
            </w:r>
          </w:p>
        </w:tc>
      </w:tr>
      <w:tr>
        <w:trPr>
          <w:trHeight w:val="27"/>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gain (loss), net:</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27"/>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Other operating expense</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 on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6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Unrealized gain on investment securities measured at fair value through other comprehensive</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net</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779</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600</w:t>
            </w:r>
          </w:p>
        </w:tc>
      </w:tr>
      <w:tr>
        <w:trPr>
          <w:trHeight w:val="27"/>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stock</w:t>
            </w: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64"/>
        </w:trPr>
        <w:tc>
          <w:tcPr>
            <w:tcW w:w="7240" w:type="dxa"/>
            <w:vAlign w:val="bottom"/>
          </w:tcPr>
          <w:p>
            <w:pPr>
              <w:ind w:left="26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577</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537.2</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8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537.8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537.2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common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(0.38)</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4"/>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1.04</w:t>
            </w:r>
          </w:p>
        </w:tc>
      </w:tr>
      <w:tr>
        <w:trPr>
          <w:trHeight w:val="21"/>
        </w:trPr>
        <w:tc>
          <w:tcPr>
            <w:tcW w:w="7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Preferred</w:t>
            </w: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8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4140" w:type="dxa"/>
            <w:vAlign w:val="bottom"/>
          </w:tcPr>
          <w:p>
            <w:pPr>
              <w:ind w:left="18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4140" w:type="dxa"/>
            <w:vAlign w:val="bottom"/>
          </w:tcPr>
          <w:p>
            <w:pPr>
              <w:ind w:left="18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27"/>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13,988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10,346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9,798</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414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6"/>
        </w:trPr>
        <w:tc>
          <w:tcPr>
            <w:tcW w:w="4140" w:type="dxa"/>
            <w:vAlign w:val="bottom"/>
          </w:tcPr>
          <w:p>
            <w:pPr>
              <w:ind w:left="18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27"/>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14,191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9,906</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4140" w:type="dxa"/>
            <w:vAlign w:val="bottom"/>
          </w:tcPr>
          <w:p>
            <w:pPr>
              <w:ind w:left="18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6"/>
        </w:trPr>
        <w:tc>
          <w:tcPr>
            <w:tcW w:w="4140" w:type="dxa"/>
            <w:vAlign w:val="bottom"/>
          </w:tcPr>
          <w:p>
            <w:pPr>
              <w:ind w:left="18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13,988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(4,194)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(164)</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10,346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540.9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13,893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(3,886)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97"/>
        </w:trPr>
        <w:tc>
          <w:tcPr>
            <w:tcW w:w="41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97"/>
        </w:trPr>
        <w:tc>
          <w:tcPr>
            <w:tcW w:w="4140" w:type="dxa"/>
            <w:vAlign w:val="bottom"/>
          </w:tcPr>
          <w:p>
            <w:pPr>
              <w:ind w:left="18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7"/>
        </w:trPr>
        <w:tc>
          <w:tcPr>
            <w:tcW w:w="4140" w:type="dxa"/>
            <w:vAlign w:val="bottom"/>
          </w:tcPr>
          <w:p>
            <w:pPr>
              <w:ind w:left="18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555.5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14,191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(6,100)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764</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223"/>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(1,703)</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7500" w:type="dxa"/>
            <w:vAlign w:val="bottom"/>
          </w:tcPr>
          <w:p>
            <w:pPr>
              <w:ind w:left="32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2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325</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r>
      <w:tr>
        <w:trPr>
          <w:trHeight w:val="224"/>
        </w:trPr>
        <w:tc>
          <w:tcPr>
            <w:tcW w:w="7500" w:type="dxa"/>
            <w:vAlign w:val="bottom"/>
          </w:tcPr>
          <w:p>
            <w:pPr>
              <w:ind w:left="320"/>
              <w:spacing w:after="0"/>
              <w:rPr>
                <w:sz w:val="20"/>
                <w:szCs w:val="20"/>
                <w:color w:val="auto"/>
              </w:rPr>
            </w:pPr>
            <w:r>
              <w:rPr>
                <w:rFonts w:ascii="Arial" w:cs="Arial" w:eastAsia="Arial" w:hAnsi="Arial"/>
                <w:sz w:val="16"/>
                <w:szCs w:val="16"/>
                <w:color w:val="auto"/>
              </w:rPr>
              <w:t>Gain on sale of investment securities, net</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Unrealized gain on investment securities measured at fair value through net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(1,819)</w:t>
            </w:r>
          </w:p>
        </w:tc>
      </w:tr>
      <w:tr>
        <w:trPr>
          <w:trHeight w:val="224"/>
        </w:trPr>
        <w:tc>
          <w:tcPr>
            <w:tcW w:w="7500" w:type="dxa"/>
            <w:vAlign w:val="bottom"/>
          </w:tcPr>
          <w:p>
            <w:pPr>
              <w:ind w:left="320"/>
              <w:spacing w:after="0"/>
              <w:rPr>
                <w:sz w:val="20"/>
                <w:szCs w:val="20"/>
                <w:color w:val="auto"/>
              </w:rPr>
            </w:pPr>
            <w:r>
              <w:rPr>
                <w:rFonts w:ascii="Arial" w:cs="Arial" w:eastAsia="Arial" w:hAnsi="Arial"/>
                <w:sz w:val="16"/>
                <w:szCs w:val="16"/>
                <w:color w:val="auto"/>
              </w:rPr>
              <w:t>Loss on derivative instruments and other securities, net</w:t>
            </w:r>
          </w:p>
        </w:tc>
        <w:tc>
          <w:tcPr>
            <w:tcW w:w="22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3,539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2,438</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decrease in 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24"/>
        </w:trPr>
        <w:tc>
          <w:tcPr>
            <w:tcW w:w="7500" w:type="dxa"/>
            <w:vAlign w:val="bottom"/>
          </w:tcPr>
          <w:p>
            <w:pPr>
              <w:ind w:left="32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r>
      <w:tr>
        <w:trPr>
          <w:trHeight w:val="20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Agency mortgage-backed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(23,963)</w:t>
            </w:r>
          </w:p>
        </w:tc>
      </w:tr>
      <w:tr>
        <w:trPr>
          <w:trHeight w:val="224"/>
        </w:trPr>
        <w:tc>
          <w:tcPr>
            <w:tcW w:w="7500" w:type="dxa"/>
            <w:vAlign w:val="bottom"/>
          </w:tcPr>
          <w:p>
            <w:pPr>
              <w:ind w:left="320"/>
              <w:spacing w:after="0"/>
              <w:rPr>
                <w:sz w:val="20"/>
                <w:szCs w:val="20"/>
                <w:color w:val="auto"/>
              </w:rPr>
            </w:pPr>
            <w:r>
              <w:rPr>
                <w:rFonts w:ascii="Arial" w:cs="Arial" w:eastAsia="Arial" w:hAnsi="Arial"/>
                <w:sz w:val="16"/>
                <w:szCs w:val="16"/>
                <w:color w:val="auto"/>
              </w:rPr>
              <w:t>Purchases of credit risk transfer and non-Agency securities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(904)</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sale of Agency mortgage-backed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54,967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12,186</w:t>
            </w:r>
          </w:p>
        </w:tc>
      </w:tr>
      <w:tr>
        <w:trPr>
          <w:trHeight w:val="223"/>
        </w:trPr>
        <w:tc>
          <w:tcPr>
            <w:tcW w:w="7500" w:type="dxa"/>
            <w:vAlign w:val="bottom"/>
          </w:tcPr>
          <w:p>
            <w:pPr>
              <w:ind w:left="32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2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852</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Principal collections on Agency mortgage-backed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4,772</w:t>
            </w:r>
          </w:p>
        </w:tc>
      </w:tr>
      <w:tr>
        <w:trPr>
          <w:trHeight w:val="224"/>
        </w:trPr>
        <w:tc>
          <w:tcPr>
            <w:tcW w:w="7500" w:type="dxa"/>
            <w:vAlign w:val="bottom"/>
          </w:tcPr>
          <w:p>
            <w:pPr>
              <w:ind w:left="32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2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Payments on U.S. Treasury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(22,535)</w:t>
            </w:r>
          </w:p>
        </w:tc>
      </w:tr>
      <w:tr>
        <w:trPr>
          <w:trHeight w:val="223"/>
        </w:trPr>
        <w:tc>
          <w:tcPr>
            <w:tcW w:w="7500" w:type="dxa"/>
            <w:vAlign w:val="bottom"/>
          </w:tcPr>
          <w:p>
            <w:pPr>
              <w:ind w:left="320"/>
              <w:spacing w:after="0"/>
              <w:rPr>
                <w:sz w:val="20"/>
                <w:szCs w:val="20"/>
                <w:color w:val="auto"/>
              </w:rPr>
            </w:pPr>
            <w:r>
              <w:rPr>
                <w:rFonts w:ascii="Arial" w:cs="Arial" w:eastAsia="Arial" w:hAnsi="Arial"/>
                <w:sz w:val="16"/>
                <w:szCs w:val="16"/>
                <w:color w:val="auto"/>
              </w:rPr>
              <w:t>Proceeds from U.S. Treasury securities</w:t>
            </w:r>
          </w:p>
        </w:tc>
        <w:tc>
          <w:tcPr>
            <w:tcW w:w="22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16,206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7,122</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proceeds from reverse repurchase agreements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13,219</w:t>
            </w:r>
          </w:p>
        </w:tc>
      </w:tr>
      <w:tr>
        <w:trPr>
          <w:trHeight w:val="223"/>
        </w:trPr>
        <w:tc>
          <w:tcPr>
            <w:tcW w:w="7500" w:type="dxa"/>
            <w:vAlign w:val="bottom"/>
          </w:tcPr>
          <w:p>
            <w:pPr>
              <w:ind w:left="320"/>
              <w:spacing w:after="0"/>
              <w:rPr>
                <w:sz w:val="20"/>
                <w:szCs w:val="20"/>
                <w:color w:val="auto"/>
              </w:rPr>
            </w:pPr>
            <w:r>
              <w:rPr>
                <w:rFonts w:ascii="Arial" w:cs="Arial" w:eastAsia="Arial" w:hAnsi="Arial"/>
                <w:sz w:val="16"/>
                <w:szCs w:val="16"/>
                <w:color w:val="auto"/>
              </w:rPr>
              <w:t>Net payments on derivative instruments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(1,539)</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(10,776)</w:t>
            </w:r>
          </w:p>
        </w:tc>
      </w:tr>
      <w:tr>
        <w:trPr>
          <w:trHeight w:val="20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repurchase arrangements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2,166,205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1,904,071</w:t>
            </w:r>
          </w:p>
        </w:tc>
      </w:tr>
      <w:tr>
        <w:trPr>
          <w:trHeight w:val="223"/>
        </w:trPr>
        <w:tc>
          <w:tcPr>
            <w:tcW w:w="7500" w:type="dxa"/>
            <w:vAlign w:val="bottom"/>
          </w:tcPr>
          <w:p>
            <w:pPr>
              <w:ind w:left="320"/>
              <w:spacing w:after="0"/>
              <w:rPr>
                <w:sz w:val="20"/>
                <w:szCs w:val="20"/>
                <w:color w:val="auto"/>
              </w:rPr>
            </w:pPr>
            <w:r>
              <w:rPr>
                <w:rFonts w:ascii="Arial" w:cs="Arial" w:eastAsia="Arial" w:hAnsi="Arial"/>
                <w:sz w:val="16"/>
                <w:szCs w:val="16"/>
                <w:color w:val="auto"/>
              </w:rPr>
              <w:t>Payments on repurchase agreements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(2,185,702)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(1,893,522)</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Payments on debt of consolidated variable interest entities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7500" w:type="dxa"/>
            <w:vAlign w:val="bottom"/>
          </w:tcPr>
          <w:p>
            <w:pPr>
              <w:ind w:left="320"/>
              <w:spacing w:after="0"/>
              <w:rPr>
                <w:sz w:val="20"/>
                <w:szCs w:val="20"/>
                <w:color w:val="auto"/>
              </w:rPr>
            </w:pPr>
            <w:r>
              <w:rPr>
                <w:rFonts w:ascii="Arial" w:cs="Arial" w:eastAsia="Arial" w:hAnsi="Arial"/>
                <w:sz w:val="16"/>
                <w:szCs w:val="16"/>
                <w:color w:val="auto"/>
              </w:rPr>
              <w:t>Net proceeds from preferred stock issuances</w:t>
            </w:r>
          </w:p>
        </w:tc>
        <w:tc>
          <w:tcPr>
            <w:tcW w:w="22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227</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proceeds from common stock issuances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r>
      <w:tr>
        <w:trPr>
          <w:trHeight w:val="223"/>
        </w:trPr>
        <w:tc>
          <w:tcPr>
            <w:tcW w:w="7500" w:type="dxa"/>
            <w:vAlign w:val="bottom"/>
          </w:tcPr>
          <w:p>
            <w:pPr>
              <w:ind w:left="320"/>
              <w:spacing w:after="0"/>
              <w:rPr>
                <w:sz w:val="20"/>
                <w:szCs w:val="20"/>
                <w:color w:val="auto"/>
              </w:rPr>
            </w:pPr>
            <w:r>
              <w:rPr>
                <w:rFonts w:ascii="Arial" w:cs="Arial" w:eastAsia="Arial" w:hAnsi="Arial"/>
                <w:sz w:val="16"/>
                <w:szCs w:val="16"/>
                <w:color w:val="auto"/>
              </w:rPr>
              <w:t>Payments for common stock repurchases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dividends paid</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(19,202)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10,351</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1,520</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2"/>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60" w:top="891"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our wholly-owned subsidiaries and variable interest entities for which we are the primary beneficiary. Significant intercompany accounts and transactions have been eliminated.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internally 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in other investments in, or related to, the housing, mortgage or real estate markets. We fund our investments primarily through borrowings structured as repurchase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of loans exceed certain thresholds. By reducing the amount that they are obligated to repay to holders of CRT securities, the GSEs and/or other third parties offset credit losses on the related loans.</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9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1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in net income as a component of other gain (loss). Since all of our available-for-sale designated securities consist of Agency RMBS, we do not have an allowance for credit losses. We have not recognized impairment losses on our available-for-sale securities through net income for any of the periods presented in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1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Overnight Index Swap Rate ("OIS"), Secured Overnight Financing Rate ("SOFR") or three-month London Interbank Offered Rate ("LIBOR"). Our interest rate swaps typically have terms from one to 10 years but may extend up to 20 years or more. Our interest rate swaps are centrally cleared through a registered commodities exchange. The clearing exchange requires that we post an "initial margin" amount determined by the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our consolidated balance sheets.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 xml:space="preserve">In June 2016 the Financial Account Standards Board ("FASB") issued </w:t>
      </w:r>
      <w:r>
        <w:rPr>
          <w:rFonts w:ascii="Arial" w:cs="Arial" w:eastAsia="Arial" w:hAnsi="Arial"/>
          <w:sz w:val="17"/>
          <w:szCs w:val="17"/>
          <w:i w:val="1"/>
          <w:iCs w:val="1"/>
          <w:color w:val="auto"/>
        </w:rPr>
        <w:t>Accounting Standards Update 2016-13, 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w:t>
      </w:r>
      <w:r>
        <w:rPr>
          <w:rFonts w:ascii="Arial" w:cs="Arial" w:eastAsia="Arial" w:hAnsi="Arial"/>
          <w:sz w:val="17"/>
          <w:szCs w:val="17"/>
          <w:color w:val="auto"/>
        </w:rPr>
        <w:t>which replaces the incurred loss impairment methodology in prior GAAP with a methodology that better reflects expected credit losses. For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carried at amortized cost, impairment will be measured as a current estimate of expected lifetime credit losses. For available-for-sale investment securities with changes in fair value recorded in accumulated other comprehensive income, the FASB made targeted improvements eliminating the write-down of available-for-sale securities under the "other-than-temporary" impairment model replacing it with an allowance for credit loss model. We adopted ASU 2016-13 effective January 1, 2020, which had no material effect on our financial results.</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As of June 30, 2020 and December 31, 2019, our investment portfolio consisted of $77.1 billion and $100.4 billion of investment securities, at fair value, respectively, and $20.5 billion and $7.4 billion of net TBA securities, at fair value, respectively. Our net TBA position is reported at its net carrying value of $130 million and $25 million as of June 30, 2020 and December 31, 2019,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2020 and December 31, 2019, our investment securities had a net unamortized premium balance of $2.9 billion and $3.1 billion,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ind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June 30, 2020 and December 31, 2019, excluding TBA securities, (dollars in millions). Details of our TBA securities as of each of the respective dates are included in Note 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jc w:val="right"/>
              <w:ind w:right="415"/>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6"/>
              </w:rPr>
              <w:t>December 31, 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ind w:right="173"/>
              <w:spacing w:after="0" w:line="153" w:lineRule="exact"/>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1180" w:type="dxa"/>
            <w:vAlign w:val="bottom"/>
            <w:gridSpan w:val="4"/>
          </w:tcPr>
          <w:p>
            <w:pPr>
              <w:jc w:val="right"/>
              <w:ind w:right="148"/>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2"/>
          </w:tcPr>
          <w:p>
            <w:pPr>
              <w:ind w:left="12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71,885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160"/>
              <w:spacing w:after="0"/>
              <w:rPr>
                <w:sz w:val="20"/>
                <w:szCs w:val="20"/>
                <w:color w:val="auto"/>
              </w:rPr>
            </w:pPr>
            <w:r>
              <w:rPr>
                <w:rFonts w:ascii="Arial" w:cs="Arial" w:eastAsia="Arial" w:hAnsi="Arial"/>
                <w:sz w:val="14"/>
                <w:szCs w:val="14"/>
                <w:color w:val="auto"/>
              </w:rPr>
              <w:t>75,165</w:t>
            </w:r>
          </w:p>
        </w:tc>
        <w:tc>
          <w:tcPr>
            <w:tcW w:w="600" w:type="dxa"/>
            <w:vAlign w:val="bottom"/>
            <w:gridSpan w:val="2"/>
          </w:tcPr>
          <w:p>
            <w:pPr>
              <w:jc w:val="right"/>
              <w:ind w:right="296"/>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96,375</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98,074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2"/>
          </w:tcPr>
          <w:p>
            <w:pPr>
              <w:ind w:left="12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381</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155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Multifamily</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19</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75,832</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97,159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98,887</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222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377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 securities</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712</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73,828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77,143</w:t>
            </w:r>
          </w:p>
        </w:tc>
        <w:tc>
          <w:tcPr>
            <w:tcW w:w="600" w:type="dxa"/>
            <w:vAlign w:val="bottom"/>
            <w:gridSpan w:val="2"/>
            <w:shd w:val="clear" w:color="auto" w:fill="CCEEFF"/>
          </w:tcPr>
          <w:p>
            <w:pPr>
              <w:jc w:val="right"/>
              <w:ind w:right="296"/>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98,670</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100,442</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4"/>
              </w:rPr>
              <w:t>June 30, 2020</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Agency RMBS</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4"/>
                <w:szCs w:val="14"/>
                <w:b w:val="1"/>
                <w:bCs w:val="1"/>
                <w:color w:val="auto"/>
              </w:rPr>
              <w:t>Non-Agency</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37"/>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Freddie Mac</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3"/>
              <w:spacing w:after="0" w:line="153" w:lineRule="exact"/>
              <w:rPr>
                <w:sz w:val="20"/>
                <w:szCs w:val="20"/>
                <w:color w:val="auto"/>
              </w:rPr>
            </w:pPr>
            <w:r>
              <w:rPr>
                <w:rFonts w:ascii="Arial" w:cs="Arial" w:eastAsia="Arial" w:hAnsi="Arial"/>
                <w:sz w:val="14"/>
                <w:szCs w:val="14"/>
                <w:b w:val="1"/>
                <w:bCs w:val="1"/>
                <w:color w:val="auto"/>
              </w:rPr>
              <w:t>Ginnie</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RMBS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vMerge w:val="restart"/>
          </w:tcPr>
          <w:p>
            <w:pPr>
              <w:jc w:val="right"/>
              <w:ind w:right="56"/>
              <w:spacing w:after="0"/>
              <w:rPr>
                <w:sz w:val="20"/>
                <w:szCs w:val="20"/>
                <w:color w:val="auto"/>
              </w:rPr>
            </w:pPr>
            <w:r>
              <w:rPr>
                <w:rFonts w:ascii="Arial" w:cs="Arial" w:eastAsia="Arial" w:hAnsi="Arial"/>
                <w:sz w:val="14"/>
                <w:szCs w:val="14"/>
                <w:b w:val="1"/>
                <w:bCs w:val="1"/>
                <w:color w:val="auto"/>
              </w:rPr>
              <w:t>CMBS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Mae</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4,147</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400"/>
              <w:spacing w:after="0"/>
              <w:rPr>
                <w:sz w:val="20"/>
                <w:szCs w:val="20"/>
                <w:color w:val="auto"/>
              </w:rPr>
            </w:pPr>
            <w:r>
              <w:rPr>
                <w:rFonts w:ascii="Arial" w:cs="Arial" w:eastAsia="Arial" w:hAnsi="Arial"/>
                <w:sz w:val="13"/>
                <w:szCs w:val="13"/>
                <w:color w:val="auto"/>
                <w:w w:val="87"/>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right"/>
              <w:ind w:right="57"/>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12,306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4,357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16,679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40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6"/>
              </w:rPr>
              <w: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12,886</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4,540</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17,443</w:t>
            </w:r>
          </w:p>
        </w:tc>
        <w:tc>
          <w:tcPr>
            <w:tcW w:w="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21,537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54,941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400"/>
              <w:spacing w:after="0"/>
              <w:rPr>
                <w:sz w:val="20"/>
                <w:szCs w:val="20"/>
                <w:color w:val="auto"/>
              </w:rPr>
            </w:pPr>
            <w:r>
              <w:rPr>
                <w:rFonts w:ascii="Arial" w:cs="Arial" w:eastAsia="Arial" w:hAnsi="Arial"/>
                <w:sz w:val="13"/>
                <w:szCs w:val="13"/>
                <w:color w:val="auto"/>
                <w:w w:val="87"/>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right"/>
              <w:ind w:right="57"/>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2,250</w:t>
            </w:r>
          </w:p>
        </w:tc>
        <w:tc>
          <w:tcPr>
            <w:tcW w:w="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33,385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22,433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3"/>
                <w:szCs w:val="13"/>
                <w:color w:val="auto"/>
              </w:rPr>
              <w:t>742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57,149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40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color w:val="auto"/>
                <w:w w:val="87"/>
              </w:rPr>
              <w:t>(3)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(33)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(57)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34,852</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23,533</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712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59,700</w:t>
            </w: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gridSpan w:val="2"/>
          </w:tcPr>
          <w:p>
            <w:pPr>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47,738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28,073</w:t>
            </w:r>
          </w:p>
        </w:tc>
        <w:tc>
          <w:tcPr>
            <w:tcW w:w="1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222</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377</w:t>
            </w:r>
          </w:p>
        </w:tc>
        <w:tc>
          <w:tcPr>
            <w:tcW w:w="740" w:type="dxa"/>
            <w:vAlign w:val="bottom"/>
            <w:gridSpan w:val="3"/>
          </w:tcPr>
          <w:p>
            <w:pPr>
              <w:jc w:val="right"/>
              <w:ind w:right="348"/>
              <w:spacing w:after="0"/>
              <w:rPr>
                <w:sz w:val="20"/>
                <w:szCs w:val="20"/>
                <w:color w:val="auto"/>
              </w:rPr>
            </w:pPr>
            <w:r>
              <w:rPr>
                <w:rFonts w:ascii="Arial" w:cs="Arial" w:eastAsia="Arial" w:hAnsi="Arial"/>
                <w:sz w:val="13"/>
                <w:szCs w:val="13"/>
                <w:color w:val="auto"/>
              </w:rPr>
              <w:t>$</w:t>
            </w:r>
          </w:p>
        </w:tc>
        <w:tc>
          <w:tcPr>
            <w:tcW w:w="440" w:type="dxa"/>
            <w:vAlign w:val="bottom"/>
            <w:gridSpan w:val="3"/>
          </w:tcPr>
          <w:p>
            <w:pPr>
              <w:jc w:val="right"/>
              <w:ind w:right="180"/>
              <w:spacing w:after="0"/>
              <w:rPr>
                <w:sz w:val="20"/>
                <w:szCs w:val="20"/>
                <w:color w:val="auto"/>
              </w:rPr>
            </w:pPr>
            <w:r>
              <w:rPr>
                <w:rFonts w:ascii="Arial" w:cs="Arial" w:eastAsia="Arial" w:hAnsi="Arial"/>
                <w:sz w:val="13"/>
                <w:szCs w:val="13"/>
                <w:color w:val="auto"/>
              </w:rPr>
              <w:t>712</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77,143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coupon as of June 30, 2020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8"/>
              </w:rPr>
              <w:t>3.46 %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Arial" w:cs="Arial" w:eastAsia="Arial" w:hAnsi="Arial"/>
                <w:sz w:val="13"/>
                <w:szCs w:val="13"/>
                <w:color w:val="auto"/>
              </w:rPr>
              <w:t xml:space="preserve">Weighted average yield as of June 30, 2020 </w:t>
            </w:r>
            <w:r>
              <w:rPr>
                <w:rFonts w:ascii="Arial" w:cs="Arial" w:eastAsia="Arial" w:hAnsi="Arial"/>
                <w:sz w:val="8"/>
                <w:szCs w:val="8"/>
                <w:color w:val="auto"/>
              </w:rPr>
              <w:t>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2.60</w:t>
            </w:r>
          </w:p>
        </w:tc>
        <w:tc>
          <w:tcPr>
            <w:tcW w:w="12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4.01</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4.11</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w w:val="98"/>
              </w:rPr>
              <w:t>2.94 %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2.64</w:t>
            </w:r>
          </w:p>
        </w:tc>
        <w:tc>
          <w:tcPr>
            <w:tcW w:w="12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16.6% based on forward rates as of June 30,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December 31, 2019</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4"/>
              </w:rPr>
              <w:t>Agency RMBS</w:t>
            </w: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right"/>
              <w:ind w:right="397"/>
              <w:spacing w:after="0"/>
              <w:rPr>
                <w:sz w:val="20"/>
                <w:szCs w:val="20"/>
                <w:color w:val="auto"/>
              </w:rPr>
            </w:pPr>
            <w:r>
              <w:rPr>
                <w:rFonts w:ascii="Arial" w:cs="Arial" w:eastAsia="Arial" w:hAnsi="Arial"/>
                <w:sz w:val="14"/>
                <w:szCs w:val="14"/>
                <w:b w:val="1"/>
                <w:bCs w:val="1"/>
                <w:color w:val="auto"/>
              </w:rPr>
              <w:t>Non-Agency</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Fannie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620" w:type="dxa"/>
            <w:vAlign w:val="bottom"/>
          </w:tcPr>
          <w:p>
            <w:pPr>
              <w:jc w:val="right"/>
              <w:ind w:right="56"/>
              <w:spacing w:after="0" w:line="153" w:lineRule="exact"/>
              <w:rPr>
                <w:sz w:val="20"/>
                <w:szCs w:val="20"/>
                <w:color w:val="auto"/>
              </w:rPr>
            </w:pPr>
            <w:r>
              <w:rPr>
                <w:rFonts w:ascii="Arial" w:cs="Arial" w:eastAsia="Arial" w:hAnsi="Arial"/>
                <w:sz w:val="14"/>
                <w:szCs w:val="14"/>
                <w:b w:val="1"/>
                <w:bCs w:val="1"/>
                <w:color w:val="auto"/>
              </w:rPr>
              <w:t>Ginnie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RMBS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CMBS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CRT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Mae</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Mae</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Par value</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80" w:type="dxa"/>
            <w:vAlign w:val="bottom"/>
            <w:gridSpan w:val="2"/>
          </w:tcPr>
          <w:p>
            <w:pPr>
              <w:ind w:left="180"/>
              <w:spacing w:after="0"/>
              <w:rPr>
                <w:sz w:val="20"/>
                <w:szCs w:val="20"/>
                <w:color w:val="auto"/>
              </w:rPr>
            </w:pPr>
            <w:r>
              <w:rPr>
                <w:rFonts w:ascii="Arial" w:cs="Arial" w:eastAsia="Arial" w:hAnsi="Arial"/>
                <w:sz w:val="13"/>
                <w:szCs w:val="13"/>
                <w:color w:val="auto"/>
              </w:rPr>
              <w:t>Unamortized discount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Unamortized premium</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1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8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5,036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20,056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Gross unrealized gains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Gross unrealized losses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15,094</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5,040</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20,153</w:t>
            </w:r>
          </w:p>
        </w:tc>
        <w:tc>
          <w:tcPr>
            <w:tcW w:w="1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80" w:type="dxa"/>
            <w:vAlign w:val="bottom"/>
            <w:gridSpan w:val="2"/>
          </w:tcPr>
          <w:p>
            <w:pPr>
              <w:ind w:left="220"/>
              <w:spacing w:after="0"/>
              <w:rPr>
                <w:sz w:val="20"/>
                <w:szCs w:val="20"/>
                <w:color w:val="auto"/>
              </w:rPr>
            </w:pPr>
            <w:r>
              <w:rPr>
                <w:rFonts w:ascii="Arial" w:cs="Arial" w:eastAsia="Arial" w:hAnsi="Arial"/>
                <w:sz w:val="13"/>
                <w:szCs w:val="13"/>
                <w:color w:val="auto"/>
              </w:rPr>
              <w:t>Unamortized discount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Unamortized premium</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1,218</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2,219</w:t>
            </w:r>
          </w:p>
        </w:tc>
        <w:tc>
          <w:tcPr>
            <w:tcW w:w="1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8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46,256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30,846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78,614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Gross unrealized gains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Gross unrealized losses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47,215</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31,519</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80,289</w:t>
            </w: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62,309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36,559</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w:t>
            </w:r>
          </w:p>
        </w:tc>
        <w:tc>
          <w:tcPr>
            <w:tcW w:w="4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209</w:t>
            </w:r>
          </w:p>
        </w:tc>
        <w:tc>
          <w:tcPr>
            <w:tcW w:w="4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370</w:t>
            </w: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100,442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2019</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73"/>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2019 </w:t>
            </w:r>
            <w:r>
              <w:rPr>
                <w:rFonts w:ascii="Arial" w:cs="Arial" w:eastAsia="Arial" w:hAnsi="Arial"/>
                <w:sz w:val="8"/>
                <w:szCs w:val="8"/>
                <w:color w:val="auto"/>
              </w:rPr>
              <w:t>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3.03</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3.09</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4.39</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4.38</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4.05</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3.07</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10.8% based on forward rates as of December 31, 2019.</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2020 and December 31, 2019, our investments in CRT and non-Agency securities had the following credit ratings: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December 31, 2019</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9"/>
                <w:szCs w:val="9"/>
                <w:b w:val="1"/>
                <w:bCs w:val="1"/>
                <w:color w:val="auto"/>
              </w:rPr>
              <w:t>1</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CMBS</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CMBS</w:t>
            </w:r>
          </w:p>
        </w:tc>
      </w:tr>
      <w:tr>
        <w:trPr>
          <w:trHeight w:val="20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r>
      <w:tr>
        <w:trPr>
          <w:trHeight w:val="197"/>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214</w:t>
            </w:r>
          </w:p>
        </w:tc>
      </w:tr>
      <w:tr>
        <w:trPr>
          <w:trHeight w:val="20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69</w:t>
            </w:r>
          </w:p>
        </w:tc>
      </w:tr>
      <w:tr>
        <w:trPr>
          <w:trHeight w:val="20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2"/>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377</w:t>
            </w:r>
          </w:p>
        </w:tc>
        <w:tc>
          <w:tcPr>
            <w:tcW w:w="1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976</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370</w:t>
            </w: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June 30, 2020 and December 31, 2019, the weighted average expected constant prepayment rate ("CPR") over the remaining life of our Agency and high credit quality non-Agency RMBS investment portfolio was 16.6% and 10.8%, respectively. Our estimates can differ materially for different securities and thus our individual holdings have a wide range of projected CPRs. The following table summarizes our investments as of June 30, 2020 and December 31, 2019 according to their estimated weighted average life classification (dollars in millions):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June 30, 2020</w:t>
            </w: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2019</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0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3.48%</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2.61%</w:t>
            </w:r>
          </w:p>
        </w:tc>
        <w:tc>
          <w:tcPr>
            <w:tcW w:w="0" w:type="dxa"/>
            <w:vAlign w:val="bottom"/>
          </w:tcPr>
          <w:p>
            <w:pPr>
              <w:spacing w:after="0"/>
              <w:rPr>
                <w:sz w:val="1"/>
                <w:szCs w:val="1"/>
                <w:color w:val="auto"/>
              </w:rPr>
            </w:pPr>
          </w:p>
        </w:tc>
      </w:tr>
      <w:tr>
        <w:trPr>
          <w:trHeight w:val="19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43,494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41,853</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3.70%</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10,822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10,563</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3.85%</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3.20%</w:t>
            </w: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30,864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85,002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4.33%</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3.39%</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451</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3.06%</w:t>
            </w:r>
          </w:p>
        </w:tc>
        <w:tc>
          <w:tcPr>
            <w:tcW w:w="0" w:type="dxa"/>
            <w:vAlign w:val="bottom"/>
          </w:tcPr>
          <w:p>
            <w:pPr>
              <w:spacing w:after="0"/>
              <w:rPr>
                <w:sz w:val="1"/>
                <w:szCs w:val="1"/>
                <w:color w:val="auto"/>
              </w:rPr>
            </w:pPr>
          </w:p>
        </w:tc>
      </w:tr>
      <w:tr>
        <w:trPr>
          <w:trHeight w:val="227"/>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77,143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73,828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3.71%</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2.64%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100,442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98,670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45"/>
        <w:spacing w:after="0" w:line="276"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June 30, 2020 and December 31, 2019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Unrealized Loss Position For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Securities Classified as Available-for-Sale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3"/>
                <w:szCs w:val="13"/>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7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Arial" w:cs="Arial" w:eastAsia="Arial" w:hAnsi="Arial"/>
                <w:sz w:val="14"/>
                <w:szCs w:val="14"/>
                <w:color w:val="auto"/>
              </w:rPr>
              <w:t>December 31, 2019</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6,984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8,637</w:t>
            </w: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390"/>
        </w:trPr>
        <w:tc>
          <w:tcPr>
            <w:tcW w:w="41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3"/>
              </w:rPr>
              <w:t>Gains and Losses on Sale of Investment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86"/>
        <w:spacing w:after="0" w:line="276"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and six months ended June 30, 2020 and 2019 by investment classification of accounting (in millions):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40" w:type="dxa"/>
            <w:vAlign w:val="bottom"/>
            <w:vMerge w:val="restart"/>
          </w:tcPr>
          <w:p>
            <w:pPr>
              <w:spacing w:after="0"/>
              <w:rPr>
                <w:sz w:val="12"/>
                <w:szCs w:val="12"/>
                <w:color w:val="auto"/>
              </w:rPr>
            </w:pPr>
          </w:p>
        </w:tc>
        <w:tc>
          <w:tcPr>
            <w:tcW w:w="118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Available-for-Sale</w:t>
            </w:r>
          </w:p>
        </w:tc>
        <w:tc>
          <w:tcPr>
            <w:tcW w:w="1200" w:type="dxa"/>
            <w:vAlign w:val="bottom"/>
            <w:gridSpan w:val="3"/>
          </w:tcPr>
          <w:p>
            <w:pPr>
              <w:jc w:val="center"/>
              <w:ind w:right="100"/>
              <w:spacing w:after="0" w:line="148" w:lineRule="exact"/>
              <w:rPr>
                <w:sz w:val="20"/>
                <w:szCs w:val="20"/>
                <w:color w:val="auto"/>
              </w:rPr>
            </w:pPr>
            <w:r>
              <w:rPr>
                <w:rFonts w:ascii="Arial" w:cs="Arial" w:eastAsia="Arial" w:hAnsi="Arial"/>
                <w:sz w:val="13"/>
                <w:szCs w:val="13"/>
                <w:b w:val="1"/>
                <w:bCs w:val="1"/>
                <w:color w:val="auto"/>
                <w:w w:val="91"/>
              </w:rPr>
              <w:t>Fair Value Option</w:t>
            </w:r>
          </w:p>
        </w:tc>
        <w:tc>
          <w:tcPr>
            <w:tcW w:w="160" w:type="dxa"/>
            <w:vAlign w:val="bottom"/>
          </w:tcPr>
          <w:p>
            <w:pPr>
              <w:spacing w:after="0"/>
              <w:rPr>
                <w:sz w:val="12"/>
                <w:szCs w:val="12"/>
                <w:color w:val="auto"/>
              </w:rPr>
            </w:pPr>
          </w:p>
        </w:tc>
        <w:tc>
          <w:tcPr>
            <w:tcW w:w="92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Total</w:t>
            </w:r>
          </w:p>
        </w:tc>
        <w:tc>
          <w:tcPr>
            <w:tcW w:w="200" w:type="dxa"/>
            <w:vAlign w:val="bottom"/>
            <w:vMerge w:val="restart"/>
          </w:tcPr>
          <w:p>
            <w:pPr>
              <w:spacing w:after="0"/>
              <w:rPr>
                <w:sz w:val="12"/>
                <w:szCs w:val="12"/>
                <w:color w:val="auto"/>
              </w:rPr>
            </w:pPr>
          </w:p>
        </w:tc>
        <w:tc>
          <w:tcPr>
            <w:tcW w:w="118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Available-for-Sale</w:t>
            </w:r>
          </w:p>
        </w:tc>
        <w:tc>
          <w:tcPr>
            <w:tcW w:w="1200" w:type="dxa"/>
            <w:vAlign w:val="bottom"/>
            <w:gridSpan w:val="3"/>
          </w:tcPr>
          <w:p>
            <w:pPr>
              <w:jc w:val="center"/>
              <w:ind w:right="100"/>
              <w:spacing w:after="0" w:line="148" w:lineRule="exact"/>
              <w:rPr>
                <w:sz w:val="20"/>
                <w:szCs w:val="20"/>
                <w:color w:val="auto"/>
              </w:rPr>
            </w:pPr>
            <w:r>
              <w:rPr>
                <w:rFonts w:ascii="Arial" w:cs="Arial" w:eastAsia="Arial" w:hAnsi="Arial"/>
                <w:sz w:val="13"/>
                <w:szCs w:val="13"/>
                <w:b w:val="1"/>
                <w:bCs w:val="1"/>
                <w:color w:val="auto"/>
                <w:w w:val="91"/>
              </w:rPr>
              <w:t>Fair Value Option</w:t>
            </w:r>
          </w:p>
        </w:tc>
        <w:tc>
          <w:tcPr>
            <w:tcW w:w="240" w:type="dxa"/>
            <w:vAlign w:val="bottom"/>
          </w:tcPr>
          <w:p>
            <w:pPr>
              <w:spacing w:after="0"/>
              <w:rPr>
                <w:sz w:val="12"/>
                <w:szCs w:val="12"/>
                <w:color w:val="auto"/>
              </w:rPr>
            </w:pPr>
          </w:p>
        </w:tc>
        <w:tc>
          <w:tcPr>
            <w:tcW w:w="84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Investment securities sold, at cost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(4,472)</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(5,750)</w:t>
            </w:r>
          </w:p>
        </w:tc>
        <w:tc>
          <w:tcPr>
            <w:tcW w:w="20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(7,769)</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(8,135)</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9"/>
                <w:szCs w:val="9"/>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1,317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4,586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5,903</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7,906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8,267</w:t>
            </w:r>
          </w:p>
        </w:tc>
        <w:tc>
          <w:tcPr>
            <w:tcW w:w="0" w:type="dxa"/>
            <w:vAlign w:val="bottom"/>
          </w:tcPr>
          <w:p>
            <w:pPr>
              <w:spacing w:after="0"/>
              <w:rPr>
                <w:sz w:val="1"/>
                <w:szCs w:val="1"/>
                <w:color w:val="auto"/>
              </w:rPr>
            </w:pPr>
          </w:p>
        </w:tc>
      </w:tr>
      <w:tr>
        <w:trPr>
          <w:trHeight w:val="20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40" w:type="dxa"/>
            <w:vAlign w:val="bottom"/>
            <w:vMerge w:val="restart"/>
          </w:tcPr>
          <w:p>
            <w:pPr>
              <w:spacing w:after="0"/>
              <w:rPr>
                <w:sz w:val="12"/>
                <w:szCs w:val="12"/>
                <w:color w:val="auto"/>
              </w:rPr>
            </w:pPr>
          </w:p>
        </w:tc>
        <w:tc>
          <w:tcPr>
            <w:tcW w:w="118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Available-for-Sale</w:t>
            </w:r>
          </w:p>
        </w:tc>
        <w:tc>
          <w:tcPr>
            <w:tcW w:w="1200" w:type="dxa"/>
            <w:vAlign w:val="bottom"/>
            <w:gridSpan w:val="3"/>
          </w:tcPr>
          <w:p>
            <w:pPr>
              <w:jc w:val="center"/>
              <w:ind w:right="100"/>
              <w:spacing w:after="0" w:line="148" w:lineRule="exact"/>
              <w:rPr>
                <w:sz w:val="20"/>
                <w:szCs w:val="20"/>
                <w:color w:val="auto"/>
              </w:rPr>
            </w:pPr>
            <w:r>
              <w:rPr>
                <w:rFonts w:ascii="Arial" w:cs="Arial" w:eastAsia="Arial" w:hAnsi="Arial"/>
                <w:sz w:val="13"/>
                <w:szCs w:val="13"/>
                <w:b w:val="1"/>
                <w:bCs w:val="1"/>
                <w:color w:val="auto"/>
                <w:w w:val="91"/>
              </w:rPr>
              <w:t>Fair Value Option</w:t>
            </w:r>
          </w:p>
        </w:tc>
        <w:tc>
          <w:tcPr>
            <w:tcW w:w="200" w:type="dxa"/>
            <w:vAlign w:val="bottom"/>
          </w:tcPr>
          <w:p>
            <w:pPr>
              <w:spacing w:after="0"/>
              <w:rPr>
                <w:sz w:val="12"/>
                <w:szCs w:val="12"/>
                <w:color w:val="auto"/>
              </w:rPr>
            </w:pPr>
          </w:p>
        </w:tc>
        <w:tc>
          <w:tcPr>
            <w:tcW w:w="88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Total</w:t>
            </w:r>
          </w:p>
        </w:tc>
        <w:tc>
          <w:tcPr>
            <w:tcW w:w="200" w:type="dxa"/>
            <w:vAlign w:val="bottom"/>
            <w:vMerge w:val="restart"/>
          </w:tcPr>
          <w:p>
            <w:pPr>
              <w:spacing w:after="0"/>
              <w:rPr>
                <w:sz w:val="12"/>
                <w:szCs w:val="12"/>
                <w:color w:val="auto"/>
              </w:rPr>
            </w:pPr>
          </w:p>
        </w:tc>
        <w:tc>
          <w:tcPr>
            <w:tcW w:w="118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Available-for-Sale</w:t>
            </w:r>
          </w:p>
        </w:tc>
        <w:tc>
          <w:tcPr>
            <w:tcW w:w="1200" w:type="dxa"/>
            <w:vAlign w:val="bottom"/>
            <w:gridSpan w:val="3"/>
          </w:tcPr>
          <w:p>
            <w:pPr>
              <w:jc w:val="center"/>
              <w:ind w:right="100"/>
              <w:spacing w:after="0" w:line="148" w:lineRule="exact"/>
              <w:rPr>
                <w:sz w:val="20"/>
                <w:szCs w:val="20"/>
                <w:color w:val="auto"/>
              </w:rPr>
            </w:pPr>
            <w:r>
              <w:rPr>
                <w:rFonts w:ascii="Arial" w:cs="Arial" w:eastAsia="Arial" w:hAnsi="Arial"/>
                <w:sz w:val="13"/>
                <w:szCs w:val="13"/>
                <w:b w:val="1"/>
                <w:bCs w:val="1"/>
                <w:color w:val="auto"/>
                <w:w w:val="91"/>
              </w:rPr>
              <w:t>Fair Value Option</w:t>
            </w:r>
          </w:p>
        </w:tc>
        <w:tc>
          <w:tcPr>
            <w:tcW w:w="240" w:type="dxa"/>
            <w:vAlign w:val="bottom"/>
          </w:tcPr>
          <w:p>
            <w:pPr>
              <w:spacing w:after="0"/>
              <w:rPr>
                <w:sz w:val="12"/>
                <w:szCs w:val="12"/>
                <w:color w:val="auto"/>
              </w:rPr>
            </w:pPr>
          </w:p>
        </w:tc>
        <w:tc>
          <w:tcPr>
            <w:tcW w:w="84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Investment securities sold, at cost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(53,912)</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(55,345)</w:t>
            </w:r>
          </w:p>
        </w:tc>
        <w:tc>
          <w:tcPr>
            <w:tcW w:w="20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(12,331)</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(13,036)</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9"/>
                <w:szCs w:val="9"/>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54,519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55,992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12,532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13,228</w:t>
            </w:r>
          </w:p>
        </w:tc>
        <w:tc>
          <w:tcPr>
            <w:tcW w:w="0" w:type="dxa"/>
            <w:vAlign w:val="bottom"/>
          </w:tcPr>
          <w:p>
            <w:pPr>
              <w:spacing w:after="0"/>
              <w:rPr>
                <w:sz w:val="1"/>
                <w:szCs w:val="1"/>
                <w:color w:val="auto"/>
              </w:rPr>
            </w:pPr>
          </w:p>
        </w:tc>
      </w:tr>
      <w:tr>
        <w:trPr>
          <w:trHeight w:val="20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647</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736</w:t>
            </w:r>
          </w:p>
        </w:tc>
        <w:tc>
          <w:tcPr>
            <w:tcW w:w="20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647</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 pledge our securities as collateral under our borrowings structured as repurchase agreements with financial institutions. Amounts available to be borrowed are dependent upon the fair value of the securities pledged as collateral, which</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 w:name="page14"/>
    <w:bookmarkEnd w:id="13"/>
    <w:p>
      <w:pPr>
        <w:jc w:val="both"/>
        <w:spacing w:after="0" w:line="301" w:lineRule="auto"/>
        <w:rPr>
          <w:sz w:val="20"/>
          <w:szCs w:val="20"/>
          <w:color w:val="auto"/>
        </w:rPr>
      </w:pPr>
      <w:r>
        <w:rPr>
          <w:rFonts w:ascii="Arial" w:cs="Arial" w:eastAsia="Arial" w:hAnsi="Arial"/>
          <w:sz w:val="16"/>
          <w:szCs w:val="16"/>
          <w:color w:val="auto"/>
        </w:rPr>
        <w:t>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2020, we had met all margin call requirements. For additional information regarding our pledged assets, please refer to Note 7.</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June 30, 2020 and December 31, 2019, we had $69.7 billion and $89.2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June 30, 2020 and December 31, 2019 (dollars in millions):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left="102"/>
              <w:spacing w:after="0" w:line="15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left="82"/>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0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060" w:type="dxa"/>
            <w:vAlign w:val="bottom"/>
          </w:tcPr>
          <w:p>
            <w:pPr>
              <w:jc w:val="center"/>
              <w:ind w:left="82"/>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 1 month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44,718</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56,664</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1 to ≤ 3 months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10,132</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w:t>
            </w: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20,761</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&gt; 3 to ≤ 6 months</w:t>
            </w:r>
          </w:p>
        </w:tc>
        <w:tc>
          <w:tcPr>
            <w:tcW w:w="160" w:type="dxa"/>
            <w:vAlign w:val="bottom"/>
          </w:tcPr>
          <w:p>
            <w:pPr>
              <w:spacing w:after="0"/>
              <w:rPr>
                <w:sz w:val="19"/>
                <w:szCs w:val="19"/>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2,585</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103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5,683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6 to ≤ 9 months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6,690</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195</w:t>
            </w: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1,500</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23"/>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&gt; 9 to ≤ 12 months</w:t>
            </w:r>
          </w:p>
        </w:tc>
        <w:tc>
          <w:tcPr>
            <w:tcW w:w="160" w:type="dxa"/>
            <w:vAlign w:val="bottom"/>
          </w:tcPr>
          <w:p>
            <w:pPr>
              <w:spacing w:after="0"/>
              <w:rPr>
                <w:sz w:val="19"/>
                <w:szCs w:val="19"/>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5,041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308</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2,152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12 to ≤ 24 months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58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625</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24"/>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&gt; 24 to ≤ 36 months</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60"/>
              <w:spacing w:after="0"/>
              <w:rPr>
                <w:sz w:val="20"/>
                <w:szCs w:val="20"/>
                <w:color w:val="auto"/>
              </w:rPr>
            </w:pPr>
            <w:r>
              <w:rPr>
                <w:rFonts w:ascii="Arial" w:cs="Arial" w:eastAsia="Arial" w:hAnsi="Arial"/>
                <w:sz w:val="16"/>
                <w:szCs w:val="16"/>
                <w:color w:val="auto"/>
              </w:rPr>
              <w:t>— %</w:t>
            </w:r>
          </w:p>
        </w:tc>
        <w:tc>
          <w:tcPr>
            <w:tcW w:w="15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1,700</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2.45 %</w:t>
            </w:r>
          </w:p>
        </w:tc>
        <w:tc>
          <w:tcPr>
            <w:tcW w:w="14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69,166</w:t>
            </w:r>
          </w:p>
        </w:tc>
        <w:tc>
          <w:tcPr>
            <w:tcW w:w="14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60</w:t>
            </w:r>
          </w:p>
        </w:tc>
        <w:tc>
          <w:tcPr>
            <w:tcW w:w="4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89,085</w:t>
            </w:r>
          </w:p>
        </w:tc>
        <w:tc>
          <w:tcPr>
            <w:tcW w:w="14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98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1 day to ≤ 1 month</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519</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97</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7"/>
        </w:trPr>
        <w:tc>
          <w:tcPr>
            <w:tcW w:w="29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69,685</w:t>
            </w:r>
          </w:p>
        </w:tc>
        <w:tc>
          <w:tcPr>
            <w:tcW w:w="14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59</w:t>
            </w:r>
          </w:p>
        </w:tc>
        <w:tc>
          <w:tcPr>
            <w:tcW w:w="4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89,182</w:t>
            </w:r>
          </w:p>
        </w:tc>
        <w:tc>
          <w:tcPr>
            <w:tcW w:w="14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June 30, 2020 and December 31, 2019, $13.0 billion and $17.0 billion, respectively, of our repurchase agreements had a remaining maturity of one business day and none of our repurchase agreements were due on demand. As of June 30, 2020, we had $1.5 billion of forward commitments to enter into repurchase agreements, with a weighted average forward start date of 1 day and a weighted average interest rate of 0.30%. As of December 31, 2019, we had $4.5 billion of forward commitments to enter into repurchase agreements, with a weighted average forward start date of 12 days and a weighted average interest rate of 1.60%. As of June 30, 2020 and December 31, 2019, 48% and 40%,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47% and 38% of our repurchase agreement funding outstanding as of June 30, 2020 and December 31, 2019, respectively.</w:t>
      </w:r>
    </w:p>
    <w:p>
      <w:pPr>
        <w:spacing w:after="0" w:line="1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During the three and six months ended June 30, 2020, we terminated $3.7 billion of repurchase agreements with a weighted average interest rate of 2.11% and a weighted average remaining maturity of 2.2 years. The terminated agreements were replaced with shorter duration repurchase agreements at lower prevailing market rates. We recognized losses on debt extinguishment of $146 million in other gain (loss), net for the three and six months ended June 30, 2020 associated with the terminated repurchase agreements. We did not terminate any repurchase agreements during the prior year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2020 and December 31, 2019, we had $7.9 billion and $10.2 billion, respectively, of reverse repurchase agreements outstanding used primarily to borrow securities to cover short sales of U.S. Treasury securities, for which we had associated obligations to return borrowed securities at fair value of $7.9 billion and $9.5 billion, respectively. As of June 30, 2020 and December 31, 2019, $4.3 billion and $5.4 billion, respectively, of our reverse repurchase agreements were with the FICC sourced through BES.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summarizes fair value information about our derivative and other hedging instrument assets/(liabilities) as of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4"/>
                <w:szCs w:val="14"/>
                <w:color w:val="auto"/>
              </w:rPr>
            </w:pPr>
          </w:p>
        </w:tc>
        <w:tc>
          <w:tcPr>
            <w:tcW w:w="41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Swaptions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w:t>
            </w:r>
          </w:p>
        </w:tc>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4"/>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44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4440" w:type="dxa"/>
            <w:vAlign w:val="bottom"/>
            <w:gridSpan w:val="2"/>
            <w:vMerge w:val="continue"/>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w:t>
            </w:r>
          </w:p>
        </w:tc>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w:t>
            </w:r>
          </w:p>
        </w:tc>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at fair value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0"/>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repurchase agreements, at fair value</w:t>
            </w:r>
          </w:p>
        </w:tc>
        <w:tc>
          <w:tcPr>
            <w:tcW w:w="22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(7,929)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U.S. Treasury securities, net at fair value</w:t>
            </w:r>
          </w:p>
        </w:tc>
        <w:tc>
          <w:tcPr>
            <w:tcW w:w="4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summarize certain characteristics of our derivative and other hedging instruments outstanding as of June 30, 2020 and December 31, 2019 (dollars in millions):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June 30, 2020</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8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Fixed Pay</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Rate Swaps</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8,500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59,700</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0.20%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9,850</w:t>
            </w:r>
          </w:p>
        </w:tc>
        <w:tc>
          <w:tcPr>
            <w:tcW w:w="1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1.17%</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1.55%</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12,950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5,650</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3,150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0.78%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2,850</w:t>
            </w:r>
          </w:p>
        </w:tc>
        <w:tc>
          <w:tcPr>
            <w:tcW w:w="1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1.36%</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8"/>
              </w:rPr>
              <w:t>1.58%</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8.9</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1,025</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15.4</w:t>
            </w:r>
          </w:p>
        </w:tc>
        <w:tc>
          <w:tcPr>
            <w:tcW w:w="0" w:type="dxa"/>
            <w:vAlign w:val="bottom"/>
          </w:tcPr>
          <w:p>
            <w:pPr>
              <w:spacing w:after="0"/>
              <w:rPr>
                <w:sz w:val="1"/>
                <w:szCs w:val="1"/>
                <w:color w:val="auto"/>
              </w:rPr>
            </w:pPr>
          </w:p>
        </w:tc>
      </w:tr>
      <w:tr>
        <w:trPr>
          <w:trHeight w:val="247"/>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42,075</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0.39%</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0.13%</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5.1</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79,075</w:t>
            </w:r>
          </w:p>
        </w:tc>
        <w:tc>
          <w:tcPr>
            <w:tcW w:w="14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8"/>
              </w:rPr>
              <w:t>1.29%</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8"/>
              </w:rPr>
              <w:t>1.59%</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6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June 30, 2020</w:t>
            </w:r>
          </w:p>
        </w:tc>
        <w:tc>
          <w:tcPr>
            <w:tcW w:w="200" w:type="dxa"/>
            <w:vAlign w:val="bottom"/>
            <w:vMerge w:val="restart"/>
          </w:tcPr>
          <w:p>
            <w:pPr>
              <w:spacing w:after="0"/>
              <w:rPr>
                <w:sz w:val="14"/>
                <w:szCs w:val="14"/>
                <w:color w:val="auto"/>
              </w:rPr>
            </w:pPr>
          </w:p>
        </w:tc>
        <w:tc>
          <w:tcPr>
            <w:tcW w:w="16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 Index (% of Notional Amount)</w:t>
            </w:r>
          </w:p>
        </w:tc>
        <w:tc>
          <w:tcPr>
            <w:tcW w:w="20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OIS</w:t>
            </w:r>
          </w:p>
        </w:tc>
        <w:tc>
          <w:tcPr>
            <w:tcW w:w="1620" w:type="dxa"/>
            <w:vAlign w:val="bottom"/>
          </w:tcPr>
          <w:p>
            <w:pPr>
              <w:jc w:val="right"/>
              <w:spacing w:after="0"/>
              <w:rPr>
                <w:sz w:val="20"/>
                <w:szCs w:val="20"/>
                <w:color w:val="auto"/>
              </w:rPr>
            </w:pPr>
            <w:r>
              <w:rPr>
                <w:rFonts w:ascii="Arial" w:cs="Arial" w:eastAsia="Arial" w:hAnsi="Arial"/>
                <w:sz w:val="16"/>
                <w:szCs w:val="16"/>
                <w:color w:val="auto"/>
              </w:rPr>
              <w:t>79 %</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SOFR</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3M LIBOR</w:t>
            </w:r>
          </w:p>
        </w:tc>
        <w:tc>
          <w:tcPr>
            <w:tcW w:w="1620" w:type="dxa"/>
            <w:vAlign w:val="bottom"/>
          </w:tcPr>
          <w:p>
            <w:pPr>
              <w:jc w:val="right"/>
              <w:spacing w:after="0"/>
              <w:rPr>
                <w:sz w:val="20"/>
                <w:szCs w:val="20"/>
                <w:color w:val="auto"/>
              </w:rPr>
            </w:pPr>
            <w:r>
              <w:rPr>
                <w:rFonts w:ascii="Arial" w:cs="Arial" w:eastAsia="Arial" w:hAnsi="Arial"/>
                <w:sz w:val="16"/>
                <w:szCs w:val="16"/>
                <w:color w:val="auto"/>
              </w:rPr>
              <w:t>5 %</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418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Average Fixed</w:t>
            </w:r>
          </w:p>
        </w:tc>
        <w:tc>
          <w:tcPr>
            <w:tcW w:w="9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vMerge w:val="restart"/>
          </w:tcPr>
          <w:p>
            <w:pPr>
              <w:jc w:val="right"/>
              <w:ind w:right="81"/>
              <w:spacing w:after="0" w:line="126"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3"/>
            <w:vMerge w:val="restart"/>
          </w:tcPr>
          <w:p>
            <w:pPr>
              <w:jc w:val="center"/>
              <w:ind w:right="300"/>
              <w:spacing w:after="0" w:line="126" w:lineRule="exact"/>
              <w:rPr>
                <w:sz w:val="20"/>
                <w:szCs w:val="20"/>
                <w:color w:val="auto"/>
              </w:rPr>
            </w:pPr>
            <w:r>
              <w:rPr>
                <w:rFonts w:ascii="Arial" w:cs="Arial" w:eastAsia="Arial" w:hAnsi="Arial"/>
                <w:sz w:val="14"/>
                <w:szCs w:val="14"/>
                <w:b w:val="1"/>
                <w:bCs w:val="1"/>
                <w:color w:val="auto"/>
                <w:w w:val="88"/>
              </w:rPr>
              <w:t>Pay</w:t>
            </w:r>
          </w:p>
        </w:tc>
        <w:tc>
          <w:tcPr>
            <w:tcW w:w="900" w:type="dxa"/>
            <w:vAlign w:val="bottom"/>
            <w:vMerge w:val="restart"/>
          </w:tcPr>
          <w:p>
            <w:pPr>
              <w:jc w:val="center"/>
              <w:ind w:right="102"/>
              <w:spacing w:after="0" w:line="126"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72"/>
        </w:trPr>
        <w:tc>
          <w:tcPr>
            <w:tcW w:w="4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7"/>
              </w:rPr>
              <w:t>Expiration Date</w:t>
            </w: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3"/>
              </w:rPr>
              <w:t>Cost Basis</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9"/>
                <w:szCs w:val="9"/>
                <w:b w:val="1"/>
                <w:bCs w:val="1"/>
                <w:color w:val="auto"/>
                <w:w w:val="96"/>
              </w:rPr>
              <w:t>2</w:t>
            </w:r>
          </w:p>
        </w:tc>
        <w:tc>
          <w:tcPr>
            <w:tcW w:w="10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9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28"/>
        </w:trPr>
        <w:tc>
          <w:tcPr>
            <w:tcW w:w="40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7,850</w:t>
            </w:r>
          </w:p>
        </w:tc>
        <w:tc>
          <w:tcPr>
            <w:tcW w:w="1320" w:type="dxa"/>
            <w:vAlign w:val="bottom"/>
            <w:gridSpan w:val="3"/>
          </w:tcPr>
          <w:p>
            <w:pPr>
              <w:jc w:val="center"/>
              <w:ind w:left="141"/>
              <w:spacing w:after="0"/>
              <w:rPr>
                <w:sz w:val="20"/>
                <w:szCs w:val="20"/>
                <w:color w:val="auto"/>
              </w:rPr>
            </w:pPr>
            <w:r>
              <w:rPr>
                <w:rFonts w:ascii="Arial" w:cs="Arial" w:eastAsia="Arial" w:hAnsi="Arial"/>
                <w:sz w:val="16"/>
                <w:szCs w:val="16"/>
                <w:color w:val="auto"/>
                <w:w w:val="92"/>
              </w:rPr>
              <w:t>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102"/>
              <w:spacing w:after="0"/>
              <w:rPr>
                <w:sz w:val="20"/>
                <w:szCs w:val="20"/>
                <w:color w:val="auto"/>
              </w:rPr>
            </w:pPr>
            <w:r>
              <w:rPr>
                <w:rFonts w:ascii="Arial" w:cs="Arial" w:eastAsia="Arial" w:hAnsi="Arial"/>
                <w:sz w:val="16"/>
                <w:szCs w:val="16"/>
                <w:color w:val="auto"/>
                <w:w w:val="89"/>
              </w:rPr>
              <w:t>9.4</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320" w:type="dxa"/>
            <w:vAlign w:val="bottom"/>
            <w:tcBorders>
              <w:bottom w:val="single" w:sz="8" w:color="CCEEFF"/>
            </w:tcBorders>
            <w:gridSpan w:val="3"/>
            <w:shd w:val="clear" w:color="auto" w:fill="CCEEFF"/>
          </w:tcPr>
          <w:p>
            <w:pPr>
              <w:jc w:val="center"/>
              <w:ind w:left="141"/>
              <w:spacing w:after="0"/>
              <w:rPr>
                <w:sz w:val="20"/>
                <w:szCs w:val="20"/>
                <w:color w:val="auto"/>
              </w:rPr>
            </w:pPr>
            <w:r>
              <w:rPr>
                <w:rFonts w:ascii="Arial" w:cs="Arial" w:eastAsia="Arial" w:hAnsi="Arial"/>
                <w:sz w:val="16"/>
                <w:szCs w:val="16"/>
                <w:color w:val="auto"/>
                <w:w w:val="92"/>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right="102"/>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47"/>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9,350</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2.22%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center"/>
              <w:ind w:right="102"/>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5,650</w:t>
            </w:r>
          </w:p>
        </w:tc>
        <w:tc>
          <w:tcPr>
            <w:tcW w:w="1320" w:type="dxa"/>
            <w:vAlign w:val="bottom"/>
            <w:tcBorders>
              <w:bottom w:val="single" w:sz="8" w:color="CCEEFF"/>
            </w:tcBorders>
            <w:gridSpan w:val="3"/>
            <w:shd w:val="clear" w:color="auto" w:fill="CCEEFF"/>
          </w:tcPr>
          <w:p>
            <w:pPr>
              <w:jc w:val="center"/>
              <w:ind w:left="141"/>
              <w:spacing w:after="0"/>
              <w:rPr>
                <w:sz w:val="20"/>
                <w:szCs w:val="20"/>
                <w:color w:val="auto"/>
              </w:rPr>
            </w:pPr>
            <w:r>
              <w:rPr>
                <w:rFonts w:ascii="Arial" w:cs="Arial" w:eastAsia="Arial" w:hAnsi="Arial"/>
                <w:sz w:val="16"/>
                <w:szCs w:val="16"/>
                <w:color w:val="auto"/>
                <w:w w:val="92"/>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102"/>
              <w:spacing w:after="0"/>
              <w:rPr>
                <w:sz w:val="20"/>
                <w:szCs w:val="20"/>
                <w:color w:val="auto"/>
              </w:rPr>
            </w:pPr>
            <w:r>
              <w:rPr>
                <w:rFonts w:ascii="Arial" w:cs="Arial" w:eastAsia="Arial" w:hAnsi="Arial"/>
                <w:sz w:val="16"/>
                <w:szCs w:val="16"/>
                <w:color w:val="auto"/>
                <w:w w:val="89"/>
              </w:rPr>
              <w:t>9.3</w:t>
            </w:r>
          </w:p>
        </w:tc>
        <w:tc>
          <w:tcPr>
            <w:tcW w:w="0" w:type="dxa"/>
            <w:vAlign w:val="bottom"/>
          </w:tcPr>
          <w:p>
            <w:pPr>
              <w:spacing w:after="0"/>
              <w:rPr>
                <w:sz w:val="1"/>
                <w:szCs w:val="1"/>
                <w:color w:val="auto"/>
              </w:rPr>
            </w:pPr>
          </w:p>
        </w:tc>
      </w:tr>
      <w:tr>
        <w:trPr>
          <w:trHeight w:val="224"/>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3,200</w:t>
            </w:r>
          </w:p>
        </w:tc>
        <w:tc>
          <w:tcPr>
            <w:tcW w:w="1320" w:type="dxa"/>
            <w:vAlign w:val="bottom"/>
            <w:gridSpan w:val="3"/>
          </w:tcPr>
          <w:p>
            <w:pPr>
              <w:jc w:val="center"/>
              <w:ind w:left="141"/>
              <w:spacing w:after="0"/>
              <w:rPr>
                <w:sz w:val="20"/>
                <w:szCs w:val="20"/>
                <w:color w:val="auto"/>
              </w:rPr>
            </w:pPr>
            <w:r>
              <w:rPr>
                <w:rFonts w:ascii="Arial" w:cs="Arial" w:eastAsia="Arial" w:hAnsi="Arial"/>
                <w:sz w:val="16"/>
                <w:szCs w:val="16"/>
                <w:color w:val="auto"/>
                <w:w w:val="92"/>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102"/>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8,850</w:t>
            </w:r>
          </w:p>
        </w:tc>
        <w:tc>
          <w:tcPr>
            <w:tcW w:w="1320" w:type="dxa"/>
            <w:vAlign w:val="bottom"/>
            <w:gridSpan w:val="3"/>
            <w:shd w:val="clear" w:color="auto" w:fill="CCEEFF"/>
          </w:tcPr>
          <w:p>
            <w:pPr>
              <w:jc w:val="center"/>
              <w:ind w:left="141"/>
              <w:spacing w:after="0"/>
              <w:rPr>
                <w:sz w:val="20"/>
                <w:szCs w:val="20"/>
                <w:color w:val="auto"/>
              </w:rPr>
            </w:pPr>
            <w:r>
              <w:rPr>
                <w:rFonts w:ascii="Arial" w:cs="Arial" w:eastAsia="Arial" w:hAnsi="Arial"/>
                <w:sz w:val="16"/>
                <w:szCs w:val="16"/>
                <w:color w:val="auto"/>
                <w:w w:val="92"/>
              </w:rPr>
              <w:t>2.34%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102"/>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June 30, 2020 and December 31, 2019, ≤ 1 year notional amount includes $700 million of Bermudan swaptions where the options may be exercised on predetermined dates up to their final exercise date, which is six months prior to the underlying swaps' maturity date.</w:t>
      </w:r>
    </w:p>
    <w:p>
      <w:pPr>
        <w:ind w:left="660" w:hanging="328"/>
        <w:spacing w:after="0" w:line="255"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June 30, 2020, 79% and 21% of the underlying swap receive rates were tied to 3-Month LIBOR and SOFR, respectively, and, as of December 31, 2019, 100% of the underlying payer swap receive rates were tied to 3-Month LIBOR.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Treasury Securities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Face Amount</w:t>
            </w:r>
          </w:p>
        </w:tc>
        <w:tc>
          <w:tcPr>
            <w:tcW w:w="120" w:type="dxa"/>
            <w:vAlign w:val="bottom"/>
          </w:tcPr>
          <w:p>
            <w:pPr>
              <w:spacing w:after="0"/>
              <w:rPr>
                <w:sz w:val="13"/>
                <w:szCs w:val="13"/>
                <w:color w:val="auto"/>
              </w:rPr>
            </w:pPr>
          </w:p>
        </w:tc>
        <w:tc>
          <w:tcPr>
            <w:tcW w:w="10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8"/>
              </w:rPr>
              <w:t xml:space="preserve">Cost Basis </w:t>
            </w:r>
            <w:r>
              <w:rPr>
                <w:rFonts w:ascii="Arial" w:cs="Arial" w:eastAsia="Arial" w:hAnsi="Arial"/>
                <w:sz w:val="9"/>
                <w:szCs w:val="9"/>
                <w:b w:val="1"/>
                <w:bCs w:val="1"/>
                <w:color w:val="auto"/>
                <w:w w:val="98"/>
              </w:rPr>
              <w:t>1</w:t>
            </w:r>
          </w:p>
        </w:tc>
        <w:tc>
          <w:tcPr>
            <w:tcW w:w="1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w w:val="96"/>
              </w:rPr>
              <w:t>Face Amount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 xml:space="preserve">Cost Basis </w:t>
            </w:r>
            <w:r>
              <w:rPr>
                <w:rFonts w:ascii="Arial" w:cs="Arial" w:eastAsia="Arial" w:hAnsi="Arial"/>
                <w:sz w:val="9"/>
                <w:szCs w:val="9"/>
                <w:b w:val="1"/>
                <w:bCs w:val="1"/>
                <w:color w:val="auto"/>
                <w:w w:val="93"/>
              </w:rPr>
              <w:t>1</w:t>
            </w:r>
          </w:p>
        </w:tc>
        <w:tc>
          <w:tcPr>
            <w:tcW w:w="1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7"/>
              </w:rPr>
              <w:t>Long/(Short)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Long/(Short)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(444)</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95</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95</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7 years</w:t>
            </w:r>
          </w:p>
        </w:tc>
        <w:tc>
          <w:tcPr>
            <w:tcW w:w="140" w:type="dxa"/>
            <w:vAlign w:val="bottom"/>
          </w:tcPr>
          <w:p>
            <w:pPr>
              <w:spacing w:after="0"/>
              <w:rPr>
                <w:sz w:val="19"/>
                <w:szCs w:val="19"/>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(1,007)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(1,020)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 years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(4,630)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(4,816)</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(5,294)</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(9,224)</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(9,329)</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47"/>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Total U.S. Treasury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(6,115)</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(6,267)</w:t>
            </w: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(6,748)</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(9,129)</w:t>
            </w: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(9,234)</w:t>
            </w: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June 30, 2020 and December 31, 2019, short U.S. Treasury securities had a weighted average yield of 1.33% and 2.19%, respectively, and long U.S. Treasury securities had a weighted average yield of 0.61% and 2.21%,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gridSpan w:val="2"/>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w w:val="92"/>
              </w:rPr>
              <w:t>June 30, 2020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Maturity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82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2"/>
                <w:szCs w:val="12"/>
                <w:color w:val="auto"/>
              </w:rPr>
            </w:pPr>
          </w:p>
        </w:tc>
        <w:tc>
          <w:tcPr>
            <w:tcW w:w="740" w:type="dxa"/>
            <w:vAlign w:val="bottom"/>
            <w:gridSpan w:val="2"/>
          </w:tcPr>
          <w:p>
            <w:pPr>
              <w:jc w:val="center"/>
              <w:ind w:right="380"/>
              <w:spacing w:after="0" w:line="140"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840" w:type="dxa"/>
            <w:vAlign w:val="bottom"/>
            <w:gridSpan w:val="2"/>
          </w:tcPr>
          <w:p>
            <w:pPr>
              <w:ind w:left="160"/>
              <w:spacing w:after="0" w:line="140"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2"/>
              </w:rPr>
              <w:t>Fair</w:t>
            </w:r>
          </w:p>
        </w:tc>
        <w:tc>
          <w:tcPr>
            <w:tcW w:w="80" w:type="dxa"/>
            <w:vAlign w:val="bottom"/>
          </w:tcPr>
          <w:p>
            <w:pPr>
              <w:spacing w:after="0"/>
              <w:rPr>
                <w:sz w:val="12"/>
                <w:szCs w:val="12"/>
                <w:color w:val="auto"/>
              </w:rPr>
            </w:pPr>
          </w:p>
        </w:tc>
        <w:tc>
          <w:tcPr>
            <w:tcW w:w="840" w:type="dxa"/>
            <w:vAlign w:val="bottom"/>
          </w:tcPr>
          <w:p>
            <w:pPr>
              <w:jc w:val="center"/>
              <w:ind w:right="14"/>
              <w:spacing w:after="0" w:line="140"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14"/>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4"/>
              </w:rPr>
              <w:t xml:space="preserve">Value </w:t>
            </w:r>
            <w:r>
              <w:rPr>
                <w:rFonts w:ascii="Arial" w:cs="Arial" w:eastAsia="Arial" w:hAnsi="Arial"/>
                <w:sz w:val="8"/>
                <w:szCs w:val="8"/>
                <w:b w:val="1"/>
                <w:bCs w:val="1"/>
                <w:color w:val="auto"/>
                <w:w w:val="84"/>
              </w:rPr>
              <w:t>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c>
          <w:tcPr>
            <w:tcW w:w="0" w:type="dxa"/>
            <w:vAlign w:val="bottom"/>
          </w:tcPr>
          <w:p>
            <w:pPr>
              <w:spacing w:after="0"/>
              <w:rPr>
                <w:sz w:val="1"/>
                <w:szCs w:val="1"/>
                <w:color w:val="auto"/>
              </w:rPr>
            </w:pPr>
          </w:p>
        </w:tc>
      </w:tr>
      <w:tr>
        <w:trPr>
          <w:trHeight w:val="227"/>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(1,389)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(1,392)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(1,298)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(1,284)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TBA Securities by Coupon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82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2"/>
                <w:szCs w:val="12"/>
                <w:color w:val="auto"/>
              </w:rPr>
            </w:pPr>
          </w:p>
        </w:tc>
        <w:tc>
          <w:tcPr>
            <w:tcW w:w="740" w:type="dxa"/>
            <w:vAlign w:val="bottom"/>
            <w:gridSpan w:val="2"/>
          </w:tcPr>
          <w:p>
            <w:pPr>
              <w:ind w:left="60"/>
              <w:spacing w:after="0" w:line="140"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2"/>
                <w:szCs w:val="12"/>
                <w:color w:val="auto"/>
              </w:rPr>
            </w:pPr>
          </w:p>
        </w:tc>
        <w:tc>
          <w:tcPr>
            <w:tcW w:w="10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840" w:type="dxa"/>
            <w:vAlign w:val="bottom"/>
            <w:gridSpan w:val="2"/>
          </w:tcPr>
          <w:p>
            <w:pPr>
              <w:ind w:left="160"/>
              <w:spacing w:after="0" w:line="140"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2"/>
                <w:szCs w:val="12"/>
                <w:color w:val="auto"/>
              </w:rPr>
            </w:pPr>
          </w:p>
        </w:tc>
        <w:tc>
          <w:tcPr>
            <w:tcW w:w="840" w:type="dxa"/>
            <w:vAlign w:val="bottom"/>
            <w:gridSpan w:val="2"/>
          </w:tcPr>
          <w:p>
            <w:pPr>
              <w:ind w:left="160"/>
              <w:spacing w:after="0" w:line="140"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2"/>
                <w:szCs w:val="12"/>
                <w:color w:val="auto"/>
              </w:rPr>
            </w:pPr>
          </w:p>
        </w:tc>
        <w:tc>
          <w:tcPr>
            <w:tcW w:w="840" w:type="dxa"/>
            <w:vAlign w:val="bottom"/>
          </w:tcPr>
          <w:p>
            <w:pPr>
              <w:jc w:val="right"/>
              <w:ind w:right="29"/>
              <w:spacing w:after="0" w:line="140"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0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60" w:type="dxa"/>
            <w:vAlign w:val="bottom"/>
          </w:tcPr>
          <w:p>
            <w:pPr>
              <w:ind w:left="18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7,296</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7,522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7,557</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2460" w:type="dxa"/>
            <w:vAlign w:val="bottom"/>
          </w:tcPr>
          <w:p>
            <w:pPr>
              <w:ind w:left="18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 securities</w:t>
            </w: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7,371</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7,601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7,636</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35</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2,180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2,222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2,226</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gridSpan w:val="2"/>
          </w:tcPr>
          <w:p>
            <w:pPr>
              <w:ind w:left="180"/>
              <w:spacing w:after="0"/>
              <w:rPr>
                <w:sz w:val="20"/>
                <w:szCs w:val="20"/>
                <w:color w:val="auto"/>
              </w:rPr>
            </w:pPr>
            <w:r>
              <w:rPr>
                <w:rFonts w:ascii="Arial" w:cs="Arial" w:eastAsia="Arial" w:hAnsi="Arial"/>
                <w:sz w:val="14"/>
                <w:szCs w:val="14"/>
                <w:color w:val="auto"/>
              </w:rPr>
              <w:t>≤ 2.5%</w:t>
            </w:r>
          </w:p>
        </w:tc>
        <w:tc>
          <w:tcPr>
            <w:tcW w:w="160" w:type="dxa"/>
            <w:vAlign w:val="bottom"/>
          </w:tcPr>
          <w:p>
            <w:pPr>
              <w:spacing w:after="0"/>
              <w:rPr>
                <w:sz w:val="17"/>
                <w:szCs w:val="17"/>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10,758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11,091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11,187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5,073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2460" w:type="dxa"/>
            <w:vAlign w:val="bottom"/>
          </w:tcPr>
          <w:p>
            <w:pPr>
              <w:ind w:left="18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2560" w:type="dxa"/>
            <w:vAlign w:val="bottom"/>
            <w:gridSpan w:val="2"/>
          </w:tcPr>
          <w:p>
            <w:pPr>
              <w:ind w:left="180"/>
              <w:spacing w:after="0"/>
              <w:rPr>
                <w:sz w:val="20"/>
                <w:szCs w:val="20"/>
                <w:color w:val="auto"/>
              </w:rPr>
            </w:pPr>
            <w:r>
              <w:rPr>
                <w:rFonts w:ascii="Arial" w:cs="Arial" w:eastAsia="Arial" w:hAnsi="Arial"/>
                <w:sz w:val="14"/>
                <w:szCs w:val="14"/>
                <w:color w:val="auto"/>
              </w:rPr>
              <w:t>≥ 4.5%</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30-Year TBA securities, net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12,389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12,812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12,907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5,142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5,182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5,203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2"/>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Total TBA securities, net</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19,760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20,413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20,543</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7,322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7,404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7,429</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1006"/>
        <w:spacing w:after="0" w:line="269"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six months ended June 30, 2020 and 2019 (in millions):</w:t>
      </w:r>
    </w:p>
    <w:p>
      <w:pPr>
        <w:sectPr>
          <w:pgSz w:w="11900" w:h="16838" w:orient="portrait"/>
          <w:cols w:equalWidth="0" w:num="1">
            <w:col w:w="11240"/>
          </w:cols>
          <w:pgMar w:left="320" w:top="1102" w:right="339" w:bottom="1440" w:gutter="0" w:footer="0" w:header="0"/>
        </w:sectPr>
      </w:pP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w w:val="99"/>
              </w:rPr>
              <w:t>Beginning</w:t>
            </w:r>
          </w:p>
        </w:tc>
        <w:tc>
          <w:tcPr>
            <w:tcW w:w="1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Termination,</w:t>
            </w:r>
          </w:p>
        </w:tc>
        <w:tc>
          <w:tcPr>
            <w:tcW w:w="340" w:type="dxa"/>
            <w:vAlign w:val="bottom"/>
          </w:tcPr>
          <w:p>
            <w:pPr>
              <w:spacing w:after="0"/>
              <w:rPr>
                <w:sz w:val="12"/>
                <w:szCs w:val="12"/>
                <w:color w:val="auto"/>
              </w:rPr>
            </w:pPr>
          </w:p>
        </w:tc>
        <w:tc>
          <w:tcPr>
            <w:tcW w:w="8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Derivative and Other Hedging Instruments</w:t>
            </w:r>
          </w:p>
        </w:tc>
        <w:tc>
          <w:tcPr>
            <w:tcW w:w="9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Additions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60" w:type="dxa"/>
            <w:vAlign w:val="bottom"/>
            <w:vMerge w:val="continue"/>
          </w:tcPr>
          <w:p>
            <w:pPr>
              <w:spacing w:after="0"/>
              <w:rPr>
                <w:sz w:val="16"/>
                <w:szCs w:val="16"/>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Notional Amount</w:t>
            </w:r>
          </w:p>
        </w:tc>
        <w:tc>
          <w:tcPr>
            <w:tcW w:w="1200" w:type="dxa"/>
            <w:vAlign w:val="bottom"/>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6"/>
                <w:szCs w:val="16"/>
                <w:b w:val="1"/>
                <w:bCs w:val="1"/>
                <w:color w:val="auto"/>
              </w:rPr>
              <w:t>Three months ended June 30, 2020:</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6"/>
                <w:szCs w:val="16"/>
                <w:color w:val="auto"/>
              </w:rPr>
              <w:t>TBA securities, net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20,279</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75,186</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(75,705)</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19,760</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Interest rate swaps - payer</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46,475</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25,750</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(30,150)</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42,075</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Arial" w:cs="Arial" w:eastAsia="Arial" w:hAnsi="Arial"/>
                <w:sz w:val="16"/>
                <w:szCs w:val="16"/>
                <w:color w:val="auto"/>
              </w:rPr>
              <w:t>Payer swaptions</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9,550</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(200)</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9,350</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securities - short position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(4,245)</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(4,187)</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1,185</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(7,247)</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Arial" w:cs="Arial" w:eastAsia="Arial" w:hAnsi="Arial"/>
                <w:sz w:val="16"/>
                <w:szCs w:val="16"/>
                <w:color w:val="auto"/>
              </w:rPr>
              <w:t>U.S. Treasury securities - long position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3,569</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550</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(2,987)</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futures contracts - short position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(1,000)</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1,000</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540"/>
        </w:trPr>
        <w:tc>
          <w:tcPr>
            <w:tcW w:w="3860" w:type="dxa"/>
            <w:vAlign w:val="bottom"/>
          </w:tcPr>
          <w:p>
            <w:pPr>
              <w:spacing w:after="0"/>
              <w:rPr>
                <w:sz w:val="20"/>
                <w:szCs w:val="20"/>
                <w:color w:val="auto"/>
              </w:rPr>
            </w:pPr>
            <w:r>
              <w:rPr>
                <w:rFonts w:ascii="Arial" w:cs="Arial" w:eastAsia="Arial" w:hAnsi="Arial"/>
                <w:sz w:val="16"/>
                <w:szCs w:val="16"/>
                <w:b w:val="1"/>
                <w:bCs w:val="1"/>
                <w:color w:val="auto"/>
              </w:rPr>
              <w:t>Three months ended June 30, 2019:</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6"/>
                <w:szCs w:val="16"/>
                <w:color w:val="auto"/>
              </w:rPr>
              <w:t>TBA securities, net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6,822</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27,859</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(23,638)</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11,043</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Interest rate swaps</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48,175</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65,000</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(38,225)</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74,950</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Arial" w:cs="Arial" w:eastAsia="Arial" w:hAnsi="Arial"/>
                <w:sz w:val="16"/>
                <w:szCs w:val="16"/>
                <w:color w:val="auto"/>
              </w:rPr>
              <w:t>Payer swaptions</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2,550</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2,650</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(800)</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4,400</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securities - short position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(18,735)</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(2,536)</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14,026</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(7,245)</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securities - long position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120</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1,018</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Arial" w:cs="Arial" w:eastAsia="Arial" w:hAnsi="Arial"/>
                <w:sz w:val="16"/>
                <w:szCs w:val="16"/>
                <w:color w:val="auto"/>
              </w:rPr>
              <w:t>U.S. Treasury futures contracts - short position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(1,650)</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(1,650)</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1,650</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-2395855</wp:posOffset>
            </wp:positionV>
            <wp:extent cx="7106285" cy="2606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2606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4"/>
        <w:spacing w:after="0" w:line="225" w:lineRule="auto"/>
        <w:rPr>
          <w:sz w:val="20"/>
          <w:szCs w:val="20"/>
          <w:color w:val="auto"/>
        </w:rPr>
      </w:pPr>
      <w:r>
        <w:rPr>
          <w:rFonts w:ascii="Arial" w:cs="Arial" w:eastAsia="Arial" w:hAnsi="Arial"/>
          <w:sz w:val="14"/>
          <w:szCs w:val="14"/>
          <w:b w:val="1"/>
          <w:bCs w:val="1"/>
          <w:color w:val="auto"/>
        </w:rPr>
        <w:t>Gain/(Loss)</w:t>
      </w:r>
    </w:p>
    <w:p>
      <w:pPr>
        <w:jc w:val="center"/>
        <w:ind w:right="54"/>
        <w:spacing w:after="0" w:line="201" w:lineRule="auto"/>
        <w:rPr>
          <w:sz w:val="20"/>
          <w:szCs w:val="20"/>
          <w:color w:val="auto"/>
        </w:rPr>
      </w:pPr>
      <w:r>
        <w:rPr>
          <w:rFonts w:ascii="Arial" w:cs="Arial" w:eastAsia="Arial" w:hAnsi="Arial"/>
          <w:sz w:val="14"/>
          <w:szCs w:val="14"/>
          <w:b w:val="1"/>
          <w:bCs w:val="1"/>
          <w:color w:val="auto"/>
        </w:rPr>
        <w:t>on Derivative</w:t>
      </w:r>
    </w:p>
    <w:p>
      <w:pPr>
        <w:jc w:val="center"/>
        <w:ind w:left="-85" w:right="40"/>
        <w:spacing w:after="0" w:line="235" w:lineRule="auto"/>
        <w:rPr>
          <w:sz w:val="20"/>
          <w:szCs w:val="20"/>
          <w:color w:val="auto"/>
        </w:rPr>
      </w:pPr>
      <w:r>
        <w:rPr>
          <w:rFonts w:ascii="Arial" w:cs="Arial" w:eastAsia="Arial" w:hAnsi="Arial"/>
          <w:sz w:val="13"/>
          <w:szCs w:val="13"/>
          <w:b w:val="1"/>
          <w:bCs w:val="1"/>
          <w:color w:val="auto"/>
        </w:rPr>
        <w:t xml:space="preserve">Instruments and Other Securities, Net </w:t>
      </w:r>
      <w:r>
        <w:rPr>
          <w:rFonts w:ascii="Arial" w:cs="Arial" w:eastAsia="Arial" w:hAnsi="Arial"/>
          <w:sz w:val="8"/>
          <w:szCs w:val="8"/>
          <w:b w:val="1"/>
          <w:bCs w:val="1"/>
          <w:color w:val="auto"/>
        </w:rPr>
        <w:t>1</w:t>
      </w:r>
    </w:p>
    <w:p>
      <w:pPr>
        <w:spacing w:after="0" w:line="246" w:lineRule="exact"/>
        <w:rPr>
          <w:sz w:val="20"/>
          <w:szCs w:val="20"/>
          <w:color w:val="auto"/>
        </w:rPr>
      </w:pPr>
    </w:p>
    <w:p>
      <w:pPr>
        <w:ind w:left="906" w:hanging="906"/>
        <w:spacing w:after="0"/>
        <w:tabs>
          <w:tab w:leader="none" w:pos="906" w:val="left"/>
        </w:tabs>
        <w:numPr>
          <w:ilvl w:val="0"/>
          <w:numId w:val="9"/>
        </w:numPr>
        <w:rPr>
          <w:rFonts w:ascii="Arial" w:cs="Arial" w:eastAsia="Arial" w:hAnsi="Arial"/>
          <w:sz w:val="16"/>
          <w:szCs w:val="16"/>
          <w:color w:val="auto"/>
        </w:rPr>
      </w:pPr>
      <w:r>
        <w:rPr>
          <w:rFonts w:ascii="Arial" w:cs="Arial" w:eastAsia="Arial" w:hAnsi="Arial"/>
          <w:sz w:val="16"/>
          <w:szCs w:val="16"/>
          <w:color w:val="auto"/>
        </w:rPr>
        <w:t>220</w:t>
      </w:r>
    </w:p>
    <w:p>
      <w:pPr>
        <w:spacing w:after="0" w:line="72" w:lineRule="exact"/>
        <w:rPr>
          <w:rFonts w:ascii="Arial" w:cs="Arial" w:eastAsia="Arial" w:hAnsi="Arial"/>
          <w:sz w:val="16"/>
          <w:szCs w:val="16"/>
          <w:color w:val="auto"/>
        </w:rPr>
      </w:pPr>
    </w:p>
    <w:p>
      <w:pPr>
        <w:ind w:left="846"/>
        <w:spacing w:after="0"/>
        <w:rPr>
          <w:rFonts w:ascii="Arial" w:cs="Arial" w:eastAsia="Arial" w:hAnsi="Arial"/>
          <w:sz w:val="16"/>
          <w:szCs w:val="16"/>
          <w:color w:val="auto"/>
        </w:rPr>
      </w:pPr>
      <w:r>
        <w:rPr>
          <w:rFonts w:ascii="Arial" w:cs="Arial" w:eastAsia="Arial" w:hAnsi="Arial"/>
          <w:sz w:val="15"/>
          <w:szCs w:val="15"/>
          <w:color w:val="auto"/>
        </w:rPr>
        <w:t>(379)</w:t>
      </w:r>
    </w:p>
    <w:p>
      <w:pPr>
        <w:spacing w:after="0" w:line="84" w:lineRule="exact"/>
        <w:rPr>
          <w:rFonts w:ascii="Arial" w:cs="Arial" w:eastAsia="Arial" w:hAnsi="Arial"/>
          <w:sz w:val="16"/>
          <w:szCs w:val="16"/>
          <w:color w:val="auto"/>
        </w:rPr>
      </w:pPr>
    </w:p>
    <w:p>
      <w:pPr>
        <w:ind w:left="926"/>
        <w:spacing w:after="0"/>
        <w:rPr>
          <w:rFonts w:ascii="Arial" w:cs="Arial" w:eastAsia="Arial" w:hAnsi="Arial"/>
          <w:sz w:val="16"/>
          <w:szCs w:val="16"/>
          <w:color w:val="auto"/>
        </w:rPr>
      </w:pPr>
      <w:r>
        <w:rPr>
          <w:rFonts w:ascii="Arial" w:cs="Arial" w:eastAsia="Arial" w:hAnsi="Arial"/>
          <w:sz w:val="15"/>
          <w:szCs w:val="15"/>
          <w:color w:val="auto"/>
        </w:rPr>
        <w:t>(14)</w:t>
      </w:r>
    </w:p>
    <w:p>
      <w:pPr>
        <w:spacing w:after="0" w:line="84" w:lineRule="exact"/>
        <w:rPr>
          <w:rFonts w:ascii="Arial" w:cs="Arial" w:eastAsia="Arial" w:hAnsi="Arial"/>
          <w:sz w:val="16"/>
          <w:szCs w:val="16"/>
          <w:color w:val="auto"/>
        </w:rPr>
      </w:pPr>
    </w:p>
    <w:p>
      <w:pPr>
        <w:ind w:left="926"/>
        <w:spacing w:after="0"/>
        <w:rPr>
          <w:rFonts w:ascii="Arial" w:cs="Arial" w:eastAsia="Arial" w:hAnsi="Arial"/>
          <w:sz w:val="16"/>
          <w:szCs w:val="16"/>
          <w:color w:val="auto"/>
        </w:rPr>
      </w:pPr>
      <w:r>
        <w:rPr>
          <w:rFonts w:ascii="Arial" w:cs="Arial" w:eastAsia="Arial" w:hAnsi="Arial"/>
          <w:sz w:val="15"/>
          <w:szCs w:val="15"/>
          <w:color w:val="auto"/>
        </w:rPr>
        <w:t>(60)</w:t>
      </w:r>
    </w:p>
    <w:p>
      <w:pPr>
        <w:spacing w:after="0" w:line="84" w:lineRule="exact"/>
        <w:rPr>
          <w:rFonts w:ascii="Arial" w:cs="Arial" w:eastAsia="Arial" w:hAnsi="Arial"/>
          <w:sz w:val="16"/>
          <w:szCs w:val="16"/>
          <w:color w:val="auto"/>
        </w:rPr>
      </w:pPr>
    </w:p>
    <w:p>
      <w:pPr>
        <w:ind w:left="1086"/>
        <w:spacing w:after="0"/>
        <w:rPr>
          <w:rFonts w:ascii="Arial" w:cs="Arial" w:eastAsia="Arial" w:hAnsi="Arial"/>
          <w:sz w:val="16"/>
          <w:szCs w:val="16"/>
          <w:color w:val="auto"/>
        </w:rPr>
      </w:pPr>
      <w:r>
        <w:rPr>
          <w:rFonts w:ascii="Arial" w:cs="Arial" w:eastAsia="Arial" w:hAnsi="Arial"/>
          <w:sz w:val="16"/>
          <w:szCs w:val="16"/>
          <w:color w:val="auto"/>
        </w:rPr>
        <w:t>4</w:t>
      </w:r>
    </w:p>
    <w:p>
      <w:pPr>
        <w:spacing w:after="0" w:line="72" w:lineRule="exact"/>
        <w:rPr>
          <w:rFonts w:ascii="Arial" w:cs="Arial" w:eastAsia="Arial" w:hAnsi="Arial"/>
          <w:sz w:val="16"/>
          <w:szCs w:val="16"/>
          <w:color w:val="auto"/>
        </w:rPr>
      </w:pPr>
    </w:p>
    <w:p>
      <w:pPr>
        <w:ind w:left="1006"/>
        <w:spacing w:after="0"/>
        <w:rPr>
          <w:rFonts w:ascii="Arial" w:cs="Arial" w:eastAsia="Arial" w:hAnsi="Arial"/>
          <w:sz w:val="16"/>
          <w:szCs w:val="16"/>
          <w:color w:val="auto"/>
        </w:rPr>
      </w:pPr>
      <w:r>
        <w:rPr>
          <w:rFonts w:ascii="Arial" w:cs="Arial" w:eastAsia="Arial" w:hAnsi="Arial"/>
          <w:sz w:val="16"/>
          <w:szCs w:val="16"/>
          <w:color w:val="auto"/>
        </w:rPr>
        <w:t>(8)</w:t>
      </w:r>
    </w:p>
    <w:p>
      <w:pPr>
        <w:spacing w:after="0" w:line="86" w:lineRule="exact"/>
        <w:rPr>
          <w:sz w:val="20"/>
          <w:szCs w:val="20"/>
          <w:color w:val="auto"/>
        </w:rPr>
      </w:pPr>
    </w:p>
    <w:p>
      <w:pPr>
        <w:ind w:left="846" w:hanging="846"/>
        <w:spacing w:after="0"/>
        <w:tabs>
          <w:tab w:leader="none" w:pos="8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(237)</w:t>
      </w:r>
    </w:p>
    <w:p>
      <w:pPr>
        <w:spacing w:after="0" w:line="327" w:lineRule="exact"/>
        <w:rPr>
          <w:sz w:val="20"/>
          <w:szCs w:val="20"/>
          <w:color w:val="auto"/>
        </w:rPr>
      </w:pPr>
    </w:p>
    <w:p>
      <w:pPr>
        <w:ind w:left="906" w:hanging="906"/>
        <w:spacing w:after="0"/>
        <w:tabs>
          <w:tab w:leader="none" w:pos="906" w:val="left"/>
        </w:tabs>
        <w:numPr>
          <w:ilvl w:val="0"/>
          <w:numId w:val="11"/>
        </w:numPr>
        <w:rPr>
          <w:rFonts w:ascii="Arial" w:cs="Arial" w:eastAsia="Arial" w:hAnsi="Arial"/>
          <w:sz w:val="16"/>
          <w:szCs w:val="16"/>
          <w:color w:val="auto"/>
        </w:rPr>
      </w:pPr>
      <w:r>
        <w:rPr>
          <w:rFonts w:ascii="Arial" w:cs="Arial" w:eastAsia="Arial" w:hAnsi="Arial"/>
          <w:sz w:val="16"/>
          <w:szCs w:val="16"/>
          <w:color w:val="auto"/>
        </w:rPr>
        <w:t>163</w:t>
      </w:r>
    </w:p>
    <w:p>
      <w:pPr>
        <w:spacing w:after="0" w:line="72" w:lineRule="exact"/>
        <w:rPr>
          <w:rFonts w:ascii="Arial" w:cs="Arial" w:eastAsia="Arial" w:hAnsi="Arial"/>
          <w:sz w:val="16"/>
          <w:szCs w:val="16"/>
          <w:color w:val="auto"/>
        </w:rPr>
      </w:pPr>
    </w:p>
    <w:p>
      <w:pPr>
        <w:ind w:left="726"/>
        <w:spacing w:after="0"/>
        <w:rPr>
          <w:rFonts w:ascii="Arial" w:cs="Arial" w:eastAsia="Arial" w:hAnsi="Arial"/>
          <w:sz w:val="16"/>
          <w:szCs w:val="16"/>
          <w:color w:val="auto"/>
        </w:rPr>
      </w:pPr>
      <w:r>
        <w:rPr>
          <w:rFonts w:ascii="Arial" w:cs="Arial" w:eastAsia="Arial" w:hAnsi="Arial"/>
          <w:sz w:val="15"/>
          <w:szCs w:val="15"/>
          <w:color w:val="auto"/>
        </w:rPr>
        <w:t>(1,019)</w:t>
      </w:r>
    </w:p>
    <w:p>
      <w:pPr>
        <w:spacing w:after="0" w:line="84" w:lineRule="exact"/>
        <w:rPr>
          <w:rFonts w:ascii="Arial" w:cs="Arial" w:eastAsia="Arial" w:hAnsi="Arial"/>
          <w:sz w:val="16"/>
          <w:szCs w:val="16"/>
          <w:color w:val="auto"/>
        </w:rPr>
      </w:pPr>
    </w:p>
    <w:p>
      <w:pPr>
        <w:ind w:left="926"/>
        <w:spacing w:after="0"/>
        <w:rPr>
          <w:rFonts w:ascii="Arial" w:cs="Arial" w:eastAsia="Arial" w:hAnsi="Arial"/>
          <w:sz w:val="16"/>
          <w:szCs w:val="16"/>
          <w:color w:val="auto"/>
        </w:rPr>
      </w:pPr>
      <w:r>
        <w:rPr>
          <w:rFonts w:ascii="Arial" w:cs="Arial" w:eastAsia="Arial" w:hAnsi="Arial"/>
          <w:sz w:val="15"/>
          <w:szCs w:val="15"/>
          <w:color w:val="auto"/>
        </w:rPr>
        <w:t>(25)</w:t>
      </w:r>
    </w:p>
    <w:p>
      <w:pPr>
        <w:spacing w:after="0" w:line="84" w:lineRule="exact"/>
        <w:rPr>
          <w:rFonts w:ascii="Arial" w:cs="Arial" w:eastAsia="Arial" w:hAnsi="Arial"/>
          <w:sz w:val="16"/>
          <w:szCs w:val="16"/>
          <w:color w:val="auto"/>
        </w:rPr>
      </w:pPr>
    </w:p>
    <w:p>
      <w:pPr>
        <w:ind w:left="846"/>
        <w:spacing w:after="0"/>
        <w:rPr>
          <w:rFonts w:ascii="Arial" w:cs="Arial" w:eastAsia="Arial" w:hAnsi="Arial"/>
          <w:sz w:val="16"/>
          <w:szCs w:val="16"/>
          <w:color w:val="auto"/>
        </w:rPr>
      </w:pPr>
      <w:r>
        <w:rPr>
          <w:rFonts w:ascii="Arial" w:cs="Arial" w:eastAsia="Arial" w:hAnsi="Arial"/>
          <w:sz w:val="15"/>
          <w:szCs w:val="15"/>
          <w:color w:val="auto"/>
        </w:rPr>
        <w:t>(505)</w:t>
      </w:r>
    </w:p>
    <w:p>
      <w:pPr>
        <w:spacing w:after="0" w:line="84" w:lineRule="exact"/>
        <w:rPr>
          <w:rFonts w:ascii="Arial" w:cs="Arial" w:eastAsia="Arial" w:hAnsi="Arial"/>
          <w:sz w:val="16"/>
          <w:szCs w:val="16"/>
          <w:color w:val="auto"/>
        </w:rPr>
      </w:pPr>
    </w:p>
    <w:p>
      <w:pPr>
        <w:ind w:left="1086"/>
        <w:spacing w:after="0"/>
        <w:rPr>
          <w:rFonts w:ascii="Arial" w:cs="Arial" w:eastAsia="Arial" w:hAnsi="Arial"/>
          <w:sz w:val="16"/>
          <w:szCs w:val="16"/>
          <w:color w:val="auto"/>
        </w:rPr>
      </w:pPr>
      <w:r>
        <w:rPr>
          <w:rFonts w:ascii="Arial" w:cs="Arial" w:eastAsia="Arial" w:hAnsi="Arial"/>
          <w:sz w:val="16"/>
          <w:szCs w:val="16"/>
          <w:color w:val="auto"/>
        </w:rPr>
        <w:t>6</w:t>
      </w:r>
    </w:p>
    <w:p>
      <w:pPr>
        <w:spacing w:after="0" w:line="72" w:lineRule="exact"/>
        <w:rPr>
          <w:rFonts w:ascii="Arial" w:cs="Arial" w:eastAsia="Arial" w:hAnsi="Arial"/>
          <w:sz w:val="16"/>
          <w:szCs w:val="16"/>
          <w:color w:val="auto"/>
        </w:rPr>
      </w:pPr>
    </w:p>
    <w:p>
      <w:pPr>
        <w:ind w:left="926"/>
        <w:spacing w:after="0"/>
        <w:rPr>
          <w:rFonts w:ascii="Arial" w:cs="Arial" w:eastAsia="Arial" w:hAnsi="Arial"/>
          <w:sz w:val="16"/>
          <w:szCs w:val="16"/>
          <w:color w:val="auto"/>
        </w:rPr>
      </w:pPr>
      <w:r>
        <w:rPr>
          <w:rFonts w:ascii="Arial" w:cs="Arial" w:eastAsia="Arial" w:hAnsi="Arial"/>
          <w:sz w:val="15"/>
          <w:szCs w:val="15"/>
          <w:color w:val="auto"/>
        </w:rPr>
        <w:t>(57)</w:t>
      </w:r>
    </w:p>
    <w:p>
      <w:pPr>
        <w:spacing w:after="0" w:line="98" w:lineRule="exact"/>
        <w:rPr>
          <w:sz w:val="20"/>
          <w:szCs w:val="20"/>
          <w:color w:val="auto"/>
        </w:rPr>
      </w:pPr>
    </w:p>
    <w:p>
      <w:pPr>
        <w:ind w:left="726" w:hanging="726"/>
        <w:spacing w:after="0"/>
        <w:tabs>
          <w:tab w:leader="none" w:pos="726" w:val="left"/>
        </w:tabs>
        <w:numPr>
          <w:ilvl w:val="0"/>
          <w:numId w:val="12"/>
        </w:numPr>
        <w:rPr>
          <w:rFonts w:ascii="Arial" w:cs="Arial" w:eastAsia="Arial" w:hAnsi="Arial"/>
          <w:sz w:val="15"/>
          <w:szCs w:val="15"/>
          <w:color w:val="auto"/>
        </w:rPr>
      </w:pPr>
      <w:r>
        <w:rPr>
          <w:rFonts w:ascii="Arial" w:cs="Arial" w:eastAsia="Arial" w:hAnsi="Arial"/>
          <w:sz w:val="15"/>
          <w:szCs w:val="15"/>
          <w:color w:val="auto"/>
        </w:rPr>
        <w:t>(1,437)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840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0" w:space="294"/>
            <w:col w:w="1346"/>
          </w:cols>
          <w:pgMar w:left="320" w:top="11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0628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63195"/>
                    </a:xfrm>
                    <a:prstGeom prst="rect">
                      <a:avLst/>
                    </a:prstGeom>
                    <a:noFill/>
                  </pic:spPr>
                </pic:pic>
              </a:graphicData>
            </a:graphic>
          </wp:anchor>
        </w:drawing>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06285" cy="1165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16586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TBA securities, net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7,322</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112,936</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(100,498)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19,760</w:t>
            </w:r>
          </w:p>
        </w:tc>
      </w:tr>
      <w:tr>
        <w:trPr>
          <w:trHeight w:val="256"/>
        </w:trPr>
        <w:tc>
          <w:tcPr>
            <w:tcW w:w="3860" w:type="dxa"/>
            <w:vAlign w:val="bottom"/>
          </w:tcPr>
          <w:p>
            <w:pPr>
              <w:spacing w:after="0"/>
              <w:rPr>
                <w:sz w:val="20"/>
                <w:szCs w:val="20"/>
                <w:color w:val="auto"/>
              </w:rPr>
            </w:pPr>
            <w:r>
              <w:rPr>
                <w:rFonts w:ascii="Arial" w:cs="Arial" w:eastAsia="Arial" w:hAnsi="Arial"/>
                <w:sz w:val="16"/>
                <w:szCs w:val="16"/>
                <w:color w:val="auto"/>
              </w:rPr>
              <w:t>Interest rate swaps - payer</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79,075</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75,725</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(112,725)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42,075</w:t>
            </w: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Payer swaptions</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8,850</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2,000</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9,350</w:t>
            </w: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securities - short position</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(9,224)</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(10,232)</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12,209</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(7,247)</w:t>
            </w: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securities - long position</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95</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7,011</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(5,974)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1,132</w:t>
            </w: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futures contracts - short position</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(1,000)</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(2,000)</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2,000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0628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06285" cy="1165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906" w:hanging="906"/>
        <w:spacing w:after="0"/>
        <w:tabs>
          <w:tab w:leader="none" w:pos="9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913</w:t>
      </w:r>
    </w:p>
    <w:p>
      <w:pPr>
        <w:spacing w:after="0" w:line="72" w:lineRule="exact"/>
        <w:rPr>
          <w:rFonts w:ascii="Arial" w:cs="Arial" w:eastAsia="Arial" w:hAnsi="Arial"/>
          <w:sz w:val="16"/>
          <w:szCs w:val="16"/>
          <w:color w:val="auto"/>
        </w:rPr>
      </w:pPr>
    </w:p>
    <w:p>
      <w:pPr>
        <w:ind w:left="726"/>
        <w:spacing w:after="0"/>
        <w:rPr>
          <w:rFonts w:ascii="Arial" w:cs="Arial" w:eastAsia="Arial" w:hAnsi="Arial"/>
          <w:sz w:val="16"/>
          <w:szCs w:val="16"/>
          <w:color w:val="auto"/>
        </w:rPr>
      </w:pPr>
      <w:r>
        <w:rPr>
          <w:rFonts w:ascii="Arial" w:cs="Arial" w:eastAsia="Arial" w:hAnsi="Arial"/>
          <w:sz w:val="15"/>
          <w:szCs w:val="15"/>
          <w:color w:val="auto"/>
        </w:rPr>
        <w:t>(3,174)</w:t>
      </w:r>
    </w:p>
    <w:p>
      <w:pPr>
        <w:spacing w:after="0" w:line="84" w:lineRule="exact"/>
        <w:rPr>
          <w:rFonts w:ascii="Arial" w:cs="Arial" w:eastAsia="Arial" w:hAnsi="Arial"/>
          <w:sz w:val="16"/>
          <w:szCs w:val="16"/>
          <w:color w:val="auto"/>
        </w:rPr>
      </w:pPr>
    </w:p>
    <w:p>
      <w:pPr>
        <w:ind w:left="846"/>
        <w:spacing w:after="0"/>
        <w:rPr>
          <w:rFonts w:ascii="Arial" w:cs="Arial" w:eastAsia="Arial" w:hAnsi="Arial"/>
          <w:sz w:val="16"/>
          <w:szCs w:val="16"/>
          <w:color w:val="auto"/>
        </w:rPr>
      </w:pPr>
      <w:r>
        <w:rPr>
          <w:rFonts w:ascii="Arial" w:cs="Arial" w:eastAsia="Arial" w:hAnsi="Arial"/>
          <w:sz w:val="15"/>
          <w:szCs w:val="15"/>
          <w:color w:val="auto"/>
        </w:rPr>
        <w:t>(148)</w:t>
      </w:r>
    </w:p>
    <w:p>
      <w:pPr>
        <w:spacing w:after="0" w:line="84" w:lineRule="exact"/>
        <w:rPr>
          <w:rFonts w:ascii="Arial" w:cs="Arial" w:eastAsia="Arial" w:hAnsi="Arial"/>
          <w:sz w:val="16"/>
          <w:szCs w:val="16"/>
          <w:color w:val="auto"/>
        </w:rPr>
      </w:pPr>
    </w:p>
    <w:p>
      <w:pPr>
        <w:ind w:left="846"/>
        <w:spacing w:after="0"/>
        <w:rPr>
          <w:rFonts w:ascii="Arial" w:cs="Arial" w:eastAsia="Arial" w:hAnsi="Arial"/>
          <w:sz w:val="16"/>
          <w:szCs w:val="16"/>
          <w:color w:val="auto"/>
        </w:rPr>
      </w:pPr>
      <w:r>
        <w:rPr>
          <w:rFonts w:ascii="Arial" w:cs="Arial" w:eastAsia="Arial" w:hAnsi="Arial"/>
          <w:sz w:val="15"/>
          <w:szCs w:val="15"/>
          <w:color w:val="auto"/>
        </w:rPr>
        <w:t>(997)</w:t>
      </w:r>
    </w:p>
    <w:p>
      <w:pPr>
        <w:spacing w:after="0" w:line="84" w:lineRule="exact"/>
        <w:rPr>
          <w:rFonts w:ascii="Arial" w:cs="Arial" w:eastAsia="Arial" w:hAnsi="Arial"/>
          <w:sz w:val="16"/>
          <w:szCs w:val="16"/>
          <w:color w:val="auto"/>
        </w:rPr>
      </w:pPr>
    </w:p>
    <w:p>
      <w:pPr>
        <w:ind w:left="906"/>
        <w:spacing w:after="0"/>
        <w:rPr>
          <w:rFonts w:ascii="Arial" w:cs="Arial" w:eastAsia="Arial" w:hAnsi="Arial"/>
          <w:sz w:val="16"/>
          <w:szCs w:val="16"/>
          <w:color w:val="auto"/>
        </w:rPr>
      </w:pPr>
      <w:r>
        <w:rPr>
          <w:rFonts w:ascii="Arial" w:cs="Arial" w:eastAsia="Arial" w:hAnsi="Arial"/>
          <w:sz w:val="16"/>
          <w:szCs w:val="16"/>
          <w:color w:val="auto"/>
        </w:rPr>
        <w:t>101</w:t>
      </w:r>
    </w:p>
    <w:p>
      <w:pPr>
        <w:spacing w:after="0" w:line="72" w:lineRule="exact"/>
        <w:rPr>
          <w:rFonts w:ascii="Arial" w:cs="Arial" w:eastAsia="Arial" w:hAnsi="Arial"/>
          <w:sz w:val="16"/>
          <w:szCs w:val="16"/>
          <w:color w:val="auto"/>
        </w:rPr>
      </w:pPr>
    </w:p>
    <w:p>
      <w:pPr>
        <w:ind w:left="846"/>
        <w:spacing w:after="0"/>
        <w:rPr>
          <w:rFonts w:ascii="Arial" w:cs="Arial" w:eastAsia="Arial" w:hAnsi="Arial"/>
          <w:sz w:val="16"/>
          <w:szCs w:val="16"/>
          <w:color w:val="auto"/>
        </w:rPr>
      </w:pPr>
      <w:r>
        <w:rPr>
          <w:rFonts w:ascii="Arial" w:cs="Arial" w:eastAsia="Arial" w:hAnsi="Arial"/>
          <w:sz w:val="15"/>
          <w:szCs w:val="15"/>
          <w:color w:val="auto"/>
        </w:rPr>
        <w:t>(112)</w:t>
      </w:r>
    </w:p>
    <w:p>
      <w:pPr>
        <w:spacing w:after="0" w:line="98" w:lineRule="exact"/>
        <w:rPr>
          <w:sz w:val="20"/>
          <w:szCs w:val="20"/>
          <w:color w:val="auto"/>
        </w:rPr>
      </w:pPr>
    </w:p>
    <w:p>
      <w:pPr>
        <w:ind w:left="726" w:hanging="726"/>
        <w:spacing w:after="0"/>
        <w:tabs>
          <w:tab w:leader="none" w:pos="726" w:val="left"/>
        </w:tabs>
        <w:numPr>
          <w:ilvl w:val="0"/>
          <w:numId w:val="14"/>
        </w:numPr>
        <w:rPr>
          <w:rFonts w:ascii="Arial" w:cs="Arial" w:eastAsia="Arial" w:hAnsi="Arial"/>
          <w:sz w:val="15"/>
          <w:szCs w:val="15"/>
          <w:color w:val="auto"/>
        </w:rPr>
      </w:pPr>
      <w:r>
        <w:rPr>
          <w:rFonts w:ascii="Arial" w:cs="Arial" w:eastAsia="Arial" w:hAnsi="Arial"/>
          <w:sz w:val="15"/>
          <w:szCs w:val="15"/>
          <w:color w:val="auto"/>
        </w:rPr>
        <w:t>(3,417)</w:t>
      </w:r>
    </w:p>
    <w:p>
      <w:pPr>
        <w:spacing w:after="0" w:line="368" w:lineRule="exact"/>
        <w:rPr>
          <w:sz w:val="20"/>
          <w:szCs w:val="20"/>
          <w:color w:val="auto"/>
        </w:rPr>
      </w:pPr>
    </w:p>
    <w:p>
      <w:pPr>
        <w:sectPr>
          <w:pgSz w:w="11900" w:h="16838" w:orient="portrait"/>
          <w:cols w:equalWidth="0" w:num="2">
            <w:col w:w="9560" w:space="334"/>
            <w:col w:w="1346"/>
          </w:cols>
          <w:pgMar w:left="320" w:top="949" w:right="339" w:bottom="1440" w:gutter="0" w:footer="0" w:header="0"/>
        </w:sectPr>
      </w:pPr>
    </w:p>
    <w:tbl>
      <w:tblPr>
        <w:tblLayout w:type="fixed"/>
        <w:tblInd w:w="20" w:type="dxa"/>
        <w:tblCellMar>
          <w:top w:w="0" w:type="dxa"/>
          <w:left w:w="0" w:type="dxa"/>
          <w:bottom w:w="0" w:type="dxa"/>
          <w:right w:w="0" w:type="dxa"/>
        </w:tblCellMar>
      </w:tblP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TBA securities, net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7,152</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46,301</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(42,410)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11,043</w:t>
            </w: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Interest rate swaps</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51,625</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70,350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(47,025)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74,950</w:t>
            </w: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Payer swaptions</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3,500</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2,650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(1,750)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4,400</w:t>
            </w: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securities - short position</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(21,345)</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(7,306)</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21,406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(7,245)</w:t>
            </w: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U.S. Treasury securities - long position</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45</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1,423</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1,134</w:t>
            </w:r>
          </w:p>
        </w:tc>
      </w:tr>
      <w:tr>
        <w:trPr>
          <w:trHeight w:val="256"/>
        </w:trPr>
        <w:tc>
          <w:tcPr>
            <w:tcW w:w="3860" w:type="dxa"/>
            <w:vAlign w:val="bottom"/>
          </w:tcPr>
          <w:p>
            <w:pPr>
              <w:spacing w:after="0"/>
              <w:rPr>
                <w:sz w:val="20"/>
                <w:szCs w:val="20"/>
                <w:color w:val="auto"/>
              </w:rPr>
            </w:pPr>
            <w:r>
              <w:rPr>
                <w:rFonts w:ascii="Arial" w:cs="Arial" w:eastAsia="Arial" w:hAnsi="Arial"/>
                <w:sz w:val="16"/>
                <w:szCs w:val="16"/>
                <w:color w:val="auto"/>
              </w:rPr>
              <w:t>U.S. Treasury futures contracts - short position</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(1,650)</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(3,300)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3,300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(1,650)</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20" w:lineRule="exact"/>
        <w:rPr>
          <w:sz w:val="20"/>
          <w:szCs w:val="20"/>
          <w:color w:val="auto"/>
        </w:rPr>
      </w:pPr>
      <w:r>
        <w:rPr>
          <w:sz w:val="20"/>
          <w:szCs w:val="20"/>
          <w:color w:val="auto"/>
        </w:rPr>
        <w:br w:type="column"/>
      </w:r>
    </w:p>
    <w:p>
      <w:pPr>
        <w:ind w:left="906" w:hanging="906"/>
        <w:spacing w:after="0"/>
        <w:tabs>
          <w:tab w:leader="none" w:pos="9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246</w:t>
      </w:r>
    </w:p>
    <w:p>
      <w:pPr>
        <w:spacing w:after="0" w:line="72" w:lineRule="exact"/>
        <w:rPr>
          <w:rFonts w:ascii="Arial" w:cs="Arial" w:eastAsia="Arial" w:hAnsi="Arial"/>
          <w:sz w:val="16"/>
          <w:szCs w:val="16"/>
          <w:color w:val="auto"/>
        </w:rPr>
      </w:pPr>
    </w:p>
    <w:p>
      <w:pPr>
        <w:ind w:left="726"/>
        <w:spacing w:after="0"/>
        <w:rPr>
          <w:rFonts w:ascii="Arial" w:cs="Arial" w:eastAsia="Arial" w:hAnsi="Arial"/>
          <w:sz w:val="16"/>
          <w:szCs w:val="16"/>
          <w:color w:val="auto"/>
        </w:rPr>
      </w:pPr>
      <w:r>
        <w:rPr>
          <w:rFonts w:ascii="Arial" w:cs="Arial" w:eastAsia="Arial" w:hAnsi="Arial"/>
          <w:sz w:val="15"/>
          <w:szCs w:val="15"/>
          <w:color w:val="auto"/>
        </w:rPr>
        <w:t>(1,615)</w:t>
      </w:r>
    </w:p>
    <w:p>
      <w:pPr>
        <w:spacing w:after="0" w:line="84" w:lineRule="exact"/>
        <w:rPr>
          <w:rFonts w:ascii="Arial" w:cs="Arial" w:eastAsia="Arial" w:hAnsi="Arial"/>
          <w:sz w:val="16"/>
          <w:szCs w:val="16"/>
          <w:color w:val="auto"/>
        </w:rPr>
      </w:pPr>
    </w:p>
    <w:p>
      <w:pPr>
        <w:ind w:left="926"/>
        <w:spacing w:after="0"/>
        <w:rPr>
          <w:rFonts w:ascii="Arial" w:cs="Arial" w:eastAsia="Arial" w:hAnsi="Arial"/>
          <w:sz w:val="16"/>
          <w:szCs w:val="16"/>
          <w:color w:val="auto"/>
        </w:rPr>
      </w:pPr>
      <w:r>
        <w:rPr>
          <w:rFonts w:ascii="Arial" w:cs="Arial" w:eastAsia="Arial" w:hAnsi="Arial"/>
          <w:sz w:val="15"/>
          <w:szCs w:val="15"/>
          <w:color w:val="auto"/>
        </w:rPr>
        <w:t>(52)</w:t>
      </w:r>
    </w:p>
    <w:p>
      <w:pPr>
        <w:spacing w:after="0" w:line="84" w:lineRule="exact"/>
        <w:rPr>
          <w:rFonts w:ascii="Arial" w:cs="Arial" w:eastAsia="Arial" w:hAnsi="Arial"/>
          <w:sz w:val="16"/>
          <w:szCs w:val="16"/>
          <w:color w:val="auto"/>
        </w:rPr>
      </w:pPr>
    </w:p>
    <w:p>
      <w:pPr>
        <w:ind w:left="846"/>
        <w:spacing w:after="0"/>
        <w:rPr>
          <w:rFonts w:ascii="Arial" w:cs="Arial" w:eastAsia="Arial" w:hAnsi="Arial"/>
          <w:sz w:val="16"/>
          <w:szCs w:val="16"/>
          <w:color w:val="auto"/>
        </w:rPr>
      </w:pPr>
      <w:r>
        <w:rPr>
          <w:rFonts w:ascii="Arial" w:cs="Arial" w:eastAsia="Arial" w:hAnsi="Arial"/>
          <w:sz w:val="15"/>
          <w:szCs w:val="15"/>
          <w:color w:val="auto"/>
        </w:rPr>
        <w:t>(930)</w:t>
      </w:r>
    </w:p>
    <w:p>
      <w:pPr>
        <w:spacing w:after="0" w:line="84" w:lineRule="exact"/>
        <w:rPr>
          <w:rFonts w:ascii="Arial" w:cs="Arial" w:eastAsia="Arial" w:hAnsi="Arial"/>
          <w:sz w:val="16"/>
          <w:szCs w:val="16"/>
          <w:color w:val="auto"/>
        </w:rPr>
      </w:pPr>
    </w:p>
    <w:p>
      <w:pPr>
        <w:ind w:left="1086"/>
        <w:spacing w:after="0"/>
        <w:rPr>
          <w:rFonts w:ascii="Arial" w:cs="Arial" w:eastAsia="Arial" w:hAnsi="Arial"/>
          <w:sz w:val="16"/>
          <w:szCs w:val="16"/>
          <w:color w:val="auto"/>
        </w:rPr>
      </w:pPr>
      <w:r>
        <w:rPr>
          <w:rFonts w:ascii="Arial" w:cs="Arial" w:eastAsia="Arial" w:hAnsi="Arial"/>
          <w:sz w:val="16"/>
          <w:szCs w:val="16"/>
          <w:color w:val="auto"/>
        </w:rPr>
        <w:t>6</w:t>
      </w:r>
    </w:p>
    <w:p>
      <w:pPr>
        <w:spacing w:after="0" w:line="72" w:lineRule="exact"/>
        <w:rPr>
          <w:rFonts w:ascii="Arial" w:cs="Arial" w:eastAsia="Arial" w:hAnsi="Arial"/>
          <w:sz w:val="16"/>
          <w:szCs w:val="16"/>
          <w:color w:val="auto"/>
        </w:rPr>
      </w:pPr>
    </w:p>
    <w:p>
      <w:pPr>
        <w:ind w:left="926"/>
        <w:spacing w:after="0"/>
        <w:rPr>
          <w:rFonts w:ascii="Arial" w:cs="Arial" w:eastAsia="Arial" w:hAnsi="Arial"/>
          <w:sz w:val="16"/>
          <w:szCs w:val="16"/>
          <w:color w:val="auto"/>
        </w:rPr>
      </w:pPr>
      <w:r>
        <w:rPr>
          <w:rFonts w:ascii="Arial" w:cs="Arial" w:eastAsia="Arial" w:hAnsi="Arial"/>
          <w:sz w:val="15"/>
          <w:szCs w:val="15"/>
          <w:color w:val="auto"/>
        </w:rPr>
        <w:t>(88)</w:t>
      </w:r>
    </w:p>
    <w:p>
      <w:pPr>
        <w:spacing w:after="0" w:line="98" w:lineRule="exact"/>
        <w:rPr>
          <w:sz w:val="20"/>
          <w:szCs w:val="20"/>
          <w:color w:val="auto"/>
        </w:rPr>
      </w:pPr>
    </w:p>
    <w:p>
      <w:pPr>
        <w:ind w:left="726" w:hanging="726"/>
        <w:spacing w:after="0"/>
        <w:tabs>
          <w:tab w:leader="none" w:pos="726" w:val="left"/>
        </w:tabs>
        <w:numPr>
          <w:ilvl w:val="0"/>
          <w:numId w:val="16"/>
        </w:numPr>
        <w:rPr>
          <w:rFonts w:ascii="Arial" w:cs="Arial" w:eastAsia="Arial" w:hAnsi="Arial"/>
          <w:sz w:val="15"/>
          <w:szCs w:val="15"/>
          <w:color w:val="auto"/>
        </w:rPr>
      </w:pPr>
      <w:r>
        <w:rPr>
          <w:rFonts w:ascii="Arial" w:cs="Arial" w:eastAsia="Arial" w:hAnsi="Arial"/>
          <w:sz w:val="15"/>
          <w:szCs w:val="15"/>
          <w:color w:val="auto"/>
        </w:rPr>
        <w:t>(2,433)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44" w:lineRule="exact"/>
        <w:rPr>
          <w:sz w:val="20"/>
          <w:szCs w:val="20"/>
          <w:color w:val="auto"/>
        </w:rPr>
      </w:pPr>
    </w:p>
    <w:p>
      <w:pPr>
        <w:sectPr>
          <w:pgSz w:w="11900" w:h="16838" w:orient="portrait"/>
          <w:cols w:equalWidth="0" w:num="2">
            <w:col w:w="9560" w:space="334"/>
            <w:col w:w="1346"/>
          </w:cols>
          <w:pgMar w:left="320" w:top="949" w:right="339" w:bottom="1440" w:gutter="0" w:footer="0" w:header="0"/>
          <w:type w:val="continuous"/>
        </w:sectPr>
      </w:pPr>
    </w:p>
    <w:p>
      <w:pPr>
        <w:ind w:left="66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exclude $146 million of losses on debt extinguishment for the three and six months ended June 30, 2020 (see Note 5) and other miscellaneous gains and losses for all periods presented recognized in gain (loss) on derivative instruments and other securities, net in our consolidated statements of comprehensive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2020, our maximum amount at risk with any counterparty related to our repurchase agreements, excluding the Fixed Income Clearing Corporation, was less than 3% of our tangible stockholders' equity (measured as the excess of the value of collateral pledged over the amount of our repurchase liabilities). As of June 30, 2020, approximately 11% of our tangible stockholder's equity was at risk with the Fixed Income Clearing Corporation.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45"/>
        <w:spacing w:after="0" w:line="276"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June 30, 2020 and December 31, 2019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Repurchase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Debt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Brokerage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9"/>
                <w:szCs w:val="9"/>
                <w:b w:val="1"/>
                <w:bCs w:val="1"/>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9"/>
                <w:szCs w:val="9"/>
                <w:b w:val="1"/>
                <w:bCs w:val="1"/>
                <w:color w:val="auto"/>
              </w:rPr>
              <w:t>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Consolidated VIEs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Agreements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9"/>
                <w:szCs w:val="9"/>
                <w:b w:val="1"/>
                <w:bCs w:val="1"/>
                <w:color w:val="auto"/>
                <w:w w:val="91"/>
              </w:rPr>
              <w:t>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70,357</w:t>
            </w: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70,877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428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428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1,306</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72,890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74,529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Repurchase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Debt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9"/>
                <w:szCs w:val="9"/>
                <w:b w:val="1"/>
                <w:bCs w:val="1"/>
                <w:color w:val="auto"/>
              </w:rPr>
              <w:t>1</w:t>
            </w:r>
          </w:p>
        </w:tc>
        <w:tc>
          <w:tcPr>
            <w:tcW w:w="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9"/>
                <w:szCs w:val="9"/>
                <w:b w:val="1"/>
                <w:bCs w:val="1"/>
                <w:color w:val="auto"/>
              </w:rPr>
              <w:t>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Consolidated VIEs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3"/>
              </w:rPr>
              <w:t>Agreements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9"/>
                <w:szCs w:val="9"/>
                <w:b w:val="1"/>
                <w:bCs w:val="1"/>
                <w:color w:val="auto"/>
                <w:w w:val="91"/>
              </w:rPr>
              <w:t>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30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92,142</w:t>
            </w: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371</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206</w:t>
            </w: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93,123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gridSpan w:val="3"/>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U.S. Treasury securities - fair value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gridSpan w:val="3"/>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2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30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93,282</w:t>
            </w:r>
          </w:p>
        </w:tc>
        <w:tc>
          <w:tcPr>
            <w:tcW w:w="40" w:type="dxa"/>
            <w:vAlign w:val="bottom"/>
          </w:tcPr>
          <w:p>
            <w:pPr>
              <w:spacing w:after="0"/>
              <w:rPr>
                <w:sz w:val="17"/>
                <w:szCs w:val="17"/>
                <w:color w:val="auto"/>
              </w:rPr>
            </w:pPr>
          </w:p>
        </w:tc>
        <w:tc>
          <w:tcPr>
            <w:tcW w:w="3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372</w:t>
            </w:r>
          </w:p>
        </w:tc>
        <w:tc>
          <w:tcPr>
            <w:tcW w:w="20" w:type="dxa"/>
            <w:vAlign w:val="bottom"/>
          </w:tcPr>
          <w:p>
            <w:pPr>
              <w:spacing w:after="0"/>
              <w:rPr>
                <w:sz w:val="17"/>
                <w:szCs w:val="17"/>
                <w:color w:val="auto"/>
              </w:rPr>
            </w:pPr>
          </w:p>
        </w:tc>
        <w:tc>
          <w:tcPr>
            <w:tcW w:w="2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745</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235</w:t>
            </w:r>
          </w:p>
        </w:tc>
        <w:tc>
          <w:tcPr>
            <w:tcW w:w="20" w:type="dxa"/>
            <w:vAlign w:val="bottom"/>
          </w:tcPr>
          <w:p>
            <w:pPr>
              <w:spacing w:after="0"/>
              <w:rPr>
                <w:sz w:val="17"/>
                <w:szCs w:val="17"/>
                <w:color w:val="auto"/>
              </w:rPr>
            </w:pPr>
          </w:p>
        </w:tc>
        <w:tc>
          <w:tcPr>
            <w:tcW w:w="3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94,634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$111 million and $144 million of retained interests in our consolidated VIEs pledged as collateral under repurchase agreements as of June 30, 2020 and December 31, 2019, respectively.</w:t>
      </w: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June 30, 2020 and December 31, 2019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58"/>
        </w:trPr>
        <w:tc>
          <w:tcPr>
            <w:tcW w:w="40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Securities Pledged by Remaining Maturity of Repurchase</w:t>
            </w:r>
          </w:p>
        </w:tc>
        <w:tc>
          <w:tcPr>
            <w:tcW w:w="120" w:type="dxa"/>
            <w:vAlign w:val="bottom"/>
          </w:tcPr>
          <w:p>
            <w:pPr>
              <w:spacing w:after="0"/>
              <w:rPr>
                <w:sz w:val="13"/>
                <w:szCs w:val="13"/>
                <w:color w:val="auto"/>
              </w:rPr>
            </w:pPr>
          </w:p>
        </w:tc>
        <w:tc>
          <w:tcPr>
            <w:tcW w:w="11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 of</w:t>
            </w:r>
          </w:p>
        </w:tc>
        <w:tc>
          <w:tcPr>
            <w:tcW w:w="12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Cost of Pledged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3"/>
                <w:szCs w:val="13"/>
                <w:color w:val="auto"/>
              </w:rPr>
            </w:pPr>
          </w:p>
        </w:tc>
        <w:tc>
          <w:tcPr>
            <w:tcW w:w="10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3"/>
                <w:szCs w:val="13"/>
                <w:color w:val="auto"/>
              </w:rPr>
            </w:pPr>
          </w:p>
        </w:tc>
        <w:tc>
          <w:tcPr>
            <w:tcW w:w="88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9"/>
                <w:szCs w:val="9"/>
                <w:b w:val="1"/>
                <w:bCs w:val="1"/>
                <w:color w:val="auto"/>
              </w:rPr>
              <w:t>1,2</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Pledged Securities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97"/>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46,347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44,231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56,990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55,951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7"/>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7,659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7,308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14,410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14,114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8"/>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15,070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14,447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13,510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22"/>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68,824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92,547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14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$111 million and $144 million of retained interests in our consolidated VIEs pledged as collateral under repurchase agreements as of June 30, 2020 and December 31, 2019, respectively.</w:t>
      </w: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$357 million of repledged U.S. Treasury securities received as collateral from counterparties as of December 31,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June 30, 2020 and December 31, 2019,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9"/>
              </w:rPr>
              <w:t>Repurchase</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9"/>
              </w:rPr>
              <w:t>Repurchase</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Agreements</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Agreements</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9"/>
                <w:szCs w:val="9"/>
                <w:b w:val="1"/>
                <w:bCs w:val="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r>
        <w:trPr>
          <w:trHeight w:val="197"/>
        </w:trPr>
        <w:tc>
          <w:tcPr>
            <w:tcW w:w="236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38"/>
        </w:trPr>
        <w:tc>
          <w:tcPr>
            <w:tcW w:w="23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3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10,216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of June 30, 2020 and December 31, 2019, $0 million and $357 million, respectively, of U.S. Treasury securities received from counterparties were repledged as collateral and $7.9 billion and $9.5 billion, respectively, were used to cover short sales of U.S. Treasury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2020 and December 31, 2019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5"/>
          </w:tcPr>
          <w:p>
            <w:pPr>
              <w:ind w:left="960"/>
              <w:spacing w:after="0"/>
              <w:rPr>
                <w:sz w:val="20"/>
                <w:szCs w:val="20"/>
                <w:color w:val="auto"/>
              </w:rPr>
            </w:pPr>
            <w:r>
              <w:rPr>
                <w:rFonts w:ascii="Arial" w:cs="Arial" w:eastAsia="Arial" w:hAnsi="Arial"/>
                <w:sz w:val="14"/>
                <w:szCs w:val="14"/>
                <w:b w:val="1"/>
                <w:bCs w:val="1"/>
                <w:color w:val="auto"/>
                <w:w w:val="94"/>
              </w:rPr>
              <w:t>Offsetting of Financial and Derivative Assets</w:t>
            </w: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Amounts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9"/>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6"/>
            <w:vMerge w:val="restart"/>
          </w:tcPr>
          <w:p>
            <w:pPr>
              <w:jc w:val="center"/>
              <w:ind w:left="608"/>
              <w:spacing w:after="0" w:line="149" w:lineRule="exact"/>
              <w:rPr>
                <w:sz w:val="20"/>
                <w:szCs w:val="20"/>
                <w:color w:val="auto"/>
              </w:rPr>
            </w:pPr>
            <w:r>
              <w:rPr>
                <w:rFonts w:ascii="Arial" w:cs="Arial" w:eastAsia="Arial" w:hAnsi="Arial"/>
                <w:sz w:val="14"/>
                <w:szCs w:val="14"/>
                <w:b w:val="1"/>
                <w:bCs w:val="1"/>
                <w:color w:val="auto"/>
                <w:w w:val="90"/>
              </w:rPr>
              <w:t>in the</w:t>
            </w: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Gross</w:t>
            </w:r>
          </w:p>
        </w:tc>
        <w:tc>
          <w:tcPr>
            <w:tcW w:w="12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24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Assets Presented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6"/>
            <w:vMerge w:val="continue"/>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gridSpan w:val="7"/>
            <w:vMerge w:val="restart"/>
          </w:tcPr>
          <w:p>
            <w:pPr>
              <w:jc w:val="center"/>
              <w:ind w:right="108"/>
              <w:spacing w:after="0"/>
              <w:rPr>
                <w:sz w:val="20"/>
                <w:szCs w:val="20"/>
                <w:color w:val="auto"/>
              </w:rPr>
            </w:pPr>
            <w:r>
              <w:rPr>
                <w:rFonts w:ascii="Arial" w:cs="Arial" w:eastAsia="Arial" w:hAnsi="Arial"/>
                <w:sz w:val="14"/>
                <w:szCs w:val="14"/>
                <w:b w:val="1"/>
                <w:bCs w:val="1"/>
                <w:color w:val="auto"/>
                <w:w w:val="88"/>
              </w:rPr>
              <w:t>Consolidated Balance Sheets</w:t>
            </w:r>
          </w:p>
        </w:tc>
        <w:tc>
          <w:tcPr>
            <w:tcW w:w="120" w:type="dxa"/>
            <w:vAlign w:val="bottom"/>
            <w:gridSpan w:val="2"/>
            <w:vMerge w:val="restart"/>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40"/>
              <w:spacing w:after="0" w:line="125" w:lineRule="exact"/>
              <w:rPr>
                <w:sz w:val="20"/>
                <w:szCs w:val="20"/>
                <w:color w:val="auto"/>
              </w:rPr>
            </w:pPr>
            <w:r>
              <w:rPr>
                <w:rFonts w:ascii="Arial" w:cs="Arial" w:eastAsia="Arial" w:hAnsi="Arial"/>
                <w:sz w:val="14"/>
                <w:szCs w:val="14"/>
                <w:b w:val="1"/>
                <w:bCs w:val="1"/>
                <w:color w:val="auto"/>
                <w:w w:val="89"/>
              </w:rPr>
              <w:t>Amounts of</w:t>
            </w:r>
          </w:p>
        </w:tc>
        <w:tc>
          <w:tcPr>
            <w:tcW w:w="80" w:type="dxa"/>
            <w:vAlign w:val="bottom"/>
          </w:tcPr>
          <w:p>
            <w:pPr>
              <w:spacing w:after="0"/>
              <w:rPr>
                <w:sz w:val="10"/>
                <w:szCs w:val="10"/>
                <w:color w:val="auto"/>
              </w:rPr>
            </w:pPr>
          </w:p>
        </w:tc>
        <w:tc>
          <w:tcPr>
            <w:tcW w:w="112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90"/>
              </w:rPr>
              <w:t>in the</w:t>
            </w: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7"/>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4"/>
                <w:szCs w:val="14"/>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Financial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Collateral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Net 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Balance Sheets</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Instruments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0"/>
              </w:rPr>
              <w:t xml:space="preserve">Received </w:t>
            </w:r>
            <w:r>
              <w:rPr>
                <w:rFonts w:ascii="Arial" w:cs="Arial" w:eastAsia="Arial" w:hAnsi="Arial"/>
                <w:sz w:val="9"/>
                <w:szCs w:val="9"/>
                <w:b w:val="1"/>
                <w:bCs w:val="1"/>
                <w:color w:val="auto"/>
                <w:w w:val="90"/>
              </w:rPr>
              <w:t>2</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040" w:type="dxa"/>
            <w:vAlign w:val="bottom"/>
            <w:gridSpan w:val="2"/>
          </w:tcPr>
          <w:p>
            <w:pPr>
              <w:ind w:left="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9"/>
                <w:szCs w:val="9"/>
                <w:color w:val="auto"/>
              </w:rPr>
              <w:t>1</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7,944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7,944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(1,862)</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w:t>
            </w:r>
          </w:p>
        </w:tc>
        <w:tc>
          <w:tcPr>
            <w:tcW w:w="40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040" w:type="dxa"/>
            <w:vAlign w:val="bottom"/>
            <w:gridSpan w:val="2"/>
          </w:tcPr>
          <w:p>
            <w:pPr>
              <w:ind w:left="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9"/>
                <w:szCs w:val="9"/>
                <w:color w:val="auto"/>
              </w:rPr>
              <w:t>1</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40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10,181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10,181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18"/>
          </w:tcPr>
          <w:p>
            <w:pPr>
              <w:ind w:left="880"/>
              <w:spacing w:after="0"/>
              <w:rPr>
                <w:sz w:val="20"/>
                <w:szCs w:val="20"/>
                <w:color w:val="auto"/>
              </w:rPr>
            </w:pPr>
            <w:r>
              <w:rPr>
                <w:rFonts w:ascii="Arial" w:cs="Arial" w:eastAsia="Arial" w:hAnsi="Arial"/>
                <w:sz w:val="14"/>
                <w:szCs w:val="14"/>
                <w:b w:val="1"/>
                <w:bCs w:val="1"/>
                <w:color w:val="auto"/>
              </w:rPr>
              <w:t>Offsetting of Financial and Derivative Liabilities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Net Amounts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9"/>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gridSpan w:val="5"/>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in the</w:t>
            </w: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7"/>
                <w:szCs w:val="7"/>
                <w:color w:val="auto"/>
              </w:rPr>
            </w:pPr>
          </w:p>
        </w:tc>
        <w:tc>
          <w:tcPr>
            <w:tcW w:w="11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Gross Amounts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8"/>
            <w:vMerge w:val="restart"/>
          </w:tcPr>
          <w:p>
            <w:pPr>
              <w:jc w:val="center"/>
              <w:ind w:right="100"/>
              <w:spacing w:after="0"/>
              <w:rPr>
                <w:sz w:val="20"/>
                <w:szCs w:val="20"/>
                <w:color w:val="auto"/>
              </w:rPr>
            </w:pPr>
            <w:r>
              <w:rPr>
                <w:rFonts w:ascii="Arial" w:cs="Arial" w:eastAsia="Arial" w:hAnsi="Arial"/>
                <w:sz w:val="14"/>
                <w:szCs w:val="14"/>
                <w:b w:val="1"/>
                <w:bCs w:val="1"/>
                <w:color w:val="auto"/>
                <w:w w:val="89"/>
              </w:rPr>
              <w:t>Consolidated Balance Sheets</w:t>
            </w:r>
          </w:p>
        </w:tc>
        <w:tc>
          <w:tcPr>
            <w:tcW w:w="6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Amounts of</w:t>
            </w:r>
          </w:p>
        </w:tc>
        <w:tc>
          <w:tcPr>
            <w:tcW w:w="80" w:type="dxa"/>
            <w:vAlign w:val="bottom"/>
          </w:tcPr>
          <w:p>
            <w:pPr>
              <w:spacing w:after="0"/>
              <w:rPr>
                <w:sz w:val="10"/>
                <w:szCs w:val="10"/>
                <w:color w:val="auto"/>
              </w:rPr>
            </w:pPr>
          </w:p>
        </w:tc>
        <w:tc>
          <w:tcPr>
            <w:tcW w:w="1120" w:type="dxa"/>
            <w:vAlign w:val="bottom"/>
            <w:gridSpan w:val="2"/>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0"/>
                <w:szCs w:val="10"/>
                <w:color w:val="auto"/>
              </w:rPr>
            </w:pPr>
          </w:p>
        </w:tc>
        <w:tc>
          <w:tcPr>
            <w:tcW w:w="1140" w:type="dxa"/>
            <w:vAlign w:val="bottom"/>
            <w:gridSpan w:val="4"/>
          </w:tcPr>
          <w:p>
            <w:pPr>
              <w:jc w:val="center"/>
              <w:ind w:right="4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8"/>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Financial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Collateral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Balance Sheets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Instruments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 xml:space="preserve">Pledged </w:t>
            </w:r>
            <w:r>
              <w:rPr>
                <w:rFonts w:ascii="Arial" w:cs="Arial" w:eastAsia="Arial" w:hAnsi="Arial"/>
                <w:sz w:val="9"/>
                <w:szCs w:val="9"/>
                <w:b w:val="1"/>
                <w:bCs w:val="1"/>
                <w:color w:val="auto"/>
              </w:rPr>
              <w:t>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040" w:type="dxa"/>
            <w:vAlign w:val="bottom"/>
            <w:gridSpan w:val="2"/>
          </w:tcPr>
          <w:p>
            <w:pPr>
              <w:ind w:left="14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9"/>
                <w:szCs w:val="9"/>
                <w:color w:val="auto"/>
              </w:rPr>
              <w:t>1</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69,685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69,685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(63,604)</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69,685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w:t>
            </w:r>
          </w:p>
        </w:tc>
        <w:tc>
          <w:tcPr>
            <w:tcW w:w="40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(63,604)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40" w:type="dxa"/>
            <w:vAlign w:val="bottom"/>
            <w:gridSpan w:val="2"/>
          </w:tcPr>
          <w:p>
            <w:pPr>
              <w:ind w:left="14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9"/>
                <w:szCs w:val="9"/>
                <w:color w:val="auto"/>
              </w:rPr>
              <w:t>1</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40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89,182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89,182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(79,330)</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89,188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40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0" w:name="page21"/>
    <w:bookmarkEnd w:id="20"/>
    <w:p>
      <w:pPr>
        <w:spacing w:after="0"/>
        <w:rPr>
          <w:sz w:val="20"/>
          <w:szCs w:val="20"/>
          <w:color w:val="auto"/>
        </w:rPr>
      </w:pPr>
      <w:r>
        <w:rPr>
          <w:rFonts w:ascii="Arial" w:cs="Arial" w:eastAsia="Arial" w:hAnsi="Arial"/>
          <w:sz w:val="11"/>
          <w:szCs w:val="11"/>
          <w:color w:val="auto"/>
        </w:rPr>
        <w:t>________________________________</w:t>
      </w:r>
    </w:p>
    <w:p>
      <w:pPr>
        <w:ind w:left="660" w:right="1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400" w:hanging="328"/>
        <w:spacing w:after="0" w:line="255"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typically obtain price estimates from multiple third-party pricing services and dealers or, if applicable, the registered clearing exchange. The following is a description of the valuation methodologies used for instruments carried at fair value on a recurring basis.</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U.S. Treasury securities and futures prices </w:t>
      </w:r>
      <w:r>
        <w:rPr>
          <w:rFonts w:ascii="Arial" w:cs="Arial" w:eastAsia="Arial" w:hAnsi="Arial"/>
          <w:sz w:val="18"/>
          <w:szCs w:val="18"/>
          <w:color w:val="auto"/>
        </w:rPr>
        <w:t>- are valued based on quoted prices for identical instruments in active markets and are classified as Level</w:t>
      </w:r>
      <w:r>
        <w:rPr>
          <w:rFonts w:ascii="Arial" w:cs="Arial" w:eastAsia="Arial" w:hAnsi="Arial"/>
          <w:sz w:val="18"/>
          <w:szCs w:val="18"/>
          <w:i w:val="1"/>
          <w:iCs w:val="1"/>
          <w:color w:val="auto"/>
        </w:rPr>
        <w:t xml:space="preserve"> </w:t>
      </w:r>
      <w:r>
        <w:rPr>
          <w:rFonts w:ascii="Arial" w:cs="Arial" w:eastAsia="Arial" w:hAnsi="Arial"/>
          <w:sz w:val="18"/>
          <w:szCs w:val="18"/>
          <w:color w:val="auto"/>
        </w:rPr>
        <w:t>1 assets.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8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are valued using the daily settlement price, or fair value, determined by the clearing exchange based on a pricing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observable market inputs, including current benchmark rates and the forward yield curve.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rate swaptions </w:t>
      </w:r>
      <w:r>
        <w:rPr>
          <w:rFonts w:ascii="Arial" w:cs="Arial" w:eastAsia="Arial" w:hAnsi="Arial"/>
          <w:sz w:val="18"/>
          <w:szCs w:val="18"/>
          <w:color w:val="auto"/>
        </w:rPr>
        <w:t>- are valued using prices obtained from the counterparty and other third-party pricing models. The pricing models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30"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i w:val="1"/>
          <w:iCs w:val="1"/>
          <w:color w:val="auto"/>
        </w:rPr>
        <w:t xml:space="preserve">Investment securities </w:t>
      </w:r>
      <w:r>
        <w:rPr>
          <w:rFonts w:ascii="Arial" w:cs="Arial" w:eastAsia="Arial" w:hAnsi="Arial"/>
          <w:sz w:val="16"/>
          <w:szCs w:val="16"/>
          <w:color w:val="auto"/>
        </w:rPr>
        <w:t>- are valued based on prices obtained from multiple third-party pricing services and non-binding dealer quotes. These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sources utilize various valuation 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1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availability of observable inputs can be affected by a wide variety of factors, including the type of instrument, whether the instrument is new and not yet established in the marketplace and other characteristics particular to the instrument.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markets for interest rate swap, swaption and TBA derivatives and for the investment securities that we invest in are considered to be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 Consequently, we classify these instruments as Level 2 inputs in the fair value hierarchy.</w:t>
      </w:r>
    </w:p>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June 30, 2020 and December 31, 2019, based on their categorization within the valuation hierarchy (in millions). There were no transfers between valuation hierarchy levels during the periods presented.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2020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r>
      <w:tr>
        <w:trPr>
          <w:trHeight w:val="188"/>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197"/>
        </w:trPr>
        <w:tc>
          <w:tcPr>
            <w:tcW w:w="470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75,488</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98,516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8"/>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197"/>
        </w:trPr>
        <w:tc>
          <w:tcPr>
            <w:tcW w:w="470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8"/>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197"/>
        </w:trPr>
        <w:tc>
          <w:tcPr>
            <w:tcW w:w="470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8"/>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197"/>
        </w:trPr>
        <w:tc>
          <w:tcPr>
            <w:tcW w:w="4700" w:type="dxa"/>
            <w:vAlign w:val="bottom"/>
          </w:tcPr>
          <w:p>
            <w:pPr>
              <w:ind w:left="180"/>
              <w:spacing w:after="0"/>
              <w:rPr>
                <w:sz w:val="20"/>
                <w:szCs w:val="20"/>
                <w:color w:val="auto"/>
              </w:rPr>
            </w:pPr>
            <w:r>
              <w:rPr>
                <w:rFonts w:ascii="Arial" w:cs="Arial" w:eastAsia="Arial" w:hAnsi="Arial"/>
                <w:sz w:val="14"/>
                <w:szCs w:val="14"/>
                <w:color w:val="auto"/>
              </w:rPr>
              <w:t>Swaptions</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8"/>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197"/>
        </w:trPr>
        <w:tc>
          <w:tcPr>
            <w:tcW w:w="470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3"/>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02"/>
        </w:trPr>
        <w:tc>
          <w:tcPr>
            <w:tcW w:w="470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77,283</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100,618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700" w:type="dxa"/>
            <w:vAlign w:val="bottom"/>
          </w:tcPr>
          <w:p>
            <w:pPr>
              <w:ind w:left="160"/>
              <w:spacing w:after="0"/>
              <w:rPr>
                <w:sz w:val="20"/>
                <w:szCs w:val="20"/>
                <w:color w:val="auto"/>
              </w:rPr>
            </w:pPr>
            <w:r>
              <w:rPr>
                <w:rFonts w:ascii="Arial" w:cs="Arial" w:eastAsia="Arial" w:hAnsi="Arial"/>
                <w:sz w:val="14"/>
                <w:szCs w:val="14"/>
                <w:color w:val="auto"/>
              </w:rPr>
              <w:t>Debt of consolidated VIEs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163"/>
        </w:trPr>
        <w:tc>
          <w:tcPr>
            <w:tcW w:w="4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4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 agreements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196"/>
        </w:trPr>
        <w:tc>
          <w:tcPr>
            <w:tcW w:w="4700" w:type="dxa"/>
            <w:vAlign w:val="bottom"/>
          </w:tcPr>
          <w:p>
            <w:pPr>
              <w:ind w:left="18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9"/>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196"/>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Excluded from the table above are financial instruments presented in our consolidated financial statements at cost. The fair value of our repurchase agreements approximated cost as of June 30, 2020 and December 31, 2019, as the rates on our outstanding repurchase agreements largely corresponded to prevailing rates observed in the repo market. The fair value of cash and cash equivalents, restricted cash, receivables and other payables were determined to approximate cost as of June 30, 2020 and December 31, 2019 due to their short duration. We estimate the fair value of these instruments carried at cost using "Level 1" or "Level 2"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(Loss) Per Common Share</w:t>
      </w:r>
    </w:p>
    <w:p>
      <w:pPr>
        <w:spacing w:after="0" w:line="25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0" w:type="dxa"/>
            <w:vAlign w:val="bottom"/>
            <w:gridSpan w:val="4"/>
            <w:vMerge w:val="restart"/>
          </w:tcPr>
          <w:p>
            <w:pPr>
              <w:jc w:val="right"/>
              <w:ind w:right="28"/>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common shares issued and outstanding</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537.4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536.9</w:t>
            </w:r>
          </w:p>
        </w:tc>
        <w:tc>
          <w:tcPr>
            <w:tcW w:w="0" w:type="dxa"/>
            <w:vAlign w:val="bottom"/>
          </w:tcPr>
          <w:p>
            <w:pPr>
              <w:spacing w:after="0"/>
              <w:rPr>
                <w:sz w:val="1"/>
                <w:szCs w:val="1"/>
                <w:color w:val="auto"/>
              </w:rPr>
            </w:pPr>
          </w:p>
        </w:tc>
      </w:tr>
      <w:tr>
        <w:trPr>
          <w:trHeight w:val="197"/>
        </w:trPr>
        <w:tc>
          <w:tcPr>
            <w:tcW w:w="6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537.8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537.2</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20"/>
                <w:szCs w:val="20"/>
                <w:color w:val="auto"/>
              </w:rPr>
            </w:pPr>
            <w:r>
              <w:rPr>
                <w:rFonts w:ascii="Arial" w:cs="Arial" w:eastAsia="Arial" w:hAnsi="Arial"/>
                <w:sz w:val="14"/>
                <w:szCs w:val="14"/>
                <w:color w:val="auto"/>
              </w:rPr>
              <w:t>Net income (loss) available (attributable) to common stockholders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 per common share - basic</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20"/>
                <w:szCs w:val="20"/>
                <w:color w:val="auto"/>
              </w:rPr>
            </w:pPr>
            <w:r>
              <w:rPr>
                <w:rFonts w:ascii="Arial" w:cs="Arial" w:eastAsia="Arial" w:hAnsi="Arial"/>
                <w:sz w:val="14"/>
                <w:szCs w:val="14"/>
                <w:color w:val="auto"/>
              </w:rPr>
              <w:t>Net income (loss) per common share - diluted</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2020, 0.8 million and, for the three and six months ended June 30, 2019, 0.6 million of potentially dilutive unvested time and performance based RSUs outstanding were excluded from the computation of diluted net income (loss) per common share because to do so would have been anti-dilutive for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authorized to designate and issue up to 10.0 million shares of preferred stock in one or more classes or series. As of June 30, 2020,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During February 2020, we issued $575 million, or 23,000 shares, of 6.125% Series F Preferred Stock, for net proceeds of $557 million. As of June 30, 2020, 13,000, 9,400, 16,100 and 23,000 shares of Series C, D, E and F Preferred Stock, respectively, were issued and outstanding, with an aggregate carrying value of $1,489 million and aggregate liquidation preference of $1,538 million. Each share of preferred stock is represented by 1,000 depositary shares.</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June 30, 2020 (dollars and shares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Depositary</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Fixed-to-Floating</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Fixed-to-Floating Rate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Issuance</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92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Optional</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Floating</w:t>
            </w:r>
          </w:p>
        </w:tc>
        <w:tc>
          <w:tcPr>
            <w:tcW w:w="0" w:type="dxa"/>
            <w:vAlign w:val="bottom"/>
          </w:tcPr>
          <w:p>
            <w:pPr>
              <w:spacing w:after="0"/>
              <w:rPr>
                <w:sz w:val="1"/>
                <w:szCs w:val="1"/>
                <w:color w:val="auto"/>
              </w:rPr>
            </w:pPr>
          </w:p>
        </w:tc>
      </w:tr>
      <w:tr>
        <w:trPr>
          <w:trHeight w:val="135"/>
        </w:trPr>
        <w:tc>
          <w:tcPr>
            <w:tcW w:w="20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Cumulative Redeemable</w:t>
            </w:r>
          </w:p>
        </w:tc>
        <w:tc>
          <w:tcPr>
            <w:tcW w:w="11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0"/>
              <w:spacing w:after="0" w:line="135"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Redemption</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Conversion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8"/>
              </w:rPr>
              <w:t>Preference</w:t>
            </w: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 xml:space="preserve">Date </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Annual Rate</w:t>
            </w:r>
          </w:p>
        </w:tc>
        <w:tc>
          <w:tcPr>
            <w:tcW w:w="0" w:type="dxa"/>
            <w:vAlign w:val="bottom"/>
          </w:tcPr>
          <w:p>
            <w:pPr>
              <w:spacing w:after="0"/>
              <w:rPr>
                <w:sz w:val="1"/>
                <w:szCs w:val="1"/>
                <w:color w:val="auto"/>
              </w:rPr>
            </w:pPr>
          </w:p>
        </w:tc>
      </w:tr>
      <w:tr>
        <w:trPr>
          <w:trHeight w:val="154"/>
        </w:trPr>
        <w:tc>
          <w:tcPr>
            <w:tcW w:w="20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Series C</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325</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7.000%</w:t>
            </w:r>
          </w:p>
        </w:tc>
        <w:tc>
          <w:tcPr>
            <w:tcW w:w="1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2022</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2022</w:t>
            </w:r>
          </w:p>
        </w:tc>
        <w:tc>
          <w:tcPr>
            <w:tcW w:w="122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2040" w:type="dxa"/>
            <w:vAlign w:val="bottom"/>
            <w:gridSpan w:val="2"/>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93"/>
        </w:trPr>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40" w:type="dxa"/>
            <w:vAlign w:val="bottom"/>
            <w:gridSpan w:val="2"/>
            <w:vMerge w:val="restart"/>
          </w:tcPr>
          <w:p>
            <w:pPr>
              <w:ind w:left="120"/>
              <w:spacing w:after="0"/>
              <w:rPr>
                <w:sz w:val="20"/>
                <w:szCs w:val="20"/>
                <w:color w:val="auto"/>
              </w:rPr>
            </w:pPr>
            <w:r>
              <w:rPr>
                <w:rFonts w:ascii="Arial" w:cs="Arial" w:eastAsia="Arial" w:hAnsi="Arial"/>
                <w:sz w:val="14"/>
                <w:szCs w:val="14"/>
                <w:color w:val="auto"/>
              </w:rPr>
              <w:t>Series D</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March 6, 2019</w:t>
            </w:r>
          </w:p>
        </w:tc>
        <w:tc>
          <w:tcPr>
            <w:tcW w:w="1040" w:type="dxa"/>
            <w:vAlign w:val="bottom"/>
            <w:vMerge w:val="restart"/>
          </w:tcPr>
          <w:p>
            <w:pPr>
              <w:jc w:val="right"/>
              <w:ind w:right="7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4"/>
                <w:szCs w:val="14"/>
                <w:color w:val="auto"/>
              </w:rPr>
              <w:t>235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6.875%</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2024</w:t>
            </w: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20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4.332%</w:t>
            </w:r>
          </w:p>
        </w:tc>
        <w:tc>
          <w:tcPr>
            <w:tcW w:w="0" w:type="dxa"/>
            <w:vAlign w:val="bottom"/>
          </w:tcPr>
          <w:p>
            <w:pPr>
              <w:spacing w:after="0"/>
              <w:rPr>
                <w:sz w:val="1"/>
                <w:szCs w:val="1"/>
                <w:color w:val="auto"/>
              </w:rPr>
            </w:pPr>
          </w:p>
        </w:tc>
      </w:tr>
      <w:tr>
        <w:trPr>
          <w:trHeight w:val="87"/>
        </w:trPr>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Series E</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October 3, 2019</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403</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6.500%</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2024</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2024</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2040" w:type="dxa"/>
            <w:vAlign w:val="bottom"/>
            <w:gridSpan w:val="2"/>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4.993%</w:t>
            </w:r>
          </w:p>
        </w:tc>
        <w:tc>
          <w:tcPr>
            <w:tcW w:w="0" w:type="dxa"/>
            <w:vAlign w:val="bottom"/>
          </w:tcPr>
          <w:p>
            <w:pPr>
              <w:spacing w:after="0"/>
              <w:rPr>
                <w:sz w:val="1"/>
                <w:szCs w:val="1"/>
                <w:color w:val="auto"/>
              </w:rPr>
            </w:pPr>
          </w:p>
        </w:tc>
      </w:tr>
      <w:tr>
        <w:trPr>
          <w:trHeight w:val="93"/>
        </w:trPr>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40" w:type="dxa"/>
            <w:vAlign w:val="bottom"/>
            <w:gridSpan w:val="2"/>
            <w:vMerge w:val="restart"/>
          </w:tcPr>
          <w:p>
            <w:pPr>
              <w:ind w:left="120"/>
              <w:spacing w:after="0"/>
              <w:rPr>
                <w:sz w:val="20"/>
                <w:szCs w:val="20"/>
                <w:color w:val="auto"/>
              </w:rPr>
            </w:pPr>
            <w:r>
              <w:rPr>
                <w:rFonts w:ascii="Arial" w:cs="Arial" w:eastAsia="Arial" w:hAnsi="Arial"/>
                <w:sz w:val="14"/>
                <w:szCs w:val="14"/>
                <w:color w:val="auto"/>
              </w:rPr>
              <w:t>Series F</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February 11, 2020</w:t>
            </w:r>
          </w:p>
        </w:tc>
        <w:tc>
          <w:tcPr>
            <w:tcW w:w="1040" w:type="dxa"/>
            <w:vAlign w:val="bottom"/>
            <w:vMerge w:val="restart"/>
          </w:tcPr>
          <w:p>
            <w:pPr>
              <w:jc w:val="right"/>
              <w:ind w:right="70"/>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4"/>
                <w:szCs w:val="14"/>
                <w:color w:val="auto"/>
              </w:rPr>
              <w:t>575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6.125%</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2025</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2025</w:t>
            </w: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20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4.697%</w:t>
            </w:r>
          </w:p>
        </w:tc>
        <w:tc>
          <w:tcPr>
            <w:tcW w:w="0" w:type="dxa"/>
            <w:vAlign w:val="bottom"/>
          </w:tcPr>
          <w:p>
            <w:pPr>
              <w:spacing w:after="0"/>
              <w:rPr>
                <w:sz w:val="1"/>
                <w:szCs w:val="1"/>
                <w:color w:val="auto"/>
              </w:rPr>
            </w:pPr>
          </w:p>
        </w:tc>
      </w:tr>
      <w:tr>
        <w:trPr>
          <w:trHeight w:val="87"/>
        </w:trPr>
        <w:tc>
          <w:tcPr>
            <w:tcW w:w="19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2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1,489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1,538</w:t>
            </w: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six months ended June 30, 2020, we sold 26.7 million shares of our common stock under the sales agreements for proceeds of $439 million, or $16.46 per common share, net of offering costs. As of June 30, 2020, shares of our common stock with an aggregate offering price of $26 million remained authorized for issuance under this program through June 14,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right="20" w:firstLine="405"/>
        <w:spacing w:after="0" w:line="301" w:lineRule="auto"/>
        <w:rPr>
          <w:sz w:val="20"/>
          <w:szCs w:val="20"/>
          <w:color w:val="auto"/>
        </w:rPr>
      </w:pPr>
      <w:r>
        <w:rPr>
          <w:rFonts w:ascii="Arial" w:cs="Arial" w:eastAsia="Arial" w:hAnsi="Arial"/>
          <w:sz w:val="16"/>
          <w:szCs w:val="16"/>
          <w:color w:val="auto"/>
        </w:rPr>
        <w:t>From time-to-time we are authorized by our Board of Directors to repurchase shares of our common stock under certain conditions. In July 2019, our Board of Directors authorized the repurchase of up to $1 billion of our outstanding shares of common stock through December 31, 2020. During the three and six months ended June 30, 2020, we repurchased 12.2 million shares, or $147 million, of our common stock for an average repurchase price of $11.99 per common share, inclusive of transaction costs. As of June 30, 2020, we had $750 million of common stock remaining available for repurchase.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and six months ended June 30, 2020 and 2019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86"/>
        </w:trPr>
        <w:tc>
          <w:tcPr>
            <w:tcW w:w="7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340"/>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209"/>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57"/>
        </w:trPr>
        <w:tc>
          <w:tcPr>
            <w:tcW w:w="740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9"/>
              </w:rPr>
              <w:t>Net loss amounts for available-for-sale securities reclassified from accumulated OCI to realized gain (loss) on sale of</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investment securities, net</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7"/>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 Declaration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9, 2020, our Board of Directors declared a monthly dividend of $0.12 per common share payable on August 11, 2020 to common stockholders of record as of July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2020. Our MD&amp;A is presented in six sections:</w:t>
      </w:r>
    </w:p>
    <w:p>
      <w:pPr>
        <w:spacing w:after="0" w:line="6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an internally 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also invest in other types of mortgage and mortgage-related residential and commercial mortgage-backed securities where repayment of principal and interest is not guaranteed by a GSE or U.S. Government agency and in other investments in, or related to, the housing, mortgage or real estate markets.</w:t>
      </w:r>
    </w:p>
    <w:p>
      <w:pPr>
        <w:spacing w:after="0" w:line="14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March 11, 2020, the World Health Organization declared COVID-19 a global pandemic (the "Pandemic"), with President Trump declaring the health crisis a national emergency shortly thereafter on March 13, 2020. Stay-at-home orders, school closures and widespread business shutdowns adversely affected worldwide economies and sparked concerns that containment measures could lead to severe unemployment and a contraction of U.S. gross domestic product output at rates not experienced since the Great Depression. The ensuing financial market turmoil had a material negative impact on our business and financial results for the first quarter, resulting in a first quarter economic loss on our tangible common equity of -20.2%.</w:t>
      </w:r>
    </w:p>
    <w:p>
      <w:pPr>
        <w:spacing w:after="0" w:line="10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Market conditions improved considerably during the second quarter, as unprecedented monetary and fiscal stimulus drove a broad rebound in most asset categories. Market liquidity improved substantially after declining to unprecedented levels in March. Equity markets retraced much of their March decline, and credit spreads for most fixed income products recovered a substantial portion of their first quarter widening.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ind w:firstLine="405"/>
        <w:spacing w:after="0" w:line="272" w:lineRule="auto"/>
        <w:rPr>
          <w:sz w:val="20"/>
          <w:szCs w:val="20"/>
          <w:color w:val="auto"/>
        </w:rPr>
      </w:pPr>
      <w:r>
        <w:rPr>
          <w:rFonts w:ascii="Arial" w:cs="Arial" w:eastAsia="Arial" w:hAnsi="Arial"/>
          <w:sz w:val="17"/>
          <w:szCs w:val="17"/>
          <w:color w:val="auto"/>
        </w:rPr>
        <w:t>Since the peak of the financial crisis in March, the Federal Reserve’s ongoing purchases of Agency RMBS have been supportive of the Agency mortgage market. The performance of Agency RMBS, however, was somewhat mixed during the second quarter. Lower coupon generic Agency RMBS outperformed higher coupon generic securities, with the latter being negatively impacted by elevated prepayment concerns. Meanwhile, specified Agency RMBS significantly outperformed generic securities as specified pool "pay-up" values recovered a substantial portion of their March decline, which was the primary driver of the increase in our tangible net book value for the second quarter. For the second quarter, our tangible net book value increased 9.5% to $14.92 per common share as of June 30, 2020, from $13.62 per common share as of March 31, 2020. Including dividends per common share, our economic return on tangible common equity was 12.2% for the second quarter.</w:t>
      </w:r>
    </w:p>
    <w:p>
      <w:pPr>
        <w:spacing w:after="0" w:line="1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After a steep drop in rates during the first quarter, interest rate volatility was muted during the second quarter. The 10-year U.S. Treasury rate ended the second quarter nearly unchanged from March 31, 2020, while the short end of the yield curve shifted lower as the U.S. Federal Reserve communicated its intention to hold the federal funds rate near zero for several years.</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Contrary to earlier expectations and despite widespread Pandemic related lockdowns and social distancing measures, refinancing activity and housing turnover were robust during the second quarter and led to a significant increase in prepayment rates for the quarter. Our weighted average portfolio CPR increased to 19.9% for the second quarter, compared to 12.2% for the first quarter, while our weighted average projected CPR for the remaining life of our securities increased to 16.6% as of June 30, 2020, from 14.5% as of March 31, 2020 and 10.8% as of December 31, 2019, as mortgage rates declined to historically low levels during the quarter.</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second quarter, we reduced our holdings of higher quality specified pools after their relative outperformance earlier in the quarter and we reduced our holdings of higher coupon, generic RMBS in favor of lower coupon, new production Agency RMBS. We also shifted a larger portion of our holdings from 30-year to 15-year fixed rate Agency RMBS. As of June 30, 2020, the weighted average coupon on our fixed rate securities, inclusive of TBA securities, was 3.40%, compared to 3.62% as of March 31, 2020 and 3.60% as of December 31, 2019. Additionally, the combination of heavy origination volume and large-scale Fed purchases during the second quarter favored the TBA dollar roll market. With implied financing rates in the dollar roll market well below comparable repo levels for most coupons, we increased our average TBA position to $15.7 billion for the second quarter, from $7.5 billion for the first quarter. As of June 30, 2020, our net TBA position totaled $20.5 billion.</w:t>
      </w:r>
    </w:p>
    <w:p>
      <w:pPr>
        <w:spacing w:after="0" w:line="12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repo markets continued to perform very well during the second quarter. The Fed’s open market repo operations, strong demand for Agency RMBS collateral and the Fed’s apparent willingness to keep the fed funds rate near the zero bound range, have led to a meaningful repricing of repo across all tenors. As a result, our weighted average repo rate for the second quarter declined to 0.766% from 1.80% for the first quarter, and our weighted average repo rate as of June 30, 2020 declined to 0.41%, as an increasing portion of our repo have reset to lower prevailing rates.</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With our near-term hedging requirements somewhat lower given the shorter duration of our assets and muted interest rate volatility, our interest rate hedge position decreased to 66% of our funding liabilities, inclusive of our net TBA position (at cost), as of June 30, 2020, compared to 70% as of March 31, 2020 and 102% as of December 31, 2019. With swap rates declining to historically low levels, we have also continued to adjust the composition of our interest rate swap portfolio, terminating shorter-term swaps and replacing them with longer-dated swaps. The average pay rate on our interest rate swaps decreased to 0.39% as of June 30, 2020, from 0.94% as of March 31, 2020 and 1.29% as of December 31, 2019, while the average maturity of our interest rate swap portfolio increased to 5.1 years as of June 30, 2020, from 4.5 years as of March 31, 2020 and 2.7 years as of December 31, 2019. Our duration gap, which is a measure of the difference between the interest rate sensitivity of our assets and liabilities, inclusive of interest rate hedges, was -0.1 year as of June 30, 2020, compared to 0.0 and 0.4 years, as of March 31, 2020 and December 31, 2019, respectively.</w:t>
      </w:r>
    </w:p>
    <w:p>
      <w:pPr>
        <w:spacing w:after="0" w:line="11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aggregate cost of funds for the second quarter, inclusive of TBA implied financing rates and interest rate swaps, decreased to 0.88%, from 1.67% for the first quarter, more than offsetting lower asset yields. Our net interest spread, inclusive of TBAs and swaps and excluding catch-up premium amortization, increased to 1.68% for the second quarter, from 1.30% for the first quarter. The improvement in our net interest margin offset the decline in our average portfolio balance and tangible leverage for the second quarter, driving the slight increase in our net spread and dollar roll income to $0.58 per common share for the second quarter, excluding catch-up amortization, compared to $0.57 per common share for the first quarter.</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average leverage for the second quarter declined to 8.8x tangible equity, compared to 9.9x for the first quarter. As of June 30, 2020, our leverage was 9.2x tangible equity, compared to 9.4x as of March 31, 2020 and December 31, 2019. Following the actions we took during the first quarter to prioritize liquidity and risk management, our liquidity position remained strong during the second quarter with cash and unencumbered Agency RMBS totaling $4.5 billion as of June 30, 2020, which excludes unencumbered CRT and non-Agency securities as well as assets held at our broker-dealer subsidiary Bethesda Securities, LLC.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jc w:val="both"/>
        <w:ind w:firstLine="405"/>
        <w:spacing w:after="0" w:line="255" w:lineRule="auto"/>
        <w:rPr>
          <w:sz w:val="20"/>
          <w:szCs w:val="20"/>
          <w:color w:val="auto"/>
        </w:rPr>
      </w:pPr>
      <w:r>
        <w:rPr>
          <w:rFonts w:ascii="Arial" w:cs="Arial" w:eastAsia="Arial" w:hAnsi="Arial"/>
          <w:sz w:val="18"/>
          <w:szCs w:val="18"/>
          <w:color w:val="auto"/>
        </w:rPr>
        <w:t>As we look ahead, we believe liquidity concerns during the first quarter have given way to fundamental performance metrics. Although prepayments are likely to somewhat negatively impact earnings, the broad availability of funding at rates near zero and muted interest rate volatility are positives for our business, and we expect the earnings environment for Agency RMBS to remain favorable for the foreseeable future despite the ongoing economic uncertainties associated with the COVID-19 pandemic. Nonetheless, longer-term risks remain, and you should carefully review our Risk Factors and additional information regarding our interest rate and spread sensitivity in our Quantitative and Qualitative Disclosures about Market Risk located in this Form 10-Q.</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June 30, 2020</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35"/>
        </w:trPr>
        <w:tc>
          <w:tcPr>
            <w:tcW w:w="41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9"/>
                <w:szCs w:val="9"/>
                <w:b w:val="1"/>
                <w:bCs w:val="1"/>
                <w:color w:val="auto"/>
              </w:rPr>
              <w:t>1</w:t>
            </w:r>
          </w:p>
        </w:tc>
        <w:tc>
          <w:tcPr>
            <w:tcW w:w="160" w:type="dxa"/>
            <w:vAlign w:val="bottom"/>
            <w:vMerge w:val="restart"/>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76"/>
              </w:rPr>
              <w:t>vs</w:t>
            </w:r>
          </w:p>
        </w:tc>
        <w:tc>
          <w:tcPr>
            <w:tcW w:w="460" w:type="dxa"/>
            <w:vAlign w:val="bottom"/>
          </w:tcPr>
          <w:p>
            <w:pPr>
              <w:spacing w:after="0"/>
              <w:rPr>
                <w:sz w:val="11"/>
                <w:szCs w:val="11"/>
                <w:color w:val="auto"/>
              </w:rPr>
            </w:pPr>
          </w:p>
        </w:tc>
        <w:tc>
          <w:tcPr>
            <w:tcW w:w="660" w:type="dxa"/>
            <w:vAlign w:val="bottom"/>
          </w:tcPr>
          <w:p>
            <w:pPr>
              <w:jc w:val="center"/>
              <w:ind w:right="388"/>
              <w:spacing w:after="0" w:line="13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88"/>
        </w:trPr>
        <w:tc>
          <w:tcPr>
            <w:tcW w:w="4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 31, 2020</w:t>
            </w: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 31, 2019</w:t>
            </w: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2.50%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2.00%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1.75%</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-150</w:t>
            </w:r>
          </w:p>
        </w:tc>
        <w:tc>
          <w:tcPr>
            <w:tcW w:w="66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LIBOR: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60" w:type="dxa"/>
            <w:vAlign w:val="bottom"/>
            <w:gridSpan w:val="2"/>
          </w:tcPr>
          <w:p>
            <w:pPr>
              <w:ind w:left="180"/>
              <w:spacing w:after="0"/>
              <w:rPr>
                <w:sz w:val="20"/>
                <w:szCs w:val="20"/>
                <w:color w:val="auto"/>
              </w:rPr>
            </w:pPr>
            <w:r>
              <w:rPr>
                <w:rFonts w:ascii="Arial" w:cs="Arial" w:eastAsia="Arial" w:hAnsi="Arial"/>
                <w:sz w:val="14"/>
                <w:szCs w:val="14"/>
                <w:color w:val="auto"/>
              </w:rPr>
              <w:t>1-Month</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2.40%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2.02%</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1.76%</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0.16%</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-83</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-160</w:t>
            </w:r>
          </w:p>
        </w:tc>
        <w:tc>
          <w:tcPr>
            <w:tcW w:w="66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8"/>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3-Month</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7"/>
        </w:trPr>
        <w:tc>
          <w:tcPr>
            <w:tcW w:w="426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1.54%</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1.69%</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0.38%</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0.29%</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-140</w:t>
            </w:r>
          </w:p>
        </w:tc>
        <w:tc>
          <w:tcPr>
            <w:tcW w:w="66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8"/>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7"/>
        </w:trPr>
        <w:tc>
          <w:tcPr>
            <w:tcW w:w="426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2.11%</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1.32%</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1.41%</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-98</w:t>
            </w:r>
          </w:p>
        </w:tc>
        <w:tc>
          <w:tcPr>
            <w:tcW w:w="66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Rate Swap Rate: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1.81%</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1.63%</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1.70%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0.49%</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0.23%</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-147</w:t>
            </w:r>
          </w:p>
        </w:tc>
        <w:tc>
          <w:tcPr>
            <w:tcW w:w="66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8"/>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7"/>
        </w:trPr>
        <w:tc>
          <w:tcPr>
            <w:tcW w:w="426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1.96%</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1.56%</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1.90%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0.72%</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0.64%</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-126</w:t>
            </w:r>
          </w:p>
        </w:tc>
        <w:tc>
          <w:tcPr>
            <w:tcW w:w="66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8"/>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$99.36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$99.55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$103.59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+$0.67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+$5.37</w:t>
            </w:r>
          </w:p>
        </w:tc>
        <w:tc>
          <w:tcPr>
            <w:tcW w:w="0" w:type="dxa"/>
            <w:vAlign w:val="bottom"/>
          </w:tcPr>
          <w:p>
            <w:pPr>
              <w:spacing w:after="0"/>
              <w:rPr>
                <w:sz w:val="1"/>
                <w:szCs w:val="1"/>
                <w:color w:val="auto"/>
              </w:rPr>
            </w:pPr>
          </w:p>
        </w:tc>
      </w:tr>
      <w:tr>
        <w:trPr>
          <w:trHeight w:val="196"/>
        </w:trPr>
        <w:tc>
          <w:tcPr>
            <w:tcW w:w="410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$100.84</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$101.51</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$101.42</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$104.83</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$105.33</w:t>
            </w:r>
          </w:p>
        </w:tc>
        <w:tc>
          <w:tcPr>
            <w:tcW w:w="1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2"/>
              </w:rPr>
              <w:t>+$0.50</w:t>
            </w:r>
          </w:p>
        </w:tc>
        <w:tc>
          <w:tcPr>
            <w:tcW w:w="1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+$3.91</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$102.24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$105.70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$105.18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+$2.32</w:t>
            </w:r>
          </w:p>
        </w:tc>
        <w:tc>
          <w:tcPr>
            <w:tcW w:w="0" w:type="dxa"/>
            <w:vAlign w:val="bottom"/>
          </w:tcPr>
          <w:p>
            <w:pPr>
              <w:spacing w:after="0"/>
              <w:rPr>
                <w:sz w:val="1"/>
                <w:szCs w:val="1"/>
                <w:color w:val="auto"/>
              </w:rPr>
            </w:pPr>
          </w:p>
        </w:tc>
      </w:tr>
      <w:tr>
        <w:trPr>
          <w:trHeight w:val="197"/>
        </w:trPr>
        <w:tc>
          <w:tcPr>
            <w:tcW w:w="410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$103.36</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$103.77</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$104.01</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$106.67</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$105.98</w:t>
            </w:r>
          </w:p>
        </w:tc>
        <w:tc>
          <w:tcPr>
            <w:tcW w:w="1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-$0.69</w:t>
            </w:r>
          </w:p>
        </w:tc>
        <w:tc>
          <w:tcPr>
            <w:tcW w:w="1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+$1.97</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$105.29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$105.29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$107.47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$107.46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+$2.17</w:t>
            </w: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$100.67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$103.72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+$0.98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+$3.79</w:t>
            </w:r>
          </w:p>
        </w:tc>
        <w:tc>
          <w:tcPr>
            <w:tcW w:w="0" w:type="dxa"/>
            <w:vAlign w:val="bottom"/>
          </w:tcPr>
          <w:p>
            <w:pPr>
              <w:spacing w:after="0"/>
              <w:rPr>
                <w:sz w:val="1"/>
                <w:szCs w:val="1"/>
                <w:color w:val="auto"/>
              </w:rPr>
            </w:pPr>
          </w:p>
        </w:tc>
      </w:tr>
      <w:tr>
        <w:trPr>
          <w:trHeight w:val="197"/>
        </w:trPr>
        <w:tc>
          <w:tcPr>
            <w:tcW w:w="410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$101.95</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$102.21</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$102.50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$104.61</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$105.09</w:t>
            </w:r>
          </w:p>
        </w:tc>
        <w:tc>
          <w:tcPr>
            <w:tcW w:w="1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2"/>
              </w:rPr>
              <w:t>+$0.48</w:t>
            </w:r>
          </w:p>
        </w:tc>
        <w:tc>
          <w:tcPr>
            <w:tcW w:w="1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+$2.59</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$103.42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$103.69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$105.19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-$0.13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+$1.37</w:t>
            </w:r>
          </w:p>
        </w:tc>
        <w:tc>
          <w:tcPr>
            <w:tcW w:w="0" w:type="dxa"/>
            <w:vAlign w:val="bottom"/>
          </w:tcPr>
          <w:p>
            <w:pPr>
              <w:spacing w:after="0"/>
              <w:rPr>
                <w:sz w:val="1"/>
                <w:szCs w:val="1"/>
                <w:color w:val="auto"/>
              </w:rPr>
            </w:pPr>
          </w:p>
        </w:tc>
      </w:tr>
      <w:tr>
        <w:trPr>
          <w:trHeight w:val="191"/>
        </w:trPr>
        <w:tc>
          <w:tcPr>
            <w:tcW w:w="410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$103.84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$104.08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$104.28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$105.56</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$105.75</w:t>
            </w:r>
          </w:p>
        </w:tc>
        <w:tc>
          <w:tcPr>
            <w:tcW w:w="18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2"/>
              </w:rPr>
              <w:t>+$0.19</w:t>
            </w:r>
          </w:p>
        </w:tc>
        <w:tc>
          <w:tcPr>
            <w:tcW w:w="16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+$1.47</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5" w:lineRule="exact"/>
        <w:rPr>
          <w:sz w:val="20"/>
          <w:szCs w:val="20"/>
          <w:color w:val="auto"/>
        </w:rPr>
      </w:pPr>
    </w:p>
    <w:p>
      <w:pPr>
        <w:ind w:left="660" w:hanging="328"/>
        <w:spacing w:after="0" w:line="273"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June 30, 2020 and December 31, 2019, our investment portfolio consisted of $77.1 billion and $100.4 billion of investment securities, at fair value, respectively, and $20.5 billion and $7.4 billion of TBA securities, at fair value, respectively. The following table is a summary of our investment portfolio as of June 30, 2020 and December 31, 2019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96"/>
              </w:rPr>
              <w:t>December 31, 2019</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Coupon</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Coupon</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6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4,391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9"/>
                <w:szCs w:val="9"/>
                <w:color w:val="auto"/>
              </w:rPr>
              <w:t>1</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7,636</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2,226</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12,027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8,465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376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2,786</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5"/>
        </w:trPr>
        <w:tc>
          <w:tcPr>
            <w:tcW w:w="37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6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1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64,932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67,988</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89,483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91,062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9"/>
                <w:szCs w:val="9"/>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12,812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12,907</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5,203</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77,744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80,895</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94,665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96,265</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92,298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95,708</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103,779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105,503</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CMO Agency RMBS: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CMO</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3.39 %</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3.44 %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6"/>
        </w:trPr>
        <w:tc>
          <w:tcPr>
            <w:tcW w:w="3760" w:type="dxa"/>
            <w:vAlign w:val="bottom"/>
            <w:gridSpan w:val="2"/>
          </w:tcPr>
          <w:p>
            <w:pPr>
              <w:ind w:left="260"/>
              <w:spacing w:after="0"/>
              <w:rPr>
                <w:sz w:val="20"/>
                <w:szCs w:val="20"/>
                <w:color w:val="auto"/>
              </w:rPr>
            </w:pPr>
            <w:r>
              <w:rPr>
                <w:rFonts w:ascii="Arial" w:cs="Arial" w:eastAsia="Arial" w:hAnsi="Arial"/>
                <w:sz w:val="14"/>
                <w:szCs w:val="14"/>
                <w:color w:val="auto"/>
              </w:rPr>
              <w:t>Interest-only strips</w:t>
            </w:r>
          </w:p>
        </w:tc>
        <w:tc>
          <w:tcPr>
            <w:tcW w:w="1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Principal-only strips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CMO Agency RMBS</w:t>
            </w: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493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536</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92,917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96,375</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104,563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106,316</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8"/>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4.20 %</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712</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7"/>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portfolio</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94,241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97,686</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106,074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107,871</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4"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As of June 30, 2020, 30-year TBA securities consisted of $12.9 billion long and $(26.0) million short TBA securities (at fair value) at an average coupon of 2.59% and 2.50%, respectively, and 15-year TBA securities consisted of entirely long TBA securities at an average coupon of 2.11%. As of December 31, 2019, 30-year TBA securities consisted of $6.8 billion long and $(1.6) billion short TBA securities at an average coupon of 3.17% and 4.00%, respectively, and 15-year TBA securities consisted entirely of long TBA securities at an average coupon of 2.91%. For further details of our TBA securities held as of each date refer to Note 6 of the accompanying consolidated financial statements.</w:t>
      </w:r>
    </w:p>
    <w:p>
      <w:pPr>
        <w:spacing w:after="0" w:line="1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June 30, 2020 and December 31, 2019, our TBA positions had a net carrying value of $130 million and $25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2020 and December 31, 2019, the weighted average yield on our investment securities (excluding TBA securities) was 2.64% and 3.07%,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ind w:left="46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June 30, 2020</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Excludes Net TBA Position</w:t>
            </w:r>
          </w:p>
        </w:tc>
        <w:tc>
          <w:tcPr>
            <w:tcW w:w="880" w:type="dxa"/>
            <w:vAlign w:val="bottom"/>
            <w:tcBorders>
              <w:bottom w:val="single" w:sz="8" w:color="auto"/>
            </w:tcBorders>
          </w:tcPr>
          <w:p>
            <w:pPr>
              <w:spacing w:after="0"/>
              <w:rPr>
                <w:sz w:val="17"/>
                <w:szCs w:val="17"/>
                <w:color w:val="auto"/>
              </w:rPr>
            </w:pPr>
          </w:p>
        </w:tc>
      </w:tr>
      <w:tr>
        <w:trPr>
          <w:trHeight w:val="196"/>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Amortized</w:t>
            </w:r>
          </w:p>
        </w:tc>
        <w:tc>
          <w:tcPr>
            <w:tcW w:w="6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Projected</w:t>
            </w:r>
          </w:p>
        </w:tc>
      </w:tr>
      <w:tr>
        <w:trPr>
          <w:trHeight w:val="20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9"/>
                <w:szCs w:val="9"/>
                <w:b w:val="1"/>
                <w:bCs w:val="1"/>
                <w:color w:val="auto"/>
              </w:rPr>
              <w:t>2</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9"/>
                <w:szCs w:val="9"/>
                <w:b w:val="1"/>
                <w:bCs w:val="1"/>
                <w:color w:val="auto"/>
              </w:rPr>
              <w:t>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Age (Months)</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CPR </w:t>
            </w:r>
            <w:r>
              <w:rPr>
                <w:rFonts w:ascii="Arial" w:cs="Arial" w:eastAsia="Arial" w:hAnsi="Arial"/>
                <w:sz w:val="9"/>
                <w:szCs w:val="9"/>
                <w:b w:val="1"/>
                <w:bCs w:val="1"/>
                <w:color w:val="auto"/>
                <w:w w:val="93"/>
              </w:rPr>
              <w:t>3</w:t>
            </w:r>
          </w:p>
        </w:tc>
      </w:tr>
      <w:tr>
        <w:trPr>
          <w:trHeight w:val="19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6"/>
        </w:trPr>
        <w:tc>
          <w:tcPr>
            <w:tcW w:w="2420" w:type="dxa"/>
            <w:vAlign w:val="bottom"/>
            <w:gridSpan w:val="2"/>
          </w:tcPr>
          <w:p>
            <w:pPr>
              <w:ind w:left="24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6,081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r>
      <w:tr>
        <w:trPr>
          <w:trHeight w:val="197"/>
        </w:trPr>
        <w:tc>
          <w:tcPr>
            <w:tcW w:w="2300" w:type="dxa"/>
            <w:vAlign w:val="bottom"/>
          </w:tcPr>
          <w:p>
            <w:pPr>
              <w:ind w:left="34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1,751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3.11%</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1.48%</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17%</w:t>
            </w: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3.55%</w:t>
            </w:r>
          </w:p>
        </w:tc>
        <w:tc>
          <w:tcPr>
            <w:tcW w:w="8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2.50%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r>
      <w:tr>
        <w:trPr>
          <w:trHeight w:val="197"/>
        </w:trPr>
        <w:tc>
          <w:tcPr>
            <w:tcW w:w="2300" w:type="dxa"/>
            <w:vAlign w:val="bottom"/>
          </w:tcPr>
          <w:p>
            <w:pPr>
              <w:ind w:left="3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1,567</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102.2%</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4.03%</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2.81%</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14%</w:t>
            </w: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4.60%</w:t>
            </w:r>
          </w:p>
        </w:tc>
        <w:tc>
          <w:tcPr>
            <w:tcW w:w="8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3.00%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16%</w:t>
            </w:r>
          </w:p>
        </w:tc>
      </w:tr>
      <w:tr>
        <w:trPr>
          <w:trHeight w:val="197"/>
        </w:trPr>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 4.5%</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97%</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103.1%</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4.89%</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2.98%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118</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16%</w:t>
            </w:r>
          </w:p>
        </w:tc>
      </w:tr>
      <w:tr>
        <w:trPr>
          <w:trHeight w:val="202"/>
        </w:trPr>
        <w:tc>
          <w:tcPr>
            <w:tcW w:w="2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 15-year</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3.94%</w:t>
            </w:r>
          </w:p>
        </w:tc>
        <w:tc>
          <w:tcPr>
            <w:tcW w:w="8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2.64%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14%</w:t>
            </w:r>
          </w:p>
        </w:tc>
      </w:tr>
      <w:tr>
        <w:trPr>
          <w:trHeight w:val="177"/>
        </w:trPr>
        <w:tc>
          <w:tcPr>
            <w:tcW w:w="2420" w:type="dxa"/>
            <w:vAlign w:val="bottom"/>
            <w:gridSpan w:val="2"/>
          </w:tcPr>
          <w:p>
            <w:pPr>
              <w:ind w:left="220"/>
              <w:spacing w:after="0"/>
              <w:rPr>
                <w:sz w:val="20"/>
                <w:szCs w:val="20"/>
                <w:color w:val="auto"/>
              </w:rPr>
            </w:pPr>
            <w:r>
              <w:rPr>
                <w:rFonts w:ascii="Arial" w:cs="Arial" w:eastAsia="Arial" w:hAnsi="Arial"/>
                <w:sz w:val="14"/>
                <w:szCs w:val="14"/>
                <w:color w:val="auto"/>
              </w:rPr>
              <w:t>20-year:</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3.37%</w:t>
            </w:r>
          </w:p>
        </w:tc>
        <w:tc>
          <w:tcPr>
            <w:tcW w:w="8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24%</w:t>
            </w:r>
          </w:p>
        </w:tc>
      </w:tr>
      <w:tr>
        <w:trPr>
          <w:trHeight w:val="197"/>
        </w:trPr>
        <w:tc>
          <w:tcPr>
            <w:tcW w:w="2300" w:type="dxa"/>
            <w:vAlign w:val="bottom"/>
          </w:tcPr>
          <w:p>
            <w:pPr>
              <w:ind w:left="34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104.9%</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3.81%</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0.98%</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28%</w:t>
            </w: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2.94%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15%</w:t>
            </w:r>
          </w:p>
        </w:tc>
      </w:tr>
      <w:tr>
        <w:trPr>
          <w:trHeight w:val="196"/>
        </w:trPr>
        <w:tc>
          <w:tcPr>
            <w:tcW w:w="2300" w:type="dxa"/>
            <w:vAlign w:val="bottom"/>
          </w:tcPr>
          <w:p>
            <w:pPr>
              <w:ind w:left="34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103.1%</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4.45%</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3.08%</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17%</w:t>
            </w:r>
          </w:p>
        </w:tc>
      </w:tr>
      <w:tr>
        <w:trPr>
          <w:trHeight w:val="203"/>
        </w:trPr>
        <w:tc>
          <w:tcPr>
            <w:tcW w:w="24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 4.5%</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104.5%</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5.01%</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3.16%</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17%</w:t>
            </w:r>
          </w:p>
        </w:tc>
      </w:tr>
      <w:tr>
        <w:trPr>
          <w:trHeight w:val="196"/>
        </w:trPr>
        <w:tc>
          <w:tcPr>
            <w:tcW w:w="2420" w:type="dxa"/>
            <w:vAlign w:val="bottom"/>
            <w:gridSpan w:val="2"/>
          </w:tcPr>
          <w:p>
            <w:pPr>
              <w:ind w:left="220"/>
              <w:spacing w:after="0"/>
              <w:rPr>
                <w:sz w:val="20"/>
                <w:szCs w:val="20"/>
                <w:color w:val="auto"/>
              </w:rPr>
            </w:pPr>
            <w:r>
              <w:rPr>
                <w:rFonts w:ascii="Arial" w:cs="Arial" w:eastAsia="Arial" w:hAnsi="Arial"/>
                <w:sz w:val="14"/>
                <w:szCs w:val="14"/>
                <w:color w:val="auto"/>
              </w:rPr>
              <w:t>Total 20-year:</w:t>
            </w: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2,642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2,786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103.8%</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3.66%</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1.56%</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23%</w:t>
            </w:r>
          </w:p>
        </w:tc>
      </w:tr>
      <w:tr>
        <w:trPr>
          <w:trHeight w:val="189"/>
        </w:trPr>
        <w:tc>
          <w:tcPr>
            <w:tcW w:w="24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30-year:</w:t>
            </w: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196"/>
        </w:trPr>
        <w:tc>
          <w:tcPr>
            <w:tcW w:w="2420" w:type="dxa"/>
            <w:vAlign w:val="bottom"/>
            <w:gridSpan w:val="2"/>
          </w:tcPr>
          <w:p>
            <w:pPr>
              <w:ind w:left="340"/>
              <w:spacing w:after="0"/>
              <w:rPr>
                <w:sz w:val="20"/>
                <w:szCs w:val="20"/>
                <w:color w:val="auto"/>
              </w:rPr>
            </w:pPr>
            <w:r>
              <w:rPr>
                <w:rFonts w:ascii="Arial" w:cs="Arial" w:eastAsia="Arial" w:hAnsi="Arial"/>
                <w:sz w:val="14"/>
                <w:szCs w:val="14"/>
                <w:color w:val="auto"/>
              </w:rPr>
              <w:t>≤ 2.5%</w:t>
            </w: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15,102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15,583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15,716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103.4%</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3.41%</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1.65%</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18%</w:t>
            </w:r>
          </w:p>
        </w:tc>
      </w:tr>
      <w:tr>
        <w:trPr>
          <w:trHeight w:val="209"/>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8,369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3.80%</w:t>
            </w:r>
          </w:p>
        </w:tc>
        <w:tc>
          <w:tcPr>
            <w:tcW w:w="8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1.95%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19%</w:t>
            </w:r>
          </w:p>
        </w:tc>
      </w:tr>
      <w:tr>
        <w:trPr>
          <w:trHeight w:val="196"/>
        </w:trPr>
        <w:tc>
          <w:tcPr>
            <w:tcW w:w="2300" w:type="dxa"/>
            <w:vAlign w:val="bottom"/>
          </w:tcPr>
          <w:p>
            <w:pPr>
              <w:ind w:left="3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17,594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18,334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19,167</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104.2%</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4.07%</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2.54%</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14%</w:t>
            </w: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25,723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2.90%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16%</w:t>
            </w:r>
          </w:p>
        </w:tc>
      </w:tr>
      <w:tr>
        <w:trPr>
          <w:trHeight w:val="196"/>
        </w:trPr>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 4.5%</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10,646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11,189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11,920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98%</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105.1%</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5.00%</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3.19%</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32</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18%</w:t>
            </w:r>
          </w:p>
        </w:tc>
      </w:tr>
      <w:tr>
        <w:trPr>
          <w:trHeight w:val="196"/>
        </w:trPr>
        <w:tc>
          <w:tcPr>
            <w:tcW w:w="2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30-year</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74,618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77,744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80,895</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2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104.3%</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4.32%</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2.66%</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39</w:t>
            </w:r>
          </w:p>
        </w:tc>
        <w:tc>
          <w:tcPr>
            <w:tcW w:w="1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17%</w:t>
            </w:r>
          </w:p>
        </w:tc>
      </w:tr>
      <w:tr>
        <w:trPr>
          <w:trHeight w:val="202"/>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88,748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92,298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95,708</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104.2%</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4.27%</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2.61%</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17%</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June 30, 2020, lower balance specified pools had a weighted average original loan balance of $118,000 and $118,000 for 15-year and 30-year securities, respectively, and HARP pools had a weighted average original LTV of 126%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Excludes Net TBA Position</w:t>
            </w:r>
          </w:p>
        </w:tc>
        <w:tc>
          <w:tcPr>
            <w:tcW w:w="880" w:type="dxa"/>
            <w:vAlign w:val="bottom"/>
            <w:tcBorders>
              <w:bottom w:val="single" w:sz="8" w:color="auto"/>
            </w:tcBorders>
          </w:tcPr>
          <w:p>
            <w:pPr>
              <w:spacing w:after="0"/>
              <w:rPr>
                <w:sz w:val="17"/>
                <w:szCs w:val="17"/>
                <w:color w:val="auto"/>
              </w:rPr>
            </w:pPr>
          </w:p>
        </w:tc>
      </w:tr>
      <w:tr>
        <w:trPr>
          <w:trHeight w:val="196"/>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Amortized</w:t>
            </w:r>
          </w:p>
        </w:tc>
        <w:tc>
          <w:tcPr>
            <w:tcW w:w="6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Projected</w:t>
            </w:r>
          </w:p>
        </w:tc>
      </w:tr>
      <w:tr>
        <w:trPr>
          <w:trHeight w:val="20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Basis</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WAC </w:t>
            </w:r>
            <w:r>
              <w:rPr>
                <w:rFonts w:ascii="Arial" w:cs="Arial" w:eastAsia="Arial" w:hAnsi="Arial"/>
                <w:sz w:val="9"/>
                <w:szCs w:val="9"/>
                <w:b w:val="1"/>
                <w:bCs w:val="1"/>
                <w:color w:val="auto"/>
                <w:w w:val="99"/>
              </w:rPr>
              <w:t>2</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9"/>
                <w:szCs w:val="9"/>
                <w:b w:val="1"/>
                <w:bCs w:val="1"/>
                <w:color w:val="auto"/>
              </w:rPr>
              <w:t>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Age (Months)</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CPR </w:t>
            </w:r>
            <w:r>
              <w:rPr>
                <w:rFonts w:ascii="Arial" w:cs="Arial" w:eastAsia="Arial" w:hAnsi="Arial"/>
                <w:sz w:val="9"/>
                <w:szCs w:val="9"/>
                <w:b w:val="1"/>
                <w:bCs w:val="1"/>
                <w:color w:val="auto"/>
                <w:w w:val="93"/>
              </w:rPr>
              <w:t>3</w:t>
            </w:r>
          </w:p>
        </w:tc>
      </w:tr>
      <w:tr>
        <w:trPr>
          <w:trHeight w:val="19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6"/>
        </w:trPr>
        <w:tc>
          <w:tcPr>
            <w:tcW w:w="2420" w:type="dxa"/>
            <w:vAlign w:val="bottom"/>
            <w:gridSpan w:val="2"/>
          </w:tcPr>
          <w:p>
            <w:pPr>
              <w:ind w:left="22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6"/>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11%</w:t>
            </w:r>
          </w:p>
        </w:tc>
      </w:tr>
      <w:tr>
        <w:trPr>
          <w:trHeight w:val="197"/>
        </w:trPr>
        <w:tc>
          <w:tcPr>
            <w:tcW w:w="2300" w:type="dxa"/>
            <w:vAlign w:val="bottom"/>
          </w:tcPr>
          <w:p>
            <w:pPr>
              <w:ind w:left="34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2,985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3,041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101.7%</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3.52%</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w:t>
            </w: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2,401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4.04%</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13%</w:t>
            </w:r>
          </w:p>
        </w:tc>
      </w:tr>
      <w:tr>
        <w:trPr>
          <w:trHeight w:val="197"/>
        </w:trPr>
        <w:tc>
          <w:tcPr>
            <w:tcW w:w="2300" w:type="dxa"/>
            <w:vAlign w:val="bottom"/>
          </w:tcPr>
          <w:p>
            <w:pPr>
              <w:ind w:left="34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103.1%</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4.60%</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14%</w:t>
            </w: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4.87%</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13%</w:t>
            </w:r>
          </w:p>
        </w:tc>
      </w:tr>
      <w:tr>
        <w:trPr>
          <w:trHeight w:val="196"/>
        </w:trPr>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 5.0%</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101.9%</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6.55%</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146</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15%</w:t>
            </w:r>
          </w:p>
        </w:tc>
      </w:tr>
      <w:tr>
        <w:trPr>
          <w:trHeight w:val="202"/>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 15-year</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8,465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3.82%</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r>
      <w:tr>
        <w:trPr>
          <w:trHeight w:val="166"/>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20-year:</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06"/>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r>
      <w:tr>
        <w:trPr>
          <w:trHeight w:val="197"/>
        </w:trPr>
        <w:tc>
          <w:tcPr>
            <w:tcW w:w="2300" w:type="dxa"/>
            <w:vAlign w:val="bottom"/>
          </w:tcPr>
          <w:p>
            <w:pPr>
              <w:ind w:left="34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4.45%</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13%</w:t>
            </w: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15%</w:t>
            </w:r>
          </w:p>
        </w:tc>
      </w:tr>
      <w:tr>
        <w:trPr>
          <w:trHeight w:val="197"/>
        </w:trPr>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 5.0%</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105.1%</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5.95%</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141</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18%</w:t>
            </w:r>
          </w:p>
        </w:tc>
      </w:tr>
      <w:tr>
        <w:trPr>
          <w:trHeight w:val="202"/>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20-year:</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4.40%</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13%</w:t>
            </w:r>
          </w:p>
        </w:tc>
      </w:tr>
      <w:tr>
        <w:trPr>
          <w:trHeight w:val="166"/>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30-year:</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06"/>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3.0%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27,864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28,252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3.85%</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9%</w:t>
            </w:r>
          </w:p>
        </w:tc>
      </w:tr>
      <w:tr>
        <w:trPr>
          <w:trHeight w:val="197"/>
        </w:trPr>
        <w:tc>
          <w:tcPr>
            <w:tcW w:w="2300" w:type="dxa"/>
            <w:vAlign w:val="bottom"/>
          </w:tcPr>
          <w:p>
            <w:pPr>
              <w:ind w:left="3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23,760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24,525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24,902</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w:t>
            </w:r>
          </w:p>
        </w:tc>
      </w:tr>
      <w:tr>
        <w:trPr>
          <w:trHeight w:val="208"/>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28,062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28,795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11%</w:t>
            </w:r>
          </w:p>
        </w:tc>
      </w:tr>
      <w:tr>
        <w:trPr>
          <w:trHeight w:val="196"/>
        </w:trPr>
        <w:tc>
          <w:tcPr>
            <w:tcW w:w="2300" w:type="dxa"/>
            <w:vAlign w:val="bottom"/>
          </w:tcPr>
          <w:p>
            <w:pPr>
              <w:ind w:left="3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12,730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13,381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13,831</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105.1%</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4.98%</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23</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13%</w:t>
            </w:r>
          </w:p>
        </w:tc>
      </w:tr>
      <w:tr>
        <w:trPr>
          <w:trHeight w:val="209"/>
        </w:trPr>
        <w:tc>
          <w:tcPr>
            <w:tcW w:w="2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108.0%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5.50%</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14%</w:t>
            </w:r>
          </w:p>
        </w:tc>
      </w:tr>
      <w:tr>
        <w:trPr>
          <w:trHeight w:val="196"/>
        </w:trPr>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 5.5%</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49%</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109.6%</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6.18%</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158</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13%</w:t>
            </w:r>
          </w:p>
        </w:tc>
      </w:tr>
      <w:tr>
        <w:trPr>
          <w:trHeight w:val="196"/>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30-year</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91,731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94,665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96,265</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2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103.3%</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4.29%</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11%</w:t>
            </w:r>
          </w:p>
        </w:tc>
      </w:tr>
      <w:tr>
        <w:trPr>
          <w:trHeight w:val="202"/>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100,603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103,723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105,447</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4.26%</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5"/>
              </w:rPr>
              <w:t>11%</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60" w:lineRule="auto"/>
        <w:tabs>
          <w:tab w:leader="none" w:pos="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2019, lower balance specified pools had a weighted average original loan balance of $115,000 and $118,000 for 15-year and 30-year securities, respectively, and HARP pools had a weighted average original LTV of 119% and 136% for 15-year and 30-year securities, respectively.</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2019.</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2020 and December 31, 2019, our investments in CRT and non-Agency securities had the following credit ratings: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December 31, 2019</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7"/>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9"/>
                <w:szCs w:val="9"/>
                <w:b w:val="1"/>
                <w:bCs w:val="1"/>
                <w:color w:val="auto"/>
              </w:rPr>
              <w:t>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CRT </w:t>
            </w:r>
            <w:r>
              <w:rPr>
                <w:rFonts w:ascii="Arial" w:cs="Arial" w:eastAsia="Arial" w:hAnsi="Arial"/>
                <w:sz w:val="9"/>
                <w:szCs w:val="9"/>
                <w:b w:val="1"/>
                <w:bCs w:val="1"/>
                <w:color w:val="auto"/>
              </w:rPr>
              <w:t>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CRT </w:t>
            </w:r>
            <w:r>
              <w:rPr>
                <w:rFonts w:ascii="Arial" w:cs="Arial" w:eastAsia="Arial" w:hAnsi="Arial"/>
                <w:sz w:val="9"/>
                <w:szCs w:val="9"/>
                <w:b w:val="1"/>
                <w:bCs w:val="1"/>
                <w:color w:val="auto"/>
              </w:rPr>
              <w:t>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CMBS</w:t>
            </w:r>
          </w:p>
        </w:tc>
      </w:tr>
      <w:tr>
        <w:trPr>
          <w:trHeight w:val="202"/>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r>
      <w:tr>
        <w:trPr>
          <w:trHeight w:val="197"/>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214</w:t>
            </w:r>
          </w:p>
        </w:tc>
      </w:tr>
      <w:tr>
        <w:trPr>
          <w:trHeight w:val="20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r>
      <w:tr>
        <w:trPr>
          <w:trHeight w:val="19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69</w:t>
            </w:r>
          </w:p>
        </w:tc>
      </w:tr>
      <w:tr>
        <w:trPr>
          <w:trHeight w:val="20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r>
      <w:tr>
        <w:trPr>
          <w:trHeight w:val="197"/>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2"/>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377</w:t>
            </w:r>
          </w:p>
        </w:tc>
        <w:tc>
          <w:tcPr>
            <w:tcW w:w="2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976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370</w:t>
            </w:r>
          </w:p>
        </w:tc>
      </w:tr>
      <w:tr>
        <w:trPr>
          <w:trHeight w:val="20"/>
        </w:trPr>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ind w:left="660" w:hanging="328"/>
        <w:spacing w:after="0" w:line="255"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CRT securities reference the performance of loans underlying Agency RMBS issued by Fannie Mae or Freddie Mac, each of which were subject to Fannie Mae and Freddie Mac's underwriting standards.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10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3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52"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June 30, 2020 and December 31, 2019 and our condensed consolidated statements of comprehensive income and key statistics for the three and six months ended June 30, 2020 and 2019 (in millions, except per share amounts):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6"/>
        </w:trPr>
        <w:tc>
          <w:tcPr>
            <w:tcW w:w="87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040" w:type="dxa"/>
            <w:vAlign w:val="bottom"/>
          </w:tcPr>
          <w:p>
            <w:pPr>
              <w:jc w:val="right"/>
              <w:ind w:right="81"/>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color w:val="auto"/>
              </w:rPr>
              <w:t>(Unaudited)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at fair value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77,143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100,442</w:t>
            </w:r>
          </w:p>
        </w:tc>
        <w:tc>
          <w:tcPr>
            <w:tcW w:w="0" w:type="dxa"/>
            <w:vAlign w:val="bottom"/>
          </w:tcPr>
          <w:p>
            <w:pPr>
              <w:spacing w:after="0"/>
              <w:rPr>
                <w:sz w:val="1"/>
                <w:szCs w:val="1"/>
                <w:color w:val="auto"/>
              </w:rPr>
            </w:pPr>
          </w:p>
        </w:tc>
      </w:tr>
      <w:tr>
        <w:trPr>
          <w:trHeight w:val="224"/>
        </w:trPr>
        <w:tc>
          <w:tcPr>
            <w:tcW w:w="87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89,853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113,082</w:t>
            </w: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and other debt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69,889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89,410</w:t>
            </w:r>
          </w:p>
        </w:tc>
        <w:tc>
          <w:tcPr>
            <w:tcW w:w="0" w:type="dxa"/>
            <w:vAlign w:val="bottom"/>
          </w:tcPr>
          <w:p>
            <w:pPr>
              <w:spacing w:after="0"/>
              <w:rPr>
                <w:sz w:val="1"/>
                <w:szCs w:val="1"/>
                <w:color w:val="auto"/>
              </w:rPr>
            </w:pP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79,503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102,041</w:t>
            </w: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10,350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11,041</w:t>
            </w:r>
          </w:p>
        </w:tc>
        <w:tc>
          <w:tcPr>
            <w:tcW w:w="0" w:type="dxa"/>
            <w:vAlign w:val="bottom"/>
          </w:tcPr>
          <w:p>
            <w:pPr>
              <w:spacing w:after="0"/>
              <w:rPr>
                <w:sz w:val="1"/>
                <w:szCs w:val="1"/>
                <w:color w:val="auto"/>
              </w:rPr>
            </w:pPr>
          </w:p>
        </w:tc>
      </w:tr>
      <w:tr>
        <w:trPr>
          <w:trHeight w:val="257"/>
        </w:trPr>
        <w:tc>
          <w:tcPr>
            <w:tcW w:w="8780" w:type="dxa"/>
            <w:vAlign w:val="bottom"/>
            <w:gridSpan w:val="2"/>
          </w:tcPr>
          <w:p>
            <w:pPr>
              <w:ind w:left="2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57"/>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bl>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2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6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c>
          <w:tcPr>
            <w:tcW w:w="1460" w:type="dxa"/>
            <w:vAlign w:val="bottom"/>
          </w:tcPr>
          <w:p>
            <w:pPr>
              <w:jc w:val="center"/>
              <w:ind w:right="588"/>
              <w:spacing w:after="0"/>
              <w:rPr>
                <w:sz w:val="20"/>
                <w:szCs w:val="20"/>
                <w:color w:val="auto"/>
              </w:rPr>
            </w:pPr>
            <w:r>
              <w:rPr>
                <w:rFonts w:ascii="Arial" w:cs="Arial" w:eastAsia="Arial" w:hAnsi="Arial"/>
                <w:sz w:val="14"/>
                <w:szCs w:val="14"/>
                <w:b w:val="1"/>
                <w:bCs w:val="1"/>
                <w:color w:val="auto"/>
                <w:w w:val="92"/>
              </w:rPr>
              <w:t>June 30,</w:t>
            </w:r>
          </w:p>
        </w:tc>
      </w:tr>
      <w:tr>
        <w:trPr>
          <w:trHeight w:val="187"/>
        </w:trPr>
        <w:tc>
          <w:tcPr>
            <w:tcW w:w="6500" w:type="dxa"/>
            <w:vAlign w:val="bottom"/>
          </w:tcPr>
          <w:p>
            <w:pPr>
              <w:spacing w:after="0"/>
              <w:rPr>
                <w:sz w:val="20"/>
                <w:szCs w:val="20"/>
                <w:color w:val="auto"/>
              </w:rPr>
            </w:pPr>
            <w:r>
              <w:rPr>
                <w:rFonts w:ascii="Arial" w:cs="Arial" w:eastAsia="Arial" w:hAnsi="Arial"/>
                <w:sz w:val="14"/>
                <w:szCs w:val="14"/>
                <w:b w:val="1"/>
                <w:bCs w:val="1"/>
                <w:color w:val="auto"/>
              </w:rPr>
              <w:t>Statement of Comprehensive Income Data (Unaudited)</w:t>
            </w: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4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920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5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5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340" w:type="dxa"/>
            <w:vAlign w:val="bottom"/>
          </w:tcPr>
          <w:p>
            <w:pPr>
              <w:spacing w:after="0"/>
              <w:rPr>
                <w:sz w:val="21"/>
                <w:szCs w:val="21"/>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57"/>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5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Pr>
          <w:p>
            <w:pPr>
              <w:spacing w:after="0"/>
              <w:rPr>
                <w:sz w:val="21"/>
                <w:szCs w:val="21"/>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57"/>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3"/>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(1,749)</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33"/>
        </w:trPr>
        <w:tc>
          <w:tcPr>
            <w:tcW w:w="652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(1,703)</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57"/>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w:t>
            </w: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5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340" w:type="dxa"/>
            <w:vAlign w:val="bottom"/>
          </w:tcPr>
          <w:p>
            <w:pPr>
              <w:spacing w:after="0"/>
              <w:rPr>
                <w:sz w:val="21"/>
                <w:szCs w:val="21"/>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5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3"/>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652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3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560.3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554.2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33"/>
        </w:trPr>
        <w:tc>
          <w:tcPr>
            <w:tcW w:w="652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33"/>
        </w:trPr>
        <w:tc>
          <w:tcPr>
            <w:tcW w:w="652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652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color w:val="auto"/>
              </w:rPr>
              <w:t>Dividends declared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652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2" w:name="page33"/>
    <w:bookmarkEnd w:id="32"/>
    <w:tbl>
      <w:tblPr>
        <w:tblLayout w:type="fixed"/>
        <w:tblInd w:w="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r>
      <w:tr>
        <w:trPr>
          <w:trHeight w:val="186"/>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r>
      <w:tr>
        <w:trPr>
          <w:trHeight w:val="256"/>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68,994</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89,586</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81,964</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88,304</w:t>
            </w:r>
          </w:p>
        </w:tc>
        <w:tc>
          <w:tcPr>
            <w:tcW w:w="200" w:type="dxa"/>
            <w:vAlign w:val="bottom"/>
            <w:shd w:val="clear" w:color="auto" w:fill="CCEEFF"/>
          </w:tcPr>
          <w:p>
            <w:pPr>
              <w:spacing w:after="0"/>
              <w:rPr>
                <w:sz w:val="22"/>
                <w:szCs w:val="22"/>
                <w:color w:val="auto"/>
              </w:rPr>
            </w:pPr>
          </w:p>
        </w:tc>
      </w:tr>
      <w:tr>
        <w:trPr>
          <w:trHeight w:val="251"/>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71,787</w:t>
            </w: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92,610</w:t>
            </w:r>
          </w:p>
        </w:tc>
        <w:tc>
          <w:tcPr>
            <w:tcW w:w="5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84,840</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91,264</w:t>
            </w:r>
          </w:p>
        </w:tc>
        <w:tc>
          <w:tcPr>
            <w:tcW w:w="200" w:type="dxa"/>
            <w:vAlign w:val="bottom"/>
          </w:tcPr>
          <w:p>
            <w:pPr>
              <w:spacing w:after="0"/>
              <w:rPr>
                <w:sz w:val="21"/>
                <w:szCs w:val="21"/>
                <w:color w:val="auto"/>
              </w:rPr>
            </w:pPr>
          </w:p>
        </w:tc>
      </w:tr>
      <w:tr>
        <w:trPr>
          <w:trHeight w:val="262"/>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portfolio - at cost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15,662</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11,864</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11,575</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9,944</w:t>
            </w:r>
          </w:p>
        </w:tc>
        <w:tc>
          <w:tcPr>
            <w:tcW w:w="200" w:type="dxa"/>
            <w:vAlign w:val="bottom"/>
            <w:shd w:val="clear" w:color="auto" w:fill="CCEEFF"/>
          </w:tcPr>
          <w:p>
            <w:pPr>
              <w:spacing w:after="0"/>
              <w:rPr>
                <w:sz w:val="22"/>
                <w:szCs w:val="22"/>
                <w:color w:val="auto"/>
              </w:rPr>
            </w:pPr>
          </w:p>
        </w:tc>
      </w:tr>
      <w:tr>
        <w:trPr>
          <w:trHeight w:val="250"/>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86,851</w:t>
            </w: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113,625</w:t>
            </w:r>
          </w:p>
        </w:tc>
        <w:tc>
          <w:tcPr>
            <w:tcW w:w="5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100,392</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114,281</w:t>
            </w:r>
          </w:p>
        </w:tc>
        <w:tc>
          <w:tcPr>
            <w:tcW w:w="200" w:type="dxa"/>
            <w:vAlign w:val="bottom"/>
          </w:tcPr>
          <w:p>
            <w:pPr>
              <w:spacing w:after="0"/>
              <w:rPr>
                <w:sz w:val="21"/>
                <w:szCs w:val="21"/>
                <w:color w:val="auto"/>
              </w:rPr>
            </w:pPr>
          </w:p>
        </w:tc>
      </w:tr>
      <w:tr>
        <w:trPr>
          <w:trHeight w:val="26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9"/>
                <w:szCs w:val="9"/>
                <w:color w:val="auto"/>
              </w:rPr>
              <w:t>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69,552</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86,147</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81,545</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84,120</w:t>
            </w:r>
          </w:p>
        </w:tc>
        <w:tc>
          <w:tcPr>
            <w:tcW w:w="200" w:type="dxa"/>
            <w:vAlign w:val="bottom"/>
            <w:shd w:val="clear" w:color="auto" w:fill="CCEEFF"/>
          </w:tcPr>
          <w:p>
            <w:pPr>
              <w:spacing w:after="0"/>
              <w:rPr>
                <w:sz w:val="22"/>
                <w:szCs w:val="22"/>
                <w:color w:val="auto"/>
              </w:rPr>
            </w:pPr>
          </w:p>
        </w:tc>
      </w:tr>
      <w:tr>
        <w:trPr>
          <w:trHeight w:val="250"/>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9"/>
                <w:szCs w:val="9"/>
                <w:color w:val="auto"/>
              </w:rPr>
              <w:t>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10,262</w:t>
            </w: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10,371</w:t>
            </w:r>
          </w:p>
        </w:tc>
        <w:tc>
          <w:tcPr>
            <w:tcW w:w="5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10,598</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10,247</w:t>
            </w:r>
          </w:p>
        </w:tc>
        <w:tc>
          <w:tcPr>
            <w:tcW w:w="200" w:type="dxa"/>
            <w:vAlign w:val="bottom"/>
          </w:tcPr>
          <w:p>
            <w:pPr>
              <w:spacing w:after="0"/>
              <w:rPr>
                <w:sz w:val="21"/>
                <w:szCs w:val="21"/>
                <w:color w:val="auto"/>
              </w:rPr>
            </w:pPr>
          </w:p>
        </w:tc>
      </w:tr>
      <w:tr>
        <w:trPr>
          <w:trHeight w:val="26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9"/>
                <w:szCs w:val="9"/>
                <w:color w:val="auto"/>
              </w:rPr>
              <w:t>5</w:t>
            </w:r>
          </w:p>
        </w:tc>
        <w:tc>
          <w:tcPr>
            <w:tcW w:w="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9.7:1</w:t>
            </w:r>
          </w:p>
        </w:tc>
      </w:tr>
      <w:tr>
        <w:trPr>
          <w:trHeight w:val="251"/>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9"/>
                <w:szCs w:val="9"/>
                <w:color w:val="auto"/>
              </w:rPr>
              <w:t>6</w:t>
            </w:r>
          </w:p>
        </w:tc>
        <w:tc>
          <w:tcPr>
            <w:tcW w:w="2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9.8:1</w:t>
            </w:r>
          </w:p>
        </w:tc>
      </w:tr>
      <w:tr>
        <w:trPr>
          <w:trHeight w:val="26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9"/>
                <w:szCs w:val="9"/>
                <w:color w:val="auto"/>
              </w:rPr>
              <w:t>7</w:t>
            </w: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Expenses % of average total assets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w:t>
            </w: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Expenses % of average stockholders' equity</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0.94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mortgage borrowings outstanding (Agency and non-Agency MBS repurchase agreements, other debt and TBA securities (at cost)) for the period by the sum of average stockholders' equity adjusted to exclude goodwill for the period. Leverage excludes U.S. Treasury repurchase agreements.</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660" w:right="20" w:hanging="328"/>
        <w:spacing w:after="0" w:line="255"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and six months ended June 30, 2020 and 2019,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4"/>
                <w:szCs w:val="14"/>
                <w:b w:val="1"/>
                <w:bCs w:val="1"/>
                <w:color w:val="auto"/>
                <w:w w:val="99"/>
              </w:rPr>
              <w:t>Three Months Ended June 30,</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w w:val="95"/>
              </w:rPr>
              <w:t>Six Months Ended June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Pr>
          <w:p>
            <w:pPr>
              <w:jc w:val="right"/>
              <w:ind w:right="14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3"/>
        </w:trPr>
        <w:tc>
          <w:tcPr>
            <w:tcW w:w="4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3.88 %</w:t>
            </w: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(1.38)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(0.89)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(1.55)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 %</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3.06 %</w:t>
            </w:r>
          </w:p>
        </w:tc>
        <w:tc>
          <w:tcPr>
            <w:tcW w:w="0" w:type="dxa"/>
            <w:vAlign w:val="bottom"/>
          </w:tcPr>
          <w:p>
            <w:pPr>
              <w:spacing w:after="0"/>
              <w:rPr>
                <w:sz w:val="1"/>
                <w:szCs w:val="1"/>
                <w:color w:val="auto"/>
              </w:rPr>
            </w:pPr>
          </w:p>
        </w:tc>
      </w:tr>
      <w:tr>
        <w:trPr>
          <w:trHeight w:val="157"/>
        </w:trPr>
        <w:tc>
          <w:tcPr>
            <w:tcW w:w="4360" w:type="dxa"/>
            <w:vAlign w:val="bottom"/>
          </w:tcPr>
          <w:p>
            <w:pPr>
              <w:ind w:left="80"/>
              <w:spacing w:after="0" w:line="157" w:lineRule="exact"/>
              <w:rPr>
                <w:sz w:val="20"/>
                <w:szCs w:val="20"/>
                <w:color w:val="auto"/>
              </w:rPr>
            </w:pPr>
            <w:r>
              <w:rPr>
                <w:rFonts w:ascii="Arial" w:cs="Arial" w:eastAsia="Arial" w:hAnsi="Arial"/>
                <w:sz w:val="14"/>
                <w:szCs w:val="14"/>
                <w:color w:val="auto"/>
              </w:rPr>
              <w:t>Estimated "catch-up" premium amortization cost (benefit) due to</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change in CPR forecast</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0.22 %</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9"/>
                <w:szCs w:val="9"/>
                <w:color w:val="auto"/>
              </w:rPr>
              <w:t>1,2</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3.35 %</w:t>
            </w:r>
          </w:p>
        </w:tc>
        <w:tc>
          <w:tcPr>
            <w:tcW w:w="0" w:type="dxa"/>
            <w:vAlign w:val="bottom"/>
          </w:tcPr>
          <w:p>
            <w:pPr>
              <w:spacing w:after="0"/>
              <w:rPr>
                <w:sz w:val="1"/>
                <w:szCs w:val="1"/>
                <w:color w:val="auto"/>
              </w:rPr>
            </w:pPr>
          </w:p>
        </w:tc>
      </w:tr>
      <w:tr>
        <w:trPr>
          <w:trHeight w:val="121"/>
        </w:trPr>
        <w:tc>
          <w:tcPr>
            <w:tcW w:w="4360" w:type="dxa"/>
            <w:vAlign w:val="bottom"/>
            <w:shd w:val="clear" w:color="auto" w:fill="CCEEFF"/>
          </w:tcPr>
          <w:p>
            <w:pPr>
              <w:ind w:left="20"/>
              <w:spacing w:after="0" w:line="121" w:lineRule="exact"/>
              <w:rPr>
                <w:sz w:val="20"/>
                <w:szCs w:val="20"/>
                <w:color w:val="auto"/>
              </w:rPr>
            </w:pPr>
            <w:r>
              <w:rPr>
                <w:rFonts w:ascii="Arial" w:cs="Arial" w:eastAsia="Arial" w:hAnsi="Arial"/>
                <w:sz w:val="14"/>
                <w:szCs w:val="14"/>
                <w:color w:val="auto"/>
              </w:rPr>
              <w:t>Economic interest income, excluding "catch-up" amortization (non-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0" w:type="dxa"/>
            <w:vAlign w:val="bottom"/>
          </w:tcPr>
          <w:p>
            <w:pPr>
              <w:spacing w:after="0"/>
              <w:rPr>
                <w:sz w:val="1"/>
                <w:szCs w:val="1"/>
                <w:color w:val="auto"/>
              </w:rPr>
            </w:pPr>
          </w:p>
        </w:tc>
      </w:tr>
      <w:tr>
        <w:trPr>
          <w:trHeight w:val="182"/>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GAAP measure) </w:t>
            </w:r>
            <w:r>
              <w:rPr>
                <w:rFonts w:ascii="Arial" w:cs="Arial" w:eastAsia="Arial" w:hAnsi="Arial"/>
                <w:sz w:val="9"/>
                <w:szCs w:val="9"/>
                <w:color w:val="auto"/>
              </w:rPr>
              <w:t>3</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Weighted average actual portfolio CPR for investment securities held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during the period</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360" w:type="dxa"/>
            <w:vAlign w:val="bottom"/>
          </w:tcPr>
          <w:p>
            <w:pPr>
              <w:ind w:left="20"/>
              <w:spacing w:after="0" w:line="157" w:lineRule="exact"/>
              <w:rPr>
                <w:sz w:val="20"/>
                <w:szCs w:val="20"/>
                <w:color w:val="auto"/>
              </w:rPr>
            </w:pPr>
            <w:r>
              <w:rPr>
                <w:rFonts w:ascii="Arial" w:cs="Arial" w:eastAsia="Arial" w:hAnsi="Arial"/>
                <w:sz w:val="14"/>
                <w:szCs w:val="14"/>
                <w:color w:val="auto"/>
              </w:rPr>
              <w:t>Weighted average projected CPR for the remaining life of investment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60" w:type="dxa"/>
            <w:vAlign w:val="bottom"/>
          </w:tcPr>
          <w:p>
            <w:pPr>
              <w:ind w:left="20"/>
              <w:spacing w:after="0"/>
              <w:rPr>
                <w:sz w:val="20"/>
                <w:szCs w:val="20"/>
                <w:color w:val="auto"/>
              </w:rPr>
            </w:pPr>
            <w:r>
              <w:rPr>
                <w:rFonts w:ascii="Arial" w:cs="Arial" w:eastAsia="Arial" w:hAnsi="Arial"/>
                <w:sz w:val="14"/>
                <w:szCs w:val="14"/>
                <w:color w:val="auto"/>
              </w:rPr>
              <w:t>securities held as of period end</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9"/>
                <w:szCs w:val="9"/>
                <w:color w:val="auto"/>
              </w:rPr>
              <w:t>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0.66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0.66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3" w:name="page34"/>
    <w:bookmarkEnd w:id="33"/>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and six months ended June 30, 2020 compared to the prior year period (in millions):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Periods ended June 30, 2020 vs.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Total Increase /</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Portfolio</w:t>
            </w:r>
          </w:p>
        </w:tc>
        <w:tc>
          <w:tcPr>
            <w:tcW w:w="320" w:type="dxa"/>
            <w:vAlign w:val="bottom"/>
          </w:tcPr>
          <w:p>
            <w:pPr>
              <w:spacing w:after="0"/>
              <w:rPr>
                <w:sz w:val="13"/>
                <w:szCs w:val="13"/>
                <w:color w:val="auto"/>
              </w:rPr>
            </w:pPr>
          </w:p>
        </w:tc>
        <w:tc>
          <w:tcPr>
            <w:tcW w:w="1100" w:type="dxa"/>
            <w:vAlign w:val="bottom"/>
          </w:tcPr>
          <w:p>
            <w:pPr>
              <w:jc w:val="right"/>
              <w:ind w:right="468"/>
              <w:spacing w:after="0" w:line="153"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Size</w:t>
            </w:r>
          </w:p>
        </w:tc>
        <w:tc>
          <w:tcPr>
            <w:tcW w:w="320" w:type="dxa"/>
            <w:vAlign w:val="bottom"/>
          </w:tcPr>
          <w:p>
            <w:pPr>
              <w:spacing w:after="0"/>
              <w:rPr>
                <w:sz w:val="16"/>
                <w:szCs w:val="16"/>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8"/>
        </w:trPr>
        <w:tc>
          <w:tcPr>
            <w:tcW w:w="6780" w:type="dxa"/>
            <w:vAlign w:val="bottom"/>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7"/>
        </w:trPr>
        <w:tc>
          <w:tcPr>
            <w:tcW w:w="6780" w:type="dxa"/>
            <w:vAlign w:val="bottom"/>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2"/>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96"/>
        </w:trPr>
        <w:tc>
          <w:tcPr>
            <w:tcW w:w="6780" w:type="dxa"/>
            <w:vAlign w:val="bottom"/>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2"/>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average investment portfolio, inclusive of TBAs, decreased -16% and -5% (at cost) for the three and six months ended June 30, 2020, respectively, compared to the prior year periods primarily due to lower operating leverage. The decrease in our average asset yield for the three and six months ended June 30, 2020 was due to the combination of changes in asset composition and higher premium amortization cost resulting from faster prepayment expectations.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assets.</w:t>
      </w:r>
    </w:p>
    <w:p>
      <w:pPr>
        <w:spacing w:after="0" w:line="9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for further discussion of TBA securities and dollar roll transactions). Repurchase agreements used to fund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6"/>
          </w:tcPr>
          <w:p>
            <w:pPr>
              <w:jc w:val="center"/>
              <w:ind w:left="490"/>
              <w:spacing w:after="0"/>
              <w:rPr>
                <w:sz w:val="20"/>
                <w:szCs w:val="20"/>
                <w:color w:val="auto"/>
              </w:rPr>
            </w:pPr>
            <w:r>
              <w:rPr>
                <w:rFonts w:ascii="Arial" w:cs="Arial" w:eastAsia="Arial" w:hAnsi="Arial"/>
                <w:sz w:val="13"/>
                <w:szCs w:val="13"/>
                <w:b w:val="1"/>
                <w:bCs w:val="1"/>
                <w:color w:val="auto"/>
                <w:w w:val="84"/>
              </w:rPr>
              <w:t>Repurchase Agreements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vMerge w:val="restart"/>
          </w:tcPr>
          <w:p>
            <w:pPr>
              <w:ind w:left="40"/>
              <w:spacing w:after="0" w:line="150" w:lineRule="exact"/>
              <w:rPr>
                <w:sz w:val="20"/>
                <w:szCs w:val="20"/>
                <w:color w:val="auto"/>
              </w:rPr>
            </w:pPr>
            <w:r>
              <w:rPr>
                <w:rFonts w:ascii="Arial" w:cs="Arial" w:eastAsia="Arial" w:hAnsi="Arial"/>
                <w:sz w:val="13"/>
                <w:szCs w:val="13"/>
                <w:b w:val="1"/>
                <w:bCs w:val="1"/>
                <w:color w:val="auto"/>
                <w:w w:val="91"/>
              </w:rPr>
              <w:t>Net TBA Position</w:t>
            </w:r>
            <w:r>
              <w:rPr>
                <w:rFonts w:ascii="MS PGothic" w:cs="MS PGothic" w:eastAsia="MS PGothic" w:hAnsi="MS PGothic"/>
                <w:sz w:val="13"/>
                <w:szCs w:val="13"/>
                <w:color w:val="auto"/>
                <w:w w:val="91"/>
              </w:rPr>
              <w:t> </w:t>
            </w:r>
            <w:r>
              <w:rPr>
                <w:rFonts w:ascii="Arial" w:cs="Arial" w:eastAsia="Arial" w:hAnsi="Arial"/>
                <w:sz w:val="13"/>
                <w:szCs w:val="13"/>
                <w:b w:val="1"/>
                <w:bCs w:val="1"/>
                <w:color w:val="auto"/>
                <w:w w:val="91"/>
              </w:rPr>
              <w:t xml:space="preserve">Long/(Short) </w:t>
            </w:r>
            <w:r>
              <w:rPr>
                <w:rFonts w:ascii="Arial" w:cs="Arial" w:eastAsia="Arial" w:hAnsi="Arial"/>
                <w:sz w:val="8"/>
                <w:szCs w:val="8"/>
                <w:b w:val="1"/>
                <w:bCs w:val="1"/>
                <w:color w:val="auto"/>
                <w:w w:val="91"/>
              </w:rPr>
              <w:t>2</w:t>
            </w:r>
          </w:p>
        </w:tc>
        <w:tc>
          <w:tcPr>
            <w:tcW w:w="100" w:type="dxa"/>
            <w:vAlign w:val="bottom"/>
          </w:tcPr>
          <w:p>
            <w:pPr>
              <w:spacing w:after="0"/>
              <w:rPr>
                <w:sz w:val="13"/>
                <w:szCs w:val="13"/>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Average Tangible Net</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7"/>
              </w:rPr>
              <w:t>Tangible Net Book</w:t>
            </w: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90"/>
              </w:rPr>
              <w:t xml:space="preserve">and Other Debt </w:t>
            </w:r>
            <w:r>
              <w:rPr>
                <w:rFonts w:ascii="Arial" w:cs="Arial" w:eastAsia="Arial" w:hAnsi="Arial"/>
                <w:sz w:val="8"/>
                <w:szCs w:val="8"/>
                <w:b w:val="1"/>
                <w:bCs w:val="1"/>
                <w:color w:val="auto"/>
                <w:w w:val="90"/>
              </w:rPr>
              <w:t>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Value "At Risk"</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Book Value</w:t>
            </w:r>
          </w:p>
        </w:tc>
        <w:tc>
          <w:tcPr>
            <w:tcW w:w="130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48"/>
        </w:trPr>
        <w:tc>
          <w:tcPr>
            <w:tcW w:w="3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Average Daily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4"/>
                <w:szCs w:val="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Ending</w:t>
            </w:r>
          </w:p>
        </w:tc>
        <w:tc>
          <w:tcPr>
            <w:tcW w:w="9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4"/>
                <w:szCs w:val="4"/>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00" w:type="dxa"/>
            <w:vAlign w:val="bottom"/>
            <w:vMerge w:val="restart"/>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"At Risk" Leverage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70"/>
        </w:trPr>
        <w:tc>
          <w:tcPr>
            <w:tcW w:w="3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 xml:space="preserve">during the Period </w:t>
            </w:r>
            <w:r>
              <w:rPr>
                <w:rFonts w:ascii="Arial" w:cs="Arial" w:eastAsia="Arial" w:hAnsi="Arial"/>
                <w:sz w:val="8"/>
                <w:szCs w:val="8"/>
                <w:b w:val="1"/>
                <w:bCs w:val="1"/>
                <w:color w:val="auto"/>
                <w:w w:val="89"/>
              </w:rPr>
              <w:t>3</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Period End </w:t>
            </w:r>
            <w:r>
              <w:rPr>
                <w:rFonts w:ascii="Arial" w:cs="Arial" w:eastAsia="Arial" w:hAnsi="Arial"/>
                <w:sz w:val="8"/>
                <w:szCs w:val="8"/>
                <w:b w:val="1"/>
                <w:bCs w:val="1"/>
                <w:color w:val="auto"/>
                <w:w w:val="88"/>
              </w:rPr>
              <w:t>4</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69,552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72,399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69,370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15,662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20,413</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8.8:1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9.2:1</w:t>
            </w: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March 31, 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93,538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104,773</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63,241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7,487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20,648</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9.9:1</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20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88,677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92,672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89,313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7,038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7,404</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9.5:1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September 30,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87,938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92,420</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90,462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10,146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1,820</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10.0:1</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20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86,147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86,969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85,367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11,086</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2"/>
              </w:rPr>
              <w:t>10.0:1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190"/>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March 31,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82,070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87,877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86,590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8,002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6,885</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9.3:1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Average tangible net book value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w:t>
      </w:r>
    </w:p>
    <w:p>
      <w:pPr>
        <w:jc w:val="both"/>
        <w:ind w:left="660" w:hanging="328"/>
        <w:spacing w:after="0" w:line="248"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position (at cost) and net receivable/payable for unsettled investment securities outstanding as of period end divided by total stockholders' equity, adjusted to exclude goodwill as of period end.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71"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and six months ended June 30, 2020 and 2019 (dollars in millions), which includes the combination of interest expense on Agency repurchase agreements and other debt (GAAP measure), implied financing cost (benefit) of our TBA securities and interest rate swap periodic interest (income) cost: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9"/>
          </w:tcPr>
          <w:p>
            <w:pPr>
              <w:jc w:val="right"/>
              <w:ind w:right="528"/>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jc w:val="right"/>
              <w:ind w:right="648"/>
              <w:spacing w:after="0"/>
              <w:rPr>
                <w:sz w:val="20"/>
                <w:szCs w:val="20"/>
                <w:color w:val="auto"/>
              </w:rPr>
            </w:pPr>
            <w:r>
              <w:rPr>
                <w:rFonts w:ascii="Arial" w:cs="Arial" w:eastAsia="Arial" w:hAnsi="Arial"/>
                <w:sz w:val="14"/>
                <w:szCs w:val="14"/>
                <w:b w:val="1"/>
                <w:bCs w:val="1"/>
                <w:color w:val="auto"/>
                <w:w w:val="91"/>
              </w:rPr>
              <w:t>Six Months Ended June 30,</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9"/>
                <w:szCs w:val="9"/>
                <w:b w:val="1"/>
                <w:bCs w:val="1"/>
                <w:color w:val="auto"/>
              </w:rPr>
              <w:t>1</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Cost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Cost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Cost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Funds</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Funds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Funds</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Funds</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3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Repurchase agreement and other debt - interest expense (GAAP</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measure)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9"/>
                <w:szCs w:val="9"/>
                <w:color w:val="auto"/>
              </w:rPr>
              <w:t>2,3</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(0.09) %</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1"/>
        </w:trPr>
        <w:tc>
          <w:tcPr>
            <w:tcW w:w="432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4"/>
                <w:szCs w:val="14"/>
                <w:color w:val="auto"/>
              </w:rPr>
              <w:t>Economic interest expense - before interest rate swap periodic</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(income) costs, net </w:t>
            </w:r>
            <w:r>
              <w:rPr>
                <w:rFonts w:ascii="Arial" w:cs="Arial" w:eastAsia="Arial" w:hAnsi="Arial"/>
                <w:sz w:val="9"/>
                <w:szCs w:val="9"/>
                <w:color w:val="auto"/>
              </w:rPr>
              <w:t>4</w:t>
            </w: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9"/>
                <w:szCs w:val="9"/>
                <w:color w:val="auto"/>
              </w:rPr>
              <w:t>2,5</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(0.36) %</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(0.36) %</w:t>
            </w:r>
          </w:p>
        </w:tc>
        <w:tc>
          <w:tcPr>
            <w:tcW w:w="0" w:type="dxa"/>
            <w:vAlign w:val="bottom"/>
          </w:tcPr>
          <w:p>
            <w:pPr>
              <w:spacing w:after="0"/>
              <w:rPr>
                <w:sz w:val="1"/>
                <w:szCs w:val="1"/>
                <w:color w:val="auto"/>
              </w:rPr>
            </w:pPr>
          </w:p>
        </w:tc>
      </w:tr>
      <w:tr>
        <w:trPr>
          <w:trHeight w:val="222"/>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3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the three and six months ended June 30, 2020 compared to the prior year period (in millions):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67036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June 30, 2020 vs.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67036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36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2"/>
              </w:rPr>
              <w:t>Borrowing / Swap</w:t>
            </w:r>
          </w:p>
        </w:tc>
        <w:tc>
          <w:tcPr>
            <w:tcW w:w="100" w:type="dxa"/>
            <w:vAlign w:val="bottom"/>
          </w:tcPr>
          <w:p>
            <w:pPr>
              <w:spacing w:after="0"/>
              <w:rPr>
                <w:sz w:val="13"/>
                <w:szCs w:val="13"/>
                <w:color w:val="auto"/>
              </w:rPr>
            </w:pPr>
          </w:p>
        </w:tc>
        <w:tc>
          <w:tcPr>
            <w:tcW w:w="126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4"/>
              </w:rPr>
              <w:t>Borrowing / Swap</w:t>
            </w:r>
          </w:p>
        </w:tc>
      </w:tr>
      <w:tr>
        <w:trPr>
          <w:trHeight w:val="192"/>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Rate</w:t>
            </w:r>
          </w:p>
        </w:tc>
      </w:tr>
      <w:tr>
        <w:trPr>
          <w:trHeight w:val="18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196"/>
        </w:trPr>
        <w:tc>
          <w:tcPr>
            <w:tcW w:w="626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center"/>
              <w:ind w:left="688"/>
              <w:spacing w:after="0"/>
              <w:rPr>
                <w:sz w:val="20"/>
                <w:szCs w:val="20"/>
                <w:color w:val="auto"/>
              </w:rPr>
            </w:pPr>
            <w:r>
              <w:rPr>
                <w:rFonts w:ascii="Arial" w:cs="Arial" w:eastAsia="Arial" w:hAnsi="Arial"/>
                <w:sz w:val="14"/>
                <w:szCs w:val="14"/>
                <w:color w:val="auto"/>
                <w:w w:val="91"/>
              </w:rPr>
              <w:t>(327)</w:t>
            </w: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1"/>
              </w:rPr>
              <w:t>(102)</w:t>
            </w:r>
          </w:p>
        </w:tc>
      </w:tr>
      <w:tr>
        <w:trPr>
          <w:trHeight w:val="19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color w:val="auto"/>
                <w:w w:val="94"/>
              </w:rPr>
              <w:t>134</w:t>
            </w:r>
          </w:p>
        </w:tc>
      </w:tr>
      <w:tr>
        <w:trPr>
          <w:trHeight w:val="22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1"/>
              </w:rPr>
              <w:t>(295)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626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center"/>
              <w:ind w:left="688"/>
              <w:spacing w:after="0"/>
              <w:rPr>
                <w:sz w:val="20"/>
                <w:szCs w:val="20"/>
                <w:color w:val="auto"/>
              </w:rPr>
            </w:pPr>
            <w:r>
              <w:rPr>
                <w:rFonts w:ascii="Arial" w:cs="Arial" w:eastAsia="Arial" w:hAnsi="Arial"/>
                <w:sz w:val="14"/>
                <w:szCs w:val="14"/>
                <w:color w:val="auto"/>
                <w:w w:val="91"/>
              </w:rPr>
              <w:t>(518)</w:t>
            </w: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1"/>
              </w:rPr>
              <w:t>(119)</w:t>
            </w:r>
          </w:p>
        </w:tc>
      </w:tr>
      <w:tr>
        <w:trPr>
          <w:trHeight w:val="19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color w:val="auto"/>
                <w:w w:val="94"/>
              </w:rPr>
              <w:t>232</w:t>
            </w:r>
          </w:p>
        </w:tc>
      </w:tr>
      <w:tr>
        <w:trPr>
          <w:trHeight w:val="22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1"/>
              </w:rPr>
              <w:t>(405)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Our average mortgage borrowings, inclusive of TBAs, decreased by -13% and -1% for the three and six months ended June 30, 2020, respectively, due to lower operating leverage. The decline in our average interest rate (actual and implied) on our mortgage borrowings for the three and six month periods was due to lower short-term interest rates. Additionally, during the three months ended June 30, 2020, we terminated $3.7 billion of repurchase agreements with a weighted average interest rate of 2.11% and a weighted average remaining maturity of 2.2 years. The terminated agreements were replaced with shorter duration repurchase agreements at lower prevailing market rates. We recognized losses on debt extinguishment of $146 million in other gain (loss), net for the three and six months ended June 30, 2020 associated with the terminated repurchase agreements.</w:t>
      </w:r>
    </w:p>
    <w:p>
      <w:pPr>
        <w:spacing w:after="0" w:line="11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increase in our interest rate swap periodic cost for the three and six months ended June 30, 2020 was due to declines in the average rate received on our interest rate swaps as the receive leg of our pay-fixed interest rate swaps reset to lower prevailing rates, which were partially offset by a decline in our average pay-rate. The following table presents a summary of the ratio of our average interest rates swaps outstanding, excluding forward starting swaps, to our average mortgage borrowings and the weighted average pay-fixed / receive-floating rates on our interest rate swaps for the three and six months ended June 30, 2020 and 2019 (dollars in millions):</w:t>
      </w:r>
    </w:p>
    <w:tbl>
      <w:tblPr>
        <w:tblLayout w:type="fixed"/>
        <w:tblInd w:w="0" w:type="dxa"/>
        <w:tblCellMar>
          <w:top w:w="0" w:type="dxa"/>
          <w:left w:w="0" w:type="dxa"/>
          <w:bottom w:w="0" w:type="dxa"/>
          <w:right w:w="0" w:type="dxa"/>
        </w:tblCellMar>
      </w:tblPr>
      <w:tr>
        <w:trPr>
          <w:trHeight w:val="148"/>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tcPr>
          <w:p>
            <w:pPr>
              <w:jc w:val="right"/>
              <w:ind w:right="188"/>
              <w:spacing w:after="0" w:line="148"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5"/>
          </w:tcPr>
          <w:p>
            <w:pPr>
              <w:jc w:val="right"/>
              <w:ind w:right="208"/>
              <w:spacing w:after="0" w:line="148" w:lineRule="exact"/>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780" w:type="dxa"/>
            <w:vAlign w:val="bottom"/>
            <w:gridSpan w:val="2"/>
          </w:tcPr>
          <w:p>
            <w:pPr>
              <w:ind w:left="20"/>
              <w:spacing w:after="0" w:line="136" w:lineRule="exact"/>
              <w:rPr>
                <w:sz w:val="20"/>
                <w:szCs w:val="20"/>
                <w:color w:val="auto"/>
              </w:rPr>
            </w:pPr>
            <w:r>
              <w:rPr>
                <w:rFonts w:ascii="Arial" w:cs="Arial" w:eastAsia="Arial" w:hAnsi="Arial"/>
                <w:sz w:val="14"/>
                <w:szCs w:val="14"/>
                <w:b w:val="1"/>
                <w:bCs w:val="1"/>
                <w:color w:val="auto"/>
              </w:rPr>
              <w:t>Average Ratio of Interest Rate Swaps (Excluding Forward Starting Swaps) to Mortgage Borrowings</w:t>
            </w:r>
          </w:p>
        </w:tc>
        <w:tc>
          <w:tcPr>
            <w:tcW w:w="220" w:type="dxa"/>
            <w:vAlign w:val="bottom"/>
          </w:tcPr>
          <w:p>
            <w:pPr>
              <w:spacing w:after="0"/>
              <w:rPr>
                <w:sz w:val="11"/>
                <w:szCs w:val="11"/>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69,552</w:t>
            </w:r>
          </w:p>
        </w:tc>
        <w:tc>
          <w:tcPr>
            <w:tcW w:w="56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86,147</w:t>
            </w:r>
          </w:p>
        </w:tc>
        <w:tc>
          <w:tcPr>
            <w:tcW w:w="50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81,545</w:t>
            </w:r>
          </w:p>
        </w:tc>
        <w:tc>
          <w:tcPr>
            <w:tcW w:w="60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15,662</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11,864</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11,575</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9,944</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85,214</w:t>
            </w:r>
          </w:p>
        </w:tc>
        <w:tc>
          <w:tcPr>
            <w:tcW w:w="56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98,011</w:t>
            </w:r>
          </w:p>
        </w:tc>
        <w:tc>
          <w:tcPr>
            <w:tcW w:w="50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93,120</w:t>
            </w:r>
          </w:p>
        </w:tc>
        <w:tc>
          <w:tcPr>
            <w:tcW w:w="60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44,173</w:t>
            </w:r>
          </w:p>
        </w:tc>
        <w:tc>
          <w:tcPr>
            <w:tcW w:w="56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52,035</w:t>
            </w:r>
          </w:p>
        </w:tc>
        <w:tc>
          <w:tcPr>
            <w:tcW w:w="50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57,916</w:t>
            </w:r>
          </w:p>
        </w:tc>
        <w:tc>
          <w:tcPr>
            <w:tcW w:w="60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48,616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(0.11) %</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(2.58) %</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(0.90)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(2.64) %</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(0.68) %</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(0.71) %</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For the three and six months ended June 30, 2020, we had an average forward starting swap balance of $0.9 billion and $1.2 billion, respectively. For the three and six months ended June 30, 2019, we had an average forward starting swap balance of $3.5 billion and $4.3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and six months ended June 30, 2020 was 53% and 63%, respectively, and 57% and 56%, respectively, for the corresponding prior year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and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6" w:name="page37"/>
    <w:bookmarkEnd w:id="36"/>
    <w:tbl>
      <w:tblPr>
        <w:tblLayout w:type="fixed"/>
        <w:tblInd w:w="7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6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6"/>
            <w:vMerge w:val="continue"/>
          </w:tcPr>
          <w:p>
            <w:pPr>
              <w:spacing w:after="0"/>
              <w:rPr>
                <w:sz w:val="16"/>
                <w:szCs w:val="16"/>
                <w:color w:val="auto"/>
              </w:rPr>
            </w:pPr>
          </w:p>
        </w:tc>
        <w:tc>
          <w:tcPr>
            <w:tcW w:w="134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(0.88)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(2.24)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(2.25) %</w:t>
            </w: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six months ended June 30, 2020 and 2019 (dollars in millions):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200" w:type="dxa"/>
            <w:vAlign w:val="bottom"/>
          </w:tcPr>
          <w:p>
            <w:pPr>
              <w:spacing w:after="0"/>
              <w:rPr>
                <w:sz w:val="14"/>
                <w:szCs w:val="14"/>
                <w:color w:val="auto"/>
              </w:rPr>
            </w:pPr>
          </w:p>
        </w:tc>
        <w:tc>
          <w:tcPr>
            <w:tcW w:w="17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7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3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97"/>
        </w:trPr>
        <w:tc>
          <w:tcPr>
            <w:tcW w:w="7300" w:type="dxa"/>
            <w:vAlign w:val="bottom"/>
          </w:tcPr>
          <w:p>
            <w:pPr>
              <w:ind w:left="14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9"/>
                <w:szCs w:val="9"/>
                <w:color w:val="auto"/>
              </w:rPr>
              <w:t>1</w:t>
            </w:r>
          </w:p>
        </w:tc>
        <w:tc>
          <w:tcPr>
            <w:tcW w:w="1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8"/>
        </w:trPr>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9"/>
                <w:szCs w:val="9"/>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97"/>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9"/>
                <w:szCs w:val="9"/>
                <w:color w:val="auto"/>
              </w:rPr>
              <w:t>1</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Operating expense</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97"/>
        </w:trPr>
        <w:tc>
          <w:tcPr>
            <w:tcW w:w="7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Dividend on preferred stock</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300</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3"/>
        </w:trPr>
        <w:tc>
          <w:tcPr>
            <w:tcW w:w="73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8"/>
              </w:rPr>
              <w:t>Net spread and dollar roll income, excluding "catch-up" premium amortization, available to common stockholders (non-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323</w:t>
            </w:r>
          </w:p>
        </w:tc>
        <w:tc>
          <w:tcPr>
            <w:tcW w:w="36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636</w:t>
            </w:r>
          </w:p>
        </w:tc>
        <w:tc>
          <w:tcPr>
            <w:tcW w:w="1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87"/>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measure)</w:t>
            </w: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360" w:type="dxa"/>
            <w:vAlign w:val="bottom"/>
            <w:gridSpan w:val="3"/>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560.3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554.2</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537.2</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560.8</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538.4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555.0</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537.8</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0.47</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0.47</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0.61</w:t>
            </w:r>
          </w:p>
        </w:tc>
        <w:tc>
          <w:tcPr>
            <w:tcW w:w="14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0.58</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0.58</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14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is a summary of our net gain (loss) on investment securities for the three and six months ended June 30, 2020 and 2019 (in millions):</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9"/>
              </w:rPr>
              <w:t>Three Months Ended June 30,</w:t>
            </w:r>
          </w:p>
        </w:tc>
        <w:tc>
          <w:tcPr>
            <w:tcW w:w="200" w:type="dxa"/>
            <w:vAlign w:val="bottom"/>
          </w:tcPr>
          <w:p>
            <w:pPr>
              <w:spacing w:after="0"/>
              <w:rPr>
                <w:sz w:val="14"/>
                <w:szCs w:val="14"/>
                <w:color w:val="auto"/>
              </w:rPr>
            </w:pPr>
          </w:p>
        </w:tc>
        <w:tc>
          <w:tcPr>
            <w:tcW w:w="17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on sale of investment securities, net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6"/>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9"/>
                <w:szCs w:val="9"/>
                <w:color w:val="auto"/>
              </w:rPr>
              <w:t>2</w:t>
            </w:r>
          </w:p>
        </w:tc>
        <w:tc>
          <w:tcPr>
            <w:tcW w:w="18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203"/>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202"/>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2,790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3 of our Consolidated Financial Statements in this Form 10-Q).</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 (in millions):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9"/>
              </w:rPr>
              <w:t>Three Months Ended June 30,</w:t>
            </w:r>
          </w:p>
        </w:tc>
        <w:tc>
          <w:tcPr>
            <w:tcW w:w="200" w:type="dxa"/>
            <w:vAlign w:val="bottom"/>
          </w:tcPr>
          <w:p>
            <w:pPr>
              <w:spacing w:after="0"/>
              <w:rPr>
                <w:sz w:val="14"/>
                <w:szCs w:val="14"/>
                <w:color w:val="auto"/>
              </w:rPr>
            </w:pPr>
          </w:p>
        </w:tc>
        <w:tc>
          <w:tcPr>
            <w:tcW w:w="180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7100" w:type="dxa"/>
            <w:vAlign w:val="bottom"/>
          </w:tcPr>
          <w:p>
            <w:pPr>
              <w:spacing w:after="0"/>
              <w:rPr>
                <w:sz w:val="16"/>
                <w:szCs w:val="16"/>
                <w:color w:val="auto"/>
              </w:rPr>
            </w:pPr>
          </w:p>
        </w:tc>
        <w:tc>
          <w:tcPr>
            <w:tcW w:w="202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periodic interest income (cost), net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77"/>
        </w:trPr>
        <w:tc>
          <w:tcPr>
            <w:tcW w:w="710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7"/>
        </w:trPr>
        <w:tc>
          <w:tcPr>
            <w:tcW w:w="7100" w:type="dxa"/>
            <w:vAlign w:val="bottom"/>
          </w:tcPr>
          <w:p>
            <w:pPr>
              <w:ind w:left="18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7"/>
        </w:trPr>
        <w:tc>
          <w:tcPr>
            <w:tcW w:w="7100" w:type="dxa"/>
            <w:vAlign w:val="bottom"/>
          </w:tcPr>
          <w:p>
            <w:pPr>
              <w:ind w:left="18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97"/>
        </w:trPr>
        <w:tc>
          <w:tcPr>
            <w:tcW w:w="7100" w:type="dxa"/>
            <w:vAlign w:val="bottom"/>
          </w:tcPr>
          <w:p>
            <w:pPr>
              <w:ind w:left="18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197"/>
        </w:trPr>
        <w:tc>
          <w:tcPr>
            <w:tcW w:w="7100" w:type="dxa"/>
            <w:vAlign w:val="bottom"/>
          </w:tcPr>
          <w:p>
            <w:pPr>
              <w:ind w:left="180"/>
              <w:spacing w:after="0"/>
              <w:rPr>
                <w:sz w:val="20"/>
                <w:szCs w:val="20"/>
                <w:color w:val="auto"/>
              </w:rPr>
            </w:pPr>
            <w:r>
              <w:rPr>
                <w:rFonts w:ascii="Arial" w:cs="Arial" w:eastAsia="Arial" w:hAnsi="Arial"/>
                <w:sz w:val="14"/>
                <w:szCs w:val="14"/>
                <w:color w:val="auto"/>
              </w:rPr>
              <w:t>Losses on debt extinguishment</w:t>
            </w: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(3,189)</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(2,153)</w:t>
            </w: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18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6"/>
        </w:trPr>
        <w:tc>
          <w:tcPr>
            <w:tcW w:w="7100" w:type="dxa"/>
            <w:vAlign w:val="bottom"/>
          </w:tcPr>
          <w:p>
            <w:pPr>
              <w:ind w:left="18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7100" w:type="dxa"/>
            <w:vAlign w:val="bottom"/>
          </w:tcPr>
          <w:p>
            <w:pPr>
              <w:ind w:left="18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02"/>
        </w:trPr>
        <w:tc>
          <w:tcPr>
            <w:tcW w:w="7100" w:type="dxa"/>
            <w:vAlign w:val="bottom"/>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71"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For the three months ended June 30, 2020 and 2019, we had estimated taxable income (loss) available (attributable) to common stockholders of $(4) million and $171 million, or $(0.01) and $0.32 per diluted common share, respectively. For the six months ended June 30, 2020 and 2019, we had estimated taxable income available to common stockholders of $107 million and $367 million, or $0.19 and $0.68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six months ended June 30, 2020 and 2019 (dollars in millions, except per share amounts):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4"/>
                <w:szCs w:val="14"/>
                <w:color w:val="auto"/>
              </w:rPr>
            </w:pPr>
          </w:p>
        </w:tc>
        <w:tc>
          <w:tcPr>
            <w:tcW w:w="17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202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7"/>
        </w:trPr>
        <w:tc>
          <w:tcPr>
            <w:tcW w:w="648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6"/>
        </w:trPr>
        <w:tc>
          <w:tcPr>
            <w:tcW w:w="6480" w:type="dxa"/>
            <w:vAlign w:val="bottom"/>
          </w:tcPr>
          <w:p>
            <w:pPr>
              <w:ind w:left="12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208"/>
        </w:trPr>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capital loss/(utilization of net capital loss carryforward)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97"/>
        </w:trPr>
        <w:tc>
          <w:tcPr>
            <w:tcW w:w="6480" w:type="dxa"/>
            <w:vAlign w:val="bottom"/>
          </w:tcPr>
          <w:p>
            <w:pPr>
              <w:ind w:left="120"/>
              <w:spacing w:after="0"/>
              <w:rPr>
                <w:sz w:val="20"/>
                <w:szCs w:val="20"/>
                <w:color w:val="auto"/>
              </w:rPr>
            </w:pPr>
            <w:r>
              <w:rPr>
                <w:rFonts w:ascii="Arial" w:cs="Arial" w:eastAsia="Arial" w:hAnsi="Arial"/>
                <w:sz w:val="14"/>
                <w:szCs w:val="14"/>
                <w:color w:val="auto"/>
              </w:rPr>
              <w:t>Unrealized (gain)/loss, net</w:t>
            </w:r>
          </w:p>
        </w:tc>
        <w:tc>
          <w:tcPr>
            <w:tcW w:w="20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7"/>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Dividends on preferred stock</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(loss) available (attributable) to common stockholders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560.3</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537.8</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554.2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537.2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560.3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555.0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537.8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80" w:type="dxa"/>
            <w:vAlign w:val="bottom"/>
          </w:tcPr>
          <w:p>
            <w:pPr>
              <w:ind w:left="20"/>
              <w:spacing w:after="0"/>
              <w:rPr>
                <w:sz w:val="20"/>
                <w:szCs w:val="20"/>
                <w:color w:val="auto"/>
              </w:rPr>
            </w:pPr>
            <w:r>
              <w:rPr>
                <w:rFonts w:ascii="Arial" w:cs="Arial" w:eastAsia="Arial" w:hAnsi="Arial"/>
                <w:sz w:val="14"/>
                <w:szCs w:val="14"/>
                <w:color w:val="auto"/>
              </w:rPr>
              <w:t>Estimated REIT taxable income (loss) per common share - basic</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(loss) per common share - diluted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 (decrease) in net capital loss carryforward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02"/>
        </w:trPr>
        <w:tc>
          <w:tcPr>
            <w:tcW w:w="648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common share</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0.89</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740" w:top="1005" w:right="7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w:t>
      </w:r>
    </w:p>
    <w:p>
      <w:pPr>
        <w:spacing w:after="0" w:line="10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We believe that we have sufficient liquidity and capital resources available to meet our obligations and execute our business strategy. In assessing our liquidity, we consider a number of factors, including our current leverage, haircut and minimum collateral levels, access to capital markets, overall market conditions, and the sensitivity of our tangible net book value over a range of scenarios. However, these and other factors impacting our liquidity are subject to numerous risks and uncertainties, including as described in the </w:t>
      </w:r>
      <w:r>
        <w:rPr>
          <w:rFonts w:ascii="Arial" w:cs="Arial" w:eastAsia="Arial" w:hAnsi="Arial"/>
          <w:sz w:val="16"/>
          <w:szCs w:val="16"/>
          <w:i w:val="1"/>
          <w:iCs w:val="1"/>
          <w:color w:val="auto"/>
        </w:rPr>
        <w:t>Quantitative and Qualitative Disclosures of Market Risks</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sections of our Annual Report on Form 10-K for the year ended December 31, 2019, as amended (our "2019 Form 10-K") and this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would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9.2x and 9.4x as of June 30, 2020 and December 31, 2019, respectively. The following table includes a summary of our mortgage borrowings outstanding as of June 30, 2020 and December 31, 2019 (dollars in millions). For additional details of our mortgage borrowings refer to Notes 3, 5 and 6 to our Consolidated Financial Statements in this Form 10-Q.</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8"/>
              </w:rPr>
              <w:t>June 30, 2020</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1"/>
              </w:rPr>
              <w:t>December 31, 2019</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7"/>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6"/>
              </w:rPr>
              <w:t>%</w:t>
            </w:r>
          </w:p>
        </w:tc>
        <w:tc>
          <w:tcPr>
            <w:tcW w:w="160" w:type="dxa"/>
            <w:vAlign w:val="bottom"/>
            <w:tcBorders>
              <w:bottom w:val="single" w:sz="8" w:color="auto"/>
            </w:tcBorders>
          </w:tcPr>
          <w:p>
            <w:pPr>
              <w:spacing w:after="0"/>
              <w:rPr>
                <w:sz w:val="17"/>
                <w:szCs w:val="17"/>
                <w:color w:val="auto"/>
              </w:rPr>
            </w:pPr>
          </w:p>
        </w:tc>
      </w:tr>
      <w:tr>
        <w:trPr>
          <w:trHeight w:val="202"/>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9"/>
                <w:szCs w:val="9"/>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69,166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89,085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w:t>
            </w:r>
          </w:p>
        </w:tc>
      </w:tr>
      <w:tr>
        <w:trPr>
          <w:trHeight w:val="202"/>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69,370</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89,313</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20,413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7,404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2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89,783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96,717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Amount excludes $519 million and $97 million of repurchase agreements used to fund purchases of U.S. Treasury securities as of June 30, 2020 and December 31, 2019, respectively.</w:t>
      </w:r>
    </w:p>
    <w:p>
      <w:pPr>
        <w:spacing w:after="0" w:line="167"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Repurchase arrangements involve the sale and a simultaneous agreement to repurchase the transferred assets at a future date and are accounted for as collateralized financing transactions. We maintain a beneficial interest in the specific securities pledged during the term of each repurchase arrangement and we receive the related principal and interest payments.</w:t>
      </w:r>
    </w:p>
    <w:p>
      <w:pPr>
        <w:spacing w:after="0" w:line="130"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terms and conditions of secured borrowings are negotiated on a transaction-by-transaction basis when each such borrowing is initiated or renewed. The amount borrowed is generally equal to the fair value of the securities pledged, as determined by the lending counterparty, less an agreed-upon discount, referred to as a "haircut." This haircut reflects the underlying risk of the specific collateral and protects our counterparty against a change in its value, but conversely subjects us to counterparty credit risk and limits the amount we can borrow against our investment securities. Interest rates are generally fixed based on prevailing rates corresponding to the terms of the borrowings. Interest may be paid monthly or at the termination of a borrowing at which time we may enter into a new borrowing at prevailing haircuts and rates with the same lending counterparty or repay that counterparty and negotiate financing with a different lending counterparty. None of our repo counterparties are obligated to renew or otherwise enter into new borrowings at the conclusion of our existing borrowings.</w:t>
      </w:r>
    </w:p>
    <w:p>
      <w:pPr>
        <w:spacing w:after="0" w:line="12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use of TBA dollar roll transactions increases our funding diversification, expands our available pool of assets, and increases our overall liquidity position, as TBA contracts have lower implied haircuts relative to Agency RMBS pools held on balance sheet and funded with repo financing. However, if it were to become uneconomical to roll our TBA contracts into future months it may be necessary to take physical delivery of the underlying securities and fund those assets with cash or other financing sources, which could reduce our liquidity position. The collateral requirements under our TBA contracts are governed by the Mortgage-Backed Securities Division ("MBSD") of the FICC and by our brokerage agreements, which may establish margin levels in excess of the MBSD.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jc w:val="both"/>
        <w:ind w:firstLine="445"/>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Requirements and Unencumbered Assets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If the fair value of our collateral declines due to changes in market conditions or the publishing of monthly security pay-down factors, our counterparties will typically require that we post additional collateral to re-establish the agreed-upon collateral requirements, referred to as "margin calls." Similarly, if the estimated fair value of our investment securities increases due to changes in interest rates or other factors, we may request that counterparties release collateral back to us. Our derivative agreements also require that we maintain a minimum collateral balance regardless of the value of the derivative instrument based on our counterparties' assessment of risk specific to the derivative instrument and clearing exchange rules.</w:t>
      </w:r>
    </w:p>
    <w:p>
      <w:pPr>
        <w:spacing w:after="0" w:line="13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Collateral requirements under our repurchase and derivative agreements are dependent on our counterparties' determination of the fair value of securities pledged and the "haircut" levels they apply against the value of our securities. Haircuts under repo agreements are typically determined on an individual transaction basis and reflect our counterparties' assessment of the underlying risk associated with the specific collateral. Our derivative agreements also require that we maintain a minimum collateral balance regardless of the value of the derivative instrument based on our counterparties' assessment of risk specific to the derivative instrument and clearing exchange rules. Haircut levels and minimum margin requirements can change overtime and could be expected to increase during periods of elevated market volatility. We are also subject to daily variation margin requirements based on changes in the value of our collateral and, in the case of derivative agreements, changes in the value of the derivative instrument. Daily variation margin requirements under our interest rate derivative agreements also entitle us to receive collateral if the value of amounts owed to us under the derivative instrument exceeds a minimum margin requirement. Our agreements may provide that the valuations of securities securing our obligations under the agreement are to be obtained from a generally recognized source agreed to by both parties to the agreement. Other agreements provide that our counterparty has the sole discretion to determine the value of pledged collateral, but is required to act in good faith in making determinations of value. Our agreements generally provide that in the event of a margin call, collateral must be posted on the same business day, subject to notice requirements. As of June 30, 2020, we had met all our margin requirements.</w:t>
      </w:r>
    </w:p>
    <w:p>
      <w:pPr>
        <w:spacing w:after="0" w:line="132"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value of Agency RMBS is reduced by principal pay-downs on the mortgage pools underlying them. Fannie Mae and Freddie Mac publish monthly security pay-down factors for their mortgage pools on the fifth day after month-end and remit payment based on these factors generally on the 25th day after month-end. Counterparties to our bi-lateral repurchase agreements typically assess margin to account for these principal pay-downs prior to our receipt of the principal repayment when pool level principal payment data becomes available. The FICC assesses margin based on its internally projected pay-down rates on the last day of each month (referred to as the "blackout period exposure adjustment" or "blackout margin"). On the fifth day of the month, the blackout margin is released and collateralization requirements are adjusted to the actual published factor data. Consequently, our liquidity is temporarily reduced each month until we receive payment of the pay-down amounts. We attempt to manage the liquidity risk associated with principal pay-downs by monitoring conditions impacting prepayment rates and through asset selection. As of June 30, 2020, given the current market conditions and elevated prepayment risk associated with historically low interest rates, our portfolio largely consisted of higher coupon specified pool securities, which have a lower risk of prepayment compared to generic Agency RMBS, and TBA securities, which do not expose us to margin calls due to prepayments.</w:t>
      </w:r>
    </w:p>
    <w:p>
      <w:pPr>
        <w:spacing w:after="0" w:line="114"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Haircut levels and minimum margin requirements imposed by counterparties reduce the amount of our unencumbered assets and limit the amount we can borrow against our investment securities. For the six months ended June 30, 2020, haircuts on Agency RMBS collateral remained stable. Haircuts and funding levels for our less liquid, credit-oriented securities, however, were adversely impacted by the dislocation in the financial markets in the first quarter, but improved to more normal levels during the second quarter. As of June 30, 2020, the weighted average haircut on our repurchase agreements was approximately 4.4% of the value of our collateral, inclusive of collateral funded through BES, unchanged from December 31, 2019.</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jc w:val="both"/>
        <w:ind w:firstLine="445"/>
        <w:spacing w:after="0" w:line="259" w:lineRule="auto"/>
        <w:rPr>
          <w:sz w:val="20"/>
          <w:szCs w:val="20"/>
          <w:color w:val="auto"/>
        </w:rPr>
      </w:pPr>
      <w:r>
        <w:rPr>
          <w:rFonts w:ascii="Arial" w:cs="Arial" w:eastAsia="Arial" w:hAnsi="Arial"/>
          <w:sz w:val="18"/>
          <w:szCs w:val="18"/>
          <w:color w:val="auto"/>
        </w:rPr>
        <w:t>As of June 30, 2020, our unencumbered assets totaled 54% of our tangible net equity, unchanged from December 31, 2019. The majority of our liquidity is held at AGNC, but we also maintain capital and excess liquidity at BES for regulatory standards, risk management purposes, and to meet expectations of its counterparties, clearing banks and clearing organizations. As of June 30, 2020, we had cash and unencumbered Agency RMBS totaling $4.5 billion, which excludes unencumbered CRT and non-Agency securities and assets held at BES.</w:t>
      </w:r>
    </w:p>
    <w:p>
      <w:pPr>
        <w:spacing w:after="0" w:line="13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Collateral haircuts and minimum margin requirements imposed by counterparties subject us to counterparty credit risk. We attempt to manage this risk by monitoring our collateral positions and limiting our counterparties to registered clearinghouses and major financial institutions with acceptable credit ratings. We also diversify our funding across multiple counterparties and by region. As of June 30, 2020, we had master repurchase agreements with 47 financial institutions located throughout North America, Europe and Asia, including repo counterparties accessed through BES. BES' direct access to the General Collateral Finance Repo service offered by the FICC and other triparty and bi-lateral repo funding provides us greater depth and diversity of funding at favorable terms relative to traditional bilateral repurchase agreement funding. As of June 30, 2020, $33.3 billion of our repurchase agreement funding was sourced through BES.</w:t>
      </w:r>
    </w:p>
    <w:p>
      <w:pPr>
        <w:spacing w:after="0" w:line="14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June 30, 2020.</w:t>
      </w:r>
    </w:p>
    <w:p>
      <w:pPr>
        <w:spacing w:after="0" w:line="94" w:lineRule="exact"/>
        <w:rPr>
          <w:sz w:val="20"/>
          <w:szCs w:val="20"/>
          <w:color w:val="auto"/>
        </w:rPr>
      </w:pPr>
    </w:p>
    <w:tbl>
      <w:tblPr>
        <w:tblLayout w:type="fixed"/>
        <w:tblInd w:w="270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Counter-Party Region</w:t>
            </w:r>
          </w:p>
        </w:tc>
        <w:tc>
          <w:tcPr>
            <w:tcW w:w="140" w:type="dxa"/>
            <w:vAlign w:val="bottom"/>
            <w:vMerge w:val="restart"/>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Repurchase</w:t>
            </w:r>
          </w:p>
        </w:tc>
        <w:tc>
          <w:tcPr>
            <w:tcW w:w="0" w:type="dxa"/>
            <w:vAlign w:val="bottom"/>
          </w:tcPr>
          <w:p>
            <w:pPr>
              <w:spacing w:after="0"/>
              <w:rPr>
                <w:sz w:val="1"/>
                <w:szCs w:val="1"/>
                <w:color w:val="auto"/>
              </w:rPr>
            </w:pPr>
          </w:p>
        </w:tc>
      </w:tr>
      <w:tr>
        <w:trPr>
          <w:trHeight w:val="188"/>
        </w:trPr>
        <w:tc>
          <w:tcPr>
            <w:tcW w:w="2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Agreement Funding </w:t>
            </w:r>
            <w:r>
              <w:rPr>
                <w:rFonts w:ascii="Arial" w:cs="Arial" w:eastAsia="Arial" w:hAnsi="Arial"/>
                <w:sz w:val="9"/>
                <w:szCs w:val="9"/>
                <w:b w:val="1"/>
                <w:bCs w:val="1"/>
                <w:color w:val="auto"/>
                <w:w w:val="92"/>
              </w:rPr>
              <w:t>1</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North America: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gridSpan w:val="2"/>
          </w:tcPr>
          <w:p>
            <w:pPr>
              <w:ind w:left="100"/>
              <w:spacing w:after="0"/>
              <w:rPr>
                <w:sz w:val="20"/>
                <w:szCs w:val="20"/>
                <w:color w:val="auto"/>
              </w:rPr>
            </w:pPr>
            <w:r>
              <w:rPr>
                <w:rFonts w:ascii="Arial" w:cs="Arial" w:eastAsia="Arial" w:hAnsi="Arial"/>
                <w:sz w:val="14"/>
                <w:szCs w:val="14"/>
                <w:color w:val="auto"/>
              </w:rPr>
              <w:t>FICC</w:t>
            </w:r>
          </w:p>
        </w:tc>
        <w:tc>
          <w:tcPr>
            <w:tcW w:w="136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2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196"/>
        </w:trPr>
        <w:tc>
          <w:tcPr>
            <w:tcW w:w="2960" w:type="dxa"/>
            <w:vAlign w:val="bottom"/>
            <w:gridSpan w:val="2"/>
          </w:tcPr>
          <w:p>
            <w:pPr>
              <w:spacing w:after="0"/>
              <w:rPr>
                <w:sz w:val="20"/>
                <w:szCs w:val="20"/>
                <w:color w:val="auto"/>
              </w:rPr>
            </w:pPr>
            <w:r>
              <w:rPr>
                <w:rFonts w:ascii="Arial" w:cs="Arial" w:eastAsia="Arial" w:hAnsi="Arial"/>
                <w:sz w:val="14"/>
                <w:szCs w:val="14"/>
                <w:color w:val="auto"/>
              </w:rPr>
              <w:t>Total North America</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87%</w:t>
            </w:r>
          </w:p>
        </w:tc>
        <w:tc>
          <w:tcPr>
            <w:tcW w:w="0" w:type="dxa"/>
            <w:vAlign w:val="bottom"/>
          </w:tcPr>
          <w:p>
            <w:pPr>
              <w:spacing w:after="0"/>
              <w:rPr>
                <w:sz w:val="1"/>
                <w:szCs w:val="1"/>
                <w:color w:val="auto"/>
              </w:rPr>
            </w:pPr>
          </w:p>
        </w:tc>
      </w:tr>
      <w:tr>
        <w:trPr>
          <w:trHeight w:val="208"/>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97"/>
        </w:trPr>
        <w:tc>
          <w:tcPr>
            <w:tcW w:w="2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Asia</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227"/>
        </w:trPr>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Percent of repurchase agreement funding includes U.S. Treasury repurchase agreements.</w:t>
      </w:r>
    </w:p>
    <w:p>
      <w:pPr>
        <w:spacing w:after="0" w:line="15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of June 30, 2020, our maximum amount at risk (or the excess value of collateral pledged over our repurchase liabilities) with any of our repurchase agreement counterparties, excluding the FICC, was less than 3% of our tangible stockholders' equity, with our top five repo counterparties, excluding the FICC, representing less than 9% of our tangible stockholders' equity. As of June 30, 2020, approximately 11% of our tangible stockholder's equity was at risk with the FICC. Excluding central clearing exchanges, as of June 30, 2020, our amount at risk with any counterparty to our derivative agreements was less than 1% of our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or premium relative to generic Agency RMBS, of our specified pool securities; consequently, we seek to operate with a minimum level of securities that trade at or near TBA values that in our estimation enhances portfolio liquidity across a wide range of market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among other conditions, we may repurchase shares of our common stock. Please refer to Note 10 of our Consolidated Financial Statements in this Form 10-Q for further details regarding our recent equity capital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June 30, 2020,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2020,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95" w:lineRule="exact"/>
        <w:rPr>
          <w:sz w:val="20"/>
          <w:szCs w:val="20"/>
          <w:color w:val="auto"/>
        </w:rPr>
      </w:pPr>
    </w:p>
    <w:p>
      <w:pPr>
        <w:ind w:left="660" w:hanging="247"/>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Pandemic and of measures taken in response to the Pandemic by various governmental authorities, businesses and other third parties;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actions by the federal, state, or local governments to stabilize the economy, the housing sector or financial markets;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U.S. monetary policy or interest rates;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yield curve;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mortgage prepayment rates on the loans underlying our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and terms of financing;</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from changes in net interest spreads, and changes in market liquidity or depth;</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risk mitigation strategies;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conditions in the market for Agency RMBS and other mortgage securities;</w:t>
      </w:r>
    </w:p>
    <w:p>
      <w:pPr>
        <w:spacing w:after="0" w:line="6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legislative or regulatory changes that affect our status as a REIT, our exemption from the Investment Company Act of 1940 or the mortgage markets in which we participate; and</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risks discussed under the heading “Risk Factors” herein and in our Annual Report on Form 10-K.</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jc w:val="both"/>
        <w:ind w:firstLine="445"/>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June 30, 2020 and December 31, 2019 should interest rates go up or down by 50, 75 and 100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June 30, 2020 and December 31, 2019.</w:t>
      </w:r>
    </w:p>
    <w:p>
      <w:pPr>
        <w:spacing w:after="0" w:line="13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9"/>
          <w:szCs w:val="9"/>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23495</wp:posOffset>
            </wp:positionV>
            <wp:extent cx="55549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5"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2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4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3"/>
              </w:rPr>
              <w:t>Estimated Change</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Estimated Change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Estimated Change 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2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48"/>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6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Book Value Per</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Per Common</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-0.1%</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-6.0%</w:t>
            </w: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+0.1%</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+0.9%</w:t>
            </w:r>
          </w:p>
        </w:tc>
        <w:tc>
          <w:tcPr>
            <w:tcW w:w="1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208"/>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+1.6%</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-0.9%</w:t>
            </w: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-1.7%</w:t>
            </w:r>
          </w:p>
        </w:tc>
        <w:tc>
          <w:tcPr>
            <w:tcW w:w="1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0" w:type="dxa"/>
            <w:vAlign w:val="bottom"/>
          </w:tcPr>
          <w:p>
            <w:pPr>
              <w:spacing w:after="0"/>
              <w:rPr>
                <w:sz w:val="1"/>
                <w:szCs w:val="1"/>
                <w:color w:val="auto"/>
              </w:rPr>
            </w:pPr>
          </w:p>
        </w:tc>
      </w:tr>
      <w:tr>
        <w:trPr>
          <w:trHeight w:val="208"/>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0" w:type="dxa"/>
            <w:vAlign w:val="bottom"/>
          </w:tcPr>
          <w:p>
            <w:pPr>
              <w:spacing w:after="0"/>
              <w:rPr>
                <w:sz w:val="1"/>
                <w:szCs w:val="1"/>
                <w:color w:val="auto"/>
              </w:rPr>
            </w:pPr>
          </w:p>
        </w:tc>
      </w:tr>
      <w:tr>
        <w:trPr>
          <w:trHeight w:val="190"/>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-0.8%</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-9.5%</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-1.3%</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-14.8%</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floored at 0% in down rate scenarios.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among. Generally, prepayments increase during periods of falling mortgage interest rates and decrease during periods of rising mortgage interest rates. However, this may not always be the case.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5"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6"/>
          <w:szCs w:val="16"/>
          <w:color w:val="auto"/>
        </w:rPr>
        <w:t>As of June 30, 2020 and December 31, 2019, our investment securities (excluding TBAs) had a weighted average projected CPR of 16.6% and 10.8%, respectively, and a weighted average yield of 2.64% and 3.07%, respectively. The table below presents estimated weighted average projected CPRs and yields for our investment securities should interest rates go up or down instantaneously by 50, 75 and 100 basis points. Estimated yields exclude the impact of retroactive "catch-up" premium amortization adjustments from prior periods due to changes in the projected CPR assumption.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5520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5"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26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60" w:type="dxa"/>
            <w:vAlign w:val="bottom"/>
            <w:vMerge w:val="restart"/>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3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9"/>
                <w:szCs w:val="9"/>
                <w:b w:val="1"/>
                <w:bCs w:val="1"/>
                <w:color w:val="auto"/>
                <w:w w:val="90"/>
              </w:rPr>
              <w:t>2</w:t>
            </w: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Asset Yield </w:t>
            </w:r>
            <w:r>
              <w:rPr>
                <w:rFonts w:ascii="Arial" w:cs="Arial" w:eastAsia="Arial" w:hAnsi="Arial"/>
                <w:sz w:val="9"/>
                <w:szCs w:val="9"/>
                <w:b w:val="1"/>
                <w:bCs w:val="1"/>
                <w:color w:val="auto"/>
                <w:w w:val="92"/>
              </w:rPr>
              <w:t>2</w:t>
            </w:r>
          </w:p>
        </w:tc>
        <w:tc>
          <w:tcPr>
            <w:tcW w:w="0" w:type="dxa"/>
            <w:vAlign w:val="bottom"/>
          </w:tcPr>
          <w:p>
            <w:pPr>
              <w:spacing w:after="0"/>
              <w:rPr>
                <w:sz w:val="1"/>
                <w:szCs w:val="1"/>
                <w:color w:val="auto"/>
              </w:rPr>
            </w:pPr>
          </w:p>
        </w:tc>
      </w:tr>
      <w:tr>
        <w:trPr>
          <w:trHeight w:val="197"/>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22.3%</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2.32%</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20.3%</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19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21.6%</w:t>
            </w: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2.36%</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2.82%</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2.90%</w:t>
            </w:r>
          </w:p>
        </w:tc>
        <w:tc>
          <w:tcPr>
            <w:tcW w:w="0" w:type="dxa"/>
            <w:vAlign w:val="bottom"/>
          </w:tcPr>
          <w:p>
            <w:pPr>
              <w:spacing w:after="0"/>
              <w:rPr>
                <w:sz w:val="1"/>
                <w:szCs w:val="1"/>
                <w:color w:val="auto"/>
              </w:rPr>
            </w:pPr>
          </w:p>
        </w:tc>
      </w:tr>
      <w:tr>
        <w:trPr>
          <w:trHeight w:val="196"/>
        </w:trPr>
        <w:tc>
          <w:tcPr>
            <w:tcW w:w="318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16.6%</w:t>
            </w: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2.64%</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10.8%</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3.12%</w:t>
            </w:r>
          </w:p>
        </w:tc>
        <w:tc>
          <w:tcPr>
            <w:tcW w:w="0" w:type="dxa"/>
            <w:vAlign w:val="bottom"/>
          </w:tcPr>
          <w:p>
            <w:pPr>
              <w:spacing w:after="0"/>
              <w:rPr>
                <w:sz w:val="1"/>
                <w:szCs w:val="1"/>
                <w:color w:val="auto"/>
              </w:rPr>
            </w:pPr>
          </w:p>
        </w:tc>
      </w:tr>
      <w:tr>
        <w:trPr>
          <w:trHeight w:val="19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11.0%</w:t>
            </w: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2.87%</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7.5%</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3.16%</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Consequently,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June 30, 2020 and December 31, 2019 should spreads widen or tighten by 10, 25 and 50 basis points. The estimated impact of changes in spreads is in addition to our interest rate shock sensitivity included in the interest rate shock table above. The table below assumes a spread duration of 4.4 and 5.0 years as of June 30, 2020 and December 31, 2019,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9"/>
          <w:szCs w:val="9"/>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23495</wp:posOffset>
            </wp:positionV>
            <wp:extent cx="5554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35"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27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Estimated Change</w:t>
            </w:r>
          </w:p>
        </w:tc>
        <w:tc>
          <w:tcPr>
            <w:tcW w:w="14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Estimated Change</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3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0" w:type="dxa"/>
            <w:vAlign w:val="bottom"/>
          </w:tcPr>
          <w:p>
            <w:pPr>
              <w:spacing w:after="0"/>
              <w:rPr>
                <w:sz w:val="1"/>
                <w:szCs w:val="1"/>
                <w:color w:val="auto"/>
              </w:rPr>
            </w:pPr>
          </w:p>
        </w:tc>
      </w:tr>
      <w:tr>
        <w:trPr>
          <w:trHeight w:val="149"/>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60" w:type="dxa"/>
            <w:vAlign w:val="bottom"/>
            <w:vMerge w:val="restart"/>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+26.0%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+28.0%</w:t>
            </w:r>
          </w:p>
        </w:tc>
        <w:tc>
          <w:tcPr>
            <w:tcW w:w="0" w:type="dxa"/>
            <w:vAlign w:val="bottom"/>
          </w:tcPr>
          <w:p>
            <w:pPr>
              <w:spacing w:after="0"/>
              <w:rPr>
                <w:sz w:val="1"/>
                <w:szCs w:val="1"/>
                <w:color w:val="auto"/>
              </w:rPr>
            </w:pPr>
          </w:p>
        </w:tc>
      </w:tr>
      <w:tr>
        <w:trPr>
          <w:trHeight w:val="197"/>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+13.0%</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+1.2%</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+14.0%</w:t>
            </w:r>
          </w:p>
        </w:tc>
        <w:tc>
          <w:tcPr>
            <w:tcW w:w="0" w:type="dxa"/>
            <w:vAlign w:val="bottom"/>
          </w:tcPr>
          <w:p>
            <w:pPr>
              <w:spacing w:after="0"/>
              <w:rPr>
                <w:sz w:val="1"/>
                <w:szCs w:val="1"/>
                <w:color w:val="auto"/>
              </w:rPr>
            </w:pPr>
          </w:p>
        </w:tc>
      </w:tr>
      <w:tr>
        <w:trPr>
          <w:trHeight w:val="208"/>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+5.6%</w:t>
            </w:r>
          </w:p>
        </w:tc>
        <w:tc>
          <w:tcPr>
            <w:tcW w:w="0" w:type="dxa"/>
            <w:vAlign w:val="bottom"/>
          </w:tcPr>
          <w:p>
            <w:pPr>
              <w:spacing w:after="0"/>
              <w:rPr>
                <w:sz w:val="1"/>
                <w:szCs w:val="1"/>
                <w:color w:val="auto"/>
              </w:rPr>
            </w:pPr>
          </w:p>
        </w:tc>
      </w:tr>
      <w:tr>
        <w:trPr>
          <w:trHeight w:val="197"/>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-5.2%</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-5.6%</w:t>
            </w:r>
          </w:p>
        </w:tc>
        <w:tc>
          <w:tcPr>
            <w:tcW w:w="0" w:type="dxa"/>
            <w:vAlign w:val="bottom"/>
          </w:tcPr>
          <w:p>
            <w:pPr>
              <w:spacing w:after="0"/>
              <w:rPr>
                <w:sz w:val="1"/>
                <w:szCs w:val="1"/>
                <w:color w:val="auto"/>
              </w:rPr>
            </w:pPr>
          </w:p>
        </w:tc>
      </w:tr>
      <w:tr>
        <w:trPr>
          <w:trHeight w:val="208"/>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-14.0%</w:t>
            </w: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-2.2%</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-26.0%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-28.0%</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which fluctuates with changes in interest rates and liquidity conditions within the commercial banking and mortgage finance industries.</w:t>
      </w:r>
    </w:p>
    <w:p>
      <w:pPr>
        <w:spacing w:after="0" w:line="133"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As of June 30, 2020, we believe that we have sufficient liquidity and capital resources available to execute our business strategy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in this Form 10-Q for additional details). However, should the value of our collateral or the value of our derivative instruments suddenly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to be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June 30, 2020, our maximum amount at risk with any counterparty related to our repurchase agreements was less than 3% of tangible stockholders' equity and related to our derivative agreements was less than 1% of tangible stockholders' equity.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June 30, 2020. Based on the foregoing, our Chief Executive Officer and Chief Financial Officer concluded that our disclosure controls and procedures were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litigation threatened against us or any consolidated subsidiary, in each case, that is expected to have a material adverse effect on our business, financial condition or operations. You may refer to Part I. Item 3 of our 2019 Form 10-K concerning the resolution and dismissal of litigation involving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Except provided below, there have been no material updates to the risk factors previously disclosed in our 2019 Form 10-K. The following supplement should be read in conjunction with the "Risk Factors" identified in Part I, Item 1A of our 2019 Form 10-K.</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risks we face could materially adversely affect our business, results of operations, financial condition, liquidity and tangible net book value, and could cause our actual results to differ materially from our past results or the results contemplated by any forward-looking statements we make. The risks described in this report and our 2019 Form 10-K are not the only risks we face. Additional risks and uncertainties not presently known to us, or not presently deemed material by us, may also impair our operations and performance.</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The economic and financial market turbulence resulting from the COVID-19 pandemic (the "Pandemic") has adversely affected our financial results and financial position and could continue to negatively impact our business.</w:t>
      </w:r>
    </w:p>
    <w:p>
      <w:pPr>
        <w:spacing w:after="0" w:line="6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rapid global outbreak of COVID-19, a respiratory disease caused by a novel coronavirus, has led to substantial financial market volatility and has significantly adversely affected both the U.S. and global economies. On March 11, 2020, the World Health Organization characterized COVID-19 as a pandemic, and on, March 13, 2020, President Trump declared the COVID-19 outbreak in the United States a national emergency. The COVID-19 outbreak in the United States has resulted in stay-at-home orders, school closures and widespread business shutdowns across the country. These shutdowns and other reductions in business activity have resulted in a contraction of U.S. GDP for the first quarter of 2020 and substantially increased current and projected unemployment levels. While the U.S. federal government and the Federal Reserve (the "Fed") have taken actions to reduce the negative economic impact of the Pandemic, the extent to which these actions will mitigate the short-term and long-term negative impacts of the Pandemic on the U.S. economy, financial markets and our business is unclear, and the drop in the level of U.S. economic activity from these events could be sustained. The sudden and dramatic change to U.S. and global economic activity due to the Pandemic has resulted in severe financial market dislocations, varying degrees of illiquidity among fixed income assets, and a significant increase in market volatility, and such events may recur, persist or worsen.</w:t>
      </w:r>
    </w:p>
    <w:p>
      <w:pPr>
        <w:spacing w:after="0" w:line="6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economic and financial market turbulence resulting from the Pandemic negatively impacted our results of operations and our tangible net book value and could continue to negatively impact our business. Each of the "Risk Factors" described in our 2019 Form 10-K could be materially impacted by conditions resulting from the Pandemic. Risks that we believe may be heightened during and following the Pandemic and related developments are described below; however, you should review each of the risk factors described in our 2019 Form 10-K carefully in light of the Pandemic and related developments. Because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the direct and indirect impacts of the Pandemic and related developments are uncertain and depend on future events, they may also affect our operating and financial results in a manner that is not presently known to us or that we currently do not expect to present significant risks.</w:t>
      </w:r>
    </w:p>
    <w:p>
      <w:pPr>
        <w:spacing w:after="0" w:line="6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Model and forecast risks </w:t>
      </w:r>
      <w:r>
        <w:rPr>
          <w:rFonts w:ascii="Arial" w:cs="Arial" w:eastAsia="Arial" w:hAnsi="Arial"/>
          <w:sz w:val="16"/>
          <w:szCs w:val="16"/>
          <w:color w:val="auto"/>
        </w:rPr>
        <w:t>- The Pandemic and its impact on the U.S. and global economies, and the related governmental responses,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unprecedented. It is difficult to assess or predict the impact of unprecedented events on our business, financial results and condition. Our forecasts and expectations relating to these developments are subject to many uncertainties and may change, perhaps substantially, from our current forecasts and expectations. Furthermore, our analytical models were not designed to incorporate the unique circumstances associated with the Pandemic and related developments. We use analytical models (both those supplied by third parties and proprietary models developed by us) and information supplied by our third-party vendors to value assets; forecast prepayment, default and foreclosure rates; and to manage risk. These predictive models are usually constructed based on historical trends, and the success of relying on such models depends heavily on the correlation between the reported historical data and future events or behavior. As such, the unprecedented economic and financial market events associated with the Pandemic reduce the ability of our models to predict future outcomes and could even render them invalid. Consequently, actual results could differ materially from our projections.</w:t>
      </w:r>
    </w:p>
    <w:p>
      <w:pPr>
        <w:spacing w:after="0" w:line="58"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i w:val="1"/>
          <w:iCs w:val="1"/>
          <w:color w:val="auto"/>
        </w:rPr>
        <w:t xml:space="preserve">Spread and credit risks </w:t>
      </w:r>
      <w:r>
        <w:rPr>
          <w:rFonts w:ascii="Arial" w:cs="Arial" w:eastAsia="Arial" w:hAnsi="Arial"/>
          <w:sz w:val="17"/>
          <w:szCs w:val="17"/>
          <w:color w:val="auto"/>
        </w:rPr>
        <w:t>- Spread risk is an inherent component of our business and is increased by the use of leverage. Our hedging strategies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mitigate spread risk, and, thus, wider spreads negatively impact our tangible net book value. Spreads can widen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nearly all of which have been impacted by the Pandemic and related developments and are likely to continue to be impacted over at least the short to intermediate term as markets continue to grapple with their effects. The unprecedented decline in interest rates, extreme market volatility, and illiquidity across the fixed income markets stemming from these developments resulted in historically wide and volatile spread movements during the first quarter of 2020. The Fed's unprecedented purchases of Agency RMBS and U.S. Treasury securities that began in March have eased conditions somewhat, but markets remain fragile. The Fed has committed its continued support of the U.S. Treasury and Agency RMBS markets and to the liquidity of repo funding markets backed by U.S. Treasury and Agency collateral. However, should the Fed fail to maintain an adequate level of support, prematurely reduce its support or stop its support altogether any number of adverse market reactions could occur, including materially wider spread movements. It is also possible that despite substantial Fed support, the funding market for Agency MBS could still deteriorate if primary dealers are unwilling to pass along the liquidity provided by the Fed to broader market participants. Additionally, an unwinding of the Fed's purchases of Agency and U.S. Treasury securities could severely disrupt the fixed income markets, resulting in interest rate volatility and wider spreads. Should any of these events occur, our tangible net book value and our financial position could be materially adversely impacted. In addition to spread risks, our investments in CRT and non-agency RMBS and CMBS are subject to credit risk, and the Pandemic and related developments may adversely impact the credit quality of those investments and result in our experiencing a loss on these investments.</w:t>
      </w:r>
    </w:p>
    <w:p>
      <w:pPr>
        <w:spacing w:after="0" w:line="8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 The Pandemic has led to historically low interest rates. Prepayments on our investment securities typically increase when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fall. An increase in prepayments can negatively impact our net interest margin and tangible net book value, which could be material. Mortgage rates have declined to historic lows and could continue to decline. It is also possible that after the Pandemic induced extended forbearance periods offered by the GSEs, which may extend up to 12 months, borrowers may be unable to resume monthly payments leading to a large scale buyouts of delinquent loans from mortgage pools by the GSE's. Additionally, technological advances throughout origination channels and changes to GSE underwriting requirements, potentially implemented in part or in whole in response to the Pandemic, could increase and/or accelerate the pace of mortgage origination activity. Any one of these factors could lead to materially faster prepayments. Furthermore, since prepayment models were not designed to incorporate the unique circumstances associated with the Pandemic, they may be less predictive of prepayment activity, hindering our ability to accurately forecast prepayment rates.</w:t>
      </w:r>
    </w:p>
    <w:p>
      <w:pPr>
        <w:spacing w:after="0" w:line="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Extension risk </w:t>
      </w:r>
      <w:r>
        <w:rPr>
          <w:rFonts w:ascii="Arial" w:cs="Arial" w:eastAsia="Arial" w:hAnsi="Arial"/>
          <w:sz w:val="16"/>
          <w:szCs w:val="16"/>
          <w:color w:val="auto"/>
        </w:rPr>
        <w:t>- The social distancing measures instituted to combat the Pandemic have resulted in curtailed or ceased activity in many parts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economy and have raised fears that the U.S. and global economies will enter a deep and protracted recession, or even depression. These fears have led to a historic decline in interest rates; however, should the U.S. economy recover faster than anticipated, interest rates could rise rapidly. Should this occur, the duration of our mortgage portfolio could extend faster than we expect and negatively impact our net book value. Although we expect to hedge against an increase in interest rates and manage our net duration gap, we cannot guarantee that our hedges or other funding and liability management activities will adequately protect us against extension risk and, thus, our tangible net book value could be materially adversely impacted should this occur.</w:t>
      </w:r>
    </w:p>
    <w:p>
      <w:pPr>
        <w:spacing w:after="0" w:line="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Hedging and interest rate risks </w:t>
      </w:r>
      <w:r>
        <w:rPr>
          <w:rFonts w:ascii="Arial" w:cs="Arial" w:eastAsia="Arial" w:hAnsi="Arial"/>
          <w:sz w:val="18"/>
          <w:szCs w:val="18"/>
          <w:color w:val="auto"/>
        </w:rPr>
        <w:t>- Our hedges are intended to limit the adverse effect of changes in interest rates on our assets and cost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strategies are complex and we use analytical models to help manage our risk. Since analytical models may be less reliable given the unprecedented events stemming from the Pandemic, there is an increased risk that our hedging strategies may be less effective, or even ineffective, which could materially adversely affect our financial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jc w:val="both"/>
        <w:spacing w:after="0" w:line="275" w:lineRule="auto"/>
        <w:rPr>
          <w:sz w:val="20"/>
          <w:szCs w:val="20"/>
          <w:color w:val="auto"/>
        </w:rPr>
      </w:pPr>
      <w:r>
        <w:rPr>
          <w:rFonts w:ascii="Arial" w:cs="Arial" w:eastAsia="Arial" w:hAnsi="Arial"/>
          <w:sz w:val="17"/>
          <w:szCs w:val="17"/>
          <w:color w:val="auto"/>
        </w:rPr>
        <w:t>position and tangible net book value. There are also many uncertainties associated with the Pandemic and the short and long-term economic and fiscal tolls are difficult to predict. With interest rates at or near their zero-bound range, an actual or anticipated severe economic recession or depression could cause interest rates to fall below zero. Negative rates could result in material losses on our interest rate hedges and negatively impact our net interest margin, adversely affecting our net income and tangible net book value. Although we expect that the Fed would use all its monetary policy tools to prevent negative rates, there is no guarantee that it will do so or that it would be successful at keeping rates above zero.</w:t>
      </w:r>
    </w:p>
    <w:p>
      <w:pPr>
        <w:spacing w:after="0" w:line="6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Liquidity risks - </w:t>
      </w:r>
      <w:r>
        <w:rPr>
          <w:rFonts w:ascii="Arial" w:cs="Arial" w:eastAsia="Arial" w:hAnsi="Arial"/>
          <w:sz w:val="16"/>
          <w:szCs w:val="16"/>
          <w:color w:val="auto"/>
        </w:rPr>
        <w:t>Turbulent market conditions resulting from the Pandemic increase the risk of margin calls under our funding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If the value of our pledged collateral or if the value of our interest rate hedges declines, we will be required to post additional collateral. Counterparties may also increase haircut levels or overall margin requirements and generally have the right to unilaterally value our collateral. Counterparties to certain agreements, such as TBA clearing agreements, may only post collateral to us up to certain limits, resulting in our inability to receive collateral when it would otherwise have been due. Certain assets, such as credit assets, may not be financeable, or haircuts and pricing for such assets could increase substantially, particularly in periods of market volatility. Lastly, to the extent we are entitled to receive collateral from counterparties, they may be unwilling or unable to return collateral in a timely manner. If conditions result in our inability to meet margin calls, we could default on our obligations and be forced to sell assets under adverse conditions. In addition, if counterparties fail to fulfill their obligations to us, we could experience a loss. We may be unable to raise additional equity capital or procure funding, at all or on favorable terms, to address liquidity or other needs.</w:t>
      </w:r>
    </w:p>
    <w:p>
      <w:pPr>
        <w:spacing w:after="0" w:line="5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Human capital and business resiliency risks </w:t>
      </w:r>
      <w:r>
        <w:rPr>
          <w:rFonts w:ascii="Arial" w:cs="Arial" w:eastAsia="Arial" w:hAnsi="Arial"/>
          <w:sz w:val="18"/>
          <w:szCs w:val="18"/>
          <w:color w:val="auto"/>
        </w:rPr>
        <w:t>- Since mid-March, all of our workforce has been working remotely consistent with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continuity plan. Stay-at-home orders and other Pandemic related restrictions in effect in the states and localities where our workforce is located may be extended in whole or in part for several additional months. The strain on our workforce and our business operations caused by this shift in our operating environment may result in business interruptions, reduced productivity and other adverse impacts on our operations. While our technological systems to date have continued to function with our workforce working remotely, this telework arrangement increases the risk of technological or cybersecurity incidents that could negatively affect our business operations. This telework arrangement, the risk that our employees or their family members could contract COVID-19 and our reliance for some services and functions on third parties, which are largely working under similar conditions, could also adversely affect our ability to maintain effective controls and procedures, which could result in material errors in our reported results or disclosures that are not complete or accurate.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July of 2019, our Board of Directors authorized the repurchase of up to $1 billion of our outstanding shares of common stock through December 31, 2020. As of June 30, 2020, the Company has repurchased shares at an aggregate amount of $250 million under the program. As of June 30, 2020, $750 million of common stock remains available for repurchase under the program. The following table presents information with respect to purchases of our common stock made during the three months ended June 30, 2020 by us or any "affiliated purchaser" of us, as defined in Rule 10b-18(a)(3) under the Exchange Act (in millions, except per share amounts):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Settlement Date</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Total Number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Net Price</w:t>
            </w: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 xml:space="preserve">of Shares Purchased </w:t>
            </w:r>
            <w:r>
              <w:rPr>
                <w:rFonts w:ascii="Arial" w:cs="Arial" w:eastAsia="Arial" w:hAnsi="Arial"/>
                <w:sz w:val="9"/>
                <w:szCs w:val="9"/>
                <w:b w:val="1"/>
                <w:bCs w:val="1"/>
                <w:color w:val="auto"/>
                <w:w w:val="89"/>
              </w:rPr>
              <w:t>1</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Paid Per Share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20"/>
                <w:szCs w:val="20"/>
                <w:color w:val="auto"/>
              </w:rPr>
            </w:pPr>
            <w:r>
              <w:rPr>
                <w:rFonts w:ascii="Arial" w:cs="Arial" w:eastAsia="Arial" w:hAnsi="Arial"/>
                <w:sz w:val="14"/>
                <w:szCs w:val="14"/>
                <w:color w:val="auto"/>
              </w:rPr>
              <w:t>April 1, 2020 - April 30, 2020</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8.4</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$11.97</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4"/>
                <w:szCs w:val="14"/>
                <w:color w:val="auto"/>
              </w:rPr>
              <w:t>May 1, 2020 - May 31, 2020</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3"/>
              </w:rPr>
              <w:t>$12.08</w:t>
            </w:r>
          </w:p>
        </w:tc>
        <w:tc>
          <w:tcPr>
            <w:tcW w:w="0" w:type="dxa"/>
            <w:vAlign w:val="bottom"/>
          </w:tcPr>
          <w:p>
            <w:pPr>
              <w:spacing w:after="0"/>
              <w:rPr>
                <w:sz w:val="1"/>
                <w:szCs w:val="1"/>
                <w:color w:val="auto"/>
              </w:rPr>
            </w:pPr>
          </w:p>
        </w:tc>
      </w:tr>
      <w:tr>
        <w:trPr>
          <w:trHeight w:val="208"/>
        </w:trPr>
        <w:tc>
          <w:tcPr>
            <w:tcW w:w="4100" w:type="dxa"/>
            <w:vAlign w:val="bottom"/>
          </w:tcPr>
          <w:p>
            <w:pPr>
              <w:spacing w:after="0"/>
              <w:rPr>
                <w:sz w:val="20"/>
                <w:szCs w:val="20"/>
                <w:color w:val="auto"/>
              </w:rPr>
            </w:pPr>
            <w:r>
              <w:rPr>
                <w:rFonts w:ascii="Arial" w:cs="Arial" w:eastAsia="Arial" w:hAnsi="Arial"/>
                <w:sz w:val="14"/>
                <w:szCs w:val="14"/>
                <w:color w:val="auto"/>
              </w:rPr>
              <w:t>June 1, 2020 - June 30, 2020</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0.0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Arial" w:cs="Arial" w:eastAsia="Arial" w:hAnsi="Arial"/>
                <w:sz w:val="14"/>
                <w:szCs w:val="14"/>
                <w:color w:val="auto"/>
              </w:rPr>
              <w:t>Total</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12.4</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$12.00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Total Number of Shares</w:t>
      </w:r>
    </w:p>
    <w:p>
      <w:pPr>
        <w:ind w:firstLine="38"/>
        <w:spacing w:after="0" w:line="238" w:lineRule="auto"/>
        <w:rPr>
          <w:sz w:val="20"/>
          <w:szCs w:val="20"/>
          <w:color w:val="auto"/>
        </w:rPr>
      </w:pPr>
      <w:r>
        <w:rPr>
          <w:rFonts w:ascii="Arial" w:cs="Arial" w:eastAsia="Arial" w:hAnsi="Arial"/>
          <w:sz w:val="12"/>
          <w:szCs w:val="12"/>
          <w:b w:val="1"/>
          <w:bCs w:val="1"/>
          <w:color w:val="auto"/>
        </w:rPr>
        <w:t>Purchased as Part of Publicly Announced Plans or Programs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3</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8.4</w:t>
      </w:r>
    </w:p>
    <w:p>
      <w:pPr>
        <w:spacing w:after="0" w:line="4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3.8</w:t>
      </w:r>
    </w:p>
    <w:p>
      <w:pPr>
        <w:spacing w:after="0" w:line="4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20955</wp:posOffset>
            </wp:positionV>
            <wp:extent cx="1268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20955</wp:posOffset>
            </wp:positionV>
            <wp:extent cx="12687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46990</wp:posOffset>
            </wp:positionV>
            <wp:extent cx="12687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20" w:right="80"/>
        <w:spacing w:after="0" w:line="229" w:lineRule="auto"/>
        <w:rPr>
          <w:sz w:val="20"/>
          <w:szCs w:val="20"/>
          <w:color w:val="auto"/>
        </w:rPr>
      </w:pPr>
      <w:r>
        <w:rPr>
          <w:rFonts w:ascii="Arial" w:cs="Arial" w:eastAsia="Arial" w:hAnsi="Arial"/>
          <w:sz w:val="14"/>
          <w:szCs w:val="14"/>
          <w:b w:val="1"/>
          <w:bCs w:val="1"/>
          <w:color w:val="auto"/>
        </w:rPr>
        <w:t>Maximum Number (or Approximate Dollar Value) of Shares That May Yet Be</w:t>
      </w:r>
    </w:p>
    <w:p>
      <w:pPr>
        <w:spacing w:after="0" w:line="1" w:lineRule="exact"/>
        <w:rPr>
          <w:sz w:val="20"/>
          <w:szCs w:val="20"/>
          <w:color w:val="auto"/>
        </w:rPr>
      </w:pPr>
    </w:p>
    <w:p>
      <w:pPr>
        <w:jc w:val="center"/>
        <w:ind w:right="60"/>
        <w:spacing w:after="0" w:line="232" w:lineRule="auto"/>
        <w:rPr>
          <w:sz w:val="20"/>
          <w:szCs w:val="20"/>
          <w:color w:val="auto"/>
        </w:rPr>
      </w:pPr>
      <w:r>
        <w:rPr>
          <w:rFonts w:ascii="Arial" w:cs="Arial" w:eastAsia="Arial" w:hAnsi="Arial"/>
          <w:sz w:val="14"/>
          <w:szCs w:val="14"/>
          <w:b w:val="1"/>
          <w:bCs w:val="1"/>
          <w:color w:val="auto"/>
        </w:rPr>
        <w:t>Purchased Under the Publicly Announced Plans or Programs (in millions)</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$797</w:t>
      </w:r>
    </w:p>
    <w:p>
      <w:pPr>
        <w:spacing w:after="0" w:line="4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750</w:t>
      </w:r>
    </w:p>
    <w:p>
      <w:pPr>
        <w:spacing w:after="0" w:line="4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20955</wp:posOffset>
            </wp:positionV>
            <wp:extent cx="12769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20955</wp:posOffset>
            </wp:positionV>
            <wp:extent cx="12769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46990</wp:posOffset>
            </wp:positionV>
            <wp:extent cx="12769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3">
            <w:col w:w="7040" w:space="160"/>
            <w:col w:w="1880" w:space="220"/>
            <w:col w:w="1940"/>
          </w:cols>
          <w:pgMar w:left="320" w:top="1003"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___________________________</w:t>
      </w:r>
    </w:p>
    <w:p>
      <w:pPr>
        <w:spacing w:after="0" w:line="1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Gary Kain, our Chief Executive Officer and Chief Investment officer, purchased 189,188 shares of our common stock on May 6, 2020 for an average net price paid per share of $12.60.</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Average net price paid per share purchased by the Company as part of publicly announced plans or programs was $11.99.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All shares purchased by the Company were pursuant to the stock repurchase program described in Note 10 of our accompanying Consolidated Financial Statements in this Form 10-Q.</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Exhibit Index</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 No. Description</w:t>
      </w:r>
    </w:p>
    <w:p>
      <w:pPr>
        <w:spacing w:after="0" w:line="171" w:lineRule="exact"/>
        <w:rPr>
          <w:sz w:val="20"/>
          <w:szCs w:val="20"/>
          <w:color w:val="auto"/>
        </w:rPr>
      </w:pPr>
    </w:p>
    <w:p>
      <w:pPr>
        <w:jc w:val="both"/>
        <w:ind w:left="1300" w:right="20" w:hanging="1295"/>
        <w:spacing w:after="0" w:line="277" w:lineRule="auto"/>
        <w:rPr>
          <w:rFonts w:ascii="Arial" w:cs="Arial" w:eastAsia="Arial" w:hAnsi="Arial"/>
          <w:sz w:val="18"/>
          <w:szCs w:val="18"/>
          <w:color w:val="auto"/>
        </w:rPr>
      </w:pPr>
      <w:hyperlink r:id="rId85">
        <w:r>
          <w:rPr>
            <w:rFonts w:ascii="Arial" w:cs="Arial" w:eastAsia="Arial" w:hAnsi="Arial"/>
            <w:sz w:val="18"/>
            <w:szCs w:val="18"/>
            <w:color w:val="auto"/>
          </w:rPr>
          <w:t>*3.1 AGNC Investment Corp. Amended and Restated Certificate of Incorporation, as amended, incorporated by reference from Exhibit 3.1 of Form 10-Q</w:t>
        </w:r>
      </w:hyperlink>
      <w:r>
        <w:rPr>
          <w:rFonts w:ascii="Arial" w:cs="Arial" w:eastAsia="Arial" w:hAnsi="Arial"/>
          <w:sz w:val="18"/>
          <w:szCs w:val="18"/>
          <w:color w:val="auto"/>
        </w:rPr>
        <w:t xml:space="preserve"> </w:t>
      </w:r>
      <w:hyperlink r:id="rId85">
        <w:r>
          <w:rPr>
            <w:rFonts w:ascii="Arial" w:cs="Arial" w:eastAsia="Arial" w:hAnsi="Arial"/>
            <w:sz w:val="18"/>
            <w:szCs w:val="18"/>
            <w:color w:val="auto"/>
          </w:rPr>
          <w:t>for the quarter ended March 31, 2020 (File No. 001-34057), filed May 11, 2020.</w:t>
        </w:r>
      </w:hyperlink>
    </w:p>
    <w:p>
      <w:pPr>
        <w:spacing w:after="0" w:line="116" w:lineRule="exact"/>
        <w:rPr>
          <w:sz w:val="20"/>
          <w:szCs w:val="20"/>
          <w:color w:val="auto"/>
        </w:rPr>
      </w:pPr>
    </w:p>
    <w:p>
      <w:pPr>
        <w:jc w:val="both"/>
        <w:ind w:left="1300" w:hanging="1295"/>
        <w:spacing w:after="0" w:line="277" w:lineRule="auto"/>
        <w:rPr>
          <w:rFonts w:ascii="Arial" w:cs="Arial" w:eastAsia="Arial" w:hAnsi="Arial"/>
          <w:sz w:val="18"/>
          <w:szCs w:val="18"/>
          <w:color w:val="auto"/>
        </w:rPr>
      </w:pPr>
      <w:hyperlink r:id="rId86">
        <w:r>
          <w:rPr>
            <w:rFonts w:ascii="Arial" w:cs="Arial" w:eastAsia="Arial" w:hAnsi="Arial"/>
            <w:sz w:val="18"/>
            <w:szCs w:val="18"/>
            <w:color w:val="auto"/>
          </w:rPr>
          <w:t>*3.2 AGNC Investment Corp. Third Amended and Restated Bylaws, as amended, incorporated herein by reference to Exhibit 3.2 of Form 10-Q for the</w:t>
        </w:r>
      </w:hyperlink>
      <w:r>
        <w:rPr>
          <w:rFonts w:ascii="Arial" w:cs="Arial" w:eastAsia="Arial" w:hAnsi="Arial"/>
          <w:sz w:val="18"/>
          <w:szCs w:val="18"/>
          <w:color w:val="auto"/>
        </w:rPr>
        <w:t xml:space="preserve"> </w:t>
      </w:r>
      <w:hyperlink r:id="rId86">
        <w:r>
          <w:rPr>
            <w:rFonts w:ascii="Arial" w:cs="Arial" w:eastAsia="Arial" w:hAnsi="Arial"/>
            <w:sz w:val="18"/>
            <w:szCs w:val="18"/>
            <w:color w:val="auto"/>
          </w:rPr>
          <w:t>quarter ended September 30, 2016 (File No. 001-34057), filed November 7, 2016.</w:t>
        </w:r>
      </w:hyperlink>
    </w:p>
    <w:p>
      <w:pPr>
        <w:spacing w:after="0" w:line="116" w:lineRule="exact"/>
        <w:rPr>
          <w:sz w:val="20"/>
          <w:szCs w:val="20"/>
          <w:color w:val="auto"/>
        </w:rPr>
      </w:pPr>
    </w:p>
    <w:p>
      <w:pPr>
        <w:jc w:val="both"/>
        <w:ind w:left="1300" w:hanging="1295"/>
        <w:spacing w:after="0" w:line="277" w:lineRule="auto"/>
        <w:rPr>
          <w:rFonts w:ascii="Arial" w:cs="Arial" w:eastAsia="Arial" w:hAnsi="Arial"/>
          <w:sz w:val="18"/>
          <w:szCs w:val="18"/>
          <w:color w:val="auto"/>
        </w:rPr>
      </w:pPr>
      <w:hyperlink r:id="rId87">
        <w:r>
          <w:rPr>
            <w:rFonts w:ascii="Arial" w:cs="Arial" w:eastAsia="Arial" w:hAnsi="Arial"/>
            <w:sz w:val="18"/>
            <w:szCs w:val="18"/>
            <w:color w:val="auto"/>
          </w:rPr>
          <w:t>*3.3 Certificate of Designations of 7.00% Series C Fixed-to-Floating Rate Cumulative Redeemable Preferred Stock, incorporated herein by reference to</w:t>
        </w:r>
      </w:hyperlink>
      <w:r>
        <w:rPr>
          <w:rFonts w:ascii="Arial" w:cs="Arial" w:eastAsia="Arial" w:hAnsi="Arial"/>
          <w:sz w:val="18"/>
          <w:szCs w:val="18"/>
          <w:color w:val="auto"/>
        </w:rPr>
        <w:t xml:space="preserve"> </w:t>
      </w:r>
      <w:hyperlink r:id="rId87">
        <w:r>
          <w:rPr>
            <w:rFonts w:ascii="Arial" w:cs="Arial" w:eastAsia="Arial" w:hAnsi="Arial"/>
            <w:sz w:val="18"/>
            <w:szCs w:val="18"/>
            <w:color w:val="auto"/>
          </w:rPr>
          <w:t>Exhibit 3.5 of Form 8-A (File No. 001-34057), filed August 18, 2017.</w:t>
        </w:r>
      </w:hyperlink>
    </w:p>
    <w:p>
      <w:pPr>
        <w:spacing w:after="0" w:line="116" w:lineRule="exact"/>
        <w:rPr>
          <w:sz w:val="20"/>
          <w:szCs w:val="20"/>
          <w:color w:val="auto"/>
        </w:rPr>
      </w:pPr>
    </w:p>
    <w:p>
      <w:pPr>
        <w:jc w:val="both"/>
        <w:ind w:left="1300" w:hanging="1295"/>
        <w:spacing w:after="0" w:line="277" w:lineRule="auto"/>
        <w:rPr>
          <w:rFonts w:ascii="Arial" w:cs="Arial" w:eastAsia="Arial" w:hAnsi="Arial"/>
          <w:sz w:val="18"/>
          <w:szCs w:val="18"/>
          <w:color w:val="auto"/>
        </w:rPr>
      </w:pPr>
      <w:hyperlink r:id="rId88">
        <w:r>
          <w:rPr>
            <w:rFonts w:ascii="Arial" w:cs="Arial" w:eastAsia="Arial" w:hAnsi="Arial"/>
            <w:sz w:val="18"/>
            <w:szCs w:val="18"/>
            <w:color w:val="auto"/>
          </w:rPr>
          <w:t>*3.4 Certificate of Elimination of 8.000% Series A Cumulative Redeemable Preferred Stock, incorporated herein by reference to Exhibit 3.1 of Form 8-K</w:t>
        </w:r>
      </w:hyperlink>
      <w:r>
        <w:rPr>
          <w:rFonts w:ascii="Arial" w:cs="Arial" w:eastAsia="Arial" w:hAnsi="Arial"/>
          <w:sz w:val="18"/>
          <w:szCs w:val="18"/>
          <w:color w:val="auto"/>
        </w:rPr>
        <w:t xml:space="preserve"> </w:t>
      </w:r>
      <w:hyperlink r:id="rId88">
        <w:r>
          <w:rPr>
            <w:rFonts w:ascii="Arial" w:cs="Arial" w:eastAsia="Arial" w:hAnsi="Arial"/>
            <w:sz w:val="18"/>
            <w:szCs w:val="18"/>
            <w:color w:val="auto"/>
          </w:rPr>
          <w:t>(File No 001-34057), filed October 26, 2017.</w:t>
        </w:r>
      </w:hyperlink>
    </w:p>
    <w:p>
      <w:pPr>
        <w:spacing w:after="0" w:line="116" w:lineRule="exact"/>
        <w:rPr>
          <w:sz w:val="20"/>
          <w:szCs w:val="20"/>
          <w:color w:val="auto"/>
        </w:rPr>
      </w:pPr>
    </w:p>
    <w:p>
      <w:pPr>
        <w:jc w:val="both"/>
        <w:ind w:left="1300" w:hanging="1295"/>
        <w:spacing w:after="0" w:line="277" w:lineRule="auto"/>
        <w:rPr>
          <w:rFonts w:ascii="Arial" w:cs="Arial" w:eastAsia="Arial" w:hAnsi="Arial"/>
          <w:sz w:val="18"/>
          <w:szCs w:val="18"/>
          <w:color w:val="auto"/>
        </w:rPr>
      </w:pPr>
      <w:hyperlink r:id="rId89">
        <w:r>
          <w:rPr>
            <w:rFonts w:ascii="Arial" w:cs="Arial" w:eastAsia="Arial" w:hAnsi="Arial"/>
            <w:sz w:val="18"/>
            <w:szCs w:val="18"/>
            <w:color w:val="auto"/>
          </w:rPr>
          <w:t>*3.5 Certificate of Designations of 6.875% Series D Fixed-to-Floating Rate Cumulative Redeemable Preferred Stock, incorporated herein by reference to</w:t>
        </w:r>
      </w:hyperlink>
      <w:r>
        <w:rPr>
          <w:rFonts w:ascii="Arial" w:cs="Arial" w:eastAsia="Arial" w:hAnsi="Arial"/>
          <w:sz w:val="18"/>
          <w:szCs w:val="18"/>
          <w:color w:val="auto"/>
        </w:rPr>
        <w:t xml:space="preserve"> </w:t>
      </w:r>
      <w:hyperlink r:id="rId89">
        <w:r>
          <w:rPr>
            <w:rFonts w:ascii="Arial" w:cs="Arial" w:eastAsia="Arial" w:hAnsi="Arial"/>
            <w:sz w:val="18"/>
            <w:szCs w:val="18"/>
            <w:color w:val="auto"/>
          </w:rPr>
          <w:t>Exhibit 3.5 of Form 8-A (File No 001-34057), filed March 6, 2019.</w:t>
        </w:r>
      </w:hyperlink>
    </w:p>
    <w:p>
      <w:pPr>
        <w:spacing w:after="0" w:line="116" w:lineRule="exact"/>
        <w:rPr>
          <w:sz w:val="20"/>
          <w:szCs w:val="20"/>
          <w:color w:val="auto"/>
        </w:rPr>
      </w:pPr>
    </w:p>
    <w:p>
      <w:pPr>
        <w:jc w:val="both"/>
        <w:ind w:left="1300" w:right="20" w:hanging="1295"/>
        <w:spacing w:after="0" w:line="277" w:lineRule="auto"/>
        <w:rPr>
          <w:rFonts w:ascii="Arial" w:cs="Arial" w:eastAsia="Arial" w:hAnsi="Arial"/>
          <w:sz w:val="18"/>
          <w:szCs w:val="18"/>
          <w:color w:val="auto"/>
        </w:rPr>
      </w:pPr>
      <w:hyperlink r:id="rId90">
        <w:r>
          <w:rPr>
            <w:rFonts w:ascii="Arial" w:cs="Arial" w:eastAsia="Arial" w:hAnsi="Arial"/>
            <w:sz w:val="18"/>
            <w:szCs w:val="18"/>
            <w:color w:val="auto"/>
          </w:rPr>
          <w:t>*3.6 Certificate of Designations of 6.50% Series E Fixed-to-Floating Rate Cumulative Redeemable Preferred Stock, incorporated herein by reference to</w:t>
        </w:r>
      </w:hyperlink>
      <w:r>
        <w:rPr>
          <w:rFonts w:ascii="Arial" w:cs="Arial" w:eastAsia="Arial" w:hAnsi="Arial"/>
          <w:sz w:val="18"/>
          <w:szCs w:val="18"/>
          <w:color w:val="auto"/>
        </w:rPr>
        <w:t xml:space="preserve"> </w:t>
      </w:r>
      <w:hyperlink r:id="rId90">
        <w:r>
          <w:rPr>
            <w:rFonts w:ascii="Arial" w:cs="Arial" w:eastAsia="Arial" w:hAnsi="Arial"/>
            <w:sz w:val="18"/>
            <w:szCs w:val="18"/>
            <w:color w:val="auto"/>
          </w:rPr>
          <w:t>Exhibit 3.6 of Form 8-A (File No 001-34057), filed October 3, 2019.</w:t>
        </w:r>
      </w:hyperlink>
    </w:p>
    <w:p>
      <w:pPr>
        <w:spacing w:after="0" w:line="116" w:lineRule="exact"/>
        <w:rPr>
          <w:sz w:val="20"/>
          <w:szCs w:val="20"/>
          <w:color w:val="auto"/>
        </w:rPr>
      </w:pPr>
    </w:p>
    <w:p>
      <w:pPr>
        <w:jc w:val="both"/>
        <w:ind w:left="1300" w:right="20" w:hanging="1295"/>
        <w:spacing w:after="0" w:line="277" w:lineRule="auto"/>
        <w:rPr>
          <w:rFonts w:ascii="Arial" w:cs="Arial" w:eastAsia="Arial" w:hAnsi="Arial"/>
          <w:sz w:val="18"/>
          <w:szCs w:val="18"/>
          <w:color w:val="auto"/>
        </w:rPr>
      </w:pPr>
      <w:hyperlink r:id="rId91">
        <w:r>
          <w:rPr>
            <w:rFonts w:ascii="Arial" w:cs="Arial" w:eastAsia="Arial" w:hAnsi="Arial"/>
            <w:sz w:val="18"/>
            <w:szCs w:val="18"/>
            <w:color w:val="auto"/>
          </w:rPr>
          <w:t>*3.7 Certificate of Elimination of 7.750% Series B Cumulative Redeemable Preferred Stock, incorporated herein by reference to Exhibit 3.1 of Form 8-K</w:t>
        </w:r>
      </w:hyperlink>
      <w:r>
        <w:rPr>
          <w:rFonts w:ascii="Arial" w:cs="Arial" w:eastAsia="Arial" w:hAnsi="Arial"/>
          <w:sz w:val="18"/>
          <w:szCs w:val="18"/>
          <w:color w:val="auto"/>
        </w:rPr>
        <w:t xml:space="preserve"> </w:t>
      </w:r>
      <w:hyperlink r:id="rId91">
        <w:r>
          <w:rPr>
            <w:rFonts w:ascii="Arial" w:cs="Arial" w:eastAsia="Arial" w:hAnsi="Arial"/>
            <w:sz w:val="18"/>
            <w:szCs w:val="18"/>
            <w:color w:val="auto"/>
          </w:rPr>
          <w:t>(File No 001-34057), filed December 13, 2019.</w:t>
        </w:r>
      </w:hyperlink>
    </w:p>
    <w:p>
      <w:pPr>
        <w:spacing w:after="0" w:line="116" w:lineRule="exact"/>
        <w:rPr>
          <w:sz w:val="20"/>
          <w:szCs w:val="20"/>
          <w:color w:val="auto"/>
        </w:rPr>
      </w:pPr>
    </w:p>
    <w:p>
      <w:pPr>
        <w:jc w:val="both"/>
        <w:ind w:left="1300" w:right="20" w:hanging="1295"/>
        <w:spacing w:after="0" w:line="277" w:lineRule="auto"/>
        <w:rPr>
          <w:rFonts w:ascii="Arial" w:cs="Arial" w:eastAsia="Arial" w:hAnsi="Arial"/>
          <w:sz w:val="18"/>
          <w:szCs w:val="18"/>
          <w:color w:val="auto"/>
        </w:rPr>
      </w:pPr>
      <w:hyperlink r:id="rId92">
        <w:r>
          <w:rPr>
            <w:rFonts w:ascii="Arial" w:cs="Arial" w:eastAsia="Arial" w:hAnsi="Arial"/>
            <w:sz w:val="18"/>
            <w:szCs w:val="18"/>
            <w:color w:val="auto"/>
          </w:rPr>
          <w:t>*3.8 Certificate of Designations of 6.125% Series F Fixed-to-Floating Rate Cumulative Redeemable Preferred Stock, incorporated herein by reference to</w:t>
        </w:r>
      </w:hyperlink>
      <w:r>
        <w:rPr>
          <w:rFonts w:ascii="Arial" w:cs="Arial" w:eastAsia="Arial" w:hAnsi="Arial"/>
          <w:sz w:val="18"/>
          <w:szCs w:val="18"/>
          <w:color w:val="auto"/>
        </w:rPr>
        <w:t xml:space="preserve"> </w:t>
      </w:r>
      <w:hyperlink r:id="rId92">
        <w:r>
          <w:rPr>
            <w:rFonts w:ascii="Arial" w:cs="Arial" w:eastAsia="Arial" w:hAnsi="Arial"/>
            <w:sz w:val="18"/>
            <w:szCs w:val="18"/>
            <w:color w:val="auto"/>
          </w:rPr>
          <w:t>Exhibit 3.6 of Form 8-A (File No 001-34057), filed February 11, 2020.</w:t>
        </w:r>
      </w:hyperlink>
    </w:p>
    <w:p>
      <w:pPr>
        <w:spacing w:after="0" w:line="116" w:lineRule="exact"/>
        <w:rPr>
          <w:sz w:val="20"/>
          <w:szCs w:val="20"/>
          <w:color w:val="auto"/>
        </w:rPr>
      </w:pPr>
    </w:p>
    <w:p>
      <w:pPr>
        <w:jc w:val="both"/>
        <w:ind w:left="1300" w:hanging="1295"/>
        <w:spacing w:after="0" w:line="263" w:lineRule="auto"/>
        <w:rPr>
          <w:rFonts w:ascii="Arial" w:cs="Arial" w:eastAsia="Arial" w:hAnsi="Arial"/>
          <w:sz w:val="18"/>
          <w:szCs w:val="18"/>
          <w:color w:val="auto"/>
        </w:rPr>
      </w:pPr>
      <w:hyperlink r:id="rId93">
        <w:r>
          <w:rPr>
            <w:rFonts w:ascii="Arial" w:cs="Arial" w:eastAsia="Arial" w:hAnsi="Arial"/>
            <w:sz w:val="18"/>
            <w:szCs w:val="18"/>
            <w:color w:val="auto"/>
          </w:rPr>
          <w:t>*4.1 Instruments defining the rights of holders of securities: See Article IV of our Amended and Restated Certificate of Incorporation, as amended,</w:t>
        </w:r>
      </w:hyperlink>
      <w:r>
        <w:rPr>
          <w:rFonts w:ascii="Arial" w:cs="Arial" w:eastAsia="Arial" w:hAnsi="Arial"/>
          <w:sz w:val="18"/>
          <w:szCs w:val="18"/>
          <w:color w:val="auto"/>
        </w:rPr>
        <w:t xml:space="preserve"> </w:t>
      </w:r>
      <w:hyperlink r:id="rId93">
        <w:r>
          <w:rPr>
            <w:rFonts w:ascii="Arial" w:cs="Arial" w:eastAsia="Arial" w:hAnsi="Arial"/>
            <w:sz w:val="18"/>
            <w:szCs w:val="18"/>
            <w:color w:val="auto"/>
          </w:rPr>
          <w:t>incorporated herein by reference to Exhibit 3.1 of Form 10-Q for the quarter ended March 31, 2018 (File No. 001-34057) filed May 7,</w:t>
        </w:r>
      </w:hyperlink>
      <w:r>
        <w:rPr>
          <w:rFonts w:ascii="Arial" w:cs="Arial" w:eastAsia="Arial" w:hAnsi="Arial"/>
          <w:sz w:val="18"/>
          <w:szCs w:val="18"/>
          <w:color w:val="auto"/>
        </w:rPr>
        <w:t xml:space="preserve"> </w:t>
      </w:r>
      <w:hyperlink r:id="rId93">
        <w:r>
          <w:rPr>
            <w:rFonts w:ascii="Arial" w:cs="Arial" w:eastAsia="Arial" w:hAnsi="Arial"/>
            <w:sz w:val="18"/>
            <w:szCs w:val="18"/>
            <w:color w:val="auto"/>
          </w:rPr>
          <w:t>2018.</w:t>
        </w:r>
      </w:hyperlink>
    </w:p>
    <w:p>
      <w:pPr>
        <w:spacing w:after="0" w:line="130" w:lineRule="exact"/>
        <w:rPr>
          <w:rFonts w:ascii="Arial" w:cs="Arial" w:eastAsia="Arial" w:hAnsi="Arial"/>
          <w:sz w:val="18"/>
          <w:szCs w:val="18"/>
          <w:color w:val="auto"/>
        </w:rPr>
      </w:pPr>
    </w:p>
    <w:p>
      <w:pPr>
        <w:jc w:val="both"/>
        <w:ind w:left="1300" w:right="20" w:hanging="1295"/>
        <w:spacing w:after="0" w:line="342" w:lineRule="auto"/>
        <w:rPr>
          <w:rFonts w:ascii="Arial" w:cs="Arial" w:eastAsia="Arial" w:hAnsi="Arial"/>
          <w:sz w:val="16"/>
          <w:szCs w:val="16"/>
          <w:color w:val="auto"/>
        </w:rPr>
      </w:pPr>
      <w:hyperlink r:id="rId86">
        <w:r>
          <w:rPr>
            <w:rFonts w:ascii="Arial" w:cs="Arial" w:eastAsia="Arial" w:hAnsi="Arial"/>
            <w:sz w:val="16"/>
            <w:szCs w:val="16"/>
            <w:color w:val="auto"/>
          </w:rPr>
          <w:t>*4.2 Instruments defining the rights of holders of securities: See Article VI of our Third Amended and Restated Bylaws, as amended, incorporated herein</w:t>
        </w:r>
      </w:hyperlink>
      <w:r>
        <w:rPr>
          <w:rFonts w:ascii="Arial" w:cs="Arial" w:eastAsia="Arial" w:hAnsi="Arial"/>
          <w:sz w:val="16"/>
          <w:szCs w:val="16"/>
          <w:color w:val="auto"/>
        </w:rPr>
        <w:t xml:space="preserve"> </w:t>
      </w:r>
      <w:hyperlink r:id="rId86">
        <w:r>
          <w:rPr>
            <w:rFonts w:ascii="Arial" w:cs="Arial" w:eastAsia="Arial" w:hAnsi="Arial"/>
            <w:sz w:val="16"/>
            <w:szCs w:val="16"/>
            <w:color w:val="auto"/>
          </w:rPr>
          <w:t>by reference to Exhibit 3.2 of Form 10-Q for the quarter ended September 30, 2016 (File No. 001-34057) filed November 7, 2016.</w:t>
        </w:r>
      </w:hyperlink>
    </w:p>
    <w:p>
      <w:pPr>
        <w:spacing w:after="0" w:line="70" w:lineRule="exact"/>
        <w:rPr>
          <w:sz w:val="20"/>
          <w:szCs w:val="20"/>
          <w:color w:val="auto"/>
        </w:rPr>
      </w:pPr>
    </w:p>
    <w:p>
      <w:pPr>
        <w:jc w:val="both"/>
        <w:ind w:left="1300" w:hanging="1295"/>
        <w:spacing w:after="0" w:line="277" w:lineRule="auto"/>
        <w:rPr>
          <w:rFonts w:ascii="Arial" w:cs="Arial" w:eastAsia="Arial" w:hAnsi="Arial"/>
          <w:sz w:val="18"/>
          <w:szCs w:val="18"/>
          <w:color w:val="auto"/>
        </w:rPr>
      </w:pPr>
      <w:hyperlink r:id="rId94">
        <w:r>
          <w:rPr>
            <w:rFonts w:ascii="Arial" w:cs="Arial" w:eastAsia="Arial" w:hAnsi="Arial"/>
            <w:sz w:val="18"/>
            <w:szCs w:val="18"/>
            <w:color w:val="auto"/>
          </w:rPr>
          <w:t>*4.3 Form of Certificate for Common Stock, incorporated herein by reference to Exhibit 4.3 of Form 10-Q for the quarter ended September 30, 2016 (File</w:t>
        </w:r>
      </w:hyperlink>
      <w:r>
        <w:rPr>
          <w:rFonts w:ascii="Arial" w:cs="Arial" w:eastAsia="Arial" w:hAnsi="Arial"/>
          <w:sz w:val="18"/>
          <w:szCs w:val="18"/>
          <w:color w:val="auto"/>
        </w:rPr>
        <w:t xml:space="preserve"> </w:t>
      </w:r>
      <w:hyperlink r:id="rId94">
        <w:r>
          <w:rPr>
            <w:rFonts w:ascii="Arial" w:cs="Arial" w:eastAsia="Arial" w:hAnsi="Arial"/>
            <w:sz w:val="18"/>
            <w:szCs w:val="18"/>
            <w:color w:val="auto"/>
          </w:rPr>
          <w:t>No. 001-34057), filed November 7, 2016.</w:t>
        </w:r>
      </w:hyperlink>
    </w:p>
    <w:p>
      <w:pPr>
        <w:spacing w:after="0" w:line="116" w:lineRule="exact"/>
        <w:rPr>
          <w:sz w:val="20"/>
          <w:szCs w:val="20"/>
          <w:color w:val="auto"/>
        </w:rPr>
      </w:pPr>
    </w:p>
    <w:p>
      <w:pPr>
        <w:jc w:val="both"/>
        <w:ind w:left="1300" w:hanging="1295"/>
        <w:spacing w:after="0" w:line="277" w:lineRule="auto"/>
        <w:rPr>
          <w:rFonts w:ascii="Arial" w:cs="Arial" w:eastAsia="Arial" w:hAnsi="Arial"/>
          <w:sz w:val="18"/>
          <w:szCs w:val="18"/>
          <w:color w:val="auto"/>
        </w:rPr>
      </w:pPr>
      <w:hyperlink r:id="rId95">
        <w:r>
          <w:rPr>
            <w:rFonts w:ascii="Arial" w:cs="Arial" w:eastAsia="Arial" w:hAnsi="Arial"/>
            <w:sz w:val="18"/>
            <w:szCs w:val="18"/>
            <w:color w:val="auto"/>
          </w:rPr>
          <w:t>*4.4 Specimen 7.00% Series C Fixed-to-Floating Rate Cumulative Redeemable Preferred Stock Certificate, incorporated herein by reference to Exhibit 4.1</w:t>
        </w:r>
      </w:hyperlink>
      <w:r>
        <w:rPr>
          <w:rFonts w:ascii="Arial" w:cs="Arial" w:eastAsia="Arial" w:hAnsi="Arial"/>
          <w:sz w:val="18"/>
          <w:szCs w:val="18"/>
          <w:color w:val="auto"/>
        </w:rPr>
        <w:t xml:space="preserve"> </w:t>
      </w:r>
      <w:hyperlink r:id="rId95">
        <w:r>
          <w:rPr>
            <w:rFonts w:ascii="Arial" w:cs="Arial" w:eastAsia="Arial" w:hAnsi="Arial"/>
            <w:sz w:val="18"/>
            <w:szCs w:val="18"/>
            <w:color w:val="auto"/>
          </w:rPr>
          <w:t>of Form 8-A (File No. 001-34057), filed August 18, 2017.</w:t>
        </w:r>
      </w:hyperlink>
    </w:p>
    <w:p>
      <w:pPr>
        <w:spacing w:after="0" w:line="116" w:lineRule="exact"/>
        <w:rPr>
          <w:sz w:val="20"/>
          <w:szCs w:val="20"/>
          <w:color w:val="auto"/>
        </w:rPr>
      </w:pPr>
    </w:p>
    <w:p>
      <w:pPr>
        <w:spacing w:after="0"/>
        <w:rPr>
          <w:rFonts w:ascii="Arial" w:cs="Arial" w:eastAsia="Arial" w:hAnsi="Arial"/>
          <w:sz w:val="16"/>
          <w:szCs w:val="16"/>
          <w:color w:val="auto"/>
        </w:rPr>
      </w:pPr>
      <w:hyperlink r:id="rId96">
        <w:r>
          <w:rPr>
            <w:rFonts w:ascii="Arial" w:cs="Arial" w:eastAsia="Arial" w:hAnsi="Arial"/>
            <w:sz w:val="16"/>
            <w:szCs w:val="16"/>
            <w:color w:val="auto"/>
          </w:rPr>
          <w:t>*4.5 Specimen 6.875% Series D Fixed-to-Floating Rate Cumulative Redeemable Preferred Stock Certificate, incorporated herein by reference to Exhibit</w:t>
        </w:r>
      </w:hyperlink>
    </w:p>
    <w:p>
      <w:pPr>
        <w:spacing w:after="0" w:line="46" w:lineRule="exact"/>
        <w:rPr>
          <w:sz w:val="20"/>
          <w:szCs w:val="20"/>
          <w:color w:val="auto"/>
        </w:rPr>
      </w:pPr>
    </w:p>
    <w:p>
      <w:pPr>
        <w:ind w:left="1300"/>
        <w:spacing w:after="0"/>
        <w:rPr>
          <w:rFonts w:ascii="Arial" w:cs="Arial" w:eastAsia="Arial" w:hAnsi="Arial"/>
          <w:sz w:val="18"/>
          <w:szCs w:val="18"/>
          <w:color w:val="auto"/>
        </w:rPr>
      </w:pPr>
      <w:hyperlink r:id="rId96">
        <w:r>
          <w:rPr>
            <w:rFonts w:ascii="Arial" w:cs="Arial" w:eastAsia="Arial" w:hAnsi="Arial"/>
            <w:sz w:val="18"/>
            <w:szCs w:val="18"/>
            <w:color w:val="auto"/>
          </w:rPr>
          <w:t>4.1 of Form 8-A (File No. 001-34057), filed March 6, 2019.</w:t>
        </w:r>
      </w:hyperlink>
    </w:p>
    <w:p>
      <w:pPr>
        <w:spacing w:after="0" w:line="157" w:lineRule="exact"/>
        <w:rPr>
          <w:sz w:val="20"/>
          <w:szCs w:val="20"/>
          <w:color w:val="auto"/>
        </w:rPr>
      </w:pPr>
    </w:p>
    <w:p>
      <w:pPr>
        <w:jc w:val="both"/>
        <w:ind w:left="1300" w:hanging="1295"/>
        <w:spacing w:after="0" w:line="277" w:lineRule="auto"/>
        <w:rPr>
          <w:rFonts w:ascii="Arial" w:cs="Arial" w:eastAsia="Arial" w:hAnsi="Arial"/>
          <w:sz w:val="18"/>
          <w:szCs w:val="18"/>
          <w:color w:val="auto"/>
        </w:rPr>
      </w:pPr>
      <w:hyperlink r:id="rId97">
        <w:r>
          <w:rPr>
            <w:rFonts w:ascii="Arial" w:cs="Arial" w:eastAsia="Arial" w:hAnsi="Arial"/>
            <w:sz w:val="18"/>
            <w:szCs w:val="18"/>
            <w:color w:val="auto"/>
          </w:rPr>
          <w:t>*4.6 Specimen 6.50% Series E Fixed-to-Floating Rate Cumulative Redeemable Preferred Stock Certificate, incorporated herein by reference to Exhibit 4.1</w:t>
        </w:r>
      </w:hyperlink>
      <w:r>
        <w:rPr>
          <w:rFonts w:ascii="Arial" w:cs="Arial" w:eastAsia="Arial" w:hAnsi="Arial"/>
          <w:sz w:val="18"/>
          <w:szCs w:val="18"/>
          <w:color w:val="auto"/>
        </w:rPr>
        <w:t xml:space="preserve"> </w:t>
      </w:r>
      <w:hyperlink r:id="rId97">
        <w:r>
          <w:rPr>
            <w:rFonts w:ascii="Arial" w:cs="Arial" w:eastAsia="Arial" w:hAnsi="Arial"/>
            <w:sz w:val="18"/>
            <w:szCs w:val="18"/>
            <w:color w:val="auto"/>
          </w:rPr>
          <w:t>of Form 8-A (File No. 001-34057), filed October 3, 2019.</w:t>
        </w:r>
      </w:hyperlink>
    </w:p>
    <w:p>
      <w:pPr>
        <w:spacing w:after="0" w:line="116" w:lineRule="exact"/>
        <w:rPr>
          <w:sz w:val="20"/>
          <w:szCs w:val="20"/>
          <w:color w:val="auto"/>
        </w:rPr>
      </w:pPr>
    </w:p>
    <w:p>
      <w:pPr>
        <w:spacing w:after="0"/>
        <w:rPr>
          <w:rFonts w:ascii="Arial" w:cs="Arial" w:eastAsia="Arial" w:hAnsi="Arial"/>
          <w:sz w:val="16"/>
          <w:szCs w:val="16"/>
          <w:color w:val="auto"/>
        </w:rPr>
      </w:pPr>
      <w:hyperlink r:id="rId98">
        <w:r>
          <w:rPr>
            <w:rFonts w:ascii="Arial" w:cs="Arial" w:eastAsia="Arial" w:hAnsi="Arial"/>
            <w:sz w:val="16"/>
            <w:szCs w:val="16"/>
            <w:color w:val="auto"/>
          </w:rPr>
          <w:t>*4.7 Specimen 6.125% Series F Fixed-to-Floating Rate Cumulative Redeemable Preferred Stock Certificate, incorporated herein by reference to Exhibit</w:t>
        </w:r>
      </w:hyperlink>
    </w:p>
    <w:p>
      <w:pPr>
        <w:spacing w:after="0" w:line="46" w:lineRule="exact"/>
        <w:rPr>
          <w:sz w:val="20"/>
          <w:szCs w:val="20"/>
          <w:color w:val="auto"/>
        </w:rPr>
      </w:pPr>
    </w:p>
    <w:p>
      <w:pPr>
        <w:ind w:left="1300"/>
        <w:spacing w:after="0"/>
        <w:rPr>
          <w:rFonts w:ascii="Arial" w:cs="Arial" w:eastAsia="Arial" w:hAnsi="Arial"/>
          <w:sz w:val="18"/>
          <w:szCs w:val="18"/>
          <w:color w:val="auto"/>
        </w:rPr>
      </w:pPr>
      <w:hyperlink r:id="rId98">
        <w:r>
          <w:rPr>
            <w:rFonts w:ascii="Arial" w:cs="Arial" w:eastAsia="Arial" w:hAnsi="Arial"/>
            <w:sz w:val="18"/>
            <w:szCs w:val="18"/>
            <w:color w:val="auto"/>
          </w:rPr>
          <w:t>4.1 of Form 8-A (File No 001-34057), filed February 11, 2020.</w:t>
        </w:r>
      </w:hyperlink>
    </w:p>
    <w:p>
      <w:pPr>
        <w:spacing w:after="0" w:line="157" w:lineRule="exact"/>
        <w:rPr>
          <w:sz w:val="20"/>
          <w:szCs w:val="20"/>
          <w:color w:val="auto"/>
        </w:rPr>
      </w:pPr>
    </w:p>
    <w:p>
      <w:pPr>
        <w:jc w:val="both"/>
        <w:ind w:left="1300" w:hanging="1295"/>
        <w:spacing w:after="0" w:line="263" w:lineRule="auto"/>
        <w:rPr>
          <w:rFonts w:ascii="Arial" w:cs="Arial" w:eastAsia="Arial" w:hAnsi="Arial"/>
          <w:sz w:val="18"/>
          <w:szCs w:val="18"/>
          <w:color w:val="auto"/>
        </w:rPr>
      </w:pPr>
      <w:hyperlink r:id="rId99">
        <w:r>
          <w:rPr>
            <w:rFonts w:ascii="Arial" w:cs="Arial" w:eastAsia="Arial" w:hAnsi="Arial"/>
            <w:sz w:val="18"/>
            <w:szCs w:val="18"/>
            <w:color w:val="auto"/>
          </w:rPr>
          <w:t>*4.8 Deposit Agreement relating to 7.00% Series C Fixed-to-Floating Rate Cumulative Redeemable Preferred Stock, dated August 22, 2017, among</w:t>
        </w:r>
      </w:hyperlink>
      <w:r>
        <w:rPr>
          <w:rFonts w:ascii="Arial" w:cs="Arial" w:eastAsia="Arial" w:hAnsi="Arial"/>
          <w:sz w:val="18"/>
          <w:szCs w:val="18"/>
          <w:color w:val="auto"/>
        </w:rPr>
        <w:t xml:space="preserve"> </w:t>
      </w:r>
      <w:hyperlink r:id="rId99">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99">
        <w:r>
          <w:rPr>
            <w:rFonts w:ascii="Arial" w:cs="Arial" w:eastAsia="Arial" w:hAnsi="Arial"/>
            <w:sz w:val="18"/>
            <w:szCs w:val="18"/>
            <w:color w:val="auto"/>
          </w:rPr>
          <w:t>reference to Exhibit 4.2 of Form 8-K (File No. 001-34057) filed August 22, 2017.</w:t>
        </w:r>
      </w:hyperlink>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both"/>
        <w:ind w:left="1300" w:hanging="1295"/>
        <w:spacing w:after="0" w:line="263" w:lineRule="auto"/>
        <w:rPr>
          <w:rFonts w:ascii="Arial" w:cs="Arial" w:eastAsia="Arial" w:hAnsi="Arial"/>
          <w:sz w:val="18"/>
          <w:szCs w:val="18"/>
          <w:color w:val="auto"/>
        </w:rPr>
      </w:pPr>
      <w:hyperlink r:id="rId99">
        <w:r>
          <w:rPr>
            <w:rFonts w:ascii="Arial" w:cs="Arial" w:eastAsia="Arial" w:hAnsi="Arial"/>
            <w:sz w:val="18"/>
            <w:szCs w:val="18"/>
            <w:color w:val="auto"/>
          </w:rPr>
          <w:t>*4.9 Form of Depositary Receipt representing 1/1,000th of a share of 7.00% Series C Fixed-to-Floating Rate Cumulative Redeemable Preferred Stock</w:t>
        </w:r>
      </w:hyperlink>
      <w:r>
        <w:rPr>
          <w:rFonts w:ascii="Arial" w:cs="Arial" w:eastAsia="Arial" w:hAnsi="Arial"/>
          <w:sz w:val="18"/>
          <w:szCs w:val="18"/>
          <w:color w:val="auto"/>
        </w:rPr>
        <w:t xml:space="preserve"> </w:t>
      </w:r>
      <w:hyperlink r:id="rId99">
        <w:r>
          <w:rPr>
            <w:rFonts w:ascii="Arial" w:cs="Arial" w:eastAsia="Arial" w:hAnsi="Arial"/>
            <w:sz w:val="18"/>
            <w:szCs w:val="18"/>
            <w:color w:val="auto"/>
          </w:rPr>
          <w:t>(included as part of Exhibit 4.8), incorporated herein by reference to Exhibit A of Exhibit 4.2 of Form 8-K (File No. 001-34057) filed</w:t>
        </w:r>
      </w:hyperlink>
      <w:r>
        <w:rPr>
          <w:rFonts w:ascii="Arial" w:cs="Arial" w:eastAsia="Arial" w:hAnsi="Arial"/>
          <w:sz w:val="18"/>
          <w:szCs w:val="18"/>
          <w:color w:val="auto"/>
        </w:rPr>
        <w:t xml:space="preserve"> </w:t>
      </w:r>
      <w:hyperlink r:id="rId99">
        <w:r>
          <w:rPr>
            <w:rFonts w:ascii="Arial" w:cs="Arial" w:eastAsia="Arial" w:hAnsi="Arial"/>
            <w:sz w:val="18"/>
            <w:szCs w:val="18"/>
            <w:color w:val="auto"/>
          </w:rPr>
          <w:t>August 22, 2017.</w:t>
        </w:r>
      </w:hyperlink>
    </w:p>
    <w:p>
      <w:pPr>
        <w:spacing w:after="0" w:line="130" w:lineRule="exact"/>
        <w:rPr>
          <w:rFonts w:ascii="Arial" w:cs="Arial" w:eastAsia="Arial" w:hAnsi="Arial"/>
          <w:sz w:val="18"/>
          <w:szCs w:val="18"/>
          <w:color w:val="auto"/>
        </w:rPr>
      </w:pPr>
    </w:p>
    <w:p>
      <w:pPr>
        <w:jc w:val="both"/>
        <w:ind w:left="1300" w:hanging="1295"/>
        <w:spacing w:after="0" w:line="263" w:lineRule="auto"/>
        <w:rPr>
          <w:rFonts w:ascii="Arial" w:cs="Arial" w:eastAsia="Arial" w:hAnsi="Arial"/>
          <w:sz w:val="18"/>
          <w:szCs w:val="18"/>
          <w:color w:val="auto"/>
        </w:rPr>
      </w:pPr>
      <w:hyperlink r:id="rId101">
        <w:r>
          <w:rPr>
            <w:rFonts w:ascii="Arial" w:cs="Arial" w:eastAsia="Arial" w:hAnsi="Arial"/>
            <w:sz w:val="18"/>
            <w:szCs w:val="18"/>
            <w:color w:val="auto"/>
          </w:rPr>
          <w:t>*4.10 Deposit Agreement relating to 6.875% Series D Fixed-to-Floating Rate Cumulative Redeemable Preferred Stock, dated March 6, 2019, among</w:t>
        </w:r>
      </w:hyperlink>
      <w:r>
        <w:rPr>
          <w:rFonts w:ascii="Arial" w:cs="Arial" w:eastAsia="Arial" w:hAnsi="Arial"/>
          <w:sz w:val="18"/>
          <w:szCs w:val="18"/>
          <w:color w:val="auto"/>
        </w:rPr>
        <w:t xml:space="preserve"> </w:t>
      </w:r>
      <w:hyperlink r:id="rId101">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101">
        <w:r>
          <w:rPr>
            <w:rFonts w:ascii="Arial" w:cs="Arial" w:eastAsia="Arial" w:hAnsi="Arial"/>
            <w:sz w:val="18"/>
            <w:szCs w:val="18"/>
            <w:color w:val="auto"/>
          </w:rPr>
          <w:t>reference to Exhibit 4.2 of Form 8-K (File No. 001-34057) filed March 6, 2019.</w:t>
        </w:r>
      </w:hyperlink>
    </w:p>
    <w:p>
      <w:pPr>
        <w:spacing w:after="0" w:line="130" w:lineRule="exact"/>
        <w:rPr>
          <w:rFonts w:ascii="Arial" w:cs="Arial" w:eastAsia="Arial" w:hAnsi="Arial"/>
          <w:sz w:val="18"/>
          <w:szCs w:val="18"/>
          <w:color w:val="auto"/>
        </w:rPr>
      </w:pPr>
    </w:p>
    <w:p>
      <w:pPr>
        <w:jc w:val="both"/>
        <w:ind w:left="1300" w:hanging="1295"/>
        <w:spacing w:after="0" w:line="263" w:lineRule="auto"/>
        <w:rPr>
          <w:rFonts w:ascii="Arial" w:cs="Arial" w:eastAsia="Arial" w:hAnsi="Arial"/>
          <w:sz w:val="18"/>
          <w:szCs w:val="18"/>
          <w:color w:val="auto"/>
        </w:rPr>
      </w:pPr>
      <w:hyperlink r:id="rId101">
        <w:r>
          <w:rPr>
            <w:rFonts w:ascii="Arial" w:cs="Arial" w:eastAsia="Arial" w:hAnsi="Arial"/>
            <w:sz w:val="18"/>
            <w:szCs w:val="18"/>
            <w:color w:val="auto"/>
          </w:rPr>
          <w:t>*4.11 Form of Depositary Receipt representing 1/1,000th of a share of 6.875% Series D Fixed-to-Floating Rate Cumulative Redeemable Preferred Stock</w:t>
        </w:r>
      </w:hyperlink>
      <w:r>
        <w:rPr>
          <w:rFonts w:ascii="Arial" w:cs="Arial" w:eastAsia="Arial" w:hAnsi="Arial"/>
          <w:sz w:val="18"/>
          <w:szCs w:val="18"/>
          <w:color w:val="auto"/>
        </w:rPr>
        <w:t xml:space="preserve"> </w:t>
      </w:r>
      <w:hyperlink r:id="rId101">
        <w:r>
          <w:rPr>
            <w:rFonts w:ascii="Arial" w:cs="Arial" w:eastAsia="Arial" w:hAnsi="Arial"/>
            <w:sz w:val="18"/>
            <w:szCs w:val="18"/>
            <w:color w:val="auto"/>
          </w:rPr>
          <w:t>(included as part of Exhibit 4.10), incorporated herein by reference to Exhibit A of Exhibit 4.2 of Form 8-K (File No. 001-34057) filed</w:t>
        </w:r>
      </w:hyperlink>
      <w:r>
        <w:rPr>
          <w:rFonts w:ascii="Arial" w:cs="Arial" w:eastAsia="Arial" w:hAnsi="Arial"/>
          <w:sz w:val="18"/>
          <w:szCs w:val="18"/>
          <w:color w:val="auto"/>
        </w:rPr>
        <w:t xml:space="preserve"> </w:t>
      </w:r>
      <w:hyperlink r:id="rId101">
        <w:r>
          <w:rPr>
            <w:rFonts w:ascii="Arial" w:cs="Arial" w:eastAsia="Arial" w:hAnsi="Arial"/>
            <w:sz w:val="18"/>
            <w:szCs w:val="18"/>
            <w:color w:val="auto"/>
          </w:rPr>
          <w:t>March 6, 2019.</w:t>
        </w:r>
      </w:hyperlink>
    </w:p>
    <w:p>
      <w:pPr>
        <w:spacing w:after="0" w:line="130" w:lineRule="exact"/>
        <w:rPr>
          <w:rFonts w:ascii="Arial" w:cs="Arial" w:eastAsia="Arial" w:hAnsi="Arial"/>
          <w:sz w:val="18"/>
          <w:szCs w:val="18"/>
          <w:color w:val="auto"/>
        </w:rPr>
      </w:pPr>
    </w:p>
    <w:p>
      <w:pPr>
        <w:ind w:left="1300" w:right="320" w:hanging="1295"/>
        <w:spacing w:after="0" w:line="263" w:lineRule="auto"/>
        <w:rPr>
          <w:rFonts w:ascii="Arial" w:cs="Arial" w:eastAsia="Arial" w:hAnsi="Arial"/>
          <w:sz w:val="18"/>
          <w:szCs w:val="18"/>
          <w:color w:val="auto"/>
        </w:rPr>
      </w:pPr>
      <w:hyperlink r:id="rId102">
        <w:r>
          <w:rPr>
            <w:rFonts w:ascii="Arial" w:cs="Arial" w:eastAsia="Arial" w:hAnsi="Arial"/>
            <w:sz w:val="18"/>
            <w:szCs w:val="18"/>
            <w:color w:val="auto"/>
          </w:rPr>
          <w:t>*4.12 Deposit Agreement relating to 6.50% Series E Fixed-to-Floating Rate Cumulative Redeemable Preferred Stock, dated October 3, 2019, among</w:t>
        </w:r>
      </w:hyperlink>
      <w:r>
        <w:rPr>
          <w:rFonts w:ascii="Arial" w:cs="Arial" w:eastAsia="Arial" w:hAnsi="Arial"/>
          <w:sz w:val="18"/>
          <w:szCs w:val="18"/>
          <w:color w:val="auto"/>
        </w:rPr>
        <w:t xml:space="preserve"> </w:t>
      </w:r>
      <w:hyperlink r:id="rId102">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102">
        <w:r>
          <w:rPr>
            <w:rFonts w:ascii="Arial" w:cs="Arial" w:eastAsia="Arial" w:hAnsi="Arial"/>
            <w:sz w:val="18"/>
            <w:szCs w:val="18"/>
            <w:color w:val="auto"/>
          </w:rPr>
          <w:t>reference to Exhibit 4.2 of Form 8-K (File No. 001-34057) filed October 3, 2019.</w:t>
        </w:r>
      </w:hyperlink>
    </w:p>
    <w:p>
      <w:pPr>
        <w:spacing w:after="0" w:line="130" w:lineRule="exact"/>
        <w:rPr>
          <w:rFonts w:ascii="Arial" w:cs="Arial" w:eastAsia="Arial" w:hAnsi="Arial"/>
          <w:sz w:val="18"/>
          <w:szCs w:val="18"/>
          <w:color w:val="auto"/>
        </w:rPr>
      </w:pPr>
    </w:p>
    <w:p>
      <w:pPr>
        <w:ind w:left="1300" w:right="240" w:hanging="1295"/>
        <w:spacing w:after="0" w:line="263" w:lineRule="auto"/>
        <w:rPr>
          <w:rFonts w:ascii="Arial" w:cs="Arial" w:eastAsia="Arial" w:hAnsi="Arial"/>
          <w:sz w:val="18"/>
          <w:szCs w:val="18"/>
          <w:color w:val="auto"/>
        </w:rPr>
      </w:pPr>
      <w:hyperlink r:id="rId102">
        <w:r>
          <w:rPr>
            <w:rFonts w:ascii="Arial" w:cs="Arial" w:eastAsia="Arial" w:hAnsi="Arial"/>
            <w:sz w:val="18"/>
            <w:szCs w:val="18"/>
            <w:color w:val="auto"/>
          </w:rPr>
          <w:t>*4.13 Form of Depositary Receipt representing 1/1,000th of a share of 6.50% Series E Fixed-to-Floating Rate Cumulative Redeemable Preferred Stock</w:t>
        </w:r>
      </w:hyperlink>
      <w:r>
        <w:rPr>
          <w:rFonts w:ascii="Arial" w:cs="Arial" w:eastAsia="Arial" w:hAnsi="Arial"/>
          <w:sz w:val="18"/>
          <w:szCs w:val="18"/>
          <w:color w:val="auto"/>
        </w:rPr>
        <w:t xml:space="preserve"> </w:t>
      </w:r>
      <w:hyperlink r:id="rId102">
        <w:r>
          <w:rPr>
            <w:rFonts w:ascii="Arial" w:cs="Arial" w:eastAsia="Arial" w:hAnsi="Arial"/>
            <w:sz w:val="18"/>
            <w:szCs w:val="18"/>
            <w:color w:val="auto"/>
          </w:rPr>
          <w:t>(included as part of Exhibit 4.12), incorporated herein by reference to Exhibit A of Exhibit 4.2 of Form 8-K (File No. 001-34057) filed</w:t>
        </w:r>
      </w:hyperlink>
      <w:r>
        <w:rPr>
          <w:rFonts w:ascii="Arial" w:cs="Arial" w:eastAsia="Arial" w:hAnsi="Arial"/>
          <w:sz w:val="18"/>
          <w:szCs w:val="18"/>
          <w:color w:val="auto"/>
        </w:rPr>
        <w:t xml:space="preserve"> </w:t>
      </w:r>
      <w:hyperlink r:id="rId102">
        <w:r>
          <w:rPr>
            <w:rFonts w:ascii="Arial" w:cs="Arial" w:eastAsia="Arial" w:hAnsi="Arial"/>
            <w:sz w:val="18"/>
            <w:szCs w:val="18"/>
            <w:color w:val="auto"/>
          </w:rPr>
          <w:t>October 3, 2019.</w:t>
        </w:r>
      </w:hyperlink>
    </w:p>
    <w:p>
      <w:pPr>
        <w:spacing w:after="0" w:line="130" w:lineRule="exact"/>
        <w:rPr>
          <w:rFonts w:ascii="Arial" w:cs="Arial" w:eastAsia="Arial" w:hAnsi="Arial"/>
          <w:sz w:val="18"/>
          <w:szCs w:val="18"/>
          <w:color w:val="auto"/>
        </w:rPr>
      </w:pPr>
    </w:p>
    <w:p>
      <w:pPr>
        <w:jc w:val="both"/>
        <w:ind w:left="1300" w:right="280" w:hanging="1295"/>
        <w:spacing w:after="0" w:line="263" w:lineRule="auto"/>
        <w:rPr>
          <w:rFonts w:ascii="Arial" w:cs="Arial" w:eastAsia="Arial" w:hAnsi="Arial"/>
          <w:sz w:val="18"/>
          <w:szCs w:val="18"/>
          <w:color w:val="auto"/>
        </w:rPr>
      </w:pPr>
      <w:hyperlink r:id="rId103">
        <w:r>
          <w:rPr>
            <w:rFonts w:ascii="Arial" w:cs="Arial" w:eastAsia="Arial" w:hAnsi="Arial"/>
            <w:sz w:val="18"/>
            <w:szCs w:val="18"/>
            <w:color w:val="auto"/>
          </w:rPr>
          <w:t>*4.14 Deposit Agreement relating to 6.125% Series F Fixed-to-Floating Rate Cumulative Redeemable Preferred Stock, dated February 11, 2020, among</w:t>
        </w:r>
      </w:hyperlink>
      <w:r>
        <w:rPr>
          <w:rFonts w:ascii="Arial" w:cs="Arial" w:eastAsia="Arial" w:hAnsi="Arial"/>
          <w:sz w:val="18"/>
          <w:szCs w:val="18"/>
          <w:color w:val="auto"/>
        </w:rPr>
        <w:t xml:space="preserve"> </w:t>
      </w:r>
      <w:hyperlink r:id="rId103">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103">
        <w:r>
          <w:rPr>
            <w:rFonts w:ascii="Arial" w:cs="Arial" w:eastAsia="Arial" w:hAnsi="Arial"/>
            <w:sz w:val="18"/>
            <w:szCs w:val="18"/>
            <w:color w:val="auto"/>
          </w:rPr>
          <w:t>reference to Exhibit 4.1 of Form 8-K (File No. 001-34057) filed February 11, 2020.</w:t>
        </w:r>
      </w:hyperlink>
    </w:p>
    <w:p>
      <w:pPr>
        <w:spacing w:after="0" w:line="130" w:lineRule="exact"/>
        <w:rPr>
          <w:rFonts w:ascii="Arial" w:cs="Arial" w:eastAsia="Arial" w:hAnsi="Arial"/>
          <w:sz w:val="18"/>
          <w:szCs w:val="18"/>
          <w:color w:val="auto"/>
        </w:rPr>
      </w:pPr>
    </w:p>
    <w:p>
      <w:pPr>
        <w:jc w:val="both"/>
        <w:ind w:left="1300" w:right="240" w:hanging="1295"/>
        <w:spacing w:after="0" w:line="263" w:lineRule="auto"/>
        <w:rPr>
          <w:rFonts w:ascii="Arial" w:cs="Arial" w:eastAsia="Arial" w:hAnsi="Arial"/>
          <w:sz w:val="18"/>
          <w:szCs w:val="18"/>
          <w:color w:val="auto"/>
        </w:rPr>
      </w:pPr>
      <w:hyperlink r:id="rId103">
        <w:r>
          <w:rPr>
            <w:rFonts w:ascii="Arial" w:cs="Arial" w:eastAsia="Arial" w:hAnsi="Arial"/>
            <w:sz w:val="18"/>
            <w:szCs w:val="18"/>
            <w:color w:val="auto"/>
          </w:rPr>
          <w:t>*4.15 Form of Depositary Receipt representing 1/1,000th of a share of 6.125% Series F Fixed-to-Floating Rate Cumulative Redeemable Preferred Stock</w:t>
        </w:r>
      </w:hyperlink>
      <w:r>
        <w:rPr>
          <w:rFonts w:ascii="Arial" w:cs="Arial" w:eastAsia="Arial" w:hAnsi="Arial"/>
          <w:sz w:val="18"/>
          <w:szCs w:val="18"/>
          <w:color w:val="auto"/>
        </w:rPr>
        <w:t xml:space="preserve"> </w:t>
      </w:r>
      <w:hyperlink r:id="rId103">
        <w:r>
          <w:rPr>
            <w:rFonts w:ascii="Arial" w:cs="Arial" w:eastAsia="Arial" w:hAnsi="Arial"/>
            <w:sz w:val="18"/>
            <w:szCs w:val="18"/>
            <w:color w:val="auto"/>
          </w:rPr>
          <w:t>(included as part of Exhibit 4.14), incorporated herein by reference to Exhibit A of Exhibit 4.1 of Form 8-K (File No. 001-34057) filed</w:t>
        </w:r>
      </w:hyperlink>
      <w:r>
        <w:rPr>
          <w:rFonts w:ascii="Arial" w:cs="Arial" w:eastAsia="Arial" w:hAnsi="Arial"/>
          <w:sz w:val="18"/>
          <w:szCs w:val="18"/>
          <w:color w:val="auto"/>
        </w:rPr>
        <w:t xml:space="preserve"> </w:t>
      </w:r>
      <w:hyperlink r:id="rId103">
        <w:r>
          <w:rPr>
            <w:rFonts w:ascii="Arial" w:cs="Arial" w:eastAsia="Arial" w:hAnsi="Arial"/>
            <w:sz w:val="18"/>
            <w:szCs w:val="18"/>
            <w:color w:val="auto"/>
          </w:rPr>
          <w:t>February 11, 2020.</w:t>
        </w:r>
      </w:hyperlink>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hyperlink w:anchor="page54">
        <w:r>
          <w:rPr>
            <w:rFonts w:ascii="Arial" w:cs="Arial" w:eastAsia="Arial" w:hAnsi="Arial"/>
            <w:sz w:val="18"/>
            <w:szCs w:val="18"/>
            <w:color w:val="auto"/>
          </w:rPr>
          <w:t>31.1 Certification of CEO Pursuant to Section 302(a) of the Sarbanes-Oxley Act of 2002.</w:t>
        </w:r>
      </w:hyperlink>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hyperlink w:anchor="page55">
        <w:r>
          <w:rPr>
            <w:rFonts w:ascii="Arial" w:cs="Arial" w:eastAsia="Arial" w:hAnsi="Arial"/>
            <w:sz w:val="18"/>
            <w:szCs w:val="18"/>
            <w:color w:val="auto"/>
          </w:rPr>
          <w:t>31.2 Certification of CFO Pursuant to Section 302(a) of the Sarbanes-Oxley Act of 2002.</w:t>
        </w:r>
      </w:hyperlink>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hyperlink w:anchor="page56">
        <w:r>
          <w:rPr>
            <w:rFonts w:ascii="Arial" w:cs="Arial" w:eastAsia="Arial" w:hAnsi="Arial"/>
            <w:sz w:val="18"/>
            <w:szCs w:val="18"/>
            <w:color w:val="auto"/>
          </w:rPr>
          <w:t>32 Certification of CEO and CFO Pursuant to Section 906 of the Sarbanes-Oxley Act of 2002.</w:t>
        </w:r>
      </w:hyperlink>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101.INS** The instance document does not appear in the interactive data file because its XBRL tags are embedded within the inline XBRL document</w:t>
      </w:r>
    </w:p>
    <w:p>
      <w:pPr>
        <w:spacing w:after="0" w:line="18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101.LAB** XBRL Taxonomy Extension Labels Linkbase Document</w:t>
      </w: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rPr>
          <w:sz w:val="20"/>
          <w:szCs w:val="20"/>
          <w:color w:val="auto"/>
        </w:rPr>
      </w:pPr>
      <w:r>
        <w:rPr>
          <w:rFonts w:ascii="Arial" w:cs="Arial" w:eastAsia="Arial" w:hAnsi="Arial"/>
          <w:sz w:val="18"/>
          <w:szCs w:val="18"/>
          <w:color w:val="auto"/>
        </w:rPr>
        <w:t>* Previously filed</w:t>
      </w:r>
    </w:p>
    <w:p>
      <w:pPr>
        <w:spacing w:after="0" w:line="7" w:lineRule="exact"/>
        <w:rPr>
          <w:rFonts w:ascii="Arial" w:cs="Arial" w:eastAsia="Arial" w:hAnsi="Arial"/>
          <w:sz w:val="18"/>
          <w:szCs w:val="18"/>
          <w:color w:val="auto"/>
        </w:rPr>
      </w:pPr>
    </w:p>
    <w:p>
      <w:pPr>
        <w:ind w:left="660" w:right="500" w:hanging="652"/>
        <w:spacing w:after="0" w:line="260" w:lineRule="auto"/>
        <w:tabs>
          <w:tab w:leader="none" w:pos="2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212"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23" w:lineRule="exact"/>
        <w:rPr>
          <w:rFonts w:ascii="Arial" w:cs="Arial" w:eastAsia="Arial" w:hAnsi="Arial"/>
          <w:sz w:val="18"/>
          <w:szCs w:val="18"/>
          <w:color w:val="auto"/>
        </w:rPr>
      </w:pPr>
    </w:p>
    <w:p>
      <w:pPr>
        <w:ind w:left="680"/>
        <w:spacing w:after="0"/>
        <w:rPr>
          <w:sz w:val="20"/>
          <w:szCs w:val="20"/>
          <w:color w:val="auto"/>
        </w:rPr>
      </w:pPr>
      <w:r>
        <w:rPr>
          <w:rFonts w:ascii="Arial" w:cs="Arial" w:eastAsia="Arial" w:hAnsi="Arial"/>
          <w:sz w:val="18"/>
          <w:szCs w:val="18"/>
          <w:color w:val="auto"/>
        </w:rPr>
        <w:t>See the exhibits filed herewith.</w:t>
      </w:r>
    </w:p>
    <w:p>
      <w:pPr>
        <w:spacing w:after="0" w:line="211" w:lineRule="exact"/>
        <w:rPr>
          <w:rFonts w:ascii="Arial" w:cs="Arial" w:eastAsia="Arial" w:hAnsi="Arial"/>
          <w:sz w:val="18"/>
          <w:szCs w:val="18"/>
          <w:color w:val="auto"/>
        </w:rPr>
      </w:pPr>
    </w:p>
    <w:p>
      <w:pPr>
        <w:ind w:left="540" w:right="7620" w:hanging="87"/>
        <w:spacing w:after="0" w:line="277"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0" w:lineRule="exact"/>
        <w:rPr>
          <w:sz w:val="20"/>
          <w:szCs w:val="20"/>
          <w:color w:val="auto"/>
        </w:rPr>
      </w:pPr>
    </w:p>
    <w:p>
      <w:pPr>
        <w:ind w:left="5580"/>
        <w:spacing w:after="0"/>
        <w:tabs>
          <w:tab w:leader="none" w:pos="7920" w:val="left"/>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57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Gary D. Kain</w:t>
      </w:r>
    </w:p>
    <w:p>
      <w:pPr>
        <w:jc w:val="center"/>
        <w:ind w:left="6000"/>
        <w:spacing w:after="0" w:line="226" w:lineRule="auto"/>
        <w:rPr>
          <w:sz w:val="20"/>
          <w:szCs w:val="20"/>
          <w:color w:val="auto"/>
        </w:rPr>
      </w:pPr>
      <w:r>
        <w:rPr>
          <w:rFonts w:ascii="Arial" w:cs="Arial" w:eastAsia="Arial" w:hAnsi="Arial"/>
          <w:sz w:val="14"/>
          <w:szCs w:val="14"/>
          <w:b w:val="1"/>
          <w:bCs w:val="1"/>
          <w:color w:val="auto"/>
        </w:rPr>
        <w:t>Chief Executive Officer and</w:t>
      </w:r>
    </w:p>
    <w:p>
      <w:pPr>
        <w:jc w:val="center"/>
        <w:ind w:left="604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Date:</w:t>
        <w:tab/>
        <w:t>August 7, 2020</w:t>
      </w:r>
    </w:p>
    <w:p>
      <w:pPr>
        <w:spacing w:after="0" w:line="333" w:lineRule="exact"/>
        <w:rPr>
          <w:sz w:val="20"/>
          <w:szCs w:val="20"/>
          <w:color w:val="auto"/>
        </w:rPr>
      </w:pPr>
    </w:p>
    <w:p>
      <w:pPr>
        <w:ind w:left="5580"/>
        <w:spacing w:after="0"/>
        <w:tabs>
          <w:tab w:leader="none" w:pos="7820" w:val="left"/>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575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Bernice E. Bell</w:t>
      </w:r>
    </w:p>
    <w:p>
      <w:pPr>
        <w:ind w:left="7840"/>
        <w:spacing w:after="0" w:line="226" w:lineRule="auto"/>
        <w:rPr>
          <w:sz w:val="20"/>
          <w:szCs w:val="20"/>
          <w:color w:val="auto"/>
        </w:rPr>
      </w:pPr>
      <w:r>
        <w:rPr>
          <w:rFonts w:ascii="Arial" w:cs="Arial" w:eastAsia="Arial" w:hAnsi="Arial"/>
          <w:sz w:val="14"/>
          <w:szCs w:val="14"/>
          <w:b w:val="1"/>
          <w:bCs w:val="1"/>
          <w:color w:val="auto"/>
        </w:rPr>
        <w:t>Senior Vice President and</w:t>
      </w:r>
    </w:p>
    <w:p>
      <w:pPr>
        <w:ind w:left="6260"/>
        <w:spacing w:after="0"/>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400"/>
        <w:spacing w:after="0"/>
        <w:rPr>
          <w:sz w:val="20"/>
          <w:szCs w:val="20"/>
          <w:color w:val="auto"/>
        </w:rPr>
      </w:pPr>
      <w:r>
        <w:rPr>
          <w:rFonts w:ascii="Arial" w:cs="Arial" w:eastAsia="Arial" w:hAnsi="Arial"/>
          <w:sz w:val="14"/>
          <w:szCs w:val="14"/>
          <w:b w:val="1"/>
          <w:bCs w:val="1"/>
          <w:color w:val="auto"/>
        </w:rPr>
        <w:t>Officer)</w:t>
      </w:r>
    </w:p>
    <w:p>
      <w:pPr>
        <w:spacing w:after="0" w:line="34"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Date:</w:t>
        <w:tab/>
        <w:t>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320" w:top="891" w:right="3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640" w:hanging="187"/>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639"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right"/>
        <w:ind w:left="860" w:hanging="407"/>
        <w:spacing w:after="0" w:line="291"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ind w:left="1420" w:hanging="400"/>
        <w:spacing w:after="0" w:line="263" w:lineRule="auto"/>
        <w:tabs>
          <w:tab w:leader="none" w:pos="13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420" w:hanging="400"/>
        <w:spacing w:after="0" w:line="263" w:lineRule="auto"/>
        <w:tabs>
          <w:tab w:leader="none" w:pos="12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27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420" w:hanging="400"/>
        <w:spacing w:after="0" w:line="263" w:lineRule="auto"/>
        <w:tabs>
          <w:tab w:leader="none" w:pos="12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6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276"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hanging="400"/>
        <w:spacing w:after="0" w:line="277" w:lineRule="auto"/>
        <w:tabs>
          <w:tab w:leader="none" w:pos="12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7, 2020</w:t>
      </w:r>
    </w:p>
    <w:p>
      <w:pPr>
        <w:spacing w:after="0" w:line="252"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ARY</w:t>
      </w:r>
      <w:r>
        <w:rPr>
          <w:rFonts w:ascii="Arial" w:cs="Arial" w:eastAsia="Arial" w:hAnsi="Arial"/>
          <w:sz w:val="17"/>
          <w:szCs w:val="17"/>
          <w:color w:val="auto"/>
        </w:rPr>
        <w:t xml:space="preserve"> D. K</w:t>
      </w:r>
      <w:r>
        <w:rPr>
          <w:rFonts w:ascii="Arial" w:cs="Arial" w:eastAsia="Arial" w:hAnsi="Arial"/>
          <w:sz w:val="13"/>
          <w:szCs w:val="13"/>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3317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240"/>
          </w:cols>
          <w:pgMar w:left="320" w:top="89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640" w:hanging="187"/>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639"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right"/>
        <w:ind w:left="860" w:hanging="407"/>
        <w:spacing w:after="0" w:line="291"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ind w:left="1420" w:hanging="400"/>
        <w:spacing w:after="0" w:line="263" w:lineRule="auto"/>
        <w:tabs>
          <w:tab w:leader="none" w:pos="13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6" w:lineRule="exact"/>
        <w:rPr>
          <w:rFonts w:ascii="Arial" w:cs="Arial" w:eastAsia="Arial" w:hAnsi="Arial"/>
          <w:sz w:val="18"/>
          <w:szCs w:val="18"/>
          <w:color w:val="auto"/>
        </w:rPr>
      </w:pPr>
    </w:p>
    <w:p>
      <w:pPr>
        <w:ind w:left="1420" w:hanging="400"/>
        <w:spacing w:after="0" w:line="263" w:lineRule="auto"/>
        <w:tabs>
          <w:tab w:leader="none" w:pos="12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27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420" w:hanging="400"/>
        <w:spacing w:after="0" w:line="263" w:lineRule="auto"/>
        <w:tabs>
          <w:tab w:leader="none" w:pos="12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6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284"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hanging="400"/>
        <w:spacing w:after="0" w:line="277" w:lineRule="auto"/>
        <w:tabs>
          <w:tab w:leader="none" w:pos="1269"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7, 2020</w:t>
      </w:r>
    </w:p>
    <w:p>
      <w:pPr>
        <w:spacing w:after="0" w:line="252"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3317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20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6220" w:type="dxa"/>
            <w:vAlign w:val="bottom"/>
            <w:gridSpan w:val="2"/>
          </w:tcPr>
          <w:p>
            <w:pPr>
              <w:spacing w:after="0"/>
              <w:rPr>
                <w:sz w:val="20"/>
                <w:szCs w:val="20"/>
                <w:color w:val="auto"/>
              </w:rPr>
            </w:pPr>
            <w:r>
              <w:rPr>
                <w:rFonts w:ascii="Arial" w:cs="Arial" w:eastAsia="Arial" w:hAnsi="Arial"/>
                <w:sz w:val="18"/>
                <w:szCs w:val="18"/>
                <w:color w:val="auto"/>
              </w:rPr>
              <w:t>Gary D. Kain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622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74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Chief Investment Officer (Principal Executive Officer)</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6220" w:type="dxa"/>
            <w:vAlign w:val="bottom"/>
            <w:gridSpan w:val="2"/>
          </w:tcPr>
          <w:p>
            <w:pPr>
              <w:spacing w:after="0"/>
              <w:rPr>
                <w:sz w:val="20"/>
                <w:szCs w:val="20"/>
                <w:color w:val="auto"/>
              </w:rPr>
            </w:pPr>
            <w:r>
              <w:rPr>
                <w:rFonts w:ascii="Arial" w:cs="Arial" w:eastAsia="Arial" w:hAnsi="Arial"/>
                <w:sz w:val="18"/>
                <w:szCs w:val="18"/>
                <w:color w:val="auto"/>
              </w:rPr>
              <w:t>August 7, 2020</w:t>
            </w:r>
          </w:p>
        </w:tc>
      </w:tr>
      <w:tr>
        <w:trPr>
          <w:trHeight w:val="513"/>
        </w:trPr>
        <w:tc>
          <w:tcPr>
            <w:tcW w:w="74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6220" w:type="dxa"/>
            <w:vAlign w:val="bottom"/>
            <w:gridSpan w:val="2"/>
          </w:tcPr>
          <w:p>
            <w:pPr>
              <w:spacing w:after="0"/>
              <w:rPr>
                <w:sz w:val="20"/>
                <w:szCs w:val="20"/>
                <w:color w:val="auto"/>
              </w:rPr>
            </w:pPr>
            <w:r>
              <w:rPr>
                <w:rFonts w:ascii="Arial" w:cs="Arial" w:eastAsia="Arial" w:hAnsi="Arial"/>
                <w:sz w:val="18"/>
                <w:szCs w:val="18"/>
                <w:color w:val="auto"/>
              </w:rPr>
              <w:t>Bernice E. Bell</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622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74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6220" w:type="dxa"/>
            <w:vAlign w:val="bottom"/>
            <w:gridSpan w:val="2"/>
          </w:tcPr>
          <w:p>
            <w:pPr>
              <w:spacing w:after="0"/>
              <w:rPr>
                <w:sz w:val="20"/>
                <w:szCs w:val="20"/>
                <w:color w:val="auto"/>
              </w:rPr>
            </w:pPr>
            <w:r>
              <w:rPr>
                <w:rFonts w:ascii="Arial" w:cs="Arial" w:eastAsia="Arial" w:hAnsi="Arial"/>
                <w:sz w:val="18"/>
                <w:szCs w:val="18"/>
                <w:color w:val="auto"/>
              </w:rPr>
              <w:t>August 7, 2020</w:t>
            </w:r>
          </w:p>
        </w:tc>
      </w:tr>
    </w:tbl>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lowerLetter"/>
      <w:start w:val="3"/>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0"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85" Type="http://schemas.openxmlformats.org/officeDocument/2006/relationships/hyperlink" Target="http://www.sec.gov/Archives/edgar/data/1423689/000142368920000042/agncexhibit313312010-q.htm" TargetMode="External"/><Relationship Id="rId86" Type="http://schemas.openxmlformats.org/officeDocument/2006/relationships/hyperlink" Target="http://www.sec.gov/Archives/edgar/data/1423689/000142368916000104/agncexhibit329301610-qbyla.htm" TargetMode="External"/><Relationship Id="rId87" Type="http://schemas.openxmlformats.org/officeDocument/2006/relationships/hyperlink" Target="http://www.sec.gov/Archives/edgar/data/1423689/000142368917000044/ex35certificateofdesignati.htm" TargetMode="External"/><Relationship Id="rId88" Type="http://schemas.openxmlformats.org/officeDocument/2006/relationships/hyperlink" Target="http://www.sec.gov/Archives/edgar/data/1423689/000142368917000065/certificateofelimination.htm" TargetMode="External"/><Relationship Id="rId89" Type="http://schemas.openxmlformats.org/officeDocument/2006/relationships/hyperlink" Target="http://www.sec.gov/Archives/edgar/data/1423689/000142368919000019/certificateofdesignations.htm" TargetMode="External"/><Relationship Id="rId90" Type="http://schemas.openxmlformats.org/officeDocument/2006/relationships/hyperlink" Target="http://www.sec.gov/Archives/edgar/data/1423689/000142368919000064/certofdesignations.htm" TargetMode="External"/><Relationship Id="rId91" Type="http://schemas.openxmlformats.org/officeDocument/2006/relationships/hyperlink" Target="http://www.sec.gov/Archives/edgar/data/1423689/000142368919000078/certificateofeliminati.htm" TargetMode="External"/><Relationship Id="rId92" Type="http://schemas.openxmlformats.org/officeDocument/2006/relationships/hyperlink" Target="http://www.sec.gov/Archives/edgar/data/1423689/000142368920000012/certificateofdesignations-.htm" TargetMode="External"/><Relationship Id="rId93" Type="http://schemas.openxmlformats.org/officeDocument/2006/relationships/hyperlink" Target="http://www.sec.gov/Archives/edgar/data/1423689/000142368918000016/agncexhibit313311810-q.htm" TargetMode="External"/><Relationship Id="rId94" Type="http://schemas.openxmlformats.org/officeDocument/2006/relationships/hyperlink" Target="http://www.sec.gov/Archives/edgar/data/1423689/000142368916000104/agncexhibit43.htm" TargetMode="External"/><Relationship Id="rId95" Type="http://schemas.openxmlformats.org/officeDocument/2006/relationships/hyperlink" Target="http://www.sec.gov/Archives/edgar/data/1423689/000142368917000044/exhibit41.htm" TargetMode="External"/><Relationship Id="rId96" Type="http://schemas.openxmlformats.org/officeDocument/2006/relationships/hyperlink" Target="http://www.sec.gov/Archives/edgar/data/1423689/000142368919000019/stockcertificateb98.htm" TargetMode="External"/><Relationship Id="rId97" Type="http://schemas.openxmlformats.org/officeDocument/2006/relationships/hyperlink" Target="http://www.sec.gov/Archives/edgar/data/1423689/000142368919000064/stockcertificate.htm" TargetMode="External"/><Relationship Id="rId98" Type="http://schemas.openxmlformats.org/officeDocument/2006/relationships/hyperlink" Target="http://www.sec.gov/Archives/edgar/data/1423689/000142368920000012/stockcertificate.htm" TargetMode="External"/><Relationship Id="rId99" Type="http://schemas.openxmlformats.org/officeDocument/2006/relationships/hyperlink" Target="http://www.sec.gov/Archives/edgar/data/1423689/000142368917000049/depositagreement.htm" TargetMode="External"/><Relationship Id="rId101" Type="http://schemas.openxmlformats.org/officeDocument/2006/relationships/hyperlink" Target="http://www.sec.gov/Archives/edgar/data/1423689/000142368919000021/prefddepositagmt.htm" TargetMode="External"/><Relationship Id="rId102" Type="http://schemas.openxmlformats.org/officeDocument/2006/relationships/hyperlink" Target="http://www.sec.gov/Archives/edgar/data/1423689/000142368919000068/depositagmt-prefe.htm" TargetMode="External"/><Relationship Id="rId103" Type="http://schemas.openxmlformats.org/officeDocument/2006/relationships/hyperlink" Target="http://www.sec.gov/Archives/edgar/data/1423689/000142368920000014/depositaryagmt-series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2020-08-07T11:07:14Z</dcterms:created>
  <dcterms:modified xsi:type="dcterms:W3CDTF">2020-08-07T11:07:14Z</dcterms:modified>
</cp:coreProperties>
</file>