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8140" w:type="dxa"/>
            <w:vAlign w:val="bottom"/>
          </w:tcPr>
          <w:p>
            <w:pPr>
              <w:jc w:val="center"/>
              <w:ind w:left="264"/>
              <w:spacing w:after="0"/>
              <w:rPr>
                <w:sz w:val="20"/>
                <w:szCs w:val="20"/>
                <w:color w:val="auto"/>
              </w:rPr>
            </w:pPr>
            <w:r>
              <w:rPr>
                <w:rFonts w:ascii="Arial" w:cs="Arial" w:eastAsia="Arial" w:hAnsi="Arial"/>
                <w:sz w:val="17"/>
                <w:szCs w:val="17"/>
                <w:b w:val="1"/>
                <w:bCs w:val="1"/>
                <w:color w:val="auto"/>
              </w:rPr>
              <w:t>UNITED STATES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8140" w:type="dxa"/>
            <w:vAlign w:val="bottom"/>
          </w:tcPr>
          <w:p>
            <w:pPr>
              <w:jc w:val="center"/>
              <w:ind w:left="264"/>
              <w:spacing w:after="0"/>
              <w:rPr>
                <w:sz w:val="20"/>
                <w:szCs w:val="20"/>
                <w:color w:val="auto"/>
              </w:rPr>
            </w:pPr>
            <w:r>
              <w:rPr>
                <w:rFonts w:ascii="Arial" w:cs="Arial" w:eastAsia="Arial" w:hAnsi="Arial"/>
                <w:sz w:val="17"/>
                <w:szCs w:val="17"/>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814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Washington, D.C. 20549</w:t>
            </w:r>
          </w:p>
        </w:tc>
        <w:tc>
          <w:tcPr>
            <w:tcW w:w="0" w:type="dxa"/>
            <w:vAlign w:val="bottom"/>
          </w:tcPr>
          <w:p>
            <w:pPr>
              <w:spacing w:after="0"/>
              <w:rPr>
                <w:sz w:val="1"/>
                <w:szCs w:val="1"/>
                <w:color w:val="auto"/>
              </w:rPr>
            </w:pPr>
          </w:p>
        </w:tc>
      </w:tr>
      <w:tr>
        <w:trPr>
          <w:trHeight w:val="228"/>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40" w:type="dxa"/>
            <w:vAlign w:val="bottom"/>
          </w:tcPr>
          <w:p>
            <w:pPr>
              <w:jc w:val="center"/>
              <w:ind w:left="284"/>
              <w:spacing w:after="0"/>
              <w:rPr>
                <w:sz w:val="20"/>
                <w:szCs w:val="20"/>
                <w:color w:val="auto"/>
              </w:rPr>
            </w:pPr>
            <w:r>
              <w:rPr>
                <w:rFonts w:ascii="Arial" w:cs="Arial" w:eastAsia="Arial" w:hAnsi="Arial"/>
                <w:sz w:val="17"/>
                <w:szCs w:val="17"/>
                <w:b w:val="1"/>
                <w:bCs w:val="1"/>
                <w:color w:val="auto"/>
              </w:rPr>
              <w:t>FORM 10-Q</w:t>
            </w:r>
          </w:p>
        </w:tc>
        <w:tc>
          <w:tcPr>
            <w:tcW w:w="0" w:type="dxa"/>
            <w:vAlign w:val="bottom"/>
          </w:tcPr>
          <w:p>
            <w:pPr>
              <w:spacing w:after="0"/>
              <w:rPr>
                <w:sz w:val="1"/>
                <w:szCs w:val="1"/>
                <w:color w:val="auto"/>
              </w:rPr>
            </w:pPr>
          </w:p>
        </w:tc>
      </w:tr>
      <w:tr>
        <w:trPr>
          <w:trHeight w:val="222"/>
        </w:trPr>
        <w:tc>
          <w:tcPr>
            <w:tcW w:w="1120" w:type="dxa"/>
            <w:vAlign w:val="bottom"/>
            <w:vMerge w:val="continue"/>
          </w:tcPr>
          <w:p>
            <w:pPr>
              <w:spacing w:after="0"/>
              <w:rPr>
                <w:sz w:val="19"/>
                <w:szCs w:val="19"/>
                <w:color w:val="auto"/>
              </w:rPr>
            </w:pPr>
          </w:p>
        </w:tc>
        <w:tc>
          <w:tcPr>
            <w:tcW w:w="8140" w:type="dxa"/>
            <w:vAlign w:val="bottom"/>
          </w:tcPr>
          <w:p>
            <w:pPr>
              <w:ind w:left="1000"/>
              <w:spacing w:after="0"/>
              <w:rPr>
                <w:sz w:val="20"/>
                <w:szCs w:val="20"/>
                <w:color w:val="auto"/>
              </w:rPr>
            </w:pPr>
            <w:r>
              <w:rPr>
                <w:rFonts w:ascii="Arial" w:cs="Arial" w:eastAsia="Arial" w:hAnsi="Arial"/>
                <w:sz w:val="14"/>
                <w:szCs w:val="14"/>
                <w:b w:val="1"/>
                <w:bCs w:val="1"/>
                <w:color w:val="auto"/>
                <w:w w:val="98"/>
              </w:rPr>
              <w:t>QUARTERLY REPORT PURSUANT TO SECTION 13 OR 15(D) OF THE SECURITIES EXCHANGE ACT OF 1934</w:t>
            </w:r>
          </w:p>
        </w:tc>
        <w:tc>
          <w:tcPr>
            <w:tcW w:w="0" w:type="dxa"/>
            <w:vAlign w:val="bottom"/>
          </w:tcPr>
          <w:p>
            <w:pPr>
              <w:spacing w:after="0"/>
              <w:rPr>
                <w:sz w:val="1"/>
                <w:szCs w:val="1"/>
                <w:color w:val="auto"/>
              </w:rPr>
            </w:pPr>
          </w:p>
        </w:tc>
      </w:tr>
      <w:tr>
        <w:trPr>
          <w:trHeight w:val="254"/>
        </w:trPr>
        <w:tc>
          <w:tcPr>
            <w:tcW w:w="1120" w:type="dxa"/>
            <w:vAlign w:val="bottom"/>
          </w:tcPr>
          <w:p>
            <w:pPr>
              <w:spacing w:after="0"/>
              <w:rPr>
                <w:sz w:val="22"/>
                <w:szCs w:val="22"/>
                <w:color w:val="auto"/>
              </w:rPr>
            </w:pPr>
          </w:p>
        </w:tc>
        <w:tc>
          <w:tcPr>
            <w:tcW w:w="8140" w:type="dxa"/>
            <w:vAlign w:val="bottom"/>
          </w:tcPr>
          <w:p>
            <w:pPr>
              <w:jc w:val="center"/>
              <w:ind w:left="284"/>
              <w:spacing w:after="0"/>
              <w:rPr>
                <w:sz w:val="20"/>
                <w:szCs w:val="20"/>
                <w:color w:val="auto"/>
              </w:rPr>
            </w:pPr>
            <w:r>
              <w:rPr>
                <w:rFonts w:ascii="Arial" w:cs="Arial" w:eastAsia="Arial" w:hAnsi="Arial"/>
                <w:sz w:val="14"/>
                <w:szCs w:val="14"/>
                <w:b w:val="1"/>
                <w:bCs w:val="1"/>
                <w:color w:val="auto"/>
                <w:w w:val="90"/>
              </w:rPr>
              <w:t>For the quarterly period ended September 30, 2023</w:t>
            </w:r>
          </w:p>
        </w:tc>
        <w:tc>
          <w:tcPr>
            <w:tcW w:w="0" w:type="dxa"/>
            <w:vAlign w:val="bottom"/>
          </w:tcPr>
          <w:p>
            <w:pPr>
              <w:spacing w:after="0"/>
              <w:rPr>
                <w:sz w:val="1"/>
                <w:szCs w:val="1"/>
                <w:color w:val="auto"/>
              </w:rPr>
            </w:pPr>
          </w:p>
        </w:tc>
      </w:tr>
      <w:tr>
        <w:trPr>
          <w:trHeight w:val="183"/>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40" w:type="dxa"/>
            <w:vAlign w:val="bottom"/>
          </w:tcPr>
          <w:p>
            <w:pPr>
              <w:jc w:val="center"/>
              <w:ind w:left="264"/>
              <w:spacing w:after="0"/>
              <w:rPr>
                <w:sz w:val="20"/>
                <w:szCs w:val="20"/>
                <w:color w:val="auto"/>
              </w:rPr>
            </w:pPr>
            <w:r>
              <w:rPr>
                <w:rFonts w:ascii="Arial" w:cs="Arial" w:eastAsia="Arial" w:hAnsi="Arial"/>
                <w:sz w:val="14"/>
                <w:szCs w:val="14"/>
                <w:b w:val="1"/>
                <w:bCs w:val="1"/>
                <w:color w:val="auto"/>
                <w:w w:val="95"/>
              </w:rPr>
              <w:t>OR</w:t>
            </w: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8140" w:type="dxa"/>
            <w:vAlign w:val="bottom"/>
          </w:tcPr>
          <w:p>
            <w:pPr>
              <w:ind w:left="1000"/>
              <w:spacing w:after="0"/>
              <w:rPr>
                <w:sz w:val="20"/>
                <w:szCs w:val="20"/>
                <w:color w:val="auto"/>
              </w:rPr>
            </w:pPr>
            <w:r>
              <w:rPr>
                <w:rFonts w:ascii="Arial" w:cs="Arial" w:eastAsia="Arial" w:hAnsi="Arial"/>
                <w:sz w:val="14"/>
                <w:szCs w:val="14"/>
                <w:b w:val="1"/>
                <w:bCs w:val="1"/>
                <w:color w:val="auto"/>
                <w:w w:val="98"/>
              </w:rPr>
              <w:t>TRANSITION REPORT PURSUANT TO SECTION 13 OR 15(D) OF THE SECURITIES EXCHANGE ACT OF 1934</w:t>
            </w:r>
          </w:p>
        </w:tc>
        <w:tc>
          <w:tcPr>
            <w:tcW w:w="0" w:type="dxa"/>
            <w:vAlign w:val="bottom"/>
          </w:tcPr>
          <w:p>
            <w:pPr>
              <w:spacing w:after="0"/>
              <w:rPr>
                <w:sz w:val="1"/>
                <w:szCs w:val="1"/>
                <w:color w:val="auto"/>
              </w:rPr>
            </w:pPr>
          </w:p>
        </w:tc>
      </w:tr>
      <w:tr>
        <w:trPr>
          <w:trHeight w:val="266"/>
        </w:trPr>
        <w:tc>
          <w:tcPr>
            <w:tcW w:w="1120" w:type="dxa"/>
            <w:vAlign w:val="bottom"/>
          </w:tcPr>
          <w:p>
            <w:pPr>
              <w:spacing w:after="0"/>
              <w:rPr>
                <w:sz w:val="23"/>
                <w:szCs w:val="23"/>
                <w:color w:val="auto"/>
              </w:rPr>
            </w:pPr>
          </w:p>
        </w:tc>
        <w:tc>
          <w:tcPr>
            <w:tcW w:w="8140" w:type="dxa"/>
            <w:vAlign w:val="bottom"/>
          </w:tcPr>
          <w:p>
            <w:pPr>
              <w:jc w:val="center"/>
              <w:ind w:left="284"/>
              <w:spacing w:after="0"/>
              <w:rPr>
                <w:sz w:val="20"/>
                <w:szCs w:val="20"/>
                <w:color w:val="auto"/>
              </w:rPr>
            </w:pPr>
            <w:r>
              <w:rPr>
                <w:rFonts w:ascii="Arial" w:cs="Arial" w:eastAsia="Arial" w:hAnsi="Arial"/>
                <w:sz w:val="14"/>
                <w:szCs w:val="14"/>
                <w:b w:val="1"/>
                <w:bCs w:val="1"/>
                <w:color w:val="auto"/>
                <w:w w:val="89"/>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281305</wp:posOffset>
            </wp:positionH>
            <wp:positionV relativeFrom="page">
              <wp:posOffset>505460</wp:posOffset>
            </wp:positionV>
            <wp:extent cx="6994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4525" cy="8255"/>
                    </a:xfrm>
                    <a:prstGeom prst="rect">
                      <a:avLst/>
                    </a:prstGeom>
                    <a:noFill/>
                  </pic:spPr>
                </pic:pic>
              </a:graphicData>
            </a:graphic>
          </wp:anchor>
        </w:drawing>
        <w:drawing>
          <wp:anchor simplePos="0" relativeHeight="251657728" behindDoc="1" locked="0" layoutInCell="0" allowOverlap="1">
            <wp:simplePos x="0" y="0"/>
            <wp:positionH relativeFrom="page">
              <wp:posOffset>281305</wp:posOffset>
            </wp:positionH>
            <wp:positionV relativeFrom="page">
              <wp:posOffset>471805</wp:posOffset>
            </wp:positionV>
            <wp:extent cx="6994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45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106680</wp:posOffset>
            </wp:positionV>
            <wp:extent cx="1848485" cy="558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8485" cy="558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ectPr>
          <w:pgSz w:w="11900" w:h="16838" w:orient="portrait"/>
          <w:cols w:equalWidth="0" w:num="1">
            <w:col w:w="11240"/>
          </w:cols>
          <w:pgMar w:left="320" w:top="882" w:right="339" w:bottom="1440" w:gutter="0" w:footer="0" w:header="0"/>
        </w:sectPr>
      </w:pPr>
    </w:p>
    <w:p>
      <w:pPr>
        <w:spacing w:after="0" w:line="26"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4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spacing w:after="0" w:line="35"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ind w:left="1780"/>
        <w:spacing w:after="0"/>
        <w:rPr>
          <w:sz w:val="20"/>
          <w:szCs w:val="20"/>
          <w:color w:val="auto"/>
        </w:rPr>
      </w:pPr>
      <w:r>
        <w:rPr>
          <w:rFonts w:ascii="Arial" w:cs="Arial" w:eastAsia="Arial" w:hAnsi="Arial"/>
          <w:sz w:val="14"/>
          <w:szCs w:val="14"/>
          <w:b w:val="1"/>
          <w:bCs w:val="1"/>
          <w:color w:val="auto"/>
        </w:rPr>
        <w:t>Incorporation or Organization)</w:t>
      </w:r>
    </w:p>
    <w:p>
      <w:pPr>
        <w:spacing w:after="0" w:line="98"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7373 Wisconsin Avenue, 22nd Floor</w:t>
      </w:r>
    </w:p>
    <w:p>
      <w:pPr>
        <w:spacing w:after="0" w:line="22"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Bethesda, Maryland 20814</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(301) 968-9315</w:t>
      </w:r>
    </w:p>
    <w:p>
      <w:pPr>
        <w:spacing w:after="0" w:line="9" w:lineRule="exact"/>
        <w:rPr>
          <w:sz w:val="24"/>
          <w:szCs w:val="24"/>
          <w:color w:val="auto"/>
        </w:rPr>
      </w:pPr>
    </w:p>
    <w:p>
      <w:pPr>
        <w:jc w:val="center"/>
        <w:ind w:left="386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0"/>
          <w:szCs w:val="10"/>
          <w:color w:val="auto"/>
        </w:rPr>
        <w:t>_________________________________________________________</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5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0" w:type="dxa"/>
            <w:vAlign w:val="bottom"/>
          </w:tcPr>
          <w:p>
            <w:pPr>
              <w:spacing w:after="0"/>
              <w:rPr>
                <w:sz w:val="1"/>
                <w:szCs w:val="1"/>
                <w:color w:val="auto"/>
              </w:rPr>
            </w:pPr>
          </w:p>
        </w:tc>
      </w:tr>
      <w:tr>
        <w:trPr>
          <w:trHeight w:val="24"/>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640" w:type="dxa"/>
            <w:vAlign w:val="bottom"/>
          </w:tcPr>
          <w:p>
            <w:pPr>
              <w:jc w:val="center"/>
              <w:spacing w:after="0"/>
              <w:rPr>
                <w:sz w:val="20"/>
                <w:szCs w:val="20"/>
                <w:color w:val="auto"/>
              </w:rPr>
            </w:pPr>
            <w:r>
              <w:rPr>
                <w:rFonts w:ascii="Arial" w:cs="Arial" w:eastAsia="Arial" w:hAnsi="Arial"/>
                <w:sz w:val="14"/>
                <w:szCs w:val="14"/>
                <w:color w:val="auto"/>
                <w:w w:val="89"/>
              </w:rPr>
              <w:t>Common Stock, par value $0.01 per share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AGNC</w:t>
            </w:r>
          </w:p>
        </w:tc>
        <w:tc>
          <w:tcPr>
            <w:tcW w:w="0" w:type="dxa"/>
            <w:vAlign w:val="bottom"/>
          </w:tcPr>
          <w:p>
            <w:pPr>
              <w:spacing w:after="0"/>
              <w:rPr>
                <w:sz w:val="1"/>
                <w:szCs w:val="1"/>
                <w:color w:val="auto"/>
              </w:rPr>
            </w:pPr>
          </w:p>
        </w:tc>
      </w:tr>
      <w:tr>
        <w:trPr>
          <w:trHeight w:val="157"/>
        </w:trPr>
        <w:tc>
          <w:tcPr>
            <w:tcW w:w="57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0"/>
              </w:rPr>
              <w:t>Depositary shares of 7.000% Series C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8"/>
              </w:rPr>
              <w:t>AGNCN</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Depositary shares of 6.875% Series D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9"/>
              </w:rPr>
              <w:t>AGNCM</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Depositary shares of 6.50% Series E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7"/>
              </w:rPr>
              <w:t>AGNCO</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Depositary shares of 6.125% Series F Fixed-to-Floating Rate Cumulative Redeemable Preferred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6"/>
              </w:rPr>
              <w:t>AGNCP</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Depositary shares of 7.75% Series G Fixed-Rate Reset Cumulative</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9"/>
              </w:rPr>
              <w:t>AGNCL</w:t>
            </w:r>
          </w:p>
        </w:tc>
        <w:tc>
          <w:tcPr>
            <w:tcW w:w="0" w:type="dxa"/>
            <w:vAlign w:val="bottom"/>
          </w:tcPr>
          <w:p>
            <w:pPr>
              <w:spacing w:after="0"/>
              <w:rPr>
                <w:sz w:val="1"/>
                <w:szCs w:val="1"/>
                <w:color w:val="auto"/>
              </w:rPr>
            </w:pPr>
          </w:p>
        </w:tc>
      </w:tr>
      <w:tr>
        <w:trPr>
          <w:trHeight w:val="100"/>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8"/>
              </w:rPr>
              <w:t>Redeemable Preferred Stock</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26-1701984</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70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-443230</wp:posOffset>
            </wp:positionH>
            <wp:positionV relativeFrom="paragraph">
              <wp:posOffset>43180</wp:posOffset>
            </wp:positionV>
            <wp:extent cx="2439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56"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01"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7"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7"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7"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67" w:lineRule="exact"/>
        <w:rPr>
          <w:sz w:val="24"/>
          <w:szCs w:val="24"/>
          <w:color w:val="auto"/>
        </w:rPr>
      </w:pPr>
    </w:p>
    <w:p>
      <w:pPr>
        <w:jc w:val="center"/>
        <w:ind w:right="700"/>
        <w:spacing w:after="0"/>
        <w:rPr>
          <w:sz w:val="20"/>
          <w:szCs w:val="20"/>
          <w:color w:val="auto"/>
        </w:rPr>
      </w:pPr>
      <w:r>
        <w:rPr>
          <w:rFonts w:ascii="Arial" w:cs="Arial" w:eastAsia="Arial" w:hAnsi="Arial"/>
          <w:sz w:val="14"/>
          <w:szCs w:val="14"/>
          <w:color w:val="auto"/>
        </w:rPr>
        <w:t>The Nasdaq Global Select Market</w:t>
      </w:r>
    </w:p>
    <w:p>
      <w:pPr>
        <w:spacing w:after="0" w:line="176" w:lineRule="exact"/>
        <w:rPr>
          <w:sz w:val="24"/>
          <w:szCs w:val="24"/>
          <w:color w:val="auto"/>
        </w:rPr>
      </w:pPr>
    </w:p>
    <w:p>
      <w:pPr>
        <w:sectPr>
          <w:pgSz w:w="11900" w:h="16838" w:orient="portrait"/>
          <w:cols w:equalWidth="0" w:num="2">
            <w:col w:w="7380" w:space="720"/>
            <w:col w:w="3140"/>
          </w:cols>
          <w:pgMar w:left="320" w:top="882" w:right="339" w:bottom="1440" w:gutter="0" w:footer="0" w:header="0"/>
          <w:type w:val="continuous"/>
        </w:sectPr>
      </w:pPr>
    </w:p>
    <w:p>
      <w:pPr>
        <w:jc w:val="center"/>
        <w:ind w:right="-3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2" w:lineRule="exact"/>
        <w:rPr>
          <w:sz w:val="24"/>
          <w:szCs w:val="24"/>
          <w:color w:val="auto"/>
        </w:rPr>
      </w:pPr>
    </w:p>
    <w:p>
      <w:pPr>
        <w:ind w:firstLine="315"/>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15"/>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15"/>
        <w:spacing w:after="0" w:line="24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93"/>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9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88" w:lineRule="exact"/>
        <w:rPr>
          <w:sz w:val="24"/>
          <w:szCs w:val="24"/>
          <w:color w:val="auto"/>
        </w:rPr>
      </w:pPr>
    </w:p>
    <w:p>
      <w:pPr>
        <w:ind w:right="200" w:firstLine="315"/>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20" w:right="3580"/>
        <w:spacing w:after="0" w:line="16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The number of shares of the issuer's common stock, $0.01 par value, outstanding as of October 31, 2023 was 671,105,859.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476885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56515</wp:posOffset>
            </wp:positionV>
            <wp:extent cx="6994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4525"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23495</wp:posOffset>
            </wp:positionV>
            <wp:extent cx="6994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452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7"/>
          <w:szCs w:val="17"/>
          <w:b w:val="1"/>
          <w:bCs w:val="1"/>
          <w:color w:val="auto"/>
        </w:rPr>
        <w:t>AGNC INVESTMENT CORP.</w:t>
      </w:r>
    </w:p>
    <w:p>
      <w:pPr>
        <w:spacing w:after="0" w:line="106"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gridSpan w:val="2"/>
          </w:tcPr>
          <w:p>
            <w:pPr>
              <w:spacing w:after="0"/>
              <w:rPr>
                <w:sz w:val="20"/>
                <w:szCs w:val="20"/>
                <w:color w:val="auto"/>
              </w:rPr>
            </w:pPr>
            <w:r>
              <w:rPr>
                <w:rFonts w:ascii="Arial" w:cs="Arial" w:eastAsia="Arial" w:hAnsi="Arial"/>
                <w:sz w:val="16"/>
                <w:szCs w:val="16"/>
                <w:b w:val="1"/>
                <w:bCs w:val="1"/>
                <w:color w:val="0000FF"/>
                <w:w w:val="94"/>
              </w:rPr>
              <w:t>PART I.</w:t>
            </w:r>
          </w:p>
        </w:tc>
        <w:tc>
          <w:tcPr>
            <w:tcW w:w="100" w:type="dxa"/>
            <w:vAlign w:val="bottom"/>
            <w:gridSpan w:val="2"/>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b w:val="1"/>
                <w:bCs w:val="1"/>
                <w:color w:val="0000FF"/>
              </w:rPr>
              <w:t>FINANCIAL INFORMATION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1.</w:t>
            </w: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Financial Statements</w:t>
            </w:r>
          </w:p>
        </w:tc>
        <w:tc>
          <w:tcPr>
            <w:tcW w:w="12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2</w:t>
            </w: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2.</w:t>
            </w: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25</w:t>
            </w: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8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3.</w:t>
            </w: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Quantitative and Qualitative Disclosures About Market Risk</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43</w:t>
            </w: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4.</w:t>
            </w:r>
          </w:p>
        </w:tc>
        <w:tc>
          <w:tcPr>
            <w:tcW w:w="220" w:type="dxa"/>
            <w:vAlign w:val="bottom"/>
            <w:gridSpan w:val="3"/>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Controls and Procedures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46</w:t>
            </w: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62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39"/>
        </w:trPr>
        <w:tc>
          <w:tcPr>
            <w:tcW w:w="620" w:type="dxa"/>
            <w:vAlign w:val="bottom"/>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40" w:type="dxa"/>
            <w:vAlign w:val="bottom"/>
          </w:tcPr>
          <w:p>
            <w:pPr>
              <w:spacing w:after="0"/>
              <w:rPr>
                <w:sz w:val="24"/>
                <w:szCs w:val="24"/>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b w:val="1"/>
                <w:bCs w:val="1"/>
                <w:color w:val="0000FF"/>
              </w:rPr>
              <w:t>OTHER INFORMATION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20" w:type="dxa"/>
            <w:vAlign w:val="bottom"/>
            <w:tcBorders>
              <w:top w:val="single" w:sz="8" w:color="0000FF"/>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rPr>
              <w:t>Item 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85"/>
              </w:rPr>
              <w:t>Legal Proceedings</w:t>
            </w:r>
          </w:p>
        </w:tc>
        <w:tc>
          <w:tcPr>
            <w:tcW w:w="600" w:type="dxa"/>
            <w:vAlign w:val="bottom"/>
            <w:tcBorders>
              <w:top w:val="single" w:sz="8" w:color="0000FF"/>
              <w:bottom w:val="single" w:sz="8" w:color="0000FF"/>
            </w:tcBorders>
            <w:gridSpan w:val="3"/>
          </w:tcPr>
          <w:p>
            <w:pPr>
              <w:spacing w:after="0"/>
              <w:rPr>
                <w:sz w:val="18"/>
                <w:szCs w:val="18"/>
                <w:color w:val="auto"/>
              </w:rPr>
            </w:pPr>
          </w:p>
        </w:tc>
        <w:tc>
          <w:tcPr>
            <w:tcW w:w="240" w:type="dxa"/>
            <w:vAlign w:val="bottom"/>
            <w:tcBorders>
              <w:bottom w:val="single" w:sz="8" w:color="0000FF"/>
            </w:tcBorders>
          </w:tcPr>
          <w:p>
            <w:pPr>
              <w:spacing w:after="0"/>
              <w:rPr>
                <w:sz w:val="18"/>
                <w:szCs w:val="18"/>
                <w:color w:val="auto"/>
              </w:rPr>
            </w:pPr>
          </w:p>
        </w:tc>
        <w:tc>
          <w:tcPr>
            <w:tcW w:w="1800" w:type="dxa"/>
            <w:vAlign w:val="bottom"/>
            <w:gridSpan w:val="2"/>
          </w:tcPr>
          <w:p>
            <w:pPr>
              <w:spacing w:after="0"/>
              <w:rPr>
                <w:sz w:val="18"/>
                <w:szCs w:val="18"/>
                <w:color w:val="auto"/>
              </w:rPr>
            </w:pPr>
          </w:p>
        </w:tc>
        <w:tc>
          <w:tcPr>
            <w:tcW w:w="5620" w:type="dxa"/>
            <w:vAlign w:val="bottom"/>
            <w:gridSpan w:val="3"/>
          </w:tcPr>
          <w:p>
            <w:pPr>
              <w:spacing w:after="0"/>
              <w:rPr>
                <w:sz w:val="18"/>
                <w:szCs w:val="18"/>
                <w:color w:val="auto"/>
              </w:rPr>
            </w:pPr>
          </w:p>
        </w:tc>
        <w:tc>
          <w:tcPr>
            <w:tcW w:w="120" w:type="dxa"/>
            <w:vAlign w:val="bottom"/>
            <w:tcBorders>
              <w:bottom w:val="single" w:sz="8" w:color="0000FF"/>
            </w:tcBorders>
            <w:gridSpan w:val="2"/>
          </w:tcPr>
          <w:p>
            <w:pPr>
              <w:jc w:val="center"/>
              <w:spacing w:after="0" w:line="170" w:lineRule="exact"/>
              <w:rPr>
                <w:sz w:val="20"/>
                <w:szCs w:val="20"/>
                <w:color w:val="auto"/>
              </w:rPr>
            </w:pPr>
            <w:r>
              <w:rPr>
                <w:rFonts w:ascii="Arial" w:cs="Arial" w:eastAsia="Arial" w:hAnsi="Arial"/>
                <w:sz w:val="15"/>
                <w:szCs w:val="15"/>
                <w:color w:val="0000FF"/>
                <w:w w:val="71"/>
              </w:rPr>
              <w:t>47</w:t>
            </w: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6"/>
                <w:szCs w:val="16"/>
                <w:color w:val="0000FF"/>
              </w:rPr>
              <w:t>Item 1A.</w:t>
            </w:r>
          </w:p>
        </w:tc>
        <w:tc>
          <w:tcPr>
            <w:tcW w:w="9800" w:type="dxa"/>
            <w:vAlign w:val="bottom"/>
            <w:gridSpan w:val="14"/>
          </w:tcPr>
          <w:p>
            <w:pPr>
              <w:ind w:left="380"/>
              <w:spacing w:after="0" w:line="183" w:lineRule="exact"/>
              <w:rPr>
                <w:sz w:val="20"/>
                <w:szCs w:val="20"/>
                <w:color w:val="auto"/>
              </w:rPr>
            </w:pPr>
            <w:r>
              <w:rPr>
                <w:rFonts w:ascii="Arial" w:cs="Arial" w:eastAsia="Arial" w:hAnsi="Arial"/>
                <w:sz w:val="16"/>
                <w:szCs w:val="16"/>
                <w:color w:val="0000FF"/>
              </w:rPr>
              <w:t>Risk Factors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6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2.</w:t>
            </w: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Unregistered Sales of Equity Securities and Use of Proceeds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
        </w:trPr>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6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line="177" w:lineRule="exact"/>
              <w:rPr>
                <w:sz w:val="20"/>
                <w:szCs w:val="20"/>
                <w:color w:val="auto"/>
              </w:rPr>
            </w:pPr>
            <w:r>
              <w:rPr>
                <w:rFonts w:ascii="Arial" w:cs="Arial" w:eastAsia="Arial" w:hAnsi="Arial"/>
                <w:sz w:val="16"/>
                <w:szCs w:val="16"/>
                <w:color w:val="0000FF"/>
                <w:w w:val="81"/>
              </w:rPr>
              <w:t>Item 3.</w:t>
            </w:r>
          </w:p>
        </w:tc>
        <w:tc>
          <w:tcPr>
            <w:tcW w:w="220" w:type="dxa"/>
            <w:vAlign w:val="bottom"/>
            <w:gridSpan w:val="3"/>
          </w:tcPr>
          <w:p>
            <w:pPr>
              <w:spacing w:after="0"/>
              <w:rPr>
                <w:sz w:val="16"/>
                <w:szCs w:val="16"/>
                <w:color w:val="auto"/>
              </w:rPr>
            </w:pPr>
          </w:p>
        </w:tc>
        <w:tc>
          <w:tcPr>
            <w:tcW w:w="9800" w:type="dxa"/>
            <w:vAlign w:val="bottom"/>
            <w:gridSpan w:val="14"/>
          </w:tcPr>
          <w:p>
            <w:pPr>
              <w:ind w:left="380"/>
              <w:spacing w:after="0" w:line="177" w:lineRule="exact"/>
              <w:rPr>
                <w:sz w:val="20"/>
                <w:szCs w:val="20"/>
                <w:color w:val="auto"/>
              </w:rPr>
            </w:pPr>
            <w:r>
              <w:rPr>
                <w:rFonts w:ascii="Arial" w:cs="Arial" w:eastAsia="Arial" w:hAnsi="Arial"/>
                <w:sz w:val="16"/>
                <w:szCs w:val="16"/>
                <w:color w:val="0000FF"/>
              </w:rPr>
              <w:t>Defaults upon Senior Securities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6"/>
        </w:trPr>
        <w:tc>
          <w:tcPr>
            <w:tcW w:w="660" w:type="dxa"/>
            <w:vAlign w:val="bottom"/>
            <w:gridSpan w:val="4"/>
            <w:shd w:val="clear" w:color="auto" w:fill="0000FF"/>
          </w:tcPr>
          <w:p>
            <w:pPr>
              <w:spacing w:after="0"/>
              <w:rPr>
                <w:sz w:val="2"/>
                <w:szCs w:val="2"/>
                <w:color w:val="auto"/>
              </w:rPr>
            </w:pPr>
          </w:p>
        </w:tc>
        <w:tc>
          <w:tcPr>
            <w:tcW w:w="900" w:type="dxa"/>
            <w:vAlign w:val="bottom"/>
            <w:gridSpan w:val="2"/>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8280" w:type="dxa"/>
            <w:vAlign w:val="bottom"/>
            <w:tcBorders>
              <w:right w:val="single" w:sz="8" w:color="0000FF"/>
            </w:tcBorders>
            <w:gridSpan w:val="10"/>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r>
      <w:tr>
        <w:trPr>
          <w:trHeight w:val="197"/>
        </w:trPr>
        <w:tc>
          <w:tcPr>
            <w:tcW w:w="440" w:type="dxa"/>
            <w:vAlign w:val="bottom"/>
          </w:tcPr>
          <w:p>
            <w:pPr>
              <w:spacing w:after="0"/>
              <w:rPr>
                <w:sz w:val="20"/>
                <w:szCs w:val="20"/>
                <w:color w:val="auto"/>
              </w:rPr>
            </w:pPr>
            <w:r>
              <w:rPr>
                <w:rFonts w:ascii="Arial" w:cs="Arial" w:eastAsia="Arial" w:hAnsi="Arial"/>
                <w:sz w:val="16"/>
                <w:szCs w:val="16"/>
                <w:color w:val="0000FF"/>
                <w:w w:val="81"/>
              </w:rPr>
              <w:t>Item 4.</w:t>
            </w:r>
          </w:p>
        </w:tc>
        <w:tc>
          <w:tcPr>
            <w:tcW w:w="220" w:type="dxa"/>
            <w:vAlign w:val="bottom"/>
            <w:gridSpan w:val="3"/>
          </w:tcPr>
          <w:p>
            <w:pPr>
              <w:spacing w:after="0"/>
              <w:rPr>
                <w:sz w:val="17"/>
                <w:szCs w:val="17"/>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Mine Safety Disclosures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
        </w:trPr>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880" w:type="dxa"/>
            <w:vAlign w:val="bottom"/>
            <w:tcBorders>
              <w:right w:val="single" w:sz="8" w:color="0000FF"/>
            </w:tcBorders>
            <w:gridSpan w:val="7"/>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5.</w:t>
            </w:r>
          </w:p>
        </w:tc>
        <w:tc>
          <w:tcPr>
            <w:tcW w:w="220" w:type="dxa"/>
            <w:vAlign w:val="bottom"/>
            <w:gridSpan w:val="3"/>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Other Information</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
        </w:trPr>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280" w:type="dxa"/>
            <w:vAlign w:val="bottom"/>
            <w:tcBorders>
              <w:right w:val="single" w:sz="8" w:color="0000FF"/>
            </w:tcBorders>
            <w:gridSpan w:val="10"/>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0000FF"/>
                <w:w w:val="81"/>
              </w:rPr>
              <w:t>Item 6.</w:t>
            </w:r>
          </w:p>
        </w:tc>
        <w:tc>
          <w:tcPr>
            <w:tcW w:w="220" w:type="dxa"/>
            <w:vAlign w:val="bottom"/>
            <w:gridSpan w:val="3"/>
          </w:tcPr>
          <w:p>
            <w:pPr>
              <w:spacing w:after="0"/>
              <w:rPr>
                <w:sz w:val="16"/>
                <w:szCs w:val="16"/>
                <w:color w:val="auto"/>
              </w:rPr>
            </w:pPr>
          </w:p>
        </w:tc>
        <w:tc>
          <w:tcPr>
            <w:tcW w:w="9800" w:type="dxa"/>
            <w:vAlign w:val="bottom"/>
            <w:gridSpan w:val="14"/>
          </w:tcPr>
          <w:p>
            <w:pPr>
              <w:ind w:left="380"/>
              <w:spacing w:after="0"/>
              <w:rPr>
                <w:sz w:val="20"/>
                <w:szCs w:val="20"/>
                <w:color w:val="auto"/>
              </w:rPr>
            </w:pPr>
            <w:r>
              <w:rPr>
                <w:rFonts w:ascii="Arial" w:cs="Arial" w:eastAsia="Arial" w:hAnsi="Arial"/>
                <w:sz w:val="16"/>
                <w:szCs w:val="16"/>
                <w:color w:val="0000FF"/>
              </w:rPr>
              <w:t>Exhibits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47</w:t>
            </w:r>
          </w:p>
        </w:tc>
      </w:tr>
      <w:tr>
        <w:trPr>
          <w:trHeight w:val="20"/>
        </w:trPr>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39"/>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3"/>
              </w:rPr>
              <w:t>Signatures</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80"/>
          </w:cols>
          <w:pgMar w:left="340" w:top="869" w:right="9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AGNC INVESTMENT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millions, except per share data)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5"/>
                <w:szCs w:val="15"/>
                <w:color w:val="auto"/>
              </w:rPr>
            </w:pPr>
          </w:p>
        </w:tc>
        <w:tc>
          <w:tcPr>
            <w:tcW w:w="1440" w:type="dxa"/>
            <w:vAlign w:val="bottom"/>
          </w:tcPr>
          <w:p>
            <w:pPr>
              <w:jc w:val="right"/>
              <w:ind w:right="162"/>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Agency securities, at fair value (including pledged securities of $52,250 and $35,800,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55,758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39,346</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Credit risk transfer securities, at fair value (including pledged securities of $709 and $703, respectively)</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64"/>
        </w:trPr>
        <w:tc>
          <w:tcPr>
            <w:tcW w:w="7880" w:type="dxa"/>
            <w:vAlign w:val="bottom"/>
            <w:shd w:val="clear" w:color="auto" w:fill="CCEEFF"/>
          </w:tcPr>
          <w:p>
            <w:pPr>
              <w:ind w:left="200"/>
              <w:spacing w:after="0" w:line="164" w:lineRule="exact"/>
              <w:rPr>
                <w:sz w:val="20"/>
                <w:szCs w:val="20"/>
                <w:color w:val="auto"/>
              </w:rPr>
            </w:pPr>
            <w:r>
              <w:rPr>
                <w:rFonts w:ascii="Arial" w:cs="Arial" w:eastAsia="Arial" w:hAnsi="Arial"/>
                <w:sz w:val="16"/>
                <w:szCs w:val="16"/>
                <w:color w:val="auto"/>
                <w:w w:val="92"/>
              </w:rPr>
              <w:t>Non-Agency securities, at fair value, and other mortgage credit investments (including pledged securities of $253 and</w:t>
            </w: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7"/>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$605, respectively)</w:t>
            </w:r>
          </w:p>
        </w:tc>
        <w:tc>
          <w:tcPr>
            <w:tcW w:w="16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U.S. Treasury securities, at fair value (including pledged securities of $246 and $353, respectively)</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assets, at fair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Receivable for investment securities sold (including pledged securities of $273 and $119, respectively)</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 under reverse repurchase agreements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6"/>
        </w:trPr>
        <w:tc>
          <w:tcPr>
            <w:tcW w:w="788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69,991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51,748</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Repurchase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52,107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36,262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of consolidated variable interest entities, at fair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Payable for investment securities purchased</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6"/>
        </w:trPr>
        <w:tc>
          <w:tcPr>
            <w:tcW w:w="7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43,878</w:t>
            </w:r>
          </w:p>
        </w:tc>
        <w:tc>
          <w:tcPr>
            <w:tcW w:w="0" w:type="dxa"/>
            <w:vAlign w:val="bottom"/>
          </w:tcPr>
          <w:p>
            <w:pPr>
              <w:spacing w:after="0"/>
              <w:rPr>
                <w:sz w:val="1"/>
                <w:szCs w:val="1"/>
                <w:color w:val="auto"/>
              </w:rPr>
            </w:pPr>
          </w:p>
        </w:tc>
      </w:tr>
      <w:tr>
        <w:trPr>
          <w:trHeight w:val="187"/>
        </w:trPr>
        <w:tc>
          <w:tcPr>
            <w:tcW w:w="78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 aggregate liquidation preference of $1,688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w w:val="89"/>
              </w:rPr>
              <w:t>Common stock - $0.01 par value; 1,500 shares authorized; 648.0 and 574.6 shares issued and outstanding, respectively</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14,186</w:t>
            </w:r>
          </w:p>
        </w:tc>
        <w:tc>
          <w:tcPr>
            <w:tcW w:w="0" w:type="dxa"/>
            <w:vAlign w:val="bottom"/>
          </w:tcPr>
          <w:p>
            <w:pPr>
              <w:spacing w:after="0"/>
              <w:rPr>
                <w:sz w:val="1"/>
                <w:szCs w:val="1"/>
                <w:color w:val="auto"/>
              </w:rPr>
            </w:pPr>
          </w:p>
        </w:tc>
      </w:tr>
      <w:tr>
        <w:trPr>
          <w:trHeight w:val="207"/>
        </w:trPr>
        <w:tc>
          <w:tcPr>
            <w:tcW w:w="788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(7,284)</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0"/>
        </w:trPr>
        <w:tc>
          <w:tcPr>
            <w:tcW w:w="7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w:t>
            </w:r>
          </w:p>
        </w:tc>
        <w:tc>
          <w:tcPr>
            <w:tcW w:w="0" w:type="dxa"/>
            <w:vAlign w:val="bottom"/>
          </w:tcPr>
          <w:p>
            <w:pPr>
              <w:spacing w:after="0"/>
              <w:rPr>
                <w:sz w:val="1"/>
                <w:szCs w:val="1"/>
                <w:color w:val="auto"/>
              </w:rPr>
            </w:pPr>
          </w:p>
        </w:tc>
      </w:tr>
      <w:tr>
        <w:trPr>
          <w:trHeight w:val="231"/>
        </w:trPr>
        <w:tc>
          <w:tcPr>
            <w:tcW w:w="7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69,991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Three Months Ended</w:t>
            </w:r>
          </w:p>
        </w:tc>
        <w:tc>
          <w:tcPr>
            <w:tcW w:w="200" w:type="dxa"/>
            <w:vAlign w:val="bottom"/>
          </w:tcPr>
          <w:p>
            <w:pPr>
              <w:spacing w:after="0"/>
              <w:rPr>
                <w:sz w:val="16"/>
                <w:szCs w:val="16"/>
                <w:color w:val="auto"/>
              </w:rPr>
            </w:pPr>
          </w:p>
        </w:tc>
        <w:tc>
          <w:tcPr>
            <w:tcW w:w="176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w w:val="96"/>
              </w:rPr>
              <w:t>Nine Months Ended</w:t>
            </w:r>
          </w:p>
        </w:tc>
      </w:tr>
      <w:tr>
        <w:trPr>
          <w:trHeight w:val="207"/>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7"/>
              </w:rPr>
              <w:t>September 30,</w:t>
            </w:r>
          </w:p>
        </w:tc>
        <w:tc>
          <w:tcPr>
            <w:tcW w:w="200" w:type="dxa"/>
            <w:vAlign w:val="bottom"/>
          </w:tcPr>
          <w:p>
            <w:pPr>
              <w:spacing w:after="0"/>
              <w:rPr>
                <w:sz w:val="18"/>
                <w:szCs w:val="18"/>
                <w:color w:val="auto"/>
              </w:rPr>
            </w:pPr>
          </w:p>
        </w:tc>
        <w:tc>
          <w:tcPr>
            <w:tcW w:w="17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7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r>
      <w:tr>
        <w:trPr>
          <w:trHeight w:val="206"/>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income: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3"/>
        </w:trPr>
        <w:tc>
          <w:tcPr>
            <w:tcW w:w="724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1,401</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1,243</w:t>
            </w:r>
          </w:p>
        </w:tc>
      </w:tr>
      <w:tr>
        <w:trPr>
          <w:trHeight w:val="22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16"/>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Net interest income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w:t>
            </w:r>
          </w:p>
        </w:tc>
      </w:tr>
      <w:tr>
        <w:trPr>
          <w:trHeight w:val="203"/>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gain (loss), net: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3"/>
        </w:trPr>
        <w:tc>
          <w:tcPr>
            <w:tcW w:w="7240" w:type="dxa"/>
            <w:vAlign w:val="bottom"/>
          </w:tcPr>
          <w:p>
            <w:pPr>
              <w:ind w:left="340"/>
              <w:spacing w:after="0"/>
              <w:rPr>
                <w:sz w:val="20"/>
                <w:szCs w:val="20"/>
                <w:color w:val="auto"/>
              </w:rPr>
            </w:pPr>
            <w:r>
              <w:rPr>
                <w:rFonts w:ascii="Arial" w:cs="Arial" w:eastAsia="Arial" w:hAnsi="Arial"/>
                <w:sz w:val="17"/>
                <w:szCs w:val="17"/>
                <w:color w:val="auto"/>
              </w:rPr>
              <w:t>Loss on sale of investment securities,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(1,848)</w:t>
            </w:r>
          </w:p>
        </w:tc>
      </w:tr>
      <w:tr>
        <w:trPr>
          <w:trHeight w:val="22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loss on investment securities measured at fair value through net income, net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r>
      <w:tr>
        <w:trPr>
          <w:trHeight w:val="223"/>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Gain on derivative instruments and other investments,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4,474</w:t>
            </w:r>
          </w:p>
        </w:tc>
      </w:tr>
      <w:tr>
        <w:trPr>
          <w:trHeight w:val="216"/>
        </w:trPr>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gain (loss), net: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(2,631)</w:t>
            </w:r>
          </w:p>
        </w:tc>
      </w:tr>
      <w:tr>
        <w:trPr>
          <w:trHeight w:val="203"/>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operating expense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(1,751)</w:t>
            </w:r>
          </w:p>
        </w:tc>
      </w:tr>
      <w:tr>
        <w:trPr>
          <w:trHeight w:val="22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Net income (loss) available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7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(1,751)</w:t>
            </w:r>
          </w:p>
        </w:tc>
      </w:tr>
      <w:tr>
        <w:trPr>
          <w:trHeight w:val="184"/>
        </w:trPr>
        <w:tc>
          <w:tcPr>
            <w:tcW w:w="72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w w:val="92"/>
              </w:rPr>
              <w:t>Unrealized loss on investment securities measured at fair value through other comprehensive loss,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2"/>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w:t>
            </w:r>
          </w:p>
        </w:tc>
      </w:tr>
      <w:tr>
        <w:trPr>
          <w:trHeight w:val="216"/>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Comprehensive 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(2,859)</w:t>
            </w:r>
          </w:p>
        </w:tc>
      </w:tr>
      <w:tr>
        <w:trPr>
          <w:trHeight w:val="22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7240" w:type="dxa"/>
            <w:vAlign w:val="bottom"/>
          </w:tcPr>
          <w:p>
            <w:pPr>
              <w:ind w:left="40"/>
              <w:spacing w:after="0"/>
              <w:rPr>
                <w:sz w:val="20"/>
                <w:szCs w:val="20"/>
                <w:color w:val="auto"/>
              </w:rPr>
            </w:pPr>
            <w:r>
              <w:rPr>
                <w:rFonts w:ascii="Arial" w:cs="Arial" w:eastAsia="Arial" w:hAnsi="Arial"/>
                <w:sz w:val="17"/>
                <w:szCs w:val="17"/>
                <w:b w:val="1"/>
                <w:bCs w:val="1"/>
                <w:color w:val="auto"/>
              </w:rPr>
              <w:t>Comprehensive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(2,935)</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7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Weighted average number of common shares outstanding - basic</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Net income (loss) per common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per common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Dividends declared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(Unaudited)</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3"/>
              </w:rPr>
              <w:t>Preferred</w:t>
            </w:r>
          </w:p>
        </w:tc>
        <w:tc>
          <w:tcPr>
            <w:tcW w:w="19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9"/>
                <w:szCs w:val="9"/>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7"/>
              </w:rPr>
              <w:t>Comprehensive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1,489</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320"/>
              <w:spacing w:after="0"/>
              <w:rPr>
                <w:sz w:val="20"/>
                <w:szCs w:val="20"/>
                <w:color w:val="auto"/>
              </w:rPr>
            </w:pPr>
            <w:r>
              <w:rPr>
                <w:rFonts w:ascii="Arial" w:cs="Arial" w:eastAsia="Arial" w:hAnsi="Arial"/>
                <w:sz w:val="14"/>
                <w:szCs w:val="14"/>
                <w:color w:val="auto"/>
              </w:rPr>
              <w:t>Unrealized loss on available-for-sale securities, net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Issuance of preferred stock, net of offering cost</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Preferred dividends declared</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dividends declared</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7,878</w:t>
            </w: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Unrealized loss on available-for-sale securities,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Stock-based compensation, net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Preferred dividends declared</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dividends declared</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14,901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(8,283)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1,489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13,710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10,291</w:t>
            </w: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Unrealized loss on available-for-sale securities,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Stock-based compensation, net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preferred stock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Preferred dividends declared</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dividends declared</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14,186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(7,284)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7,870</w:t>
            </w: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Unrealized loss on available-for-sale securities,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Stock-based compensation, net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rPr>
                <w:sz w:val="20"/>
                <w:szCs w:val="20"/>
                <w:color w:val="auto"/>
              </w:rPr>
            </w:pPr>
            <w:r>
              <w:rPr>
                <w:rFonts w:ascii="Arial" w:cs="Arial" w:eastAsia="Arial" w:hAnsi="Arial"/>
                <w:sz w:val="14"/>
                <w:szCs w:val="14"/>
                <w:color w:val="auto"/>
              </w:rPr>
              <w:t>Preferred dividends declared</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dividends declared</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14,901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(8,283)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600" w:top="869" w:right="5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(Unaudited)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(in millions)</w:t>
      </w:r>
    </w:p>
    <w:p>
      <w:pPr>
        <w:spacing w:after="0" w:line="31"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Nine Months Ended</w:t>
      </w:r>
    </w:p>
    <w:p>
      <w:pPr>
        <w:jc w:val="center"/>
        <w:ind w:left="748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r>
      <w:tr>
        <w:trPr>
          <w:trHeight w:val="197"/>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7"/>
        </w:trPr>
        <w:tc>
          <w:tcPr>
            <w:tcW w:w="7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Loss on sale of investment securities,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1,848</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investment securities measured at fair value through net income,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5,257</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Gain on derivative instruments and other securities,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(4,474)</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in 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Increase in other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w:t>
            </w:r>
          </w:p>
        </w:tc>
      </w:tr>
      <w:tr>
        <w:trPr>
          <w:trHeight w:val="20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919</w:t>
            </w:r>
          </w:p>
        </w:tc>
      </w:tr>
      <w:tr>
        <w:trPr>
          <w:trHeight w:val="18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(20,847)</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Purchases of credit risk transfer and non-Agency securities and other mortgage credit investments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(1,132)</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18,100</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841</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5,514</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186</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U.S. Treasury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(17,946)</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Proceeds from U.S. Treasury securities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16,584</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(payments on) reverse repurchase agreements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2,966</w:t>
            </w:r>
          </w:p>
        </w:tc>
      </w:tr>
      <w:tr>
        <w:trPr>
          <w:trHeight w:val="207"/>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derivative instruments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3,754</w:t>
            </w:r>
          </w:p>
        </w:tc>
      </w:tr>
      <w:tr>
        <w:trPr>
          <w:trHeight w:val="20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8,020</w:t>
            </w:r>
          </w:p>
        </w:tc>
      </w:tr>
      <w:tr>
        <w:trPr>
          <w:trHeight w:val="18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1,749,235</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(2,574,879)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(1,756,310)</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Net proceeds from preferred stock issuances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145</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common stock issuances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339</w:t>
            </w:r>
          </w:p>
        </w:tc>
      </w:tr>
      <w:tr>
        <w:trPr>
          <w:trHeight w:val="207"/>
        </w:trPr>
        <w:tc>
          <w:tcPr>
            <w:tcW w:w="7500" w:type="dxa"/>
            <w:vAlign w:val="bottom"/>
          </w:tcPr>
          <w:p>
            <w:pPr>
              <w:ind w:left="340"/>
              <w:spacing w:after="0"/>
              <w:rPr>
                <w:sz w:val="20"/>
                <w:szCs w:val="20"/>
                <w:color w:val="auto"/>
              </w:rPr>
            </w:pPr>
            <w:r>
              <w:rPr>
                <w:rFonts w:ascii="Arial" w:cs="Arial" w:eastAsia="Arial" w:hAnsi="Arial"/>
                <w:sz w:val="16"/>
                <w:szCs w:val="16"/>
                <w:color w:val="auto"/>
              </w:rPr>
              <w:t>Payments for common stock repurchases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0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(7,302)</w:t>
            </w:r>
          </w:p>
        </w:tc>
      </w:tr>
      <w:tr>
        <w:trPr>
          <w:trHeight w:val="20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1,637</w:t>
            </w:r>
          </w:p>
        </w:tc>
      </w:tr>
      <w:tr>
        <w:trPr>
          <w:trHeight w:val="20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1,525</w:t>
            </w:r>
          </w:p>
        </w:tc>
      </w:tr>
      <w:tr>
        <w:trPr>
          <w:trHeight w:val="231"/>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980"/>
          </w:cols>
          <w:pgMar w:left="960" w:top="869" w:right="95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w:t>
      </w:r>
    </w:p>
    <w:p>
      <w:pPr>
        <w:spacing w:after="0" w:line="17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2"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07"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93"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2022.</w:t>
      </w:r>
    </w:p>
    <w:p>
      <w:pPr>
        <w:spacing w:after="0" w:line="61"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0"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 w:name="page8"/>
    <w:bookmarkEnd w:id="7"/>
    <w:p>
      <w:pPr>
        <w:jc w:val="both"/>
        <w:ind w:firstLine="393"/>
        <w:spacing w:after="0" w:line="298"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0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21"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w:t>
      </w:r>
    </w:p>
    <w:p>
      <w:pPr>
        <w:spacing w:after="0" w:line="124"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21"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72"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We finance the acquisition of securities for our investment portfolio primarily through repurchase agreements with our lending counterparties. Repurchase arrangements involve the sale and a simultaneous agreement to repurchase the securities at 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t xml:space="preserve">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 and Obligation to Return Securities Borrowed under Reverse Repurchase Agreements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below). We account for these as securities borrowing transactions and recognize an obligation to return the borrowed securities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7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2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27"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rate swap agreements</w:t>
      </w:r>
    </w:p>
    <w:p>
      <w:pPr>
        <w:spacing w:after="0" w:line="172" w:lineRule="exact"/>
        <w:rPr>
          <w:sz w:val="20"/>
          <w:szCs w:val="20"/>
          <w:color w:val="auto"/>
        </w:rPr>
      </w:pPr>
    </w:p>
    <w:p>
      <w:pPr>
        <w:jc w:val="both"/>
        <w:ind w:firstLine="433"/>
        <w:spacing w:after="0" w:line="28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rate swaptions</w:t>
      </w:r>
    </w:p>
    <w:p>
      <w:pPr>
        <w:spacing w:after="0" w:line="172"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9" w:name="page10"/>
    <w:bookmarkEnd w:id="9"/>
    <w:p>
      <w:pPr>
        <w:jc w:val="both"/>
        <w:spacing w:after="0" w:line="289" w:lineRule="auto"/>
        <w:rPr>
          <w:sz w:val="20"/>
          <w:szCs w:val="20"/>
          <w:color w:val="auto"/>
        </w:rPr>
      </w:pPr>
      <w:r>
        <w:rPr>
          <w:rFonts w:ascii="Arial" w:cs="Arial" w:eastAsia="Arial" w:hAnsi="Arial"/>
          <w:sz w:val="17"/>
          <w:szCs w:val="17"/>
          <w:color w:val="auto"/>
        </w:rPr>
        <w:t>paid. If we sell or exercise a swaption, the realized gain or loss on the swaption would be equal to the difference between the cash or the fair value of the underlying interest rate swap and the premium paid.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TBA securities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9"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U.S. Treasury securities and US Treasury futures contracts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three levels of valuation hierarchy are defined as follows:</w:t>
      </w:r>
    </w:p>
    <w:p>
      <w:pPr>
        <w:spacing w:after="0" w:line="172" w:lineRule="exact"/>
        <w:rPr>
          <w:sz w:val="20"/>
          <w:szCs w:val="20"/>
          <w:color w:val="auto"/>
        </w:rPr>
      </w:pPr>
    </w:p>
    <w:p>
      <w:pPr>
        <w:ind w:left="640" w:hanging="320"/>
        <w:spacing w:after="0" w:line="289"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1 Inputs —Quoted prices (unadjusted) for identical unrestricted assets and liabilities in active markets that are accessible at the measurement date.</w:t>
      </w:r>
    </w:p>
    <w:p>
      <w:pPr>
        <w:spacing w:after="0" w:line="10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3 Inputs —Instruments with primarily unobservable market data that cannot be corroborated.</w:t>
      </w:r>
    </w:p>
    <w:p>
      <w:pPr>
        <w:spacing w:after="0" w:line="172"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would indicate and we cannot obtain an understanding from the third-party source as to the significant inputs used to determine the price.</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4"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72"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 are valued using the daily settlement price, or fair value, determined by the clearing exchange based on a pricing model that</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references observable market inputs, including current benchmark rates and the forward yield curve.</w:t>
      </w:r>
    </w:p>
    <w:p>
      <w:pPr>
        <w:spacing w:after="0" w:line="106"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i w:val="1"/>
          <w:iCs w:val="1"/>
          <w:color w:val="auto"/>
        </w:rPr>
        <w:t xml:space="preserve">Interest rate swaptions </w:t>
      </w:r>
      <w:r>
        <w:rPr>
          <w:rFonts w:ascii="Arial" w:cs="Arial" w:eastAsia="Arial" w:hAnsi="Arial"/>
          <w:sz w:val="17"/>
          <w:szCs w:val="17"/>
          <w:color w:val="auto"/>
        </w:rPr>
        <w:t>- are valued using prices obtained from the counterparty and other third-party pricing models. The pricing models are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future interest rate swap that we have the option to enter into as well as the remaining length of time that we have to exercise the option based on observable market inputs, adjusted for non-performance risk, if any.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None of our financial instruments are classified as Level 3 inputs.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 Securities</w:t>
      </w:r>
    </w:p>
    <w:p>
      <w:pPr>
        <w:spacing w:after="0" w:line="178"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As of September 30, 2023 and December 31, 2022, our investment portfolio consisted of $56.9 billion and $40.9 billion investment securities, at fair value, respectively, $2.4 billion and $18.6 billion net TBA securities, at fair value, respectively, and other mortgage credit investments of $45 million and $25 million, respectively, which we account for under the equity method of accounting. Our TBA position is reported at its net carrying value totaling $(31) million and $167 million as of September 30, 2023 and December 31, 2022,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2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As of September 30, 2023 and December 31, 2022, our investment securities had a net unamortized premium balance of $1.1 billion and $1.5 billion, respectively.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1" w:name="page12"/>
    <w:bookmarkEnd w:id="11"/>
    <w:p>
      <w:pPr>
        <w:ind w:firstLine="393"/>
        <w:spacing w:after="0" w:line="289" w:lineRule="auto"/>
        <w:rPr>
          <w:sz w:val="20"/>
          <w:szCs w:val="20"/>
          <w:color w:val="auto"/>
        </w:rPr>
      </w:pPr>
      <w:r>
        <w:rPr>
          <w:rFonts w:ascii="Arial" w:cs="Arial" w:eastAsia="Arial" w:hAnsi="Arial"/>
          <w:sz w:val="17"/>
          <w:szCs w:val="17"/>
          <w:color w:val="auto"/>
        </w:rPr>
        <w:t>The following tables summarize our investment securities as of September 30, 2023 and December 31, 2022, excluding TBA securities and other mortgage credit investments (dollars in millions). Details of our TBA securities are included in Note 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7"/>
          </w:tcPr>
          <w:p>
            <w:pPr>
              <w:jc w:val="right"/>
              <w:ind w:right="218"/>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w w:val="87"/>
              </w:rPr>
              <w:t>December 31, 2022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280"/>
              <w:spacing w:after="0" w:line="128" w:lineRule="exact"/>
              <w:rPr>
                <w:sz w:val="20"/>
                <w:szCs w:val="20"/>
                <w:color w:val="auto"/>
              </w:rPr>
            </w:pPr>
            <w:r>
              <w:rPr>
                <w:rFonts w:ascii="Arial" w:cs="Arial" w:eastAsia="Arial" w:hAnsi="Arial"/>
                <w:sz w:val="14"/>
                <w:szCs w:val="14"/>
                <w:b w:val="1"/>
                <w:bCs w:val="1"/>
                <w:color w:val="auto"/>
                <w:w w:val="99"/>
              </w:rPr>
              <w:t>Amortized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260" w:type="dxa"/>
            <w:vAlign w:val="bottom"/>
            <w:gridSpan w:val="4"/>
          </w:tcPr>
          <w:p>
            <w:pPr>
              <w:jc w:val="right"/>
              <w:ind w:right="211"/>
              <w:spacing w:after="0" w:line="128" w:lineRule="exact"/>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60,601</w:t>
            </w:r>
          </w:p>
        </w:tc>
        <w:tc>
          <w:tcPr>
            <w:tcW w:w="3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7"/>
              </w:rPr>
              <w:t>55,408</w:t>
            </w:r>
          </w:p>
        </w:tc>
        <w:tc>
          <w:tcPr>
            <w:tcW w:w="680" w:type="dxa"/>
            <w:vAlign w:val="bottom"/>
            <w:gridSpan w:val="2"/>
          </w:tcPr>
          <w:p>
            <w:pPr>
              <w:jc w:val="right"/>
              <w:ind w:right="376"/>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43,046</w:t>
            </w:r>
          </w:p>
        </w:tc>
        <w:tc>
          <w:tcPr>
            <w:tcW w:w="340" w:type="dxa"/>
            <w:vAlign w:val="bottom"/>
            <w:gridSpan w:val="3"/>
          </w:tcPr>
          <w:p>
            <w:pPr>
              <w:jc w:val="right"/>
              <w:ind w:right="3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61,102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7"/>
              </w:rPr>
              <w:t>55,878</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43,385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62,156</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56,922</w:t>
            </w:r>
          </w:p>
        </w:tc>
        <w:tc>
          <w:tcPr>
            <w:tcW w:w="140" w:type="dxa"/>
            <w:vAlign w:val="bottom"/>
          </w:tcPr>
          <w:p>
            <w:pPr>
              <w:spacing w:after="0"/>
              <w:rPr>
                <w:sz w:val="16"/>
                <w:szCs w:val="16"/>
                <w:color w:val="auto"/>
              </w:rPr>
            </w:pPr>
          </w:p>
        </w:tc>
        <w:tc>
          <w:tcPr>
            <w:tcW w:w="5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44,880</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8"/>
          </w:tcPr>
          <w:p>
            <w:pPr>
              <w:jc w:val="right"/>
              <w:ind w:right="219"/>
              <w:spacing w:after="0"/>
              <w:rPr>
                <w:sz w:val="20"/>
                <w:szCs w:val="20"/>
                <w:color w:val="auto"/>
              </w:rPr>
            </w:pPr>
            <w:r>
              <w:rPr>
                <w:rFonts w:ascii="Arial" w:cs="Arial" w:eastAsia="Arial" w:hAnsi="Arial"/>
                <w:sz w:val="14"/>
                <w:szCs w:val="14"/>
                <w:b w:val="1"/>
                <w:bCs w:val="1"/>
                <w:color w:val="auto"/>
                <w:w w:val="88"/>
              </w:rPr>
              <w:t>September 30, 2023</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Agency RMBS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556"/>
              <w:spacing w:after="0" w:line="190" w:lineRule="exact"/>
              <w:rPr>
                <w:sz w:val="20"/>
                <w:szCs w:val="20"/>
                <w:color w:val="auto"/>
              </w:rPr>
            </w:pPr>
            <w:r>
              <w:rPr>
                <w:rFonts w:ascii="Arial" w:cs="Arial" w:eastAsia="Arial" w:hAnsi="Arial"/>
                <w:sz w:val="14"/>
                <w:szCs w:val="14"/>
                <w:b w:val="1"/>
                <w:bCs w:val="1"/>
                <w:color w:val="auto"/>
              </w:rPr>
              <w:t xml:space="preserve">Non-Agency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100" w:type="dxa"/>
            <w:vAlign w:val="bottom"/>
          </w:tcPr>
          <w:p>
            <w:pPr>
              <w:spacing w:after="0"/>
              <w:rPr>
                <w:sz w:val="10"/>
                <w:szCs w:val="10"/>
                <w:color w:val="auto"/>
              </w:rPr>
            </w:pPr>
          </w:p>
        </w:tc>
        <w:tc>
          <w:tcPr>
            <w:tcW w:w="9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Freddie Mac</w:t>
            </w:r>
          </w:p>
        </w:tc>
        <w:tc>
          <w:tcPr>
            <w:tcW w:w="160" w:type="dxa"/>
            <w:vAlign w:val="bottom"/>
          </w:tcPr>
          <w:p>
            <w:pPr>
              <w:spacing w:after="0"/>
              <w:rPr>
                <w:sz w:val="10"/>
                <w:szCs w:val="10"/>
                <w:color w:val="auto"/>
              </w:rPr>
            </w:pPr>
          </w:p>
        </w:tc>
        <w:tc>
          <w:tcPr>
            <w:tcW w:w="800" w:type="dxa"/>
            <w:vAlign w:val="bottom"/>
          </w:tcPr>
          <w:p>
            <w:pPr>
              <w:jc w:val="right"/>
              <w:ind w:right="215"/>
              <w:spacing w:after="0" w:line="125"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RMBS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CMBS</w:t>
            </w:r>
          </w:p>
        </w:tc>
        <w:tc>
          <w:tcPr>
            <w:tcW w:w="140" w:type="dxa"/>
            <w:vAlign w:val="bottom"/>
          </w:tcPr>
          <w:p>
            <w:pPr>
              <w:spacing w:after="0"/>
              <w:rPr>
                <w:sz w:val="10"/>
                <w:szCs w:val="10"/>
                <w:color w:val="auto"/>
              </w:rPr>
            </w:pPr>
          </w:p>
        </w:tc>
        <w:tc>
          <w:tcPr>
            <w:tcW w:w="800" w:type="dxa"/>
            <w:vAlign w:val="bottom"/>
            <w:gridSpan w:val="4"/>
            <w:vMerge w:val="restart"/>
          </w:tcPr>
          <w:p>
            <w:pPr>
              <w:jc w:val="right"/>
              <w:ind w:right="250"/>
              <w:spacing w:after="0"/>
              <w:rPr>
                <w:sz w:val="20"/>
                <w:szCs w:val="20"/>
                <w:color w:val="auto"/>
              </w:rPr>
            </w:pPr>
            <w:r>
              <w:rPr>
                <w:rFonts w:ascii="Arial" w:cs="Arial" w:eastAsia="Arial" w:hAnsi="Arial"/>
                <w:sz w:val="14"/>
                <w:szCs w:val="14"/>
                <w:b w:val="1"/>
                <w:bCs w:val="1"/>
                <w:color w:val="auto"/>
              </w:rPr>
              <w:t>CRT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Available-for-sale securities: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4,066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5,291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3"/>
          </w:tcPr>
          <w:p>
            <w:pPr>
              <w:jc w:val="right"/>
              <w:ind w:right="28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294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4,288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1,295</w:t>
            </w:r>
          </w:p>
        </w:tc>
        <w:tc>
          <w:tcPr>
            <w:tcW w:w="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95"/>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6"/>
              <w:spacing w:after="0"/>
              <w:rPr>
                <w:sz w:val="20"/>
                <w:szCs w:val="20"/>
                <w:color w:val="auto"/>
              </w:rPr>
            </w:pPr>
            <w:r>
              <w:rPr>
                <w:rFonts w:ascii="Arial" w:cs="Arial" w:eastAsia="Arial" w:hAnsi="Arial"/>
                <w:sz w:val="12"/>
                <w:szCs w:val="12"/>
                <w:color w:val="auto"/>
              </w:rPr>
              <w:t>5,584</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0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(616)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50"/>
              <w:spacing w:after="0"/>
              <w:rPr>
                <w:sz w:val="20"/>
                <w:szCs w:val="20"/>
                <w:color w:val="auto"/>
              </w:rPr>
            </w:pPr>
            <w:r>
              <w:rPr>
                <w:rFonts w:ascii="Arial" w:cs="Arial" w:eastAsia="Arial" w:hAnsi="Arial"/>
                <w:sz w:val="12"/>
                <w:szCs w:val="12"/>
                <w:color w:val="auto"/>
              </w:rPr>
              <w:t>(192)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2"/>
                <w:szCs w:val="12"/>
                <w:color w:val="auto"/>
              </w:rPr>
              <w:t>(808)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3,672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1,103</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2"/>
                <w:szCs w:val="12"/>
                <w:color w:val="auto"/>
                <w:w w:val="99"/>
              </w:rPr>
              <w:t>—</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2"/>
                <w:szCs w:val="12"/>
                <w:color w:val="auto"/>
              </w:rPr>
              <w:t>4,776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80" w:type="dxa"/>
            <w:vAlign w:val="bottom"/>
            <w:gridSpan w:val="2"/>
          </w:tcPr>
          <w:p>
            <w:pPr>
              <w:spacing w:after="0" w:line="135" w:lineRule="exact"/>
              <w:rPr>
                <w:sz w:val="20"/>
                <w:szCs w:val="20"/>
                <w:color w:val="auto"/>
              </w:rPr>
            </w:pPr>
            <w:r>
              <w:rPr>
                <w:rFonts w:ascii="Arial" w:cs="Arial" w:eastAsia="Arial" w:hAnsi="Arial"/>
                <w:sz w:val="12"/>
                <w:szCs w:val="12"/>
                <w:color w:val="auto"/>
              </w:rPr>
              <w:t>Securities remeasured at fair value through earnings: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34,333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20,318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2"/>
                <w:szCs w:val="12"/>
                <w:color w:val="auto"/>
              </w:rPr>
              <w:t>33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96"/>
              <w:spacing w:after="0"/>
              <w:rPr>
                <w:sz w:val="20"/>
                <w:szCs w:val="20"/>
                <w:color w:val="auto"/>
              </w:rPr>
            </w:pPr>
            <w:r>
              <w:rPr>
                <w:rFonts w:ascii="Arial" w:cs="Arial" w:eastAsia="Arial" w:hAnsi="Arial"/>
                <w:sz w:val="12"/>
                <w:szCs w:val="12"/>
                <w:color w:val="auto"/>
              </w:rPr>
              <w:t>304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w w:val="79"/>
              </w:rPr>
              <w:t>699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55,743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5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2"/>
                <w:szCs w:val="12"/>
                <w:color w:val="auto"/>
              </w:rPr>
              <w:t>(332)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96"/>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1,161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34,890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20,596</w:t>
            </w:r>
          </w:p>
        </w:tc>
        <w:tc>
          <w:tcPr>
            <w:tcW w:w="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95"/>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96"/>
              <w:spacing w:after="0"/>
              <w:rPr>
                <w:sz w:val="20"/>
                <w:szCs w:val="20"/>
                <w:color w:val="auto"/>
              </w:rPr>
            </w:pPr>
            <w:r>
              <w:rPr>
                <w:rFonts w:ascii="Arial" w:cs="Arial" w:eastAsia="Arial" w:hAnsi="Arial"/>
                <w:sz w:val="12"/>
                <w:szCs w:val="12"/>
                <w:color w:val="auto"/>
              </w:rPr>
              <w:t>298</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79"/>
              </w:rPr>
              <w:t>702</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6"/>
              <w:spacing w:after="0"/>
              <w:rPr>
                <w:sz w:val="20"/>
                <w:szCs w:val="20"/>
                <w:color w:val="auto"/>
              </w:rPr>
            </w:pPr>
            <w:r>
              <w:rPr>
                <w:rFonts w:ascii="Arial" w:cs="Arial" w:eastAsia="Arial" w:hAnsi="Arial"/>
                <w:sz w:val="12"/>
                <w:szCs w:val="12"/>
                <w:color w:val="auto"/>
              </w:rPr>
              <w:t>56,572</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96"/>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2"/>
                <w:szCs w:val="12"/>
                <w:color w:val="auto"/>
              </w:rPr>
              <w:t>35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2"/>
                <w:szCs w:val="12"/>
                <w:color w:val="auto"/>
              </w:rPr>
              <w:t>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(2,900)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color w:val="auto"/>
              </w:rPr>
              <w:t>(1,516)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color w:val="auto"/>
              </w:rPr>
              <w:t>(2)</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(4,465)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31,991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19,081</w:t>
            </w: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2"/>
                <w:szCs w:val="12"/>
                <w:color w:val="auto"/>
              </w:rPr>
              <w:t>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2"/>
                <w:szCs w:val="12"/>
                <w:color w:val="auto"/>
              </w:rPr>
              <w:t>268</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2"/>
                <w:szCs w:val="12"/>
                <w:color w:val="auto"/>
                <w:w w:val="79"/>
              </w:rPr>
              <w:t>736</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2"/>
                <w:szCs w:val="12"/>
                <w:color w:val="auto"/>
              </w:rPr>
              <w:t>52,146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35,663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20,184</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79"/>
              </w:rPr>
              <w:t>736</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56,922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coupon as of September 30, 2023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4.77 %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4.87 %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7.03 %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10.28 %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Weighted average yield as of September 30, 2023 </w:t>
            </w:r>
            <w:r>
              <w:rPr>
                <w:rFonts w:ascii="Arial" w:cs="Arial" w:eastAsia="Arial" w:hAnsi="Arial"/>
                <w:sz w:val="15"/>
                <w:szCs w:val="15"/>
                <w:color w:val="auto"/>
                <w:vertAlign w:val="superscript"/>
              </w:rPr>
              <w:t>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4.20 %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4.47 %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4.83 %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4.68 %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7.12 %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9.58 %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2" w:name="page13"/>
    <w:bookmarkEnd w:id="12"/>
    <w:tbl>
      <w:tblPr>
        <w:tblLayout w:type="fixed"/>
        <w:tblInd w:w="320" w:type="dxa"/>
        <w:tblCellMar>
          <w:top w:w="0" w:type="dxa"/>
          <w:left w:w="0" w:type="dxa"/>
          <w:bottom w:w="0" w:type="dxa"/>
          <w:right w:w="0" w:type="dxa"/>
        </w:tblCellMar>
      </w:tblPr>
      <w:tr>
        <w:trPr>
          <w:trHeight w:val="183"/>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18"/>
              <w:spacing w:after="0" w:line="190" w:lineRule="exact"/>
              <w:rPr>
                <w:sz w:val="20"/>
                <w:szCs w:val="20"/>
                <w:color w:val="auto"/>
              </w:rPr>
            </w:pPr>
            <w:r>
              <w:rPr>
                <w:rFonts w:ascii="Arial" w:cs="Arial" w:eastAsia="Arial" w:hAnsi="Arial"/>
                <w:sz w:val="14"/>
                <w:szCs w:val="14"/>
                <w:b w:val="1"/>
                <w:bCs w:val="1"/>
                <w:color w:val="auto"/>
              </w:rPr>
              <w:t xml:space="preserve">Non-Agency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1"/>
                <w:szCs w:val="11"/>
                <w:color w:val="auto"/>
              </w:rPr>
            </w:pPr>
          </w:p>
        </w:tc>
        <w:tc>
          <w:tcPr>
            <w:tcW w:w="88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92"/>
              </w:rPr>
              <w:t>Fannie</w:t>
            </w:r>
          </w:p>
        </w:tc>
        <w:tc>
          <w:tcPr>
            <w:tcW w:w="80" w:type="dxa"/>
            <w:vAlign w:val="bottom"/>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60" w:type="dxa"/>
            <w:vAlign w:val="bottom"/>
          </w:tcPr>
          <w:p>
            <w:pPr>
              <w:spacing w:after="0"/>
              <w:rPr>
                <w:sz w:val="11"/>
                <w:szCs w:val="11"/>
                <w:color w:val="auto"/>
              </w:rPr>
            </w:pPr>
          </w:p>
        </w:tc>
        <w:tc>
          <w:tcPr>
            <w:tcW w:w="760" w:type="dxa"/>
            <w:vAlign w:val="bottom"/>
          </w:tcPr>
          <w:p>
            <w:pPr>
              <w:jc w:val="right"/>
              <w:ind w:right="198"/>
              <w:spacing w:after="0" w:line="128"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RMBS</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CMBS</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CRT</w:t>
            </w:r>
          </w:p>
        </w:tc>
        <w:tc>
          <w:tcPr>
            <w:tcW w:w="180" w:type="dxa"/>
            <w:vAlign w:val="bottom"/>
          </w:tcPr>
          <w:p>
            <w:pPr>
              <w:spacing w:after="0"/>
              <w:rPr>
                <w:sz w:val="11"/>
                <w:szCs w:val="11"/>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Mae</w:t>
            </w: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8"/>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4,696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1,535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6,232</w:t>
            </w:r>
          </w:p>
        </w:tc>
        <w:tc>
          <w:tcPr>
            <w:tcW w:w="0" w:type="dxa"/>
            <w:vAlign w:val="bottom"/>
          </w:tcPr>
          <w:p>
            <w:pPr>
              <w:spacing w:after="0"/>
              <w:rPr>
                <w:sz w:val="1"/>
                <w:szCs w:val="1"/>
                <w:color w:val="auto"/>
              </w:rPr>
            </w:pPr>
          </w:p>
        </w:tc>
      </w:tr>
      <w:tr>
        <w:trPr>
          <w:trHeight w:val="163"/>
        </w:trPr>
        <w:tc>
          <w:tcPr>
            <w:tcW w:w="3520" w:type="dxa"/>
            <w:vAlign w:val="bottom"/>
            <w:gridSpan w:val="2"/>
          </w:tcPr>
          <w:p>
            <w:pPr>
              <w:ind w:left="18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Unamortized premium</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56"/>
        </w:trPr>
        <w:tc>
          <w:tcPr>
            <w:tcW w:w="3520" w:type="dxa"/>
            <w:vAlign w:val="bottom"/>
            <w:gridSpan w:val="2"/>
          </w:tcPr>
          <w:p>
            <w:pPr>
              <w:ind w:left="220"/>
              <w:spacing w:after="0"/>
              <w:rPr>
                <w:sz w:val="20"/>
                <w:szCs w:val="20"/>
                <w:color w:val="auto"/>
              </w:rPr>
            </w:pPr>
            <w:r>
              <w:rPr>
                <w:rFonts w:ascii="Arial" w:cs="Arial" w:eastAsia="Arial" w:hAnsi="Arial"/>
                <w:sz w:val="12"/>
                <w:szCs w:val="12"/>
                <w:color w:val="auto"/>
              </w:rPr>
              <w:t>Amortized cost</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4,970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1,628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6,599</w:t>
            </w: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520" w:type="dxa"/>
            <w:vAlign w:val="bottom"/>
            <w:gridSpan w:val="2"/>
          </w:tcPr>
          <w:p>
            <w:pPr>
              <w:ind w:left="180"/>
              <w:spacing w:after="0"/>
              <w:rPr>
                <w:sz w:val="20"/>
                <w:szCs w:val="20"/>
                <w:color w:val="auto"/>
              </w:rPr>
            </w:pPr>
            <w:r>
              <w:rPr>
                <w:rFonts w:ascii="Arial" w:cs="Arial" w:eastAsia="Arial" w:hAnsi="Arial"/>
                <w:sz w:val="12"/>
                <w:szCs w:val="12"/>
                <w:color w:val="auto"/>
              </w:rPr>
              <w:t>Gross unrealized losses</w:t>
            </w:r>
          </w:p>
        </w:tc>
        <w:tc>
          <w:tcPr>
            <w:tcW w:w="16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170"/>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4,470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1,456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5,927</w:t>
            </w:r>
          </w:p>
        </w:tc>
        <w:tc>
          <w:tcPr>
            <w:tcW w:w="0" w:type="dxa"/>
            <w:vAlign w:val="bottom"/>
          </w:tcPr>
          <w:p>
            <w:pPr>
              <w:spacing w:after="0"/>
              <w:rPr>
                <w:sz w:val="1"/>
                <w:szCs w:val="1"/>
                <w:color w:val="auto"/>
              </w:rPr>
            </w:pPr>
          </w:p>
        </w:tc>
      </w:tr>
      <w:tr>
        <w:trPr>
          <w:trHeight w:val="143"/>
        </w:trPr>
        <w:tc>
          <w:tcPr>
            <w:tcW w:w="35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Securities remeasured at fair value through earnings: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24,231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11,444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37,171</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855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1,226</w:t>
            </w:r>
          </w:p>
        </w:tc>
        <w:tc>
          <w:tcPr>
            <w:tcW w:w="0" w:type="dxa"/>
            <w:vAlign w:val="bottom"/>
          </w:tcPr>
          <w:p>
            <w:pPr>
              <w:spacing w:after="0"/>
              <w:rPr>
                <w:sz w:val="1"/>
                <w:szCs w:val="1"/>
                <w:color w:val="auto"/>
              </w:rPr>
            </w:pPr>
          </w:p>
        </w:tc>
      </w:tr>
      <w:tr>
        <w:trPr>
          <w:trHeight w:val="156"/>
        </w:trPr>
        <w:tc>
          <w:tcPr>
            <w:tcW w:w="3520" w:type="dxa"/>
            <w:vAlign w:val="bottom"/>
            <w:gridSpan w:val="2"/>
          </w:tcPr>
          <w:p>
            <w:pPr>
              <w:ind w:left="220"/>
              <w:spacing w:after="0"/>
              <w:rPr>
                <w:sz w:val="20"/>
                <w:szCs w:val="20"/>
                <w:color w:val="auto"/>
              </w:rPr>
            </w:pPr>
            <w:r>
              <w:rPr>
                <w:rFonts w:ascii="Arial" w:cs="Arial" w:eastAsia="Arial" w:hAnsi="Arial"/>
                <w:sz w:val="12"/>
                <w:szCs w:val="12"/>
                <w:color w:val="auto"/>
              </w:rPr>
              <w:t>Amortized cost</w:t>
            </w:r>
          </w:p>
        </w:tc>
        <w:tc>
          <w:tcPr>
            <w:tcW w:w="16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25,025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98"/>
              <w:spacing w:after="0"/>
              <w:rPr>
                <w:sz w:val="20"/>
                <w:szCs w:val="20"/>
                <w:color w:val="auto"/>
              </w:rPr>
            </w:pPr>
            <w:r>
              <w:rPr>
                <w:rFonts w:ascii="Arial" w:cs="Arial" w:eastAsia="Arial" w:hAnsi="Arial"/>
                <w:sz w:val="12"/>
                <w:szCs w:val="12"/>
                <w:color w:val="auto"/>
              </w:rPr>
              <w:t>11,759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779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38,281</w:t>
            </w:r>
          </w:p>
        </w:tc>
        <w:tc>
          <w:tcPr>
            <w:tcW w:w="0" w:type="dxa"/>
            <w:vAlign w:val="bottom"/>
          </w:tcPr>
          <w:p>
            <w:pPr>
              <w:spacing w:after="0"/>
              <w:rPr>
                <w:sz w:val="1"/>
                <w:szCs w:val="1"/>
                <w:color w:val="auto"/>
              </w:rPr>
            </w:pPr>
          </w:p>
        </w:tc>
      </w:tr>
      <w:tr>
        <w:trPr>
          <w:trHeight w:val="178"/>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64"/>
        </w:trPr>
        <w:tc>
          <w:tcPr>
            <w:tcW w:w="3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Gross unrealized losses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(2,307)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(3,333)</w:t>
            </w:r>
          </w:p>
        </w:tc>
        <w:tc>
          <w:tcPr>
            <w:tcW w:w="0" w:type="dxa"/>
            <w:vAlign w:val="bottom"/>
          </w:tcPr>
          <w:p>
            <w:pPr>
              <w:spacing w:after="0"/>
              <w:rPr>
                <w:sz w:val="1"/>
                <w:szCs w:val="1"/>
                <w:color w:val="auto"/>
              </w:rPr>
            </w:pPr>
          </w:p>
        </w:tc>
      </w:tr>
      <w:tr>
        <w:trPr>
          <w:trHeight w:val="17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22,731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10,830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567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757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34,977</w:t>
            </w:r>
          </w:p>
        </w:tc>
        <w:tc>
          <w:tcPr>
            <w:tcW w:w="0" w:type="dxa"/>
            <w:vAlign w:val="bottom"/>
          </w:tcPr>
          <w:p>
            <w:pPr>
              <w:spacing w:after="0"/>
              <w:rPr>
                <w:sz w:val="1"/>
                <w:szCs w:val="1"/>
                <w:color w:val="auto"/>
              </w:rPr>
            </w:pPr>
          </w:p>
        </w:tc>
      </w:tr>
      <w:tr>
        <w:trPr>
          <w:trHeight w:val="164"/>
        </w:trPr>
        <w:tc>
          <w:tcPr>
            <w:tcW w:w="3520" w:type="dxa"/>
            <w:vAlign w:val="bottom"/>
            <w:gridSpan w:val="2"/>
          </w:tcPr>
          <w:p>
            <w:pPr>
              <w:ind w:left="20"/>
              <w:spacing w:after="0"/>
              <w:rPr>
                <w:sz w:val="20"/>
                <w:szCs w:val="20"/>
                <w:color w:val="auto"/>
              </w:rPr>
            </w:pPr>
            <w:r>
              <w:rPr>
                <w:rFonts w:ascii="Arial" w:cs="Arial" w:eastAsia="Arial" w:hAnsi="Arial"/>
                <w:sz w:val="12"/>
                <w:szCs w:val="12"/>
                <w:color w:val="auto"/>
              </w:rPr>
              <w:t>Total securities, at fair value</w:t>
            </w: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27,201</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12,286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40,904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coupon as of December 31, 2022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3.94 %</w:t>
            </w:r>
          </w:p>
        </w:tc>
        <w:tc>
          <w:tcPr>
            <w:tcW w:w="0" w:type="dxa"/>
            <w:vAlign w:val="bottom"/>
          </w:tcPr>
          <w:p>
            <w:pPr>
              <w:spacing w:after="0"/>
              <w:rPr>
                <w:sz w:val="1"/>
                <w:szCs w:val="1"/>
                <w:color w:val="auto"/>
              </w:rPr>
            </w:pPr>
          </w:p>
        </w:tc>
      </w:tr>
      <w:tr>
        <w:trPr>
          <w:trHeight w:val="207"/>
        </w:trPr>
        <w:tc>
          <w:tcPr>
            <w:tcW w:w="3520" w:type="dxa"/>
            <w:vAlign w:val="bottom"/>
            <w:gridSpan w:val="2"/>
          </w:tcPr>
          <w:p>
            <w:pPr>
              <w:ind w:left="20"/>
              <w:spacing w:after="0"/>
              <w:rPr>
                <w:sz w:val="20"/>
                <w:szCs w:val="20"/>
                <w:color w:val="auto"/>
              </w:rPr>
            </w:pPr>
            <w:r>
              <w:rPr>
                <w:rFonts w:ascii="Arial" w:cs="Arial" w:eastAsia="Arial" w:hAnsi="Arial"/>
                <w:sz w:val="12"/>
                <w:szCs w:val="12"/>
                <w:color w:val="auto"/>
              </w:rPr>
              <w:t xml:space="preserve">Weighted average yield as of December 31, 2022 </w:t>
            </w:r>
            <w:r>
              <w:rPr>
                <w:rFonts w:ascii="Arial" w:cs="Arial" w:eastAsia="Arial" w:hAnsi="Arial"/>
                <w:sz w:val="15"/>
                <w:szCs w:val="15"/>
                <w:color w:val="auto"/>
                <w:vertAlign w:val="superscript"/>
              </w:rPr>
              <w:t>2</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3.17 %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6.02 %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3.37 %</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Non-Agency amounts exclude other mortgage credit investments of $45 million and $25 million as of September 30, 2023 and December 31, 2022, respectively.</w:t>
      </w:r>
    </w:p>
    <w:p>
      <w:pPr>
        <w:spacing w:after="0" w:line="5" w:lineRule="exact"/>
        <w:rPr>
          <w:rFonts w:ascii="Arial" w:cs="Arial" w:eastAsia="Arial" w:hAnsi="Arial"/>
          <w:sz w:val="14"/>
          <w:szCs w:val="14"/>
          <w:color w:val="auto"/>
        </w:rPr>
      </w:pPr>
    </w:p>
    <w:p>
      <w:pPr>
        <w:ind w:left="640" w:hanging="320"/>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Incorporates a weighted average future constant prepayment rate assumption of 8.3% and 7.4% based on forward rates as of September 30, 2023 and December 31, 2022,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of September 30, 2023 and December 31, 2022, our investments in CRT and non-Agency securities had the following credit ratings (in millions):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September 30, 2023</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w w:val="93"/>
              </w:rPr>
              <w:t>December 31, 2022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90" w:lineRule="exact"/>
              <w:rPr>
                <w:sz w:val="20"/>
                <w:szCs w:val="20"/>
                <w:color w:val="auto"/>
              </w:rPr>
            </w:pPr>
            <w:r>
              <w:rPr>
                <w:rFonts w:ascii="Arial" w:cs="Arial" w:eastAsia="Arial" w:hAnsi="Arial"/>
                <w:sz w:val="14"/>
                <w:szCs w:val="14"/>
                <w:b w:val="1"/>
                <w:bCs w:val="1"/>
                <w:color w:val="auto"/>
                <w:w w:val="92"/>
              </w:rPr>
              <w:t xml:space="preserve">RMBS </w:t>
            </w:r>
            <w:r>
              <w:rPr>
                <w:rFonts w:ascii="Arial" w:cs="Arial" w:eastAsia="Arial" w:hAnsi="Arial"/>
                <w:sz w:val="18"/>
                <w:szCs w:val="18"/>
                <w:b w:val="1"/>
                <w:bCs w:val="1"/>
                <w:color w:val="auto"/>
                <w:w w:val="92"/>
                <w:vertAlign w:val="superscript"/>
              </w:rPr>
              <w:t>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CMBS</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20"/>
              <w:spacing w:after="0" w:line="190" w:lineRule="exact"/>
              <w:rPr>
                <w:sz w:val="20"/>
                <w:szCs w:val="20"/>
                <w:color w:val="auto"/>
              </w:rPr>
            </w:pPr>
            <w:r>
              <w:rPr>
                <w:rFonts w:ascii="Arial" w:cs="Arial" w:eastAsia="Arial" w:hAnsi="Arial"/>
                <w:sz w:val="14"/>
                <w:szCs w:val="14"/>
                <w:b w:val="1"/>
                <w:bCs w:val="1"/>
                <w:color w:val="auto"/>
              </w:rPr>
              <w:t xml:space="preserve">RMBS </w:t>
            </w:r>
            <w:r>
              <w:rPr>
                <w:rFonts w:ascii="Arial" w:cs="Arial" w:eastAsia="Arial" w:hAnsi="Arial"/>
                <w:sz w:val="18"/>
                <w:szCs w:val="18"/>
                <w:b w:val="1"/>
                <w:bCs w:val="1"/>
                <w:color w:val="auto"/>
                <w:vertAlign w:val="superscript"/>
              </w:rPr>
              <w:t>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190"/>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8"/>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8"/>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8"/>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0"/>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line="251"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40" w:hanging="320"/>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RMBS excludes other mortgage credit investments of $45 million and $25 million as of September 30, 2023 and December 31, 2022, respectively.</w:t>
      </w:r>
    </w:p>
    <w:p>
      <w:pPr>
        <w:spacing w:after="0" w:line="165"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Our CRT securities reference the performance of loans underlying Agency RMBS issued by Fannie Mae or Freddie Mac, which were subject to their underwriting standards.</w:t>
      </w:r>
    </w:p>
    <w:p>
      <w:pPr>
        <w:spacing w:after="0" w:line="106"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2023 and December 31, 2022, the weighted average expected constant prepayment rate ("CPR") over the remaining life of our Agency and high credit quality non-Agency RMBS investment portfolio was 8.3% and 7.4%, respectively. Our estimates can differ materially for different securities and thus our individual holdings have a wide range of projected CPRs. The following table summarizes our investments as of September 30, 2023 and December 31, 2022 according to their estimated weighted average life classification (dollars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3"/>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 2023</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20" w:type="dxa"/>
            <w:vAlign w:val="bottom"/>
            <w:tcBorders>
              <w:top w:val="single" w:sz="8" w:color="auto"/>
            </w:tcBorders>
            <w:gridSpan w:val="2"/>
          </w:tcPr>
          <w:p>
            <w:pPr>
              <w:jc w:val="center"/>
              <w:ind w:right="100"/>
              <w:spacing w:after="0" w:line="128"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Amortized</w:t>
            </w:r>
          </w:p>
        </w:tc>
        <w:tc>
          <w:tcPr>
            <w:tcW w:w="1040" w:type="dxa"/>
            <w:vAlign w:val="bottom"/>
            <w:tcBorders>
              <w:top w:val="single" w:sz="8" w:color="auto"/>
            </w:tcBorders>
            <w:gridSpan w:val="2"/>
          </w:tcPr>
          <w:p>
            <w:pPr>
              <w:jc w:val="center"/>
              <w:ind w:right="120"/>
              <w:spacing w:after="0" w:line="128"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1"/>
        </w:trPr>
        <w:tc>
          <w:tcPr>
            <w:tcW w:w="2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97"/>
        </w:trPr>
        <w:tc>
          <w:tcPr>
            <w:tcW w:w="2760" w:type="dxa"/>
            <w:vAlign w:val="bottom"/>
            <w:gridSpan w:val="2"/>
          </w:tcPr>
          <w:p>
            <w:pPr>
              <w:ind w:left="20"/>
              <w:spacing w:after="0" w:line="197" w:lineRule="exact"/>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Coupon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Yield</w:t>
            </w:r>
          </w:p>
        </w:tc>
        <w:tc>
          <w:tcPr>
            <w:tcW w:w="0" w:type="dxa"/>
            <w:vAlign w:val="bottom"/>
          </w:tcPr>
          <w:p>
            <w:pPr>
              <w:spacing w:after="0"/>
              <w:rPr>
                <w:sz w:val="1"/>
                <w:szCs w:val="1"/>
                <w:color w:val="auto"/>
              </w:rPr>
            </w:pPr>
          </w:p>
        </w:tc>
      </w:tr>
      <w:tr>
        <w:trPr>
          <w:trHeight w:val="190"/>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6.20%</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5.75%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5.19%</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4.66%</w:t>
            </w: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4.97%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4.16%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4.57%</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3.79%</w:t>
            </w:r>
          </w:p>
        </w:tc>
        <w:tc>
          <w:tcPr>
            <w:tcW w:w="0" w:type="dxa"/>
            <w:vAlign w:val="bottom"/>
          </w:tcPr>
          <w:p>
            <w:pPr>
              <w:spacing w:after="0"/>
              <w:rPr>
                <w:sz w:val="1"/>
                <w:szCs w:val="1"/>
                <w:color w:val="auto"/>
              </w:rPr>
            </w:pPr>
          </w:p>
        </w:tc>
      </w:tr>
      <w:tr>
        <w:trPr>
          <w:trHeight w:val="20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4.70%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3.30%</w:t>
            </w: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4.81%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4.76%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3.43%</w:t>
            </w:r>
          </w:p>
        </w:tc>
        <w:tc>
          <w:tcPr>
            <w:tcW w:w="0" w:type="dxa"/>
            <w:vAlign w:val="bottom"/>
          </w:tcPr>
          <w:p>
            <w:pPr>
              <w:spacing w:after="0"/>
              <w:rPr>
                <w:sz w:val="1"/>
                <w:szCs w:val="1"/>
                <w:color w:val="auto"/>
              </w:rPr>
            </w:pPr>
          </w:p>
        </w:tc>
      </w:tr>
      <w:tr>
        <w:trPr>
          <w:trHeight w:val="222"/>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62,156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4.37%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3.37%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47"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$45 million and $25 million as of September 30, 2023 and December 31, 2022, respectively.</w:t>
      </w:r>
    </w:p>
    <w:p>
      <w:pPr>
        <w:spacing w:after="0" w:line="173"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The following table presents the gross unrealized loss and fair values of securities classified as available-for-sale by length of time that such securities have been in a continuous unrealized loss position as of September 30, 2023 and December 31, 2022 (in millions):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Unrealized Loss Position For</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5"/>
                <w:szCs w:val="15"/>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12 Months or More</w:t>
            </w:r>
          </w:p>
        </w:tc>
        <w:tc>
          <w:tcPr>
            <w:tcW w:w="240" w:type="dxa"/>
            <w:vAlign w:val="bottom"/>
          </w:tcPr>
          <w:p>
            <w:pPr>
              <w:spacing w:after="0"/>
              <w:rPr>
                <w:sz w:val="15"/>
                <w:szCs w:val="15"/>
                <w:color w:val="auto"/>
              </w:rPr>
            </w:pPr>
          </w:p>
        </w:tc>
        <w:tc>
          <w:tcPr>
            <w:tcW w:w="174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0"/>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Fair</w:t>
            </w: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Unrealize</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33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2023</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33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5,846</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5,898</w:t>
            </w:r>
          </w:p>
        </w:tc>
        <w:tc>
          <w:tcPr>
            <w:tcW w:w="100" w:type="dxa"/>
            <w:vAlign w:val="bottom"/>
          </w:tcPr>
          <w:p>
            <w:pPr>
              <w:spacing w:after="0"/>
              <w:rPr>
                <w:sz w:val="24"/>
                <w:szCs w:val="24"/>
                <w:color w:val="auto"/>
              </w:rPr>
            </w:pPr>
          </w:p>
        </w:tc>
        <w:tc>
          <w:tcPr>
            <w:tcW w:w="780" w:type="dxa"/>
            <w:vAlign w:val="bottom"/>
          </w:tcPr>
          <w:p>
            <w:pPr>
              <w:jc w:val="right"/>
              <w:ind w:right="630"/>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and Losses on Sale of Investment Securities</w:t>
      </w:r>
    </w:p>
    <w:p>
      <w:pPr>
        <w:spacing w:after="0" w:line="172"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The following table is a summary of our net gain (loss) from the sale of investment securities for the three and nine months ended September 30, 2023 and 2022 by investment classification of accounting (in millions):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10"/>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18"/>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3"/>
              </w:rPr>
              <w:t>Available-for-</w:t>
            </w:r>
          </w:p>
        </w:tc>
        <w:tc>
          <w:tcPr>
            <w:tcW w:w="14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7"/>
              </w:rPr>
              <w:t>Fair Value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7"/>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8"/>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Sale</w:t>
            </w:r>
          </w:p>
        </w:tc>
        <w:tc>
          <w:tcPr>
            <w:tcW w:w="14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2"/>
              </w:rPr>
              <w:t>Option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88"/>
              </w:rPr>
              <w:t>Sale</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4"/>
        </w:trPr>
        <w:tc>
          <w:tcPr>
            <w:tcW w:w="528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40" w:type="dxa"/>
            <w:vAlign w:val="bottom"/>
          </w:tcPr>
          <w:p>
            <w:pPr>
              <w:spacing w:after="0"/>
              <w:rPr>
                <w:sz w:val="15"/>
                <w:szCs w:val="15"/>
                <w:color w:val="auto"/>
              </w:rPr>
            </w:pPr>
          </w:p>
        </w:tc>
        <w:tc>
          <w:tcPr>
            <w:tcW w:w="720" w:type="dxa"/>
            <w:vAlign w:val="bottom"/>
          </w:tcPr>
          <w:p>
            <w:pPr>
              <w:jc w:val="center"/>
              <w:ind w:right="53"/>
              <w:spacing w:after="0"/>
              <w:rPr>
                <w:sz w:val="20"/>
                <w:szCs w:val="20"/>
                <w:color w:val="auto"/>
              </w:rPr>
            </w:pPr>
            <w:r>
              <w:rPr>
                <w:rFonts w:ascii="Arial" w:cs="Arial" w:eastAsia="Arial" w:hAnsi="Arial"/>
                <w:sz w:val="12"/>
                <w:szCs w:val="12"/>
                <w:b w:val="1"/>
                <w:bCs w:val="1"/>
                <w:color w:val="auto"/>
                <w:w w:val="90"/>
              </w:rPr>
              <w:t>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5"/>
                <w:szCs w:val="15"/>
                <w:color w:val="auto"/>
              </w:rPr>
            </w:pPr>
          </w:p>
        </w:tc>
        <w:tc>
          <w:tcPr>
            <w:tcW w:w="680" w:type="dxa"/>
            <w:vAlign w:val="bottom"/>
          </w:tcPr>
          <w:p>
            <w:pPr>
              <w:jc w:val="right"/>
              <w:ind w:right="231"/>
              <w:spacing w:after="0"/>
              <w:rPr>
                <w:sz w:val="20"/>
                <w:szCs w:val="20"/>
                <w:color w:val="auto"/>
              </w:rPr>
            </w:pPr>
            <w:r>
              <w:rPr>
                <w:rFonts w:ascii="Arial" w:cs="Arial" w:eastAsia="Arial" w:hAnsi="Arial"/>
                <w:sz w:val="12"/>
                <w:szCs w:val="12"/>
                <w:b w:val="1"/>
                <w:bCs w:val="1"/>
                <w:color w:val="auto"/>
              </w:rPr>
              <w:t>Total</w:t>
            </w:r>
          </w:p>
        </w:tc>
      </w:tr>
      <w:tr>
        <w:trPr>
          <w:trHeight w:val="181"/>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(3,175)</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(5,901)</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(5,898)</w:t>
            </w:r>
          </w:p>
        </w:tc>
      </w:tr>
      <w:tr>
        <w:trPr>
          <w:trHeight w:val="206"/>
        </w:trPr>
        <w:tc>
          <w:tcPr>
            <w:tcW w:w="52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w:t>
            </w:r>
          </w:p>
        </w:tc>
      </w:tr>
      <w:tr>
        <w:trPr>
          <w:trHeight w:val="19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19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49"/>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w w:val="89"/>
              </w:rPr>
              <w:t>Nine Months Ended September 30,</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18"/>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3"/>
              </w:rPr>
              <w:t>Available-for-</w:t>
            </w:r>
          </w:p>
        </w:tc>
        <w:tc>
          <w:tcPr>
            <w:tcW w:w="14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7"/>
              </w:rPr>
              <w:t>Fair Value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7"/>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8"/>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88"/>
              </w:rPr>
              <w:t>Sale</w:t>
            </w:r>
          </w:p>
        </w:tc>
        <w:tc>
          <w:tcPr>
            <w:tcW w:w="14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2"/>
              </w:rPr>
              <w:t>Option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88"/>
              </w:rPr>
              <w:t>Sale</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4"/>
        </w:trPr>
        <w:tc>
          <w:tcPr>
            <w:tcW w:w="528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40" w:type="dxa"/>
            <w:vAlign w:val="bottom"/>
          </w:tcPr>
          <w:p>
            <w:pPr>
              <w:spacing w:after="0"/>
              <w:rPr>
                <w:sz w:val="15"/>
                <w:szCs w:val="15"/>
                <w:color w:val="auto"/>
              </w:rPr>
            </w:pPr>
          </w:p>
        </w:tc>
        <w:tc>
          <w:tcPr>
            <w:tcW w:w="720" w:type="dxa"/>
            <w:vAlign w:val="bottom"/>
          </w:tcPr>
          <w:p>
            <w:pPr>
              <w:jc w:val="center"/>
              <w:ind w:right="53"/>
              <w:spacing w:after="0"/>
              <w:rPr>
                <w:sz w:val="20"/>
                <w:szCs w:val="20"/>
                <w:color w:val="auto"/>
              </w:rPr>
            </w:pPr>
            <w:r>
              <w:rPr>
                <w:rFonts w:ascii="Arial" w:cs="Arial" w:eastAsia="Arial" w:hAnsi="Arial"/>
                <w:sz w:val="12"/>
                <w:szCs w:val="12"/>
                <w:b w:val="1"/>
                <w:bCs w:val="1"/>
                <w:color w:val="auto"/>
                <w:w w:val="90"/>
              </w:rPr>
              <w:t>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 xml:space="preserve">Securities </w:t>
            </w:r>
            <w:r>
              <w:rPr>
                <w:rFonts w:ascii="Arial" w:cs="Arial" w:eastAsia="Arial" w:hAnsi="Arial"/>
                <w:sz w:val="15"/>
                <w:szCs w:val="15"/>
                <w:b w:val="1"/>
                <w:bCs w:val="1"/>
                <w:color w:val="auto"/>
                <w:w w:val="87"/>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5"/>
                <w:szCs w:val="15"/>
                <w:color w:val="auto"/>
              </w:rPr>
            </w:pPr>
          </w:p>
        </w:tc>
        <w:tc>
          <w:tcPr>
            <w:tcW w:w="680" w:type="dxa"/>
            <w:vAlign w:val="bottom"/>
          </w:tcPr>
          <w:p>
            <w:pPr>
              <w:jc w:val="right"/>
              <w:ind w:right="231"/>
              <w:spacing w:after="0"/>
              <w:rPr>
                <w:sz w:val="20"/>
                <w:szCs w:val="20"/>
                <w:color w:val="auto"/>
              </w:rPr>
            </w:pPr>
            <w:r>
              <w:rPr>
                <w:rFonts w:ascii="Arial" w:cs="Arial" w:eastAsia="Arial" w:hAnsi="Arial"/>
                <w:sz w:val="12"/>
                <w:szCs w:val="12"/>
                <w:b w:val="1"/>
                <w:bCs w:val="1"/>
                <w:color w:val="auto"/>
              </w:rPr>
              <w:t>Total</w:t>
            </w:r>
          </w:p>
        </w:tc>
      </w:tr>
      <w:tr>
        <w:trPr>
          <w:trHeight w:val="181"/>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(6,968)</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(21,358)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(21,958)</w:t>
            </w:r>
          </w:p>
        </w:tc>
      </w:tr>
      <w:tr>
        <w:trPr>
          <w:trHeight w:val="206"/>
        </w:trPr>
        <w:tc>
          <w:tcPr>
            <w:tcW w:w="52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6,146</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20,110</w:t>
            </w:r>
          </w:p>
        </w:tc>
      </w:tr>
      <w:tr>
        <w:trPr>
          <w:trHeight w:val="19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8"/>
        </w:trPr>
        <w:tc>
          <w:tcPr>
            <w:tcW w:w="5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8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r>
      <w:tr>
        <w:trPr>
          <w:trHeight w:val="19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60" w:lineRule="exact"/>
        <w:rPr>
          <w:sz w:val="20"/>
          <w:szCs w:val="20"/>
          <w:color w:val="auto"/>
        </w:rPr>
      </w:pPr>
    </w:p>
    <w:p>
      <w:pPr>
        <w:ind w:left="640" w:hanging="320"/>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61" w:lineRule="exact"/>
        <w:rPr>
          <w:rFonts w:ascii="Arial" w:cs="Arial" w:eastAsia="Arial" w:hAnsi="Arial"/>
          <w:sz w:val="14"/>
          <w:szCs w:val="14"/>
          <w:color w:val="auto"/>
        </w:rPr>
      </w:pPr>
    </w:p>
    <w:p>
      <w:pPr>
        <w:ind w:left="640" w:hanging="320"/>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4. Repurchase Agreements and Reverse Repurchase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72"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2023, we had met all margin call requirements. For additional information regarding our pledged assets, please refer to Note 6.</w:t>
      </w:r>
    </w:p>
    <w:p>
      <w:pPr>
        <w:spacing w:after="0" w:line="126"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As of September 30, 2023 and December 31, 2022, we had $52.1 billion and $36.3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September 30, 2023 and December 31, 2022 (dollars in millions):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September 30, 2023</w:t>
            </w: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December 31, 2022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88"/>
              </w:rPr>
              <w:t>Weighted</w:t>
            </w: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88"/>
              </w:rPr>
              <w:t>Weighted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1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Interest</w:t>
            </w:r>
          </w:p>
        </w:tc>
        <w:tc>
          <w:tcPr>
            <w:tcW w:w="16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8"/>
              </w:rPr>
              <w:t>Average Days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Interest</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Average Days</w:t>
            </w:r>
          </w:p>
        </w:tc>
        <w:tc>
          <w:tcPr>
            <w:tcW w:w="0" w:type="dxa"/>
            <w:vAlign w:val="bottom"/>
          </w:tcPr>
          <w:p>
            <w:pPr>
              <w:spacing w:after="0"/>
              <w:rPr>
                <w:sz w:val="1"/>
                <w:szCs w:val="1"/>
                <w:color w:val="auto"/>
              </w:rPr>
            </w:pPr>
          </w:p>
        </w:tc>
      </w:tr>
      <w:tr>
        <w:trPr>
          <w:trHeight w:val="191"/>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Maturity</w:t>
            </w:r>
          </w:p>
        </w:tc>
        <w:tc>
          <w:tcPr>
            <w:tcW w:w="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Maturity</w:t>
            </w:r>
          </w:p>
        </w:tc>
        <w:tc>
          <w:tcPr>
            <w:tcW w:w="0" w:type="dxa"/>
            <w:vAlign w:val="bottom"/>
          </w:tcPr>
          <w:p>
            <w:pPr>
              <w:spacing w:after="0"/>
              <w:rPr>
                <w:sz w:val="1"/>
                <w:szCs w:val="1"/>
                <w:color w:val="auto"/>
              </w:rPr>
            </w:pPr>
          </w:p>
        </w:tc>
      </w:tr>
      <w:tr>
        <w:trPr>
          <w:trHeight w:val="208"/>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securities repo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00" w:type="dxa"/>
            <w:vAlign w:val="bottom"/>
            <w:gridSpan w:val="2"/>
          </w:tcPr>
          <w:p>
            <w:pPr>
              <w:ind w:left="12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43,439</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26,712</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4.42 %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&gt; 3 to ≤ 6 months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5.32 %</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6"/>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securities repo</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51,851</w:t>
            </w:r>
          </w:p>
        </w:tc>
        <w:tc>
          <w:tcPr>
            <w:tcW w:w="1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5.47 %</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35,907</w:t>
            </w:r>
          </w:p>
        </w:tc>
        <w:tc>
          <w:tcPr>
            <w:tcW w:w="1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7"/>
        </w:trPr>
        <w:tc>
          <w:tcPr>
            <w:tcW w:w="2900" w:type="dxa"/>
            <w:vAlign w:val="bottom"/>
            <w:gridSpan w:val="2"/>
          </w:tcPr>
          <w:p>
            <w:pPr>
              <w:spacing w:after="0"/>
              <w:rPr>
                <w:sz w:val="20"/>
                <w:szCs w:val="20"/>
                <w:color w:val="auto"/>
              </w:rPr>
            </w:pPr>
            <w:r>
              <w:rPr>
                <w:rFonts w:ascii="Arial" w:cs="Arial" w:eastAsia="Arial" w:hAnsi="Arial"/>
                <w:sz w:val="16"/>
                <w:szCs w:val="16"/>
                <w:color w:val="auto"/>
              </w:rPr>
              <w:t>U.S. Treasury repo:</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5.41 %</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29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52,107</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5.47 %</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36,262</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As of September 30, 2023 and December 31, 2022, $17.4 billion and $9.6 billion, respectively, of our investment securities repurchase agreements and all of our U.S. Treasury repurchase agreements had an overnight maturity of one business day and none of our repurchase agreements were due on demand. As of September 30, 2023, we had $13.6 billion of forward commitments to enter into repurchase agreements with a weighted average forward start date of 3 days and a weighted average interest rate of 5.42%. As of December 31, 2022, we had $6.4 billion of forward commitments to enter into repurchase agreements, with a weighted average forward start date of 4 days and a weighted average interest rate of 4.38%. As of September 30, 2023 and December 31, 2022, 46% and 49%,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48% of our repurchase agreement funding outstanding as of September 30, 2023 and December 31, 2022,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w:t>
      </w:r>
    </w:p>
    <w:p>
      <w:pPr>
        <w:spacing w:after="0" w:line="17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As of September 30, 2023 and December 31, 2022, we had $8.9 billion and $6.6 billion, respectively, of reverse repurchase agreements outstanding used primarily to borrow securities to cover short sales of U.S. Treasury securities, for which we had associated obligations to return borrowed securities at fair value of $9.0 billion and $6.5 billion, respectively. As of September 30, 2023 and December 31, 2022, $3.0 billion and $1.5 billion, respectively, of our reverse repurchase agreements were with the FICC sourced through BES.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Derivative and Other Hedging Instruments</w:t>
      </w:r>
    </w:p>
    <w:p>
      <w:pPr>
        <w:spacing w:after="0" w:line="178"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Derivative and Other Hedging Instrument Assets (Liabilities), at Fair Value</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September 30, 2023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vMerge w:val="restart"/>
          </w:tcPr>
          <w:p>
            <w:pPr>
              <w:spacing w:after="0"/>
              <w:rPr>
                <w:sz w:val="14"/>
                <w:szCs w:val="14"/>
                <w:color w:val="auto"/>
              </w:rPr>
            </w:pPr>
          </w:p>
        </w:tc>
        <w:tc>
          <w:tcPr>
            <w:tcW w:w="4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2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7"/>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1"/>
        </w:trPr>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0"/>
                <w:szCs w:val="20"/>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SOFR futures contracts - long</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09" w:lineRule="exact"/>
              <w:rPr>
                <w:sz w:val="20"/>
                <w:szCs w:val="20"/>
                <w:color w:val="auto"/>
              </w:rPr>
            </w:pPr>
            <w:r>
              <w:rPr>
                <w:rFonts w:ascii="Arial" w:cs="Arial" w:eastAsia="Arial" w:hAnsi="Arial"/>
                <w:sz w:val="16"/>
                <w:szCs w:val="16"/>
                <w:color w:val="auto"/>
              </w:rPr>
              <w:t xml:space="preserve">Credit default swaps </w:t>
            </w:r>
            <w:r>
              <w:rPr>
                <w:rFonts w:ascii="Arial" w:cs="Arial" w:eastAsia="Arial" w:hAnsi="Arial"/>
                <w:sz w:val="20"/>
                <w:szCs w:val="20"/>
                <w:color w:val="auto"/>
                <w:vertAlign w:val="superscript"/>
              </w:rPr>
              <w:t>1</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4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Treasury securities - long</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Treasury securities - short</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U.S. Treasury securities, net at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U.S. Treasury securities, at fair value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67"/>
        </w:trPr>
        <w:tc>
          <w:tcPr>
            <w:tcW w:w="4280" w:type="dxa"/>
            <w:vAlign w:val="bottom"/>
          </w:tcPr>
          <w:p>
            <w:pPr>
              <w:spacing w:after="0" w:line="167" w:lineRule="exact"/>
              <w:rPr>
                <w:sz w:val="20"/>
                <w:szCs w:val="20"/>
                <w:color w:val="auto"/>
              </w:rPr>
            </w:pPr>
            <w:r>
              <w:rPr>
                <w:rFonts w:ascii="Arial" w:cs="Arial" w:eastAsia="Arial" w:hAnsi="Arial"/>
                <w:sz w:val="16"/>
                <w:szCs w:val="16"/>
                <w:color w:val="auto"/>
                <w:w w:val="91"/>
              </w:rPr>
              <w:t>Obligation to return securities borrowed under reverse repurchase</w:t>
            </w:r>
          </w:p>
        </w:tc>
        <w:tc>
          <w:tcPr>
            <w:tcW w:w="4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(6,534)</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6"/>
                <w:szCs w:val="16"/>
                <w:color w:val="auto"/>
              </w:rPr>
              <w:t>agreements, at fair value</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-173990</wp:posOffset>
            </wp:positionV>
            <wp:extent cx="7136130" cy="158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720" w:space="720"/>
            <w:col w:w="6800"/>
          </w:cols>
          <w:pgMar w:left="320" w:top="1032" w:right="339" w:bottom="1440" w:gutter="0" w:footer="0" w:header="0"/>
          <w:type w:val="continuous"/>
        </w:sectPr>
      </w:pPr>
    </w:p>
    <w:p>
      <w:pPr>
        <w:jc w:val="both"/>
        <w:ind w:left="640" w:hanging="320"/>
        <w:spacing w:after="0" w:line="267"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September 30, 2023 and December 31, 2022, the net fair value of our interest rate swaps excluding the recognition of variation margin settlements as a direct reduction of carrying value (see Note 2) was a net asset (liability) of $4.2 billion and $4.5 billion, respectively. As of September 30, 2023 and December 31, 2022, the net fair value of our credit default swaps excluding the recognition of variation margin settlements was $(2) million and $(2) million, respectively.</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summarize certain characteristics of our derivative and other hedging instruments outstanding as of September 30, 2023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(dollars in millions):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 xml:space="preserve">September 30, 2023 </w:t>
            </w:r>
            <w:r>
              <w:rPr>
                <w:rFonts w:ascii="Arial" w:cs="Arial" w:eastAsia="Arial" w:hAnsi="Arial"/>
                <w:sz w:val="18"/>
                <w:szCs w:val="18"/>
                <w:b w:val="1"/>
                <w:bCs w:val="1"/>
                <w:color w:val="auto"/>
                <w:vertAlign w:val="superscript"/>
              </w:rPr>
              <w:t>1</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December 31, 2022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80" w:type="dxa"/>
            <w:vAlign w:val="bottom"/>
            <w:tcBorders>
              <w:top w:val="single" w:sz="8" w:color="auto"/>
            </w:tcBorders>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tcBorders>
              <w:top w:val="single" w:sz="8" w:color="auto"/>
            </w:tcBorders>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4"/>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Maturity</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Fixed Pay</w:t>
            </w: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Fixed Pay</w:t>
            </w: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90"/>
        </w:trPr>
        <w:tc>
          <w:tcPr>
            <w:tcW w:w="23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0.14%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0.03%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0" w:type="dxa"/>
            <w:vAlign w:val="bottom"/>
          </w:tcPr>
          <w:p>
            <w:pPr>
              <w:spacing w:after="0"/>
              <w:rPr>
                <w:sz w:val="1"/>
                <w:szCs w:val="1"/>
                <w:color w:val="auto"/>
              </w:rPr>
            </w:pPr>
          </w:p>
        </w:tc>
      </w:tr>
      <w:tr>
        <w:trPr>
          <w:trHeight w:val="207"/>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&gt; 1 to ≤ 3 years</w:t>
            </w:r>
          </w:p>
        </w:tc>
        <w:tc>
          <w:tcPr>
            <w:tcW w:w="1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14,300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0.48%</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5.28%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22,250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0.14%</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4.31%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0.22%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207"/>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0.69%</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5.31%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5,625</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0.85%</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4.30%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3.22%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1.60%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3.12%</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5.31%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13.2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w:t>
            </w: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3.54%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4.30%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1"/>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44,396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0.74%</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5.30%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47,825</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September 30, 2023 amounts are net of $1 billion receive fixed interest rate swaps.</w:t>
      </w:r>
    </w:p>
    <w:p>
      <w:pPr>
        <w:spacing w:after="0" w:line="334"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tcPr>
          <w:p>
            <w:pPr>
              <w:jc w:val="right"/>
              <w:ind w:right="32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Receive Index (% of Notional Amount)</w:t>
            </w:r>
          </w:p>
        </w:tc>
        <w:tc>
          <w:tcPr>
            <w:tcW w:w="200" w:type="dxa"/>
            <w:vAlign w:val="bottom"/>
          </w:tcPr>
          <w:p>
            <w:pPr>
              <w:spacing w:after="0"/>
              <w:rPr>
                <w:sz w:val="16"/>
                <w:szCs w:val="16"/>
                <w:color w:val="auto"/>
              </w:rPr>
            </w:pPr>
          </w:p>
        </w:tc>
        <w:tc>
          <w:tcPr>
            <w:tcW w:w="16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r>
      <w:tr>
        <w:trPr>
          <w:trHeight w:val="205"/>
        </w:trPr>
        <w:tc>
          <w:tcPr>
            <w:tcW w:w="3760" w:type="dxa"/>
            <w:vAlign w:val="bottom"/>
            <w:gridSpan w:val="2"/>
          </w:tcPr>
          <w:p>
            <w:pPr>
              <w:spacing w:after="0"/>
              <w:rPr>
                <w:sz w:val="20"/>
                <w:szCs w:val="20"/>
                <w:color w:val="auto"/>
              </w:rPr>
            </w:pPr>
            <w:r>
              <w:rPr>
                <w:rFonts w:ascii="Arial" w:cs="Arial" w:eastAsia="Arial" w:hAnsi="Arial"/>
                <w:sz w:val="16"/>
                <w:szCs w:val="16"/>
                <w:color w:val="auto"/>
              </w:rPr>
              <w:t>SOFR</w:t>
            </w:r>
          </w:p>
        </w:tc>
        <w:tc>
          <w:tcPr>
            <w:tcW w:w="1640" w:type="dxa"/>
            <w:vAlign w:val="bottom"/>
          </w:tcPr>
          <w:p>
            <w:pPr>
              <w:jc w:val="right"/>
              <w:spacing w:after="0"/>
              <w:rPr>
                <w:sz w:val="20"/>
                <w:szCs w:val="20"/>
                <w:color w:val="auto"/>
              </w:rPr>
            </w:pPr>
            <w:r>
              <w:rPr>
                <w:rFonts w:ascii="Arial" w:cs="Arial" w:eastAsia="Arial" w:hAnsi="Arial"/>
                <w:sz w:val="16"/>
                <w:szCs w:val="16"/>
                <w:color w:val="auto"/>
              </w:rPr>
              <w:t>80 %</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OIS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2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6"/>
        </w:trPr>
        <w:tc>
          <w:tcPr>
            <w:tcW w:w="37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20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Payer Swaptions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Option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Underlying Payer Swap</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Fixed</w:t>
            </w:r>
          </w:p>
        </w:tc>
        <w:tc>
          <w:tcPr>
            <w:tcW w:w="920" w:type="dxa"/>
            <w:vAlign w:val="bottom"/>
            <w:tcBorders>
              <w:top w:val="single" w:sz="8" w:color="auto"/>
            </w:tcBorders>
            <w:vMerge w:val="restart"/>
          </w:tcPr>
          <w:p>
            <w:pPr>
              <w:jc w:val="center"/>
              <w:ind w:right="10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Months to</w:t>
            </w:r>
          </w:p>
        </w:tc>
        <w:tc>
          <w:tcPr>
            <w:tcW w:w="200" w:type="dxa"/>
            <w:vAlign w:val="bottom"/>
          </w:tcPr>
          <w:p>
            <w:pPr>
              <w:spacing w:after="0"/>
              <w:rPr>
                <w:sz w:val="12"/>
                <w:szCs w:val="12"/>
                <w:color w:val="auto"/>
              </w:rPr>
            </w:pPr>
          </w:p>
        </w:tc>
        <w:tc>
          <w:tcPr>
            <w:tcW w:w="86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Notional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12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4"/>
              </w:rPr>
              <w:t>Current Option</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Pay</w:t>
            </w:r>
          </w:p>
        </w:tc>
        <w:tc>
          <w:tcPr>
            <w:tcW w:w="920" w:type="dxa"/>
            <w:vAlign w:val="bottom"/>
          </w:tcPr>
          <w:p>
            <w:pPr>
              <w:jc w:val="center"/>
              <w:ind w:right="85"/>
              <w:spacing w:after="0" w:line="141"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Expiration Date</w:t>
            </w:r>
          </w:p>
        </w:tc>
        <w:tc>
          <w:tcPr>
            <w:tcW w:w="200" w:type="dxa"/>
            <w:vAlign w:val="bottom"/>
          </w:tcPr>
          <w:p>
            <w:pPr>
              <w:spacing w:after="0"/>
              <w:rPr>
                <w:sz w:val="17"/>
                <w:szCs w:val="17"/>
                <w:color w:val="auto"/>
              </w:rPr>
            </w:pPr>
          </w:p>
        </w:tc>
        <w:tc>
          <w:tcPr>
            <w:tcW w:w="860" w:type="dxa"/>
            <w:vAlign w:val="bottom"/>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300"/>
              <w:spacing w:after="0" w:line="197" w:lineRule="exact"/>
              <w:rPr>
                <w:sz w:val="20"/>
                <w:szCs w:val="20"/>
                <w:color w:val="auto"/>
              </w:rPr>
            </w:pPr>
            <w:r>
              <w:rPr>
                <w:rFonts w:ascii="Arial" w:cs="Arial" w:eastAsia="Arial" w:hAnsi="Arial"/>
                <w:sz w:val="14"/>
                <w:szCs w:val="14"/>
                <w:b w:val="1"/>
                <w:bCs w:val="1"/>
                <w:color w:val="auto"/>
                <w:w w:val="87"/>
              </w:rPr>
              <w:t xml:space="preserve">Rate </w:t>
            </w:r>
            <w:r>
              <w:rPr>
                <w:rFonts w:ascii="Arial" w:cs="Arial" w:eastAsia="Arial" w:hAnsi="Arial"/>
                <w:sz w:val="18"/>
                <w:szCs w:val="18"/>
                <w:b w:val="1"/>
                <w:bCs w:val="1"/>
                <w:color w:val="auto"/>
                <w:w w:val="87"/>
                <w:vertAlign w:val="superscript"/>
              </w:rPr>
              <w:t>1</w:t>
            </w:r>
          </w:p>
        </w:tc>
        <w:tc>
          <w:tcPr>
            <w:tcW w:w="920" w:type="dxa"/>
            <w:vAlign w:val="bottom"/>
          </w:tcPr>
          <w:p>
            <w:pPr>
              <w:jc w:val="center"/>
              <w:ind w:right="105"/>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2.57%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60" w:type="dxa"/>
            <w:vAlign w:val="bottom"/>
            <w:gridSpan w:val="3"/>
            <w:shd w:val="clear" w:color="auto" w:fill="CCEEFF"/>
          </w:tcPr>
          <w:p>
            <w:pPr>
              <w:jc w:val="center"/>
              <w:ind w:left="64"/>
              <w:spacing w:after="0"/>
              <w:rPr>
                <w:sz w:val="20"/>
                <w:szCs w:val="20"/>
                <w:color w:val="auto"/>
              </w:rPr>
            </w:pPr>
            <w:r>
              <w:rPr>
                <w:rFonts w:ascii="Arial" w:cs="Arial" w:eastAsia="Arial" w:hAnsi="Arial"/>
                <w:sz w:val="16"/>
                <w:szCs w:val="16"/>
                <w:color w:val="auto"/>
                <w:w w:val="88"/>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85"/>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1,300</w:t>
            </w:r>
          </w:p>
        </w:tc>
        <w:tc>
          <w:tcPr>
            <w:tcW w:w="1260" w:type="dxa"/>
            <w:vAlign w:val="bottom"/>
            <w:gridSpan w:val="3"/>
          </w:tcPr>
          <w:p>
            <w:pPr>
              <w:jc w:val="center"/>
              <w:ind w:left="64"/>
              <w:spacing w:after="0"/>
              <w:rPr>
                <w:sz w:val="20"/>
                <w:szCs w:val="20"/>
                <w:color w:val="auto"/>
              </w:rPr>
            </w:pPr>
            <w:r>
              <w:rPr>
                <w:rFonts w:ascii="Arial" w:cs="Arial" w:eastAsia="Arial" w:hAnsi="Arial"/>
                <w:sz w:val="16"/>
                <w:szCs w:val="16"/>
                <w:color w:val="auto"/>
                <w:w w:val="88"/>
              </w:rPr>
              <w:t>2.04%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5"/>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2.52%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6"/>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3,050</w:t>
            </w:r>
          </w:p>
        </w:tc>
        <w:tc>
          <w:tcPr>
            <w:tcW w:w="1260" w:type="dxa"/>
            <w:vAlign w:val="bottom"/>
            <w:gridSpan w:val="3"/>
          </w:tcPr>
          <w:p>
            <w:pPr>
              <w:jc w:val="center"/>
              <w:ind w:left="64"/>
              <w:spacing w:after="0"/>
              <w:rPr>
                <w:sz w:val="20"/>
                <w:szCs w:val="20"/>
                <w:color w:val="auto"/>
              </w:rPr>
            </w:pPr>
            <w:r>
              <w:rPr>
                <w:rFonts w:ascii="Arial" w:cs="Arial" w:eastAsia="Arial" w:hAnsi="Arial"/>
                <w:sz w:val="16"/>
                <w:szCs w:val="16"/>
                <w:color w:val="auto"/>
                <w:w w:val="88"/>
              </w:rPr>
              <w:t>2.32%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5"/>
              <w:spacing w:after="0"/>
              <w:rPr>
                <w:sz w:val="20"/>
                <w:szCs w:val="20"/>
                <w:color w:val="auto"/>
              </w:rPr>
            </w:pPr>
            <w:r>
              <w:rPr>
                <w:rFonts w:ascii="Arial" w:cs="Arial" w:eastAsia="Arial" w:hAnsi="Arial"/>
                <w:sz w:val="16"/>
                <w:szCs w:val="16"/>
                <w:color w:val="auto"/>
                <w:w w:val="89"/>
              </w:rPr>
              <w:t>9.8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gridSpan w:val="2"/>
          </w:tcPr>
          <w:p>
            <w:pPr>
              <w:ind w:left="320"/>
              <w:spacing w:after="0"/>
              <w:rPr>
                <w:sz w:val="20"/>
                <w:szCs w:val="20"/>
                <w:color w:val="auto"/>
              </w:rPr>
            </w:pPr>
            <w:r>
              <w:rPr>
                <w:rFonts w:ascii="Arial" w:cs="Arial" w:eastAsia="Arial" w:hAnsi="Arial"/>
                <w:sz w:val="14"/>
                <w:szCs w:val="14"/>
                <w:color w:val="auto"/>
              </w:rPr>
              <w:t>1.   Receive index references SOFR.</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U.S. Treasury Securities </w:t>
            </w:r>
            <w:r>
              <w:rPr>
                <w:rFonts w:ascii="Arial" w:cs="Arial" w:eastAsia="Arial" w:hAnsi="Arial"/>
                <w:sz w:val="18"/>
                <w:szCs w:val="18"/>
                <w:b w:val="1"/>
                <w:bCs w:val="1"/>
                <w:color w:val="auto"/>
                <w:vertAlign w:val="superscript"/>
              </w:rPr>
              <w:t>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December 31, 2022</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104"/>
              <w:spacing w:after="0" w:line="125" w:lineRule="exact"/>
              <w:rPr>
                <w:sz w:val="20"/>
                <w:szCs w:val="20"/>
                <w:color w:val="auto"/>
              </w:rPr>
            </w:pPr>
            <w:r>
              <w:rPr>
                <w:rFonts w:ascii="Arial" w:cs="Arial" w:eastAsia="Arial" w:hAnsi="Arial"/>
                <w:sz w:val="14"/>
                <w:szCs w:val="14"/>
                <w:b w:val="1"/>
                <w:bCs w:val="1"/>
                <w:color w:val="auto"/>
                <w:w w:val="92"/>
              </w:rPr>
              <w:t>Face Amount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3"/>
              </w:rPr>
              <w:t>Cost Basis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164"/>
              <w:spacing w:after="0" w:line="125" w:lineRule="exact"/>
              <w:rPr>
                <w:sz w:val="20"/>
                <w:szCs w:val="20"/>
                <w:color w:val="auto"/>
              </w:rPr>
            </w:pPr>
            <w:r>
              <w:rPr>
                <w:rFonts w:ascii="Arial" w:cs="Arial" w:eastAsia="Arial" w:hAnsi="Arial"/>
                <w:sz w:val="14"/>
                <w:szCs w:val="14"/>
                <w:b w:val="1"/>
                <w:bCs w:val="1"/>
                <w:color w:val="auto"/>
                <w:w w:val="96"/>
              </w:rPr>
              <w:t>Face Amount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3"/>
              </w:rPr>
              <w:t>Cost Basis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3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5"/>
              </w:rPr>
              <w:t>Long/(Short)</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7"/>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&gt; 5 year ≤ 7 years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7 year ≤ 10 years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0" w:type="dxa"/>
            <w:vAlign w:val="bottom"/>
          </w:tcPr>
          <w:p>
            <w:pPr>
              <w:spacing w:after="0"/>
              <w:rPr>
                <w:sz w:val="1"/>
                <w:szCs w:val="1"/>
                <w:color w:val="auto"/>
              </w:rPr>
            </w:pPr>
          </w:p>
        </w:tc>
      </w:tr>
      <w:tr>
        <w:trPr>
          <w:trHeight w:val="207"/>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2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U.S. Treasury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jc w:val="both"/>
        <w:ind w:left="640" w:hanging="320"/>
        <w:spacing w:after="0" w:line="258"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2023 and December 31, 2022, short U.S. Treasury securities totaling $(9.0) billion and $(6.5) billion, at fair value, respectively, had a weighted average yield of 3.40% and 2.80%, respectively. As of September 30, 2023 and December 31, 2022, long U.S. Treasury securities totaling $0.2 billion and $0.4 billion, at fair value, respectively, had a weighted average yield of 3.64% and 3.86%, respectively.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80" w:type="dxa"/>
            <w:vAlign w:val="bottom"/>
            <w:gridSpan w:val="2"/>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1"/>
              </w:rPr>
              <w:t>Notional</w:t>
            </w:r>
          </w:p>
        </w:tc>
        <w:tc>
          <w:tcPr>
            <w:tcW w:w="18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Net Carrying</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5"/>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580" w:type="dxa"/>
            <w:vAlign w:val="bottom"/>
            <w:gridSpan w:val="2"/>
          </w:tcPr>
          <w:p>
            <w:pPr>
              <w:ind w:left="20"/>
              <w:spacing w:after="0"/>
              <w:rPr>
                <w:sz w:val="20"/>
                <w:szCs w:val="20"/>
                <w:color w:val="auto"/>
              </w:rPr>
            </w:pPr>
            <w:r>
              <w:rPr>
                <w:rFonts w:ascii="Arial" w:cs="Arial" w:eastAsia="Arial" w:hAnsi="Arial"/>
                <w:sz w:val="12"/>
                <w:szCs w:val="12"/>
                <w:b w:val="1"/>
                <w:bCs w:val="1"/>
                <w:color w:val="auto"/>
              </w:rPr>
              <w:t>Years to Maturity</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Long (Short)</w:t>
            </w:r>
          </w:p>
        </w:tc>
        <w:tc>
          <w:tcPr>
            <w:tcW w:w="18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9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&gt; 5 year ≤ 7 years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&gt; 7 year ≤ 10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Total U.S. Treasury futures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line="262"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3"/>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5"/>
              </w:rPr>
              <w:t>Notional</w:t>
            </w:r>
          </w:p>
        </w:tc>
        <w:tc>
          <w:tcPr>
            <w:tcW w:w="18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7"/>
              </w:rPr>
              <w:t>Net Carrying</w:t>
            </w: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1"/>
              </w:rPr>
              <w:t>Notional</w:t>
            </w:r>
          </w:p>
        </w:tc>
        <w:tc>
          <w:tcPr>
            <w:tcW w:w="20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20"/>
              <w:spacing w:after="0"/>
              <w:rPr>
                <w:sz w:val="20"/>
                <w:szCs w:val="20"/>
                <w:color w:val="auto"/>
              </w:rPr>
            </w:pPr>
            <w:r>
              <w:rPr>
                <w:rFonts w:ascii="Arial" w:cs="Arial" w:eastAsia="Arial" w:hAnsi="Arial"/>
                <w:sz w:val="12"/>
                <w:szCs w:val="12"/>
                <w:b w:val="1"/>
                <w:bCs w:val="1"/>
                <w:color w:val="auto"/>
              </w:rPr>
              <w:t>TBA Securities by Coupon</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Long (Short)</w:t>
            </w:r>
          </w:p>
        </w:tc>
        <w:tc>
          <w:tcPr>
            <w:tcW w:w="18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Long (Short)</w:t>
            </w:r>
          </w:p>
        </w:tc>
        <w:tc>
          <w:tcPr>
            <w:tcW w:w="2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90"/>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40" w:type="dxa"/>
            <w:vAlign w:val="bottom"/>
            <w:gridSpan w:val="2"/>
          </w:tcPr>
          <w:p>
            <w:pPr>
              <w:ind w:left="180"/>
              <w:spacing w:after="0"/>
              <w:rPr>
                <w:sz w:val="20"/>
                <w:szCs w:val="20"/>
                <w:color w:val="auto"/>
              </w:rPr>
            </w:pPr>
            <w:r>
              <w:rPr>
                <w:rFonts w:ascii="Arial" w:cs="Arial" w:eastAsia="Arial" w:hAnsi="Arial"/>
                <w:sz w:val="14"/>
                <w:szCs w:val="14"/>
                <w:color w:val="auto"/>
              </w:rPr>
              <w:t>≥ 4.5%</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30-Year TBA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2.5%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8"/>
        </w:trPr>
        <w:tc>
          <w:tcPr>
            <w:tcW w:w="2440" w:type="dxa"/>
            <w:vAlign w:val="bottom"/>
          </w:tcPr>
          <w:p>
            <w:pPr>
              <w:ind w:left="180"/>
              <w:spacing w:after="0"/>
              <w:rPr>
                <w:sz w:val="20"/>
                <w:szCs w:val="20"/>
                <w:color w:val="auto"/>
              </w:rPr>
            </w:pPr>
            <w:r>
              <w:rPr>
                <w:rFonts w:ascii="Arial" w:cs="Arial" w:eastAsia="Arial" w:hAnsi="Arial"/>
                <w:sz w:val="14"/>
                <w:szCs w:val="14"/>
                <w:color w:val="auto"/>
              </w:rPr>
              <w:t>3.0% - 4.0%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4.5% - 5.5%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0"/>
        </w:trPr>
        <w:tc>
          <w:tcPr>
            <w:tcW w:w="2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 6.0%</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7"/>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47"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64"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As of September 30, 2023, we had a two-year swap equivalent SOFR futures contract long notional position of $1.1 billion, with a net carrying value of $(25) million.</w:t>
      </w:r>
    </w:p>
    <w:p>
      <w:pPr>
        <w:spacing w:after="0" w:line="145"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As of September 30, 2023 and December 31, 2022, we had $171 million and $215 million, respectively, notional value of centrally cleared credit default swaps ("CDS") outstanding that reference the Markit CDX Investment Grade or High Yield Grade Index, maturing in June 2028 and June 2027, respectively. Under the terms of our CDS, we pay fixed periodic payments equal to 1% per annum of the notional value and we are entitled to receive payments for qualified credit events. As of September 30, 2023 and December 31, 2022, the CDS had a market value of $(2) million and $(2) million, respectively, and a net carrying value of zero dollars, net of variation margin settlements. Pursuant to rules governing central clearing activities, we recognize variation margin settlements as a direct reduction of the carrying value of the CDS asset or liability.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From Derivative Instruments and Other Securities, Net</w:t>
      </w:r>
    </w:p>
    <w:p>
      <w:pPr>
        <w:spacing w:after="0" w:line="172"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7"/>
          <w:szCs w:val="17"/>
          <w:color w:val="auto"/>
        </w:rPr>
        <w:t>The following table summarizes changes in our derivative and other hedge portfolio and their effect on our consolidated statements of comprehensive income for the three and nine months ended September 30, 2023 and 2022 (in millions):</w:t>
      </w:r>
    </w:p>
    <w:tbl>
      <w:tblPr>
        <w:tblLayout w:type="fixed"/>
        <w:tblInd w:w="0" w:type="dxa"/>
        <w:tblCellMar>
          <w:top w:w="0" w:type="dxa"/>
          <w:left w:w="0" w:type="dxa"/>
          <w:bottom w:w="0" w:type="dxa"/>
          <w:right w:w="0" w:type="dxa"/>
        </w:tblCellMar>
      </w:tblPr>
      <w:tr>
        <w:trPr>
          <w:trHeight w:val="145"/>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6"/>
              <w:spacing w:after="0" w:line="145" w:lineRule="exact"/>
              <w:rPr>
                <w:sz w:val="20"/>
                <w:szCs w:val="20"/>
                <w:color w:val="auto"/>
              </w:rPr>
            </w:pPr>
            <w:r>
              <w:rPr>
                <w:rFonts w:ascii="Arial" w:cs="Arial" w:eastAsia="Arial" w:hAnsi="Arial"/>
                <w:sz w:val="14"/>
                <w:szCs w:val="14"/>
                <w:b w:val="1"/>
                <w:bCs w:val="1"/>
                <w:color w:val="auto"/>
                <w:w w:val="90"/>
              </w:rPr>
              <w:t>Gain/(Loss)</w:t>
            </w:r>
          </w:p>
        </w:tc>
        <w:tc>
          <w:tcPr>
            <w:tcW w:w="0" w:type="dxa"/>
            <w:vAlign w:val="bottom"/>
          </w:tcPr>
          <w:p>
            <w:pPr>
              <w:spacing w:after="0"/>
              <w:rPr>
                <w:sz w:val="1"/>
                <w:szCs w:val="1"/>
                <w:color w:val="auto"/>
              </w:rPr>
            </w:pPr>
          </w:p>
        </w:tc>
      </w:tr>
      <w:tr>
        <w:trPr>
          <w:trHeight w:val="92"/>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restart"/>
          </w:tcPr>
          <w:p>
            <w:pPr>
              <w:jc w:val="center"/>
              <w:ind w:right="46"/>
              <w:spacing w:after="0" w:line="145" w:lineRule="exact"/>
              <w:rPr>
                <w:sz w:val="20"/>
                <w:szCs w:val="20"/>
                <w:color w:val="auto"/>
              </w:rPr>
            </w:pPr>
            <w:r>
              <w:rPr>
                <w:rFonts w:ascii="Arial" w:cs="Arial" w:eastAsia="Arial" w:hAnsi="Arial"/>
                <w:sz w:val="14"/>
                <w:szCs w:val="14"/>
                <w:b w:val="1"/>
                <w:bCs w:val="1"/>
                <w:color w:val="auto"/>
                <w:w w:val="90"/>
              </w:rPr>
              <w:t>on Derivative</w:t>
            </w:r>
          </w:p>
        </w:tc>
        <w:tc>
          <w:tcPr>
            <w:tcW w:w="0" w:type="dxa"/>
            <w:vAlign w:val="bottom"/>
          </w:tcPr>
          <w:p>
            <w:pPr>
              <w:spacing w:after="0"/>
              <w:rPr>
                <w:sz w:val="1"/>
                <w:szCs w:val="1"/>
                <w:color w:val="auto"/>
              </w:rPr>
            </w:pPr>
          </w:p>
        </w:tc>
      </w:tr>
      <w:tr>
        <w:trPr>
          <w:trHeight w:val="52"/>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Termination,</w:t>
            </w: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restart"/>
          </w:tcPr>
          <w:p>
            <w:pPr>
              <w:jc w:val="center"/>
              <w:ind w:right="46"/>
              <w:spacing w:after="0" w:line="141" w:lineRule="exact"/>
              <w:rPr>
                <w:sz w:val="20"/>
                <w:szCs w:val="20"/>
                <w:color w:val="auto"/>
              </w:rPr>
            </w:pPr>
            <w:r>
              <w:rPr>
                <w:rFonts w:ascii="Arial" w:cs="Arial" w:eastAsia="Arial" w:hAnsi="Arial"/>
                <w:sz w:val="14"/>
                <w:szCs w:val="14"/>
                <w:b w:val="1"/>
                <w:bCs w:val="1"/>
                <w:color w:val="auto"/>
                <w:w w:val="91"/>
              </w:rPr>
              <w:t>Instruments and</w:t>
            </w:r>
          </w:p>
        </w:tc>
        <w:tc>
          <w:tcPr>
            <w:tcW w:w="0" w:type="dxa"/>
            <w:vAlign w:val="bottom"/>
          </w:tcPr>
          <w:p>
            <w:pPr>
              <w:spacing w:after="0"/>
              <w:rPr>
                <w:sz w:val="1"/>
                <w:szCs w:val="1"/>
                <w:color w:val="auto"/>
              </w:rPr>
            </w:pPr>
          </w:p>
        </w:tc>
      </w:tr>
      <w:tr>
        <w:trPr>
          <w:trHeight w:val="49"/>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Expiration or</w:t>
            </w:r>
          </w:p>
        </w:tc>
        <w:tc>
          <w:tcPr>
            <w:tcW w:w="240" w:type="dxa"/>
            <w:vAlign w:val="bottom"/>
          </w:tcPr>
          <w:p>
            <w:pPr>
              <w:spacing w:after="0"/>
              <w:rPr>
                <w:sz w:val="4"/>
                <w:szCs w:val="4"/>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Additions</w:t>
            </w: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3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Other Securities, Net</w:t>
            </w:r>
          </w:p>
        </w:tc>
        <w:tc>
          <w:tcPr>
            <w:tcW w:w="0" w:type="dxa"/>
            <w:vAlign w:val="bottom"/>
          </w:tcPr>
          <w:p>
            <w:pPr>
              <w:spacing w:after="0"/>
              <w:rPr>
                <w:sz w:val="1"/>
                <w:szCs w:val="1"/>
                <w:color w:val="auto"/>
              </w:rPr>
            </w:pPr>
          </w:p>
        </w:tc>
      </w:tr>
      <w:tr>
        <w:trPr>
          <w:trHeight w:val="52"/>
        </w:trPr>
        <w:tc>
          <w:tcPr>
            <w:tcW w:w="4640" w:type="dxa"/>
            <w:vAlign w:val="bottom"/>
            <w:gridSpan w:val="2"/>
            <w:vMerge w:val="continue"/>
          </w:tcPr>
          <w:p>
            <w:pPr>
              <w:spacing w:after="0"/>
              <w:rPr>
                <w:sz w:val="4"/>
                <w:szCs w:val="4"/>
                <w:color w:val="auto"/>
              </w:rPr>
            </w:pPr>
          </w:p>
        </w:tc>
        <w:tc>
          <w:tcPr>
            <w:tcW w:w="1280" w:type="dxa"/>
            <w:vAlign w:val="bottom"/>
            <w:gridSpan w:val="3"/>
          </w:tcPr>
          <w:p>
            <w:pPr>
              <w:jc w:val="center"/>
              <w:ind w:right="100"/>
              <w:spacing w:after="0" w:line="53" w:lineRule="exact"/>
              <w:rPr>
                <w:sz w:val="20"/>
                <w:szCs w:val="20"/>
                <w:color w:val="auto"/>
              </w:rPr>
            </w:pPr>
            <w:r>
              <w:rPr>
                <w:rFonts w:ascii="Arial" w:cs="Arial" w:eastAsia="Arial" w:hAnsi="Arial"/>
                <w:sz w:val="6"/>
                <w:szCs w:val="6"/>
                <w:b w:val="1"/>
                <w:bCs w:val="1"/>
                <w:color w:val="auto"/>
              </w:rPr>
              <w:t>Notional Amount</w:t>
            </w:r>
          </w:p>
        </w:tc>
        <w:tc>
          <w:tcPr>
            <w:tcW w:w="1280" w:type="dxa"/>
            <w:vAlign w:val="bottom"/>
            <w:gridSpan w:val="2"/>
            <w:vMerge w:val="continue"/>
          </w:tcPr>
          <w:p>
            <w:pPr>
              <w:spacing w:after="0"/>
              <w:rPr>
                <w:sz w:val="4"/>
                <w:szCs w:val="4"/>
                <w:color w:val="auto"/>
              </w:rPr>
            </w:pPr>
          </w:p>
        </w:tc>
        <w:tc>
          <w:tcPr>
            <w:tcW w:w="1280" w:type="dxa"/>
            <w:vAlign w:val="bottom"/>
            <w:gridSpan w:val="2"/>
          </w:tcPr>
          <w:p>
            <w:pPr>
              <w:jc w:val="center"/>
              <w:ind w:right="100"/>
              <w:spacing w:after="0" w:line="53" w:lineRule="exact"/>
              <w:rPr>
                <w:sz w:val="20"/>
                <w:szCs w:val="20"/>
                <w:color w:val="auto"/>
              </w:rPr>
            </w:pPr>
            <w:r>
              <w:rPr>
                <w:rFonts w:ascii="Arial" w:cs="Arial" w:eastAsia="Arial" w:hAnsi="Arial"/>
                <w:sz w:val="6"/>
                <w:szCs w:val="6"/>
                <w:b w:val="1"/>
                <w:bCs w:val="1"/>
                <w:color w:val="auto"/>
              </w:rPr>
              <w:t>Exercise</w:t>
            </w:r>
          </w:p>
        </w:tc>
        <w:tc>
          <w:tcPr>
            <w:tcW w:w="1380" w:type="dxa"/>
            <w:vAlign w:val="bottom"/>
            <w:gridSpan w:val="4"/>
          </w:tcPr>
          <w:p>
            <w:pPr>
              <w:jc w:val="center"/>
              <w:ind w:right="220"/>
              <w:spacing w:after="0" w:line="53" w:lineRule="exact"/>
              <w:rPr>
                <w:sz w:val="20"/>
                <w:szCs w:val="20"/>
                <w:color w:val="auto"/>
              </w:rPr>
            </w:pPr>
            <w:r>
              <w:rPr>
                <w:rFonts w:ascii="Arial" w:cs="Arial" w:eastAsia="Arial" w:hAnsi="Arial"/>
                <w:sz w:val="6"/>
                <w:szCs w:val="6"/>
                <w:b w:val="1"/>
                <w:bCs w:val="1"/>
                <w:color w:val="auto"/>
              </w:rPr>
              <w:t>Notional Amount</w:t>
            </w:r>
          </w:p>
        </w:tc>
        <w:tc>
          <w:tcPr>
            <w:tcW w:w="140" w:type="dxa"/>
            <w:vAlign w:val="bottom"/>
          </w:tcPr>
          <w:p>
            <w:pPr>
              <w:spacing w:after="0"/>
              <w:rPr>
                <w:sz w:val="4"/>
                <w:szCs w:val="4"/>
                <w:color w:val="auto"/>
              </w:rPr>
            </w:pPr>
          </w:p>
        </w:tc>
        <w:tc>
          <w:tcPr>
            <w:tcW w:w="1200" w:type="dxa"/>
            <w:vAlign w:val="bottom"/>
            <w:vMerge w:val="restart"/>
          </w:tcPr>
          <w:p>
            <w:pPr>
              <w:jc w:val="center"/>
              <w:ind w:right="46"/>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65"/>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4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00" w:type="dxa"/>
            <w:vAlign w:val="bottom"/>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10,289</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35,448</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(43,386)</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48,726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Interest rate swaps - receiver</w:t>
            </w:r>
          </w:p>
        </w:tc>
        <w:tc>
          <w:tcPr>
            <w:tcW w:w="200" w:type="dxa"/>
            <w:vAlign w:val="bottom"/>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default swaps - buy protection</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00" w:type="dxa"/>
            <w:vAlign w:val="bottom"/>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7"/>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00" w:type="dxa"/>
            <w:vAlign w:val="bottom"/>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9"/>
        </w:trPr>
        <w:tc>
          <w:tcPr>
            <w:tcW w:w="4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15,927</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78,067</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(75,075)</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18,919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49,935</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(2,810)</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47,125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1,464</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default swaps - buy protection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(215)</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(365)</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290</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6,800</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(3,400)</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3,400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(150)</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01"/>
              <w:spacing w:after="0"/>
              <w:rPr>
                <w:sz w:val="20"/>
                <w:szCs w:val="20"/>
                <w:color w:val="auto"/>
              </w:rPr>
            </w:pPr>
            <w:r>
              <w:rPr>
                <w:rFonts w:ascii="Arial" w:cs="Arial" w:eastAsia="Arial" w:hAnsi="Arial"/>
                <w:sz w:val="16"/>
                <w:szCs w:val="16"/>
                <w:color w:val="auto"/>
              </w:rPr>
              <w:t>(9,243)</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(2,696)</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3,192</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(8,747)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1,902</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2,149</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(2,727)</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(8,105)</w:t>
            </w:r>
          </w:p>
        </w:tc>
        <w:tc>
          <w:tcPr>
            <w:tcW w:w="124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(11,241)</w:t>
            </w:r>
          </w:p>
        </w:tc>
        <w:tc>
          <w:tcPr>
            <w:tcW w:w="104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8,463</w:t>
            </w:r>
          </w:p>
        </w:tc>
        <w:tc>
          <w:tcPr>
            <w:tcW w:w="40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right w:val="single" w:sz="8" w:color="auto"/>
            </w:tcBorders>
          </w:tcPr>
          <w:p>
            <w:pPr>
              <w:jc w:val="right"/>
              <w:ind w:right="81"/>
              <w:spacing w:after="0"/>
              <w:rPr>
                <w:sz w:val="20"/>
                <w:szCs w:val="20"/>
                <w:color w:val="auto"/>
              </w:rPr>
            </w:pPr>
            <w:r>
              <w:rPr>
                <w:rFonts w:ascii="Arial" w:cs="Arial" w:eastAsia="Arial" w:hAnsi="Arial"/>
                <w:sz w:val="16"/>
                <w:szCs w:val="16"/>
                <w:color w:val="auto"/>
              </w:rPr>
              <w:t>(10,883)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r>
      <w:tr>
        <w:trPr>
          <w:trHeight w:val="228"/>
        </w:trPr>
        <w:tc>
          <w:tcPr>
            <w:tcW w:w="38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19,050</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138,448</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(155,147)</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2,351</w:t>
            </w:r>
          </w:p>
        </w:tc>
        <w:tc>
          <w:tcPr>
            <w:tcW w:w="8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47,825</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5,396</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(7,825)</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45,396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Interest rate swaps - receiver</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(1,000)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default swaps - buy protection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(215)</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(1,292)</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1,336</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3,050</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(1,700)</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(7,373)</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(15,470)</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12,709</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(10,134)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357</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11,786</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(11,883)</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(9,213)</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(23,185)</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23,429</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(8,969)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43"/>
        </w:trPr>
        <w:tc>
          <w:tcPr>
            <w:tcW w:w="3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r>
      <w:tr>
        <w:trPr>
          <w:trHeight w:val="219"/>
        </w:trPr>
        <w:tc>
          <w:tcPr>
            <w:tcW w:w="38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26,673</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228,904</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(236,658)</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18,919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Forward settling non-Agency securities</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450</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(450)</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51,225</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2,970</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(7,070)</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47,125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Credit default swaps - buy protection</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(5,835)</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5,545</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13,000</w:t>
            </w:r>
          </w:p>
        </w:tc>
        <w:tc>
          <w:tcPr>
            <w:tcW w:w="12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1,750</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(11,350)</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Receiver swaptions</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(150)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150</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(9,590)</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(9,604)</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10,447</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(8,747)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1"/>
              <w:spacing w:after="0"/>
              <w:rPr>
                <w:sz w:val="20"/>
                <w:szCs w:val="20"/>
                <w:color w:val="auto"/>
              </w:rPr>
            </w:pPr>
            <w:r>
              <w:rPr>
                <w:rFonts w:ascii="Arial" w:cs="Arial" w:eastAsia="Arial" w:hAnsi="Arial"/>
                <w:sz w:val="16"/>
                <w:szCs w:val="16"/>
                <w:color w:val="auto"/>
              </w:rPr>
              <w:t>472</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7,725</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(6,873)</w:t>
            </w: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1,324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(1,500)</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(26,466)</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17,083</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(10,883)</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43"/>
        </w:trPr>
        <w:tc>
          <w:tcPr>
            <w:tcW w:w="3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4,498</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47"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9"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Additionally, during the three months ended September 30, 2023, our SOFR futures contracts position, measured on a two-year swap equivalent basis, decreased from a long notional position of $1.3 billion as of June 30, 2023 to $1.1 billion as of September 30, 2023. As of December 31, 2022, we did not have SOFR futures outstanding. For the three and nine months ended September 30, 2023, we recognized a loss of $(6) million and $(25) million, respectively, on our SOFR futures position in gain (loss) on derivative instruments and other securities, net in our consolidated statements of comprehensive income.</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Pledged Assets</w:t>
      </w:r>
    </w:p>
    <w:p>
      <w:pPr>
        <w:spacing w:after="0" w:line="178"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9" w:name="page20"/>
    <w:bookmarkEnd w:id="19"/>
    <w:p>
      <w:pPr>
        <w:jc w:val="both"/>
        <w:spacing w:after="0" w:line="322" w:lineRule="auto"/>
        <w:rPr>
          <w:sz w:val="20"/>
          <w:szCs w:val="20"/>
          <w:color w:val="auto"/>
        </w:rPr>
      </w:pPr>
      <w:r>
        <w:rPr>
          <w:rFonts w:ascii="Arial" w:cs="Arial" w:eastAsia="Arial" w:hAnsi="Arial"/>
          <w:sz w:val="16"/>
          <w:szCs w:val="16"/>
          <w:color w:val="auto"/>
        </w:rPr>
        <w:t>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83" w:lineRule="exact"/>
        <w:rPr>
          <w:sz w:val="20"/>
          <w:szCs w:val="20"/>
          <w:color w:val="auto"/>
        </w:rPr>
      </w:pPr>
    </w:p>
    <w:p>
      <w:pPr>
        <w:jc w:val="both"/>
        <w:ind w:firstLine="393"/>
        <w:spacing w:after="0" w:line="299" w:lineRule="auto"/>
        <w:rPr>
          <w:sz w:val="20"/>
          <w:szCs w:val="20"/>
          <w:color w:val="auto"/>
        </w:rPr>
      </w:pPr>
      <w:r>
        <w:rPr>
          <w:rFonts w:ascii="Arial" w:cs="Arial" w:eastAsia="Arial" w:hAnsi="Arial"/>
          <w:sz w:val="15"/>
          <w:szCs w:val="15"/>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0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As of September 30, 2023, our maximum amount at risk with any counterparty related to our repurchase agreements, excluding the Fixed Income Clearing Corporation, was less than 4% of our tangible stockholders' equity (or the excess/shortfall of the value of collateral pledged/received over our repurchase agreement liabilities/reverse repurchase agreement receivables). As of September 30, 2023, less than 12% of our tangible stockholder's equity was at risk with the Fixed Income Clearing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Pledged to Counterparties</w:t>
      </w:r>
    </w:p>
    <w:p>
      <w:pPr>
        <w:spacing w:after="0" w:line="172" w:lineRule="exact"/>
        <w:rPr>
          <w:sz w:val="20"/>
          <w:szCs w:val="20"/>
          <w:color w:val="auto"/>
        </w:rPr>
      </w:pPr>
    </w:p>
    <w:p>
      <w:pPr>
        <w:jc w:val="both"/>
        <w:ind w:firstLine="433"/>
        <w:spacing w:after="0" w:line="275"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September 30, 2023 and December 31, 2022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September 30, 2023</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0"/>
              <w:spacing w:after="0" w:line="128" w:lineRule="exact"/>
              <w:rPr>
                <w:sz w:val="20"/>
                <w:szCs w:val="20"/>
                <w:color w:val="auto"/>
              </w:rPr>
            </w:pPr>
            <w:r>
              <w:rPr>
                <w:rFonts w:ascii="Arial" w:cs="Arial" w:eastAsia="Arial" w:hAnsi="Arial"/>
                <w:sz w:val="14"/>
                <w:szCs w:val="14"/>
                <w:b w:val="1"/>
                <w:bCs w:val="1"/>
                <w:color w:val="auto"/>
                <w:w w:val="91"/>
              </w:rPr>
              <w:t>Debt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 xml:space="preserve">Repurchase Agreements </w:t>
            </w:r>
            <w:r>
              <w:rPr>
                <w:rFonts w:ascii="Arial" w:cs="Arial" w:eastAsia="Arial" w:hAnsi="Arial"/>
                <w:sz w:val="18"/>
                <w:szCs w:val="18"/>
                <w:b w:val="1"/>
                <w:bCs w:val="1"/>
                <w:color w:val="auto"/>
                <w:w w:val="93"/>
                <w:vertAlign w:val="superscript"/>
              </w:rPr>
              <w:t>2</w:t>
            </w:r>
          </w:p>
        </w:tc>
        <w:tc>
          <w:tcPr>
            <w:tcW w:w="1260" w:type="dxa"/>
            <w:vAlign w:val="bottom"/>
          </w:tcPr>
          <w:p>
            <w:pPr>
              <w:jc w:val="center"/>
              <w:ind w:left="250"/>
              <w:spacing w:after="0" w:line="141" w:lineRule="exact"/>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260" w:type="dxa"/>
            <w:vAlign w:val="bottom"/>
          </w:tcPr>
          <w:p>
            <w:pPr>
              <w:jc w:val="center"/>
              <w:ind w:left="270"/>
              <w:spacing w:after="0"/>
              <w:rPr>
                <w:sz w:val="20"/>
                <w:szCs w:val="20"/>
                <w:color w:val="auto"/>
              </w:rPr>
            </w:pPr>
            <w:r>
              <w:rPr>
                <w:rFonts w:ascii="Arial" w:cs="Arial" w:eastAsia="Arial" w:hAnsi="Arial"/>
                <w:sz w:val="14"/>
                <w:szCs w:val="14"/>
                <w:b w:val="1"/>
                <w:bCs w:val="1"/>
                <w:color w:val="auto"/>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52,519</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52,683</w:t>
            </w:r>
          </w:p>
        </w:tc>
        <w:tc>
          <w:tcPr>
            <w:tcW w:w="0" w:type="dxa"/>
            <w:vAlign w:val="bottom"/>
          </w:tcPr>
          <w:p>
            <w:pPr>
              <w:spacing w:after="0"/>
              <w:rPr>
                <w:sz w:val="1"/>
                <w:szCs w:val="1"/>
                <w:color w:val="auto"/>
              </w:rPr>
            </w:pPr>
          </w:p>
        </w:tc>
      </w:tr>
      <w:tr>
        <w:trPr>
          <w:trHeight w:val="188"/>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8"/>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90"/>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22"/>
        </w:trPr>
        <w:tc>
          <w:tcPr>
            <w:tcW w:w="4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December 31, 2022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0"/>
              <w:spacing w:after="0" w:line="128" w:lineRule="exact"/>
              <w:rPr>
                <w:sz w:val="20"/>
                <w:szCs w:val="20"/>
                <w:color w:val="auto"/>
              </w:rPr>
            </w:pPr>
            <w:r>
              <w:rPr>
                <w:rFonts w:ascii="Arial" w:cs="Arial" w:eastAsia="Arial" w:hAnsi="Arial"/>
                <w:sz w:val="14"/>
                <w:szCs w:val="14"/>
                <w:b w:val="1"/>
                <w:bCs w:val="1"/>
                <w:color w:val="auto"/>
                <w:w w:val="91"/>
              </w:rPr>
              <w:t>Debt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 xml:space="preserve">Repurchase Agreements </w:t>
            </w:r>
            <w:r>
              <w:rPr>
                <w:rFonts w:ascii="Arial" w:cs="Arial" w:eastAsia="Arial" w:hAnsi="Arial"/>
                <w:sz w:val="18"/>
                <w:szCs w:val="18"/>
                <w:b w:val="1"/>
                <w:bCs w:val="1"/>
                <w:color w:val="auto"/>
                <w:w w:val="93"/>
                <w:vertAlign w:val="superscript"/>
              </w:rPr>
              <w:t>2</w:t>
            </w:r>
          </w:p>
        </w:tc>
        <w:tc>
          <w:tcPr>
            <w:tcW w:w="1260" w:type="dxa"/>
            <w:vAlign w:val="bottom"/>
          </w:tcPr>
          <w:p>
            <w:pPr>
              <w:jc w:val="center"/>
              <w:ind w:left="250"/>
              <w:spacing w:after="0" w:line="141" w:lineRule="exact"/>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260" w:type="dxa"/>
            <w:vAlign w:val="bottom"/>
          </w:tcPr>
          <w:p>
            <w:pPr>
              <w:jc w:val="center"/>
              <w:ind w:left="270"/>
              <w:spacing w:after="0"/>
              <w:rPr>
                <w:sz w:val="20"/>
                <w:szCs w:val="20"/>
                <w:color w:val="auto"/>
              </w:rPr>
            </w:pPr>
            <w:r>
              <w:rPr>
                <w:rFonts w:ascii="Arial" w:cs="Arial" w:eastAsia="Arial" w:hAnsi="Arial"/>
                <w:sz w:val="14"/>
                <w:szCs w:val="14"/>
                <w:b w:val="1"/>
                <w:bCs w:val="1"/>
                <w:color w:val="auto"/>
              </w:rPr>
              <w:t>VIEs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35,765</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36,112</w:t>
            </w:r>
          </w:p>
        </w:tc>
        <w:tc>
          <w:tcPr>
            <w:tcW w:w="0" w:type="dxa"/>
            <w:vAlign w:val="bottom"/>
          </w:tcPr>
          <w:p>
            <w:pPr>
              <w:spacing w:after="0"/>
              <w:rPr>
                <w:sz w:val="1"/>
                <w:szCs w:val="1"/>
                <w:color w:val="auto"/>
              </w:rPr>
            </w:pPr>
          </w:p>
        </w:tc>
      </w:tr>
      <w:tr>
        <w:trPr>
          <w:trHeight w:val="188"/>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8"/>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0"/>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22"/>
        </w:trPr>
        <w:tc>
          <w:tcPr>
            <w:tcW w:w="4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39,217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ind w:left="640" w:hanging="320"/>
        <w:spacing w:after="0" w:line="262"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$40 million and $49 million of retained interests in our consolidated VIEs pledged as collateral under repurchase agreements as of September 30, 2023 and December 31, 2022,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0" w:name="page21"/>
    <w:bookmarkEnd w:id="20"/>
    <w:p>
      <w:pPr>
        <w:jc w:val="both"/>
        <w:ind w:firstLine="433"/>
        <w:spacing w:after="0" w:line="273"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by the remaining maturity of our borrowings, including securities pledged related to sold but not yet settled securities, as of September 30, 2023 and December 31, 2022 (in millions). For the corresponding borrowings associated with the following amounts and the interest rates thereon, refer to Note 4</w:t>
      </w:r>
      <w:r>
        <w:rPr>
          <w:rFonts w:ascii="Arial" w:cs="Arial" w:eastAsia="Arial" w:hAnsi="Arial"/>
          <w:sz w:val="17"/>
          <w:szCs w:val="17"/>
          <w:i w:val="1"/>
          <w:iCs w:val="1"/>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9"/>
              </w:rPr>
              <w:t>September 30, 2023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4"/>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5" w:lineRule="exact"/>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5" w:lineRule="exact"/>
              <w:rPr>
                <w:sz w:val="20"/>
                <w:szCs w:val="20"/>
                <w:color w:val="auto"/>
              </w:rPr>
            </w:pPr>
            <w:r>
              <w:rPr>
                <w:rFonts w:ascii="Arial" w:cs="Arial" w:eastAsia="Arial" w:hAnsi="Arial"/>
                <w:sz w:val="14"/>
                <w:szCs w:val="14"/>
                <w:b w:val="1"/>
                <w:bCs w:val="1"/>
                <w:color w:val="auto"/>
                <w:w w:val="89"/>
              </w:rPr>
              <w:t>Accrued</w:t>
            </w:r>
          </w:p>
        </w:tc>
      </w:tr>
      <w:tr>
        <w:trPr>
          <w:trHeight w:val="135"/>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Interest on</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Cost of</w:t>
            </w:r>
          </w:p>
        </w:tc>
        <w:tc>
          <w:tcPr>
            <w:tcW w:w="140" w:type="dxa"/>
            <w:vAlign w:val="bottom"/>
          </w:tcPr>
          <w:p>
            <w:pPr>
              <w:spacing w:after="0"/>
              <w:rPr>
                <w:sz w:val="11"/>
                <w:szCs w:val="11"/>
                <w:color w:val="auto"/>
              </w:rPr>
            </w:pPr>
          </w:p>
        </w:tc>
        <w:tc>
          <w:tcPr>
            <w:tcW w:w="90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89"/>
              </w:rPr>
              <w:t>Interest on</w:t>
            </w:r>
          </w:p>
        </w:tc>
      </w:tr>
      <w:tr>
        <w:trPr>
          <w:trHeight w:val="154"/>
        </w:trPr>
        <w:tc>
          <w:tcPr>
            <w:tcW w:w="39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040" w:type="dxa"/>
            <w:vAlign w:val="bottom"/>
          </w:tcPr>
          <w:p>
            <w:pPr>
              <w:jc w:val="right"/>
              <w:ind w:right="130"/>
              <w:spacing w:after="0" w:line="154" w:lineRule="exact"/>
              <w:rPr>
                <w:sz w:val="20"/>
                <w:szCs w:val="20"/>
                <w:color w:val="auto"/>
              </w:rPr>
            </w:pPr>
            <w:r>
              <w:rPr>
                <w:rFonts w:ascii="Arial" w:cs="Arial" w:eastAsia="Arial" w:hAnsi="Arial"/>
                <w:sz w:val="14"/>
                <w:szCs w:val="14"/>
                <w:b w:val="1"/>
                <w:bCs w:val="1"/>
                <w:color w:val="auto"/>
                <w:w w:val="97"/>
              </w:rPr>
              <w:t>Fair Value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4"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3"/>
                <w:szCs w:val="13"/>
                <w:color w:val="auto"/>
              </w:rPr>
            </w:pPr>
          </w:p>
        </w:tc>
        <w:tc>
          <w:tcPr>
            <w:tcW w:w="1040" w:type="dxa"/>
            <w:vAlign w:val="bottom"/>
          </w:tcPr>
          <w:p>
            <w:pPr>
              <w:jc w:val="right"/>
              <w:ind w:right="130"/>
              <w:spacing w:after="0" w:line="154" w:lineRule="exact"/>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4"/>
              </w:rPr>
              <w:t>Pledged</w:t>
            </w:r>
          </w:p>
        </w:tc>
        <w:tc>
          <w:tcPr>
            <w:tcW w:w="140" w:type="dxa"/>
            <w:vAlign w:val="bottom"/>
          </w:tcPr>
          <w:p>
            <w:pPr>
              <w:spacing w:after="0"/>
              <w:rPr>
                <w:sz w:val="13"/>
                <w:szCs w:val="13"/>
                <w:color w:val="auto"/>
              </w:rPr>
            </w:pPr>
          </w:p>
        </w:tc>
        <w:tc>
          <w:tcPr>
            <w:tcW w:w="900" w:type="dxa"/>
            <w:vAlign w:val="bottom"/>
          </w:tcPr>
          <w:p>
            <w:pPr>
              <w:jc w:val="center"/>
              <w:ind w:right="90"/>
              <w:spacing w:after="0" w:line="154" w:lineRule="exact"/>
              <w:rPr>
                <w:sz w:val="20"/>
                <w:szCs w:val="20"/>
                <w:color w:val="auto"/>
              </w:rPr>
            </w:pPr>
            <w:r>
              <w:rPr>
                <w:rFonts w:ascii="Arial" w:cs="Arial" w:eastAsia="Arial" w:hAnsi="Arial"/>
                <w:sz w:val="14"/>
                <w:szCs w:val="14"/>
                <w:b w:val="1"/>
                <w:bCs w:val="1"/>
                <w:color w:val="auto"/>
                <w:w w:val="84"/>
              </w:rPr>
              <w:t>Pledged</w:t>
            </w:r>
          </w:p>
        </w:tc>
      </w:tr>
      <w:tr>
        <w:trPr>
          <w:trHeight w:val="190"/>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9"/>
                <w:szCs w:val="9"/>
                <w:b w:val="1"/>
                <w:bCs w:val="1"/>
                <w:color w:val="auto"/>
              </w:rPr>
              <w:t>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Pledged Securities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Pledged Securities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6"/>
                <w:szCs w:val="16"/>
                <w:color w:val="auto"/>
              </w:rPr>
            </w:pPr>
          </w:p>
        </w:tc>
        <w:tc>
          <w:tcPr>
            <w:tcW w:w="900" w:type="dxa"/>
            <w:vAlign w:val="bottom"/>
          </w:tcPr>
          <w:p>
            <w:pPr>
              <w:jc w:val="center"/>
              <w:ind w:right="90"/>
              <w:spacing w:after="0"/>
              <w:rPr>
                <w:sz w:val="20"/>
                <w:szCs w:val="20"/>
                <w:color w:val="auto"/>
              </w:rPr>
            </w:pPr>
            <w:r>
              <w:rPr>
                <w:rFonts w:ascii="Arial" w:cs="Arial" w:eastAsia="Arial" w:hAnsi="Arial"/>
                <w:sz w:val="14"/>
                <w:szCs w:val="14"/>
                <w:b w:val="1"/>
                <w:bCs w:val="1"/>
                <w:color w:val="auto"/>
                <w:w w:val="86"/>
              </w:rPr>
              <w:t>Securities</w:t>
            </w:r>
          </w:p>
        </w:tc>
      </w:tr>
      <w:tr>
        <w:trPr>
          <w:trHeight w:val="197"/>
        </w:trPr>
        <w:tc>
          <w:tcPr>
            <w:tcW w:w="38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1 month</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94</w:t>
            </w:r>
          </w:p>
        </w:tc>
      </w:tr>
      <w:tr>
        <w:trPr>
          <w:trHeight w:val="188"/>
        </w:trPr>
        <w:tc>
          <w:tcPr>
            <w:tcW w:w="3960" w:type="dxa"/>
            <w:vAlign w:val="bottom"/>
            <w:gridSpan w:val="2"/>
          </w:tcPr>
          <w:p>
            <w:pPr>
              <w:ind w:left="100"/>
              <w:spacing w:after="0"/>
              <w:rPr>
                <w:sz w:val="20"/>
                <w:szCs w:val="20"/>
                <w:color w:val="auto"/>
              </w:rPr>
            </w:pPr>
            <w:r>
              <w:rPr>
                <w:rFonts w:ascii="Arial" w:cs="Arial" w:eastAsia="Arial" w:hAnsi="Arial"/>
                <w:sz w:val="14"/>
                <w:szCs w:val="14"/>
                <w:color w:val="auto"/>
              </w:rPr>
              <w:t>&gt; 1 and ≤ 2 months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27</w:t>
            </w:r>
          </w:p>
        </w:tc>
      </w:tr>
      <w:tr>
        <w:trPr>
          <w:trHeight w:val="206"/>
        </w:trPr>
        <w:tc>
          <w:tcPr>
            <w:tcW w:w="3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2 and ≤ 3 months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190"/>
        </w:trPr>
        <w:tc>
          <w:tcPr>
            <w:tcW w:w="3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3 months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w:t>
            </w:r>
          </w:p>
        </w:tc>
      </w:tr>
      <w:tr>
        <w:trPr>
          <w:trHeight w:val="222"/>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right="260" w:hanging="320"/>
        <w:spacing w:after="0" w:line="262"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$40 million and $49 million of retained interests in our consolidated VIEs pledged as collateral under repurchase agreements as of September 30, 2023 and December 31, 2022,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Pledged from Counterparties</w:t>
      </w:r>
    </w:p>
    <w:p>
      <w:pPr>
        <w:spacing w:after="0" w:line="172"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7"/>
          <w:szCs w:val="17"/>
          <w:color w:val="auto"/>
        </w:rPr>
        <w:t>As of September 30, 2023 and December 31, 2022, we had assets pledged to us from counterparties as collateral under our reverse repurchase and derivative agreements summarized in the tables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Derivative</w:t>
            </w:r>
          </w:p>
        </w:tc>
        <w:tc>
          <w:tcPr>
            <w:tcW w:w="120" w:type="dxa"/>
            <w:vAlign w:val="bottom"/>
          </w:tcPr>
          <w:p>
            <w:pPr>
              <w:spacing w:after="0"/>
              <w:rPr>
                <w:sz w:val="10"/>
                <w:szCs w:val="10"/>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89"/>
              </w:rPr>
              <w:t>Repurchase</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Derivative</w:t>
            </w:r>
          </w:p>
        </w:tc>
        <w:tc>
          <w:tcPr>
            <w:tcW w:w="120" w:type="dxa"/>
            <w:vAlign w:val="bottom"/>
          </w:tcPr>
          <w:p>
            <w:pPr>
              <w:spacing w:after="0"/>
              <w:rPr>
                <w:sz w:val="10"/>
                <w:szCs w:val="10"/>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89"/>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7"/>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Agreements</w:t>
            </w:r>
          </w:p>
        </w:tc>
        <w:tc>
          <w:tcPr>
            <w:tcW w:w="120" w:type="dxa"/>
            <w:vAlign w:val="bottom"/>
          </w:tcPr>
          <w:p>
            <w:pPr>
              <w:spacing w:after="0"/>
              <w:rPr>
                <w:sz w:val="16"/>
                <w:szCs w:val="16"/>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b w:val="1"/>
                <w:bCs w:val="1"/>
                <w:color w:val="auto"/>
                <w:w w:val="88"/>
              </w:rPr>
              <w:t>Agreements</w:t>
            </w:r>
          </w:p>
        </w:tc>
        <w:tc>
          <w:tcPr>
            <w:tcW w:w="2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Agreements</w:t>
            </w:r>
          </w:p>
        </w:tc>
        <w:tc>
          <w:tcPr>
            <w:tcW w:w="120" w:type="dxa"/>
            <w:vAlign w:val="bottom"/>
          </w:tcPr>
          <w:p>
            <w:pPr>
              <w:spacing w:after="0"/>
              <w:rPr>
                <w:sz w:val="16"/>
                <w:szCs w:val="16"/>
                <w:color w:val="auto"/>
              </w:rPr>
            </w:pPr>
          </w:p>
        </w:tc>
        <w:tc>
          <w:tcPr>
            <w:tcW w:w="940" w:type="dxa"/>
            <w:vAlign w:val="bottom"/>
          </w:tcPr>
          <w:p>
            <w:pPr>
              <w:jc w:val="right"/>
              <w:ind w:right="130"/>
              <w:spacing w:after="0"/>
              <w:rPr>
                <w:sz w:val="20"/>
                <w:szCs w:val="20"/>
                <w:color w:val="auto"/>
              </w:rPr>
            </w:pPr>
            <w:r>
              <w:rPr>
                <w:rFonts w:ascii="Arial" w:cs="Arial" w:eastAsia="Arial" w:hAnsi="Arial"/>
                <w:sz w:val="14"/>
                <w:szCs w:val="14"/>
                <w:b w:val="1"/>
                <w:bCs w:val="1"/>
                <w:color w:val="auto"/>
                <w:w w:val="88"/>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U.S. Treasury securities - fair value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90"/>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22"/>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Offsetting Assets and Liabilities</w:t>
      </w:r>
    </w:p>
    <w:p>
      <w:pPr>
        <w:spacing w:after="0" w:line="17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2023 and December 31, 2022 (in millions):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20" w:type="dxa"/>
            <w:vAlign w:val="bottom"/>
            <w:gridSpan w:val="9"/>
          </w:tcPr>
          <w:p>
            <w:pPr>
              <w:jc w:val="right"/>
              <w:ind w:right="50"/>
              <w:spacing w:after="0"/>
              <w:rPr>
                <w:sz w:val="20"/>
                <w:szCs w:val="20"/>
                <w:color w:val="auto"/>
              </w:rPr>
            </w:pPr>
            <w:r>
              <w:rPr>
                <w:rFonts w:ascii="Arial" w:cs="Arial" w:eastAsia="Arial" w:hAnsi="Arial"/>
                <w:sz w:val="14"/>
                <w:szCs w:val="14"/>
                <w:b w:val="1"/>
                <w:bCs w:val="1"/>
                <w:color w:val="auto"/>
                <w:w w:val="90"/>
              </w:rPr>
              <w:t>Offsetting of Financial and Derivative Assets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Gross Amounts Not Offset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10"/>
              <w:spacing w:after="0" w:line="141"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Gross Amounts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Net Amounts of</w:t>
            </w: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Consolidated Balance Sheets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3"/>
            <w:vMerge w:val="restart"/>
          </w:tcPr>
          <w:p>
            <w:pPr>
              <w:jc w:val="center"/>
              <w:ind w:right="100"/>
              <w:spacing w:after="0" w:line="141" w:lineRule="exact"/>
              <w:rPr>
                <w:sz w:val="20"/>
                <w:szCs w:val="20"/>
                <w:color w:val="auto"/>
              </w:rPr>
            </w:pPr>
            <w:r>
              <w:rPr>
                <w:rFonts w:ascii="Arial" w:cs="Arial" w:eastAsia="Arial" w:hAnsi="Arial"/>
                <w:sz w:val="14"/>
                <w:szCs w:val="14"/>
                <w:b w:val="1"/>
                <w:bCs w:val="1"/>
                <w:color w:val="auto"/>
                <w:w w:val="85"/>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Offset in the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Consolidated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7"/>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Balance Sheets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Instruments</w:t>
            </w:r>
          </w:p>
        </w:tc>
        <w:tc>
          <w:tcPr>
            <w:tcW w:w="180" w:type="dxa"/>
            <w:vAlign w:val="bottom"/>
          </w:tcPr>
          <w:p>
            <w:pPr>
              <w:spacing w:after="0"/>
              <w:rPr>
                <w:sz w:val="17"/>
                <w:szCs w:val="17"/>
                <w:color w:val="auto"/>
              </w:rPr>
            </w:pPr>
          </w:p>
        </w:tc>
        <w:tc>
          <w:tcPr>
            <w:tcW w:w="1040" w:type="dxa"/>
            <w:vAlign w:val="bottom"/>
            <w:gridSpan w:val="2"/>
          </w:tcPr>
          <w:p>
            <w:pPr>
              <w:ind w:left="80"/>
              <w:spacing w:after="0" w:line="197"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40" w:type="dxa"/>
            <w:vAlign w:val="bottom"/>
            <w:gridSpan w:val="2"/>
          </w:tcPr>
          <w:p>
            <w:pPr>
              <w:ind w:left="140"/>
              <w:spacing w:after="0" w:line="197"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40" w:type="dxa"/>
            <w:vAlign w:val="bottom"/>
            <w:gridSpan w:val="2"/>
            <w:shd w:val="clear" w:color="auto" w:fill="CCEEFF"/>
          </w:tcPr>
          <w:p>
            <w:pPr>
              <w:ind w:left="140"/>
              <w:spacing w:after="0" w:line="197" w:lineRule="exact"/>
              <w:rPr>
                <w:sz w:val="20"/>
                <w:szCs w:val="20"/>
                <w:color w:val="auto"/>
              </w:rPr>
            </w:pPr>
            <w:r>
              <w:rPr>
                <w:rFonts w:ascii="Arial" w:cs="Arial" w:eastAsia="Arial" w:hAnsi="Arial"/>
                <w:sz w:val="14"/>
                <w:szCs w:val="14"/>
                <w:color w:val="auto"/>
              </w:rPr>
              <w:t xml:space="preserve">TBA securities, at fair value </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gridSpan w:val="2"/>
          </w:tcPr>
          <w:p>
            <w:pPr>
              <w:ind w:left="140"/>
              <w:spacing w:after="0" w:line="197"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4040" w:type="dxa"/>
            <w:vAlign w:val="bottom"/>
            <w:gridSpan w:val="2"/>
            <w:shd w:val="clear" w:color="auto" w:fill="CCEEFF"/>
          </w:tcPr>
          <w:p>
            <w:pPr>
              <w:ind w:left="140"/>
              <w:spacing w:after="0" w:line="197" w:lineRule="exact"/>
              <w:rPr>
                <w:sz w:val="20"/>
                <w:szCs w:val="20"/>
                <w:color w:val="auto"/>
              </w:rPr>
            </w:pPr>
            <w:r>
              <w:rPr>
                <w:rFonts w:ascii="Arial" w:cs="Arial" w:eastAsia="Arial" w:hAnsi="Arial"/>
                <w:sz w:val="14"/>
                <w:szCs w:val="14"/>
                <w:color w:val="auto"/>
              </w:rPr>
              <w:t xml:space="preserve">TBA securities, at fair value </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28575</wp:posOffset>
            </wp:positionV>
            <wp:extent cx="4546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46600" cy="825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September 30, 2023</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xml:space="preserve">TBA securities, at fair value </w:t>
      </w:r>
      <w:r>
        <w:rPr>
          <w:rFonts w:ascii="Arial" w:cs="Arial" w:eastAsia="Arial" w:hAnsi="Arial"/>
          <w:sz w:val="15"/>
          <w:szCs w:val="15"/>
          <w:color w:val="auto"/>
          <w:vertAlign w:val="superscript"/>
        </w:rPr>
        <w:t>1</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Repurchase agreements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xml:space="preserve">TBA securities, at fair value </w:t>
      </w:r>
      <w:r>
        <w:rPr>
          <w:rFonts w:ascii="Arial" w:cs="Arial" w:eastAsia="Arial" w:hAnsi="Arial"/>
          <w:sz w:val="15"/>
          <w:szCs w:val="15"/>
          <w:color w:val="auto"/>
          <w:vertAlign w:val="superscript"/>
        </w:rPr>
        <w:t>1</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Repurchase agreements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w:t>
      </w:r>
    </w:p>
    <w:p>
      <w:pPr>
        <w:spacing w:after="0" w:line="16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614"/>
              <w:spacing w:after="0" w:line="141" w:lineRule="exact"/>
              <w:rPr>
                <w:sz w:val="20"/>
                <w:szCs w:val="20"/>
                <w:color w:val="auto"/>
              </w:rPr>
            </w:pPr>
            <w:r>
              <w:rPr>
                <w:rFonts w:ascii="Arial" w:cs="Arial" w:eastAsia="Arial" w:hAnsi="Arial"/>
                <w:sz w:val="14"/>
                <w:szCs w:val="14"/>
                <w:b w:val="1"/>
                <w:bCs w:val="1"/>
                <w:color w:val="auto"/>
                <w:w w:val="90"/>
              </w:rPr>
              <w:t>in the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Gross Amounts</w:t>
            </w: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Net Amounts of</w:t>
            </w:r>
          </w:p>
        </w:tc>
        <w:tc>
          <w:tcPr>
            <w:tcW w:w="12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200"/>
              <w:spacing w:after="0" w:line="141" w:lineRule="exact"/>
              <w:rPr>
                <w:sz w:val="20"/>
                <w:szCs w:val="20"/>
                <w:color w:val="auto"/>
              </w:rPr>
            </w:pPr>
            <w:r>
              <w:rPr>
                <w:rFonts w:ascii="Arial" w:cs="Arial" w:eastAsia="Arial" w:hAnsi="Arial"/>
                <w:sz w:val="14"/>
                <w:szCs w:val="14"/>
                <w:b w:val="1"/>
                <w:bCs w:val="1"/>
                <w:color w:val="auto"/>
                <w:w w:val="92"/>
              </w:rPr>
              <w:t>Liabilities</w:t>
            </w: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1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Offset in the</w:t>
            </w: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Presented in the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Financial</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Collateral Pledged</w:t>
            </w:r>
          </w:p>
        </w:tc>
        <w:tc>
          <w:tcPr>
            <w:tcW w:w="120" w:type="dxa"/>
            <w:vAlign w:val="bottom"/>
          </w:tcPr>
          <w:p>
            <w:pPr>
              <w:spacing w:after="0"/>
              <w:rPr>
                <w:sz w:val="15"/>
                <w:szCs w:val="15"/>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04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Liabilities</w:t>
            </w:r>
          </w:p>
        </w:tc>
        <w:tc>
          <w:tcPr>
            <w:tcW w:w="100" w:type="dxa"/>
            <w:vAlign w:val="bottom"/>
          </w:tcPr>
          <w:p>
            <w:pPr>
              <w:spacing w:after="0"/>
              <w:rPr>
                <w:sz w:val="4"/>
                <w:szCs w:val="4"/>
                <w:color w:val="auto"/>
              </w:rPr>
            </w:pPr>
          </w:p>
        </w:tc>
        <w:tc>
          <w:tcPr>
            <w:tcW w:w="120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Balance Sheets</w:t>
            </w: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Balance Sheets</w:t>
            </w:r>
          </w:p>
        </w:tc>
        <w:tc>
          <w:tcPr>
            <w:tcW w:w="120" w:type="dxa"/>
            <w:vAlign w:val="bottom"/>
          </w:tcPr>
          <w:p>
            <w:pPr>
              <w:spacing w:after="0"/>
              <w:rPr>
                <w:sz w:val="4"/>
                <w:szCs w:val="4"/>
                <w:color w:val="auto"/>
              </w:rPr>
            </w:pPr>
          </w:p>
        </w:tc>
        <w:tc>
          <w:tcPr>
            <w:tcW w:w="106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Instruments</w:t>
            </w:r>
          </w:p>
        </w:tc>
        <w:tc>
          <w:tcPr>
            <w:tcW w:w="360" w:type="dxa"/>
            <w:vAlign w:val="bottom"/>
          </w:tcPr>
          <w:p>
            <w:pPr>
              <w:spacing w:after="0"/>
              <w:rPr>
                <w:sz w:val="4"/>
                <w:szCs w:val="4"/>
                <w:color w:val="auto"/>
              </w:rPr>
            </w:pPr>
          </w:p>
        </w:tc>
        <w:tc>
          <w:tcPr>
            <w:tcW w:w="800" w:type="dxa"/>
            <w:vAlign w:val="bottom"/>
            <w:vMerge w:val="restart"/>
          </w:tcPr>
          <w:p>
            <w:pPr>
              <w:jc w:val="right"/>
              <w:ind w:right="494"/>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52,107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52,107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52,162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52,162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(6,111)</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36,262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36,262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36,361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36,361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(32,255)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-948690</wp:posOffset>
            </wp:positionV>
            <wp:extent cx="7077710" cy="125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7710" cy="12509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-673735</wp:posOffset>
            </wp:positionV>
            <wp:extent cx="7077710" cy="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7710" cy="13335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-415925</wp:posOffset>
            </wp:positionV>
            <wp:extent cx="7077710" cy="125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7710" cy="12509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-165735</wp:posOffset>
            </wp:positionV>
            <wp:extent cx="7077710"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7710" cy="14986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-1206500</wp:posOffset>
            </wp:positionV>
            <wp:extent cx="7077710" cy="133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7710" cy="13335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3320" w:space="720"/>
            <w:col w:w="7200"/>
          </w:cols>
          <w:pgMar w:left="320" w:top="1061" w:right="339" w:bottom="1440" w:gutter="0" w:footer="0" w:header="0"/>
          <w:type w:val="continuous"/>
        </w:sectPr>
      </w:pPr>
    </w:p>
    <w:p>
      <w:pPr>
        <w:ind w:left="640" w:right="140" w:hanging="320"/>
        <w:spacing w:after="0" w:line="243"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40" w:right="100" w:hanging="320"/>
        <w:spacing w:after="0" w:line="268"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Measurements</w:t>
      </w:r>
    </w:p>
    <w:p>
      <w:pPr>
        <w:spacing w:after="0" w:line="178"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September 30, 2023 and December 31, 2022,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September 30, 2023</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2</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55,758</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39,346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line="206" w:lineRule="exact"/>
              <w:rPr>
                <w:sz w:val="20"/>
                <w:szCs w:val="20"/>
                <w:color w:val="auto"/>
              </w:rPr>
            </w:pPr>
            <w:r>
              <w:rPr>
                <w:rFonts w:ascii="Arial" w:cs="Arial" w:eastAsia="Arial" w:hAnsi="Arial"/>
                <w:sz w:val="14"/>
                <w:szCs w:val="14"/>
                <w:color w:val="auto"/>
              </w:rPr>
              <w:t xml:space="preserve">Interest rate swaps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68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of consolidated VIEs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4680" w:type="dxa"/>
            <w:vAlign w:val="bottom"/>
          </w:tcPr>
          <w:p>
            <w:pPr>
              <w:ind w:left="180"/>
              <w:spacing w:after="0" w:line="131" w:lineRule="exact"/>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repurchase agreements</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line="206" w:lineRule="exact"/>
              <w:rPr>
                <w:sz w:val="20"/>
                <w:szCs w:val="20"/>
                <w:color w:val="auto"/>
              </w:rPr>
            </w:pPr>
            <w:r>
              <w:rPr>
                <w:rFonts w:ascii="Arial" w:cs="Arial" w:eastAsia="Arial" w:hAnsi="Arial"/>
                <w:sz w:val="14"/>
                <w:szCs w:val="14"/>
                <w:color w:val="auto"/>
              </w:rPr>
              <w:t xml:space="preserve">Credit default swaps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680" w:type="dxa"/>
            <w:vAlign w:val="bottom"/>
          </w:tcPr>
          <w:p>
            <w:pPr>
              <w:ind w:left="180"/>
              <w:spacing w:after="0"/>
              <w:rPr>
                <w:sz w:val="20"/>
                <w:szCs w:val="20"/>
                <w:color w:val="auto"/>
              </w:rPr>
            </w:pPr>
            <w:r>
              <w:rPr>
                <w:rFonts w:ascii="Arial" w:cs="Arial" w:eastAsia="Arial" w:hAnsi="Arial"/>
                <w:sz w:val="14"/>
                <w:szCs w:val="14"/>
                <w:color w:val="auto"/>
              </w:rPr>
              <w:t>SOFR Futures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p>
    <w:p>
      <w:pPr>
        <w:jc w:val="both"/>
        <w:ind w:left="640" w:hanging="320"/>
        <w:spacing w:after="0" w:line="331" w:lineRule="auto"/>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As of September 30, 2023 and December 31, 2022, the net fair value of our interest rate swaps excluding the recognition of variation margin settlements as a direct reduction of carrying value was a net asset (liability) of $4.2 billion and $4.5 billion, respectively, based on "Level 2" inputs. As of September 30, 2023 and December 31, 2022, the net fair value of our credit default swaps excluding the recognition of variation margin settlements was $(2) million and $(2) million, respectively, based on "Level 2" inputs. See Notes 2 and 5 for additional details.</w:t>
      </w:r>
    </w:p>
    <w:p>
      <w:pPr>
        <w:spacing w:after="0" w:line="248"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Excluded from the table above are financial instruments reported at cost and other mortgage credit investments reported under the equity method of accounting in our consolidated financial statements. As of September 30, 2023 and December 31, 2022,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September 30, 2023 and December 31, 2022, the carrying value of other mortgage credit investments reported under the equity method of accounting was $45 million and $25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Income (Loss) Per Common Share</w:t>
      </w:r>
    </w:p>
    <w:p>
      <w:pPr>
        <w:spacing w:after="0" w:line="256"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Nine Months Ended September</w:t>
            </w:r>
          </w:p>
        </w:tc>
      </w:tr>
      <w:tr>
        <w:trPr>
          <w:trHeight w:val="190"/>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00" w:type="dxa"/>
            <w:vAlign w:val="bottom"/>
          </w:tcPr>
          <w:p>
            <w:pPr>
              <w:spacing w:after="0"/>
              <w:rPr>
                <w:sz w:val="16"/>
                <w:szCs w:val="16"/>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2022</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r>
      <w:tr>
        <w:trPr>
          <w:trHeight w:val="19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w:t>
            </w:r>
          </w:p>
        </w:tc>
      </w:tr>
      <w:tr>
        <w:trPr>
          <w:trHeight w:val="190"/>
        </w:trPr>
        <w:tc>
          <w:tcPr>
            <w:tcW w:w="734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734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734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For the three months ended September 30, 2023 and 2022, 1.3 million and 1.1 million, respectively, and, for the nine months ended September 30, 2023 and 2022, 1.1 million and 1.1 million, respectively, of potentially dilutive unvested time and performance based RSUs outstanding were excluded from the computation of diluted net income (loss) per common share because to do so would have been anti-dilutive for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September 30, 2023 and December 31, 2022,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September 30, 2023 and December 31, 2022,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2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following table includes a summary of preferred stock depositary shares issued and outstanding as of September 30, 2023 (dollars and shares in millions):</w:t>
      </w:r>
    </w:p>
    <w:p>
      <w:pPr>
        <w:spacing w:after="0" w:line="11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Depositary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Cumulative Redeemable</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920" w:type="dxa"/>
            <w:vAlign w:val="bottom"/>
          </w:tcPr>
          <w:p>
            <w:pPr>
              <w:jc w:val="center"/>
              <w:ind w:right="52"/>
              <w:spacing w:after="0" w:line="145"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Per Annum</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First Optional</w:t>
            </w:r>
          </w:p>
        </w:tc>
        <w:tc>
          <w:tcPr>
            <w:tcW w:w="0" w:type="dxa"/>
            <w:vAlign w:val="bottom"/>
          </w:tcPr>
          <w:p>
            <w:pPr>
              <w:spacing w:after="0"/>
              <w:rPr>
                <w:sz w:val="1"/>
                <w:szCs w:val="1"/>
                <w:color w:val="auto"/>
              </w:rPr>
            </w:pPr>
          </w:p>
        </w:tc>
      </w:tr>
      <w:tr>
        <w:trPr>
          <w:trHeight w:val="131"/>
        </w:trPr>
        <w:tc>
          <w:tcPr>
            <w:tcW w:w="190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2"/>
              <w:spacing w:after="0" w:line="131" w:lineRule="exact"/>
              <w:rPr>
                <w:sz w:val="20"/>
                <w:szCs w:val="20"/>
                <w:color w:val="auto"/>
              </w:rPr>
            </w:pPr>
            <w:r>
              <w:rPr>
                <w:rFonts w:ascii="Arial" w:cs="Arial" w:eastAsia="Arial" w:hAnsi="Arial"/>
                <w:sz w:val="14"/>
                <w:szCs w:val="14"/>
                <w:b w:val="1"/>
                <w:bCs w:val="1"/>
                <w:color w:val="auto"/>
                <w:w w:val="90"/>
              </w:rPr>
              <w:t>Liquidation</w:t>
            </w:r>
          </w:p>
        </w:tc>
        <w:tc>
          <w:tcPr>
            <w:tcW w:w="11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7"/>
              </w:rPr>
              <w:t>Dividend</w:t>
            </w:r>
          </w:p>
        </w:tc>
        <w:tc>
          <w:tcPr>
            <w:tcW w:w="15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Redemption Date /</w:t>
            </w:r>
          </w:p>
        </w:tc>
        <w:tc>
          <w:tcPr>
            <w:tcW w:w="0" w:type="dxa"/>
            <w:vAlign w:val="bottom"/>
          </w:tcPr>
          <w:p>
            <w:pPr>
              <w:spacing w:after="0"/>
              <w:rPr>
                <w:sz w:val="1"/>
                <w:szCs w:val="1"/>
                <w:color w:val="auto"/>
              </w:rPr>
            </w:pPr>
          </w:p>
        </w:tc>
      </w:tr>
      <w:tr>
        <w:trPr>
          <w:trHeight w:val="197"/>
        </w:trPr>
        <w:tc>
          <w:tcPr>
            <w:tcW w:w="1900" w:type="dxa"/>
            <w:vAlign w:val="bottom"/>
            <w:gridSpan w:val="2"/>
          </w:tcPr>
          <w:p>
            <w:pPr>
              <w:ind w:left="400"/>
              <w:spacing w:after="0"/>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7"/>
                <w:szCs w:val="17"/>
                <w:b w:val="1"/>
                <w:bCs w:val="1"/>
                <w:color w:val="auto"/>
                <w:vertAlign w:val="superscript"/>
              </w:rPr>
              <w:t>1</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Issue Date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7"/>
                <w:szCs w:val="17"/>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Preference</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 xml:space="preserve">Rate </w:t>
            </w:r>
            <w:r>
              <w:rPr>
                <w:rFonts w:ascii="Arial" w:cs="Arial" w:eastAsia="Arial" w:hAnsi="Arial"/>
                <w:sz w:val="17"/>
                <w:szCs w:val="17"/>
                <w:b w:val="1"/>
                <w:bCs w:val="1"/>
                <w:color w:val="auto"/>
                <w:w w:val="79"/>
                <w:vertAlign w:val="superscript"/>
              </w:rPr>
              <w:t>2,3</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 xml:space="preserve">Conversion Date </w:t>
            </w:r>
            <w:r>
              <w:rPr>
                <w:rFonts w:ascii="Arial" w:cs="Arial" w:eastAsia="Arial" w:hAnsi="Arial"/>
                <w:sz w:val="17"/>
                <w:szCs w:val="17"/>
                <w:b w:val="1"/>
                <w:bCs w:val="1"/>
                <w:color w:val="auto"/>
                <w:w w:val="85"/>
                <w:vertAlign w:val="superscript"/>
              </w:rPr>
              <w:t>3,4</w:t>
            </w:r>
          </w:p>
        </w:tc>
        <w:tc>
          <w:tcPr>
            <w:tcW w:w="0" w:type="dxa"/>
            <w:vAlign w:val="bottom"/>
          </w:tcPr>
          <w:p>
            <w:pPr>
              <w:spacing w:after="0"/>
              <w:rPr>
                <w:sz w:val="1"/>
                <w:szCs w:val="1"/>
                <w:color w:val="auto"/>
              </w:rPr>
            </w:pPr>
          </w:p>
        </w:tc>
      </w:tr>
      <w:tr>
        <w:trPr>
          <w:trHeight w:val="177"/>
        </w:trPr>
        <w:tc>
          <w:tcPr>
            <w:tcW w:w="1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Series C</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August 22, 2017</w:t>
            </w: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325</w:t>
            </w:r>
          </w:p>
        </w:tc>
        <w:tc>
          <w:tcPr>
            <w:tcW w:w="1040" w:type="dxa"/>
            <w:vAlign w:val="bottom"/>
          </w:tcPr>
          <w:p>
            <w:pPr>
              <w:jc w:val="center"/>
              <w:ind w:left="52"/>
              <w:spacing w:after="0"/>
              <w:rPr>
                <w:sz w:val="20"/>
                <w:szCs w:val="20"/>
                <w:color w:val="auto"/>
              </w:rPr>
            </w:pPr>
            <w:r>
              <w:rPr>
                <w:rFonts w:ascii="Arial" w:cs="Arial" w:eastAsia="Arial" w:hAnsi="Arial"/>
                <w:sz w:val="14"/>
                <w:szCs w:val="14"/>
                <w:color w:val="auto"/>
                <w:w w:val="86"/>
              </w:rPr>
              <w:t>10.683%</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8"/>
              </w:rPr>
              <w:t>October 15, 2022</w:t>
            </w:r>
          </w:p>
        </w:tc>
        <w:tc>
          <w:tcPr>
            <w:tcW w:w="0" w:type="dxa"/>
            <w:vAlign w:val="bottom"/>
          </w:tcPr>
          <w:p>
            <w:pPr>
              <w:spacing w:after="0"/>
              <w:rPr>
                <w:sz w:val="1"/>
                <w:szCs w:val="1"/>
                <w:color w:val="auto"/>
              </w:rPr>
            </w:pPr>
          </w:p>
        </w:tc>
      </w:tr>
      <w:tr>
        <w:trPr>
          <w:trHeight w:val="189"/>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D</w:t>
            </w:r>
          </w:p>
        </w:tc>
        <w:tc>
          <w:tcPr>
            <w:tcW w:w="15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March 6, 2019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4"/>
              </w:rPr>
              <w:t>6.875%</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April 15, 2024</w:t>
            </w:r>
          </w:p>
        </w:tc>
        <w:tc>
          <w:tcPr>
            <w:tcW w:w="0" w:type="dxa"/>
            <w:vAlign w:val="bottom"/>
          </w:tcPr>
          <w:p>
            <w:pPr>
              <w:spacing w:after="0"/>
              <w:rPr>
                <w:sz w:val="1"/>
                <w:szCs w:val="1"/>
                <w:color w:val="auto"/>
              </w:rPr>
            </w:pPr>
          </w:p>
        </w:tc>
      </w:tr>
      <w:tr>
        <w:trPr>
          <w:trHeight w:val="178"/>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Series 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October 3, 2019</w:t>
            </w: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403</w:t>
            </w:r>
          </w:p>
        </w:tc>
        <w:tc>
          <w:tcPr>
            <w:tcW w:w="1040" w:type="dxa"/>
            <w:vAlign w:val="bottom"/>
          </w:tcPr>
          <w:p>
            <w:pPr>
              <w:jc w:val="center"/>
              <w:ind w:left="52"/>
              <w:spacing w:after="0"/>
              <w:rPr>
                <w:sz w:val="20"/>
                <w:szCs w:val="20"/>
                <w:color w:val="auto"/>
              </w:rPr>
            </w:pPr>
            <w:r>
              <w:rPr>
                <w:rFonts w:ascii="Arial" w:cs="Arial" w:eastAsia="Arial" w:hAnsi="Arial"/>
                <w:sz w:val="14"/>
                <w:szCs w:val="14"/>
                <w:color w:val="auto"/>
                <w:w w:val="84"/>
              </w:rPr>
              <w:t>6.500%</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8"/>
              </w:rPr>
              <w:t>October 15, 2024</w:t>
            </w:r>
          </w:p>
        </w:tc>
        <w:tc>
          <w:tcPr>
            <w:tcW w:w="0" w:type="dxa"/>
            <w:vAlign w:val="bottom"/>
          </w:tcPr>
          <w:p>
            <w:pPr>
              <w:spacing w:after="0"/>
              <w:rPr>
                <w:sz w:val="1"/>
                <w:szCs w:val="1"/>
                <w:color w:val="auto"/>
              </w:rPr>
            </w:pPr>
          </w:p>
        </w:tc>
      </w:tr>
      <w:tr>
        <w:trPr>
          <w:trHeight w:val="189"/>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F</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February 11,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4"/>
              </w:rPr>
              <w:t>6.125%</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April 15, 2025</w:t>
            </w:r>
          </w:p>
        </w:tc>
        <w:tc>
          <w:tcPr>
            <w:tcW w:w="0" w:type="dxa"/>
            <w:vAlign w:val="bottom"/>
          </w:tcPr>
          <w:p>
            <w:pPr>
              <w:spacing w:after="0"/>
              <w:rPr>
                <w:sz w:val="1"/>
                <w:szCs w:val="1"/>
                <w:color w:val="auto"/>
              </w:rPr>
            </w:pPr>
          </w:p>
        </w:tc>
      </w:tr>
      <w:tr>
        <w:trPr>
          <w:trHeight w:val="178"/>
        </w:trPr>
        <w:tc>
          <w:tcPr>
            <w:tcW w:w="1900" w:type="dxa"/>
            <w:vAlign w:val="bottom"/>
            <w:gridSpan w:val="2"/>
          </w:tcPr>
          <w:p>
            <w:pPr>
              <w:ind w:left="60"/>
              <w:spacing w:after="0"/>
              <w:rPr>
                <w:sz w:val="20"/>
                <w:szCs w:val="20"/>
                <w:color w:val="auto"/>
              </w:rPr>
            </w:pPr>
            <w:r>
              <w:rPr>
                <w:rFonts w:ascii="Arial" w:cs="Arial" w:eastAsia="Arial" w:hAnsi="Arial"/>
                <w:sz w:val="14"/>
                <w:szCs w:val="14"/>
                <w:color w:val="auto"/>
              </w:rPr>
              <w:t>Fixed-Rate Reset: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G</w:t>
            </w:r>
          </w:p>
        </w:tc>
        <w:tc>
          <w:tcPr>
            <w:tcW w:w="15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5"/>
              </w:rPr>
              <w:t>September 14,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4"/>
              </w:rPr>
              <w:t>7.750%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October 15, 2027</w:t>
            </w:r>
          </w:p>
        </w:tc>
        <w:tc>
          <w:tcPr>
            <w:tcW w:w="0" w:type="dxa"/>
            <w:vAlign w:val="bottom"/>
          </w:tcPr>
          <w:p>
            <w:pPr>
              <w:spacing w:after="0"/>
              <w:rPr>
                <w:sz w:val="1"/>
                <w:szCs w:val="1"/>
                <w:color w:val="auto"/>
              </w:rPr>
            </w:pPr>
          </w:p>
        </w:tc>
      </w:tr>
      <w:tr>
        <w:trPr>
          <w:trHeight w:val="171"/>
        </w:trPr>
        <w:tc>
          <w:tcPr>
            <w:tcW w:w="1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jc w:val="both"/>
        <w:ind w:left="640" w:hanging="320"/>
        <w:spacing w:after="0" w:line="247"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40" w:hanging="320"/>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Series C per annum dividend rate represents the dividend rate in effect as of September 30, 2023.</w:t>
      </w:r>
    </w:p>
    <w:p>
      <w:pPr>
        <w:spacing w:after="0" w:line="9" w:lineRule="exact"/>
        <w:rPr>
          <w:rFonts w:ascii="Arial" w:cs="Arial" w:eastAsia="Arial" w:hAnsi="Arial"/>
          <w:sz w:val="14"/>
          <w:szCs w:val="14"/>
          <w:color w:val="auto"/>
        </w:rPr>
      </w:pPr>
    </w:p>
    <w:p>
      <w:pPr>
        <w:ind w:left="640" w:hanging="320"/>
        <w:spacing w:after="0" w:line="26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Series C dividend accrues at a rate equal to the 3-Month CME Term SOFR plus 0.26161%, plus a spread of 5.111%, per annum, resetting quarterly in accordance with the certificate of designations for such series and the Adjustable Interest Rate (LIBOR) Act of 2021 (the “LIBOR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4" w:name="page25"/>
    <w:bookmarkEnd w:id="24"/>
    <w:p>
      <w:pPr>
        <w:jc w:val="both"/>
        <w:ind w:left="640"/>
        <w:spacing w:after="0" w:line="252" w:lineRule="auto"/>
        <w:rPr>
          <w:sz w:val="20"/>
          <w:szCs w:val="20"/>
          <w:color w:val="auto"/>
        </w:rPr>
      </w:pPr>
      <w:r>
        <w:rPr>
          <w:rFonts w:ascii="Arial" w:cs="Arial" w:eastAsia="Arial" w:hAnsi="Arial"/>
          <w:sz w:val="14"/>
          <w:szCs w:val="14"/>
          <w:color w:val="auto"/>
        </w:rPr>
        <w:t>Act”). At the conclusion of the fixed rate period (the conversion date) for each of the Series D, E, and F Preferred Stock, the dividend for such series will accrue at a rate equal to the 3-Month CME Term SOFR plus 0.26161%, plus a spread of 4.332%,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1" w:lineRule="exact"/>
        <w:rPr>
          <w:sz w:val="20"/>
          <w:szCs w:val="20"/>
          <w:color w:val="auto"/>
        </w:rPr>
      </w:pPr>
    </w:p>
    <w:p>
      <w:pPr>
        <w:ind w:left="640" w:hanging="320"/>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 Program</w:t>
      </w:r>
    </w:p>
    <w:p>
      <w:pPr>
        <w:spacing w:after="0" w:line="17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nine months ended September 30, 2023, we sold 44.7 million and 72.6 million shares, respectively, of our common stock under the sales agreements for proceeds of $432 million and $709 million, respectively, or $9.67 and $9.77 per common share, respectively, net of offering costs. As of September 30, 2023, shares of our common stock with an aggregate offering price of $5 million remained authorized for issuance under this program through June 11, 2024. See Note 10. Subsequent Event for additional information regarding our at-the-market offering program.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Repurchase Program</w:t>
      </w:r>
    </w:p>
    <w:p>
      <w:pPr>
        <w:spacing w:after="0" w:line="17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As of September 30, 2023, shares of our common stock with an aggregate repurchase price of $1 billion remained authorized for repurchase through December 31, 2024.</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2023 and 2022 (in millions):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7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4"/>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31"/>
        </w:trPr>
        <w:tc>
          <w:tcPr>
            <w:tcW w:w="7220" w:type="dxa"/>
            <w:vAlign w:val="bottom"/>
            <w:gridSpan w:val="2"/>
          </w:tcPr>
          <w:p>
            <w:pPr>
              <w:ind w:left="180"/>
              <w:spacing w:after="0" w:line="131" w:lineRule="exact"/>
              <w:rPr>
                <w:sz w:val="20"/>
                <w:szCs w:val="20"/>
                <w:color w:val="auto"/>
              </w:rPr>
            </w:pPr>
            <w:r>
              <w:rPr>
                <w:rFonts w:ascii="Arial" w:cs="Arial" w:eastAsia="Arial" w:hAnsi="Arial"/>
                <w:sz w:val="14"/>
                <w:szCs w:val="14"/>
                <w:color w:val="auto"/>
                <w:w w:val="97"/>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0"/>
        </w:trPr>
        <w:tc>
          <w:tcPr>
            <w:tcW w:w="7220" w:type="dxa"/>
            <w:vAlign w:val="bottom"/>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Subsequent Event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 Program</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During October 2023, we established a new at-the-market offering program (see Note 9. Stockholders' Equity). Our Board of Directors authorized us to enter into agreements with sales agents to publicly offer and sell shares of our common stock in privately negotiated and/or at-the-market transactions from time-to-time up to a maximum aggregate offering price of our common stock of $1.25 billion through December 31,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2023. Our MD&amp;A is presented in the following sections:</w:t>
      </w:r>
    </w:p>
    <w:p>
      <w:pPr>
        <w:spacing w:after="0" w:line="58"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Executive Overview</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Condition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Off-Balance Sheet Arrangements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78"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3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4"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Recent Market Impacts</w:t>
      </w:r>
    </w:p>
    <w:p>
      <w:pPr>
        <w:spacing w:after="0" w:line="178"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The third quarter of 2023 began relatively favorably for both U.S. Treasuries and Agency RMBS as inflation data continued to exhibit a downward trend and stress in the regional bank sector from earlier in the year abated. As the quarter progressed, however, a complex set of domestic and global factors, including heightened geopolitical risks, increased U.S. Treasury issuance and a restrictive monetary policy, led to a decidedly negative shift in bond market sentiment and drove interest rates and interest rate volatility materially higher. For the third quarter, the U.S. Treasury yield curve steepened significantly, with the 5- and 10-year Treasury yields increasing by 45 and 73 basis points, respectively, while two-year yields moved only modestly higher.</w:t>
      </w:r>
    </w:p>
    <w:p>
      <w:pPr>
        <w:spacing w:after="0" w:line="11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Typically, in environments where Treasury prices drop abruptly and the market struggles to find its new equilibrium, Agency RMBS underperform. This was the case in the third quarter, as Agency RMBS performance relative to benchmark rates lagged considerably. Agency RMBS spreads to comparable duration U.S. Treasuries widened 20 to 25 basis points across most of the coupon stack. The performance of Agency RMBS also varied greatly depending on hedge position as a result of the sharp steepening of the yield curve. The performance of Agency RMBS also varied across the coupon stack, with lower and middle coupons substantially underperforming higher coupons.</w:t>
      </w:r>
    </w:p>
    <w:p>
      <w:pPr>
        <w:spacing w:after="0" w:line="12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This significant rate volatility and spread widening resulted in our economic loss of (10.1)% for the third quarter, comprised of $0.36 of dividends declared per common share and a $(1.31) decline in our tangible net book value per common share.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jc w:val="both"/>
        <w:ind w:firstLine="393"/>
        <w:spacing w:after="0" w:line="265" w:lineRule="auto"/>
        <w:rPr>
          <w:sz w:val="20"/>
          <w:szCs w:val="20"/>
          <w:color w:val="auto"/>
        </w:rPr>
      </w:pPr>
      <w:r>
        <w:rPr>
          <w:rFonts w:ascii="Arial" w:cs="Arial" w:eastAsia="Arial" w:hAnsi="Arial"/>
          <w:sz w:val="17"/>
          <w:szCs w:val="17"/>
          <w:color w:val="auto"/>
        </w:rPr>
        <w:t>Our investment portfolio increased modestly during the third quarter, growing from $58.0 billion at the end of the second quarter to $59.3 billion as of September 30, 2023. We continued to move our holdings up in coupon to benefit from more attractive yields and wider spreads. We also reduced our TBA position in favor of high-quality and low pay-up specified pools as the funding advantage of holding TBAs versus on-balance sheet Agency RMBS holdings dissipated. The weighted average coupon on our fixed-rate Agency RMBS and TBA securities was 4.71% as of the end of the quarter, compared to 4.42% as of June 30, 2023.</w:t>
      </w:r>
    </w:p>
    <w:p>
      <w:pPr>
        <w:spacing w:after="0" w:line="127"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Our hedge portfolio totaled $63.2 billion as of September 30, 2023, or 116% of our funding liabilities (investment securities repurchase agreements, net TBA position (at cost) and other debt outstanding), compared to 119% as of June 30, 2023. Higher mortgage rates extended the duration of our assets, and we accordingly increased the duration of our hedge portfolio primarily by adding Treasury-based hedges at the 10-year point of the yield curve. As a result, our duration gap, which measures the estimated difference between the interest rate sensitivity of our assets and our liabilities, inclusive of interest rate hedges, was reduced to 0.2 years as of September 30, 2023 from 0.4 years as of June 30, 2023.</w:t>
      </w:r>
    </w:p>
    <w:p>
      <w:pPr>
        <w:spacing w:after="0" w:line="127"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Despite the decline in our tangible net book value, our "at-risk" leverage ratio experienced only a moderate increase to end the quarter at 7.9x tangible equity as of September 30, 2023, from 7.2x as of June 30, 2023, with average leverage for the third quarter at 7.5x compared to 7.2x for the second quarter. Our liquidity position remained strong throughout the third quarter and in line with our typical operating parameters. As of September 30, 2023, we had unencumbered cash and Agency RMBS totaling $3.6 billion, or 52% of our tangible equity. Additionally, during the quarter, we issued $432 million of common equity through our at-the-market offering program at a price to book premium that was accretive to our tangible net book value.</w:t>
      </w:r>
    </w:p>
    <w:p>
      <w:pPr>
        <w:spacing w:after="0" w:line="110"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Net spread and dollar roll income, excluding "catch-up" amortization, was $0.65 per common share for the third quarter, a decrease of $0.02 per common share from the second quarter, due primarily to a decline in our net interest rate spread to 303 basis points for the quarter. The average projected life CPR on our portfolio decreased to 8.3% at the end of the third quarter from 9.8% at the end of the second quarter, reflecting the impact of higher interest rates. Actual CPRs for the quarter averaged 7.1%, compared to 6.6% for the second quarter.</w:t>
      </w:r>
    </w:p>
    <w:p>
      <w:pPr>
        <w:spacing w:after="0" w:line="124"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Looking ahead, although elevated interest rate and spread volatility pose near-term risks and may negatively impact our financial performance over the short-run, we continue to believe that the longer-term outlook for Agency RMBS remains favorable, with spreads likely to remain well above historical averages. Additionally, the repo financing market for Agency RMBS remains deep and liquid. At current spread levels, we believe our portfolio is well-positioned to generate attractive returns, either through strong earnings if mortgage spreads remain at these elevated levels or a combination of favorable earnings and net book value appreciation if mortgage spreads should tighten over time.</w:t>
      </w:r>
    </w:p>
    <w:p>
      <w:pPr>
        <w:spacing w:after="0" w:line="12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in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benchmark interest rates and prices of generic fixed rate Agency RMBS as of each date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Sept. 30, 2023</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Sept. 30, 2023</w:t>
            </w:r>
          </w:p>
        </w:tc>
        <w:tc>
          <w:tcPr>
            <w:tcW w:w="0" w:type="dxa"/>
            <w:vAlign w:val="bottom"/>
          </w:tcPr>
          <w:p>
            <w:pPr>
              <w:spacing w:after="0"/>
              <w:rPr>
                <w:sz w:val="1"/>
                <w:szCs w:val="1"/>
                <w:color w:val="auto"/>
              </w:rPr>
            </w:pPr>
          </w:p>
        </w:tc>
      </w:tr>
      <w:tr>
        <w:trPr>
          <w:trHeight w:val="141"/>
        </w:trPr>
        <w:tc>
          <w:tcPr>
            <w:tcW w:w="41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tcPr>
          <w:p>
            <w:pPr>
              <w:jc w:val="center"/>
              <w:ind w:right="660"/>
              <w:spacing w:after="0" w:line="141"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2"/>
                <w:szCs w:val="12"/>
                <w:color w:val="auto"/>
              </w:rPr>
            </w:pPr>
          </w:p>
        </w:tc>
        <w:tc>
          <w:tcPr>
            <w:tcW w:w="640" w:type="dxa"/>
            <w:vAlign w:val="bottom"/>
          </w:tcPr>
          <w:p>
            <w:pPr>
              <w:jc w:val="center"/>
              <w:ind w:right="450"/>
              <w:spacing w:after="0" w:line="141"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June 30, 2023</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2022</w:t>
            </w:r>
          </w:p>
        </w:tc>
        <w:tc>
          <w:tcPr>
            <w:tcW w:w="0" w:type="dxa"/>
            <w:vAlign w:val="bottom"/>
          </w:tcPr>
          <w:p>
            <w:pPr>
              <w:spacing w:after="0"/>
              <w:rPr>
                <w:sz w:val="1"/>
                <w:szCs w:val="1"/>
                <w:color w:val="auto"/>
              </w:rPr>
            </w:pPr>
          </w:p>
        </w:tc>
      </w:tr>
      <w:tr>
        <w:trPr>
          <w:trHeight w:val="190"/>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5.25%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5.50%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+100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2.98%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4.87%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5.09%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5.31%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4.97%</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3.59%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3.56%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3.17%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4.27%</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4.01%</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0"/>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5.05%</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4.09%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4.01%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4.61%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+60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3.78%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4.70%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$83.94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$84.96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$86.16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$84.77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$79.39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-$5.38</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-$5.57</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$86.97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$88.02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$89.63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$88.01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$82.75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-$5.26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-$5.27</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$89.95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$91.10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$92.82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$91.11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$86.02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-$5.09</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-$5.08</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$92.73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$94.03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$95.59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$93.84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$89.09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-$4.75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-$4.94</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$95.21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$96.59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$97.92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$96.14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$91.85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-$4.29</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-$4.74</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$97.39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$98.80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$99.69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$94.39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-$3.61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-$4.41</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$99.46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$100.47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$101.00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$99.55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$96.68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-$2.87</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-$3.79</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$101.61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$101.69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$102.08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$100.88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-$2.14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-$2.95</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$102.83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$102.57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$102.12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$100.52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-$1.60</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-$2.05</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$85.61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$86.84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$87.95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$86.30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$83.27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-$3.03</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-$3.57</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$88.06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$89.28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$90.36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$88.61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$85.81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-$2.80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-$3.47</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$90.50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$91.80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$92.83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$90.98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$88.21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-$2.77</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-$3.59</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$92.89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$93.85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$94.83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$93.32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$90.54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-$2.78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-$3.31</w:t>
            </w:r>
          </w:p>
        </w:tc>
        <w:tc>
          <w:tcPr>
            <w:tcW w:w="0" w:type="dxa"/>
            <w:vAlign w:val="bottom"/>
          </w:tcPr>
          <w:p>
            <w:pPr>
              <w:spacing w:after="0"/>
              <w:rPr>
                <w:sz w:val="1"/>
                <w:szCs w:val="1"/>
                <w:color w:val="auto"/>
              </w:rPr>
            </w:pPr>
          </w:p>
        </w:tc>
      </w:tr>
      <w:tr>
        <w:trPr>
          <w:trHeight w:val="188"/>
        </w:trPr>
        <w:tc>
          <w:tcPr>
            <w:tcW w:w="396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$94.49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$95.93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$96.68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$92.52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-$2.62</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-$3.41</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$96.43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$97.75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$98.41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$96.59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$94.42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-$2.17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-$3.33</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p>
    <w:p>
      <w:pPr>
        <w:ind w:left="640" w:hanging="320"/>
        <w:spacing w:after="0" w:line="260"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7"/>
          <w:szCs w:val="17"/>
          <w:color w:val="auto"/>
        </w:rPr>
        <w:t>The following table summarizes mortgage and credit spreads as of each date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Sept. 30, 2023</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Sept. 30, 2023</w:t>
            </w:r>
          </w:p>
        </w:tc>
        <w:tc>
          <w:tcPr>
            <w:tcW w:w="0" w:type="dxa"/>
            <w:vAlign w:val="bottom"/>
          </w:tcPr>
          <w:p>
            <w:pPr>
              <w:spacing w:after="0"/>
              <w:rPr>
                <w:sz w:val="1"/>
                <w:szCs w:val="1"/>
                <w:color w:val="auto"/>
              </w:rPr>
            </w:pPr>
          </w:p>
        </w:tc>
      </w:tr>
      <w:tr>
        <w:trPr>
          <w:trHeight w:val="141"/>
        </w:trPr>
        <w:tc>
          <w:tcPr>
            <w:tcW w:w="41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tcPr>
          <w:p>
            <w:pPr>
              <w:jc w:val="center"/>
              <w:ind w:right="660"/>
              <w:spacing w:after="0" w:line="141"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2"/>
                <w:szCs w:val="12"/>
                <w:color w:val="auto"/>
              </w:rPr>
            </w:pPr>
          </w:p>
        </w:tc>
        <w:tc>
          <w:tcPr>
            <w:tcW w:w="640" w:type="dxa"/>
            <w:vAlign w:val="bottom"/>
          </w:tcPr>
          <w:p>
            <w:pPr>
              <w:jc w:val="center"/>
              <w:ind w:right="450"/>
              <w:spacing w:after="0" w:line="141"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1"/>
        </w:trPr>
        <w:tc>
          <w:tcPr>
            <w:tcW w:w="414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6"/>
                <w:szCs w:val="16"/>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June 30, 2023</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 31, 2022</w:t>
            </w:r>
          </w:p>
        </w:tc>
        <w:tc>
          <w:tcPr>
            <w:tcW w:w="0" w:type="dxa"/>
            <w:vAlign w:val="bottom"/>
          </w:tcPr>
          <w:p>
            <w:pPr>
              <w:spacing w:after="0"/>
              <w:rPr>
                <w:sz w:val="1"/>
                <w:szCs w:val="1"/>
                <w:color w:val="auto"/>
              </w:rPr>
            </w:pPr>
          </w:p>
        </w:tc>
      </w:tr>
      <w:tr>
        <w:trPr>
          <w:trHeight w:val="195"/>
        </w:trPr>
        <w:tc>
          <w:tcPr>
            <w:tcW w:w="40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4"/>
                <w:szCs w:val="14"/>
                <w:b w:val="1"/>
                <w:bCs w:val="1"/>
                <w:color w:val="auto"/>
              </w:rPr>
              <w:t xml:space="preserve">Mortgage Rate: </w:t>
            </w:r>
            <w:r>
              <w:rPr>
                <w:rFonts w:ascii="Arial" w:cs="Arial" w:eastAsia="Arial" w:hAnsi="Arial"/>
                <w:sz w:val="18"/>
                <w:szCs w:val="18"/>
                <w:b w:val="1"/>
                <w:bCs w:val="1"/>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4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30-Year Agency Current Coupon Yield to 5-Year U.S. Treasury</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159</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138</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147</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5"/>
              </w:rPr>
              <w:t>147</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175</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+28</w:t>
            </w:r>
          </w:p>
        </w:tc>
        <w:tc>
          <w:tcPr>
            <w:tcW w:w="14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184"/>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Spread</w:t>
            </w: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80"/>
              <w:spacing w:after="0" w:line="144" w:lineRule="exact"/>
              <w:rPr>
                <w:sz w:val="20"/>
                <w:szCs w:val="20"/>
                <w:color w:val="auto"/>
              </w:rPr>
            </w:pPr>
            <w:r>
              <w:rPr>
                <w:rFonts w:ascii="Arial" w:cs="Arial" w:eastAsia="Arial" w:hAnsi="Arial"/>
                <w:sz w:val="14"/>
                <w:szCs w:val="14"/>
                <w:color w:val="auto"/>
                <w:w w:val="98"/>
              </w:rPr>
              <w:t>30-Year Agency Current Coupon Yield to 10-Year U.S. Treasury</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185</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151</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158</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179</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179</w:t>
            </w:r>
          </w:p>
        </w:tc>
        <w:tc>
          <w:tcPr>
            <w:tcW w:w="16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center"/>
              <w:ind w:right="160"/>
              <w:spacing w:after="0"/>
              <w:rPr>
                <w:sz w:val="20"/>
                <w:szCs w:val="20"/>
                <w:color w:val="auto"/>
              </w:rPr>
            </w:pPr>
            <w:r>
              <w:rPr>
                <w:rFonts w:ascii="Arial" w:cs="Arial" w:eastAsia="Arial" w:hAnsi="Arial"/>
                <w:sz w:val="14"/>
                <w:szCs w:val="14"/>
                <w:color w:val="auto"/>
                <w:w w:val="99"/>
              </w:rPr>
              <w:t>—</w:t>
            </w:r>
          </w:p>
        </w:tc>
        <w:tc>
          <w:tcPr>
            <w:tcW w:w="11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Spread</w:t>
            </w: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40" w:type="dxa"/>
            <w:vAlign w:val="bottom"/>
            <w:gridSpan w:val="2"/>
          </w:tcPr>
          <w:p>
            <w:pPr>
              <w:ind w:left="180"/>
              <w:spacing w:after="0" w:line="139" w:lineRule="exact"/>
              <w:rPr>
                <w:sz w:val="20"/>
                <w:szCs w:val="20"/>
                <w:color w:val="auto"/>
              </w:rPr>
            </w:pPr>
            <w:r>
              <w:rPr>
                <w:rFonts w:ascii="Arial" w:cs="Arial" w:eastAsia="Arial" w:hAnsi="Arial"/>
                <w:sz w:val="14"/>
                <w:szCs w:val="14"/>
                <w:color w:val="auto"/>
                <w:w w:val="96"/>
              </w:rPr>
              <w:t>30-Year Agency Current Coupon Yield to 5/10-Year U.S. Treasury</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171</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145</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152</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5"/>
              </w:rPr>
              <w:t>163</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177</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+14</w:t>
            </w:r>
          </w:p>
        </w:tc>
        <w:tc>
          <w:tcPr>
            <w:tcW w:w="14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184"/>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Spread</w:t>
            </w: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5.68%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5.39%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6.36%</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30-Year Mortgage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6.72%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6.52%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6.40%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6.78%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7.41%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+89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6"/>
        </w:trPr>
        <w:tc>
          <w:tcPr>
            <w:tcW w:w="41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4"/>
                <w:szCs w:val="14"/>
                <w:b w:val="1"/>
                <w:bCs w:val="1"/>
                <w:color w:val="auto"/>
              </w:rPr>
              <w:t xml:space="preserve">Credit Spread (in bps): </w:t>
            </w:r>
            <w:r>
              <w:rPr>
                <w:rFonts w:ascii="Arial" w:cs="Arial" w:eastAsia="Arial" w:hAnsi="Arial"/>
                <w:sz w:val="18"/>
                <w:szCs w:val="18"/>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CRT M2</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633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360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252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-108</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-262</w:t>
            </w:r>
          </w:p>
        </w:tc>
        <w:tc>
          <w:tcPr>
            <w:tcW w:w="0" w:type="dxa"/>
            <w:vAlign w:val="bottom"/>
          </w:tcPr>
          <w:p>
            <w:pPr>
              <w:spacing w:after="0"/>
              <w:rPr>
                <w:sz w:val="1"/>
                <w:szCs w:val="1"/>
                <w:color w:val="auto"/>
              </w:rPr>
            </w:pPr>
          </w:p>
        </w:tc>
      </w:tr>
      <w:tr>
        <w:trPr>
          <w:trHeight w:val="20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CMBS AAA</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79"/>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CDX IG</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82</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66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7"/>
              </w:rPr>
              <w:t>+8</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center"/>
              <w:ind w:right="450"/>
              <w:spacing w:after="0"/>
              <w:rPr>
                <w:sz w:val="20"/>
                <w:szCs w:val="20"/>
                <w:color w:val="auto"/>
              </w:rPr>
            </w:pPr>
            <w:r>
              <w:rPr>
                <w:rFonts w:ascii="Arial" w:cs="Arial" w:eastAsia="Arial" w:hAnsi="Arial"/>
                <w:sz w:val="14"/>
                <w:szCs w:val="14"/>
                <w:color w:val="auto"/>
                <w:w w:val="96"/>
              </w:rPr>
              <w:t>-8</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73" w:lineRule="exact"/>
        <w:rPr>
          <w:sz w:val="20"/>
          <w:szCs w:val="20"/>
          <w:color w:val="auto"/>
        </w:rPr>
      </w:pPr>
    </w:p>
    <w:p>
      <w:pPr>
        <w:ind w:left="640" w:hanging="320"/>
        <w:spacing w:after="0" w:line="250"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30-Year Current Coupon Yield represents yield on new production Agency RMBS. 30-Year Current Coupon Yields are sourced from Bloomberg and 30-Year Mortgage Rates are sourced from Clear Blue.</w:t>
      </w:r>
    </w:p>
    <w:p>
      <w:pPr>
        <w:ind w:left="640" w:hanging="32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CRT and CDX spreads sourced from JP Morgan. CMBS spreads are the average of spreads sourced from JP Morgan and Wells Fargo.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FINANCIAL CONDITION</w:t>
      </w:r>
    </w:p>
    <w:p>
      <w:pPr>
        <w:spacing w:after="0" w:line="178"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As of September 30, 2023 and December 31, 2022, our investment portfolio totaled $59.3 billion and $59.5 billion, respectively, consisting of: $56.9 billion and $40.9 billion investment securities, at fair value, respectively; $2.4 billion and $18.6 billion net TBA securities, at fair value, respectively; and other mortgage credit investments of $45 million and $25 million, respectively, which we account for under the equity method of accounting. The following table is a summary of our investment securities as of September 30, 2023 and December 31, 2022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2023</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 2022</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Investment Securities (Includes TBAs) </w:t>
            </w:r>
            <w:r>
              <w:rPr>
                <w:rFonts w:ascii="Arial" w:cs="Arial" w:eastAsia="Arial" w:hAnsi="Arial"/>
                <w:sz w:val="18"/>
                <w:szCs w:val="18"/>
                <w:b w:val="1"/>
                <w:bCs w:val="1"/>
                <w:color w:val="auto"/>
                <w:vertAlign w:val="superscript"/>
              </w:rPr>
              <w:t>1</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358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8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0"/>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15-year TBA securities</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5.00 %</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3.45 %</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8"/>
        </w:trPr>
        <w:tc>
          <w:tcPr>
            <w:tcW w:w="358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1,365</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58,097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53,270</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4.72 %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39,727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36,207</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3.89 %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CEEFF"/>
          </w:tcPr>
          <w:p>
            <w:pPr>
              <w:ind w:left="260"/>
              <w:spacing w:after="0" w:line="206"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2</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18,574</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55,559</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4.79 %</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54,781</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4.20 %</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197"/>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57,784</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57,743</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 Agency RMBS:</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CMO</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3.26 %</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3.20 %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Interest-only strips</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0"/>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Principal-only strips</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CMO Agency RMBS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2.03 %</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Agency RMBS and TBA securities</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63,509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58,254</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4.69 %</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61,792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58,064</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4.12 %</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97"/>
        </w:trPr>
        <w:tc>
          <w:tcPr>
            <w:tcW w:w="3580" w:type="dxa"/>
            <w:vAlign w:val="bottom"/>
            <w:gridSpan w:val="2"/>
            <w:shd w:val="clear" w:color="auto" w:fill="CCEEFF"/>
          </w:tcPr>
          <w:p>
            <w:pPr>
              <w:ind w:left="20"/>
              <w:spacing w:after="0" w:line="197"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7.03 %</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6.06 %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7"/>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59,298</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4.76 %</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63,287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59,478</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4.18 %</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Table excludes other mortgage credit investments of $45 million and $25 million as of September 30, 2023 and December 31, 2022, respectively.</w:t>
      </w:r>
    </w:p>
    <w:p>
      <w:pPr>
        <w:ind w:left="640" w:hanging="320"/>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spacing w:after="0" w:line="17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TBA securities are recorded as derivative instruments in our accompanying consolidated financial statements, and our TBA dollar roll transactions represent a form of off-balance sheet financing. As of September 30, 2023 and December 31, 2022, our TBA securities had a net carrying value of $(31) million and $167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0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As of September 30, 2023 and December 31, 2022, the weighted average yield on our investment securities (excluding TBA and forward settling securities) was 4.37% and 3.37%, respectively.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0" w:name="page31"/>
    <w:bookmarkEnd w:id="30"/>
    <w:p>
      <w:pPr>
        <w:ind w:firstLine="433"/>
        <w:spacing w:after="0" w:line="289" w:lineRule="auto"/>
        <w:rPr>
          <w:sz w:val="20"/>
          <w:szCs w:val="20"/>
          <w:color w:val="auto"/>
        </w:rPr>
      </w:pPr>
      <w:r>
        <w:rPr>
          <w:rFonts w:ascii="Arial" w:cs="Arial" w:eastAsia="Arial" w:hAnsi="Arial"/>
          <w:sz w:val="17"/>
          <w:szCs w:val="17"/>
          <w:color w:val="auto"/>
        </w:rPr>
        <w:t>The following tables summarize certain characteristics of our fixed rate Agency RMBS portfolio, inclusive of TBA securities, as of September 30, 2023 and December 31, 2022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September 30, 2023</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Includes Net TBA Position</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0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Fixed Rate Agency RMBS and TBA</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3"/>
              </w:rPr>
              <w:t>Amortized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w w:val="97"/>
              </w:rPr>
              <w:t>Specified Pool</w:t>
            </w:r>
          </w:p>
        </w:tc>
        <w:tc>
          <w:tcPr>
            <w:tcW w:w="1240" w:type="dxa"/>
            <w:vAlign w:val="bottom"/>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Amortized</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97"/>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197"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1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Coupon</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7" w:lineRule="exact"/>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0"/>
              </w:rPr>
              <w:t>Fixed rate</w:t>
            </w: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0" w:type="dxa"/>
            <w:vAlign w:val="bottom"/>
            <w:gridSpan w:val="3"/>
          </w:tcPr>
          <w:p>
            <w:pPr>
              <w:ind w:left="260"/>
              <w:spacing w:after="0"/>
              <w:rPr>
                <w:sz w:val="20"/>
                <w:szCs w:val="20"/>
                <w:color w:val="auto"/>
              </w:rPr>
            </w:pPr>
            <w:r>
              <w:rPr>
                <w:rFonts w:ascii="Arial" w:cs="Arial" w:eastAsia="Arial" w:hAnsi="Arial"/>
                <w:sz w:val="14"/>
                <w:szCs w:val="14"/>
                <w:color w:val="auto"/>
              </w:rPr>
              <w:t>≤ 15-year: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92"/>
              </w:rPr>
              <w:t>101.8%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88"/>
        </w:trPr>
        <w:tc>
          <w:tcPr>
            <w:tcW w:w="640" w:type="dxa"/>
            <w:vAlign w:val="bottom"/>
          </w:tcPr>
          <w:p>
            <w:pPr>
              <w:ind w:left="340"/>
              <w:spacing w:after="0"/>
              <w:rPr>
                <w:sz w:val="20"/>
                <w:szCs w:val="20"/>
                <w:color w:val="auto"/>
              </w:rPr>
            </w:pPr>
            <w:r>
              <w:rPr>
                <w:rFonts w:ascii="Arial" w:cs="Arial" w:eastAsia="Arial" w:hAnsi="Arial"/>
                <w:sz w:val="14"/>
                <w:szCs w:val="14"/>
                <w:color w:val="auto"/>
                <w:w w:val="87"/>
              </w:rPr>
              <w:t>3.0%</w:t>
            </w:r>
          </w:p>
        </w:tc>
        <w:tc>
          <w:tcPr>
            <w:tcW w:w="1640" w:type="dxa"/>
            <w:vAlign w:val="bottom"/>
          </w:tcPr>
          <w:p>
            <w:pPr>
              <w:jc w:val="right"/>
              <w:ind w:right="1170"/>
              <w:spacing w:after="0"/>
              <w:rPr>
                <w:sz w:val="20"/>
                <w:szCs w:val="20"/>
                <w:color w:val="auto"/>
              </w:rPr>
            </w:pPr>
            <w:r>
              <w:rPr>
                <w:rFonts w:ascii="Arial" w:cs="Arial" w:eastAsia="Arial" w:hAnsi="Arial"/>
                <w:sz w:val="14"/>
                <w:szCs w:val="14"/>
                <w:color w:val="auto"/>
                <w:w w:val="93"/>
              </w:rPr>
              <w:t>- 4.0%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3.38%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Arial" w:cs="Arial" w:eastAsia="Arial" w:hAnsi="Arial"/>
                <w:sz w:val="14"/>
                <w:szCs w:val="14"/>
                <w:color w:val="auto"/>
                <w:w w:val="92"/>
              </w:rPr>
              <w:t>102.1%</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6"/>
        </w:trPr>
        <w:tc>
          <w:tcPr>
            <w:tcW w:w="24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4.99%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92"/>
              </w:rPr>
              <w:t>101.9%</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Total ≤ 15-year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90%</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92"/>
              </w:rPr>
              <w:t>102.1%</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4"/>
        </w:trPr>
        <w:tc>
          <w:tcPr>
            <w:tcW w:w="24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0" w:type="dxa"/>
            <w:vAlign w:val="bottom"/>
            <w:gridSpan w:val="3"/>
          </w:tcPr>
          <w:p>
            <w:pPr>
              <w:ind w:left="340"/>
              <w:spacing w:after="0"/>
              <w:rPr>
                <w:sz w:val="20"/>
                <w:szCs w:val="20"/>
                <w:color w:val="auto"/>
              </w:rPr>
            </w:pPr>
            <w:r>
              <w:rPr>
                <w:rFonts w:ascii="Arial" w:cs="Arial" w:eastAsia="Arial" w:hAnsi="Arial"/>
                <w:sz w:val="14"/>
                <w:szCs w:val="14"/>
                <w:color w:val="auto"/>
              </w:rPr>
              <w:t>≤ 2.5%</w:t>
            </w:r>
          </w:p>
        </w:tc>
        <w:tc>
          <w:tcPr>
            <w:tcW w:w="780" w:type="dxa"/>
            <w:vAlign w:val="bottom"/>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Arial" w:cs="Arial" w:eastAsia="Arial" w:hAnsi="Arial"/>
                <w:sz w:val="14"/>
                <w:szCs w:val="14"/>
                <w:color w:val="auto"/>
                <w:w w:val="92"/>
              </w:rPr>
              <w:t>103.5%</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7"/>
              </w:rPr>
              <w:t>3.0%</w:t>
            </w:r>
          </w:p>
        </w:tc>
        <w:tc>
          <w:tcPr>
            <w:tcW w:w="164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93"/>
              </w:rPr>
              <w:t>- 4.0%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92"/>
              </w:rPr>
              <w:t>102.6%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90"/>
        </w:trPr>
        <w:tc>
          <w:tcPr>
            <w:tcW w:w="240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 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4.50%</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92"/>
              </w:rPr>
              <w:t>105.0%</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97"/>
        </w:trPr>
        <w:tc>
          <w:tcPr>
            <w:tcW w:w="24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2.50%</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92"/>
              </w:rPr>
              <w:t>103.5%</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68"/>
        </w:trPr>
        <w:tc>
          <w:tcPr>
            <w:tcW w:w="24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30-year: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90"/>
              </w:rPr>
              <w:t>99.5%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88"/>
        </w:trPr>
        <w:tc>
          <w:tcPr>
            <w:tcW w:w="640" w:type="dxa"/>
            <w:vAlign w:val="bottom"/>
          </w:tcPr>
          <w:p>
            <w:pPr>
              <w:ind w:left="340"/>
              <w:spacing w:after="0"/>
              <w:rPr>
                <w:sz w:val="20"/>
                <w:szCs w:val="20"/>
                <w:color w:val="auto"/>
              </w:rPr>
            </w:pPr>
            <w:r>
              <w:rPr>
                <w:rFonts w:ascii="Arial" w:cs="Arial" w:eastAsia="Arial" w:hAnsi="Arial"/>
                <w:sz w:val="14"/>
                <w:szCs w:val="14"/>
                <w:color w:val="auto"/>
                <w:w w:val="87"/>
              </w:rPr>
              <w:t>3.0%</w:t>
            </w:r>
          </w:p>
        </w:tc>
        <w:tc>
          <w:tcPr>
            <w:tcW w:w="1640" w:type="dxa"/>
            <w:vAlign w:val="bottom"/>
          </w:tcPr>
          <w:p>
            <w:pPr>
              <w:jc w:val="right"/>
              <w:ind w:right="1170"/>
              <w:spacing w:after="0"/>
              <w:rPr>
                <w:sz w:val="20"/>
                <w:szCs w:val="20"/>
                <w:color w:val="auto"/>
              </w:rPr>
            </w:pPr>
            <w:r>
              <w:rPr>
                <w:rFonts w:ascii="Arial" w:cs="Arial" w:eastAsia="Arial" w:hAnsi="Arial"/>
                <w:sz w:val="14"/>
                <w:szCs w:val="14"/>
                <w:color w:val="auto"/>
                <w:w w:val="93"/>
              </w:rPr>
              <w:t>- 4.0%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14,641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12,461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3.71%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Arial" w:cs="Arial" w:eastAsia="Arial" w:hAnsi="Arial"/>
                <w:sz w:val="14"/>
                <w:szCs w:val="14"/>
                <w:color w:val="auto"/>
                <w:w w:val="92"/>
              </w:rPr>
              <w:t>104.5%</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81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7"/>
              </w:rPr>
              <w:t>4.5%</w:t>
            </w:r>
          </w:p>
        </w:tc>
        <w:tc>
          <w:tcPr>
            <w:tcW w:w="164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93"/>
              </w:rPr>
              <w:t>- 5.5%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w w:val="92"/>
              </w:rPr>
              <w:t>101.0%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90"/>
        </w:trPr>
        <w:tc>
          <w:tcPr>
            <w:tcW w:w="240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 6.0%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6.10%</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92"/>
              </w:rPr>
              <w:t>101.2%</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90"/>
        </w:trPr>
        <w:tc>
          <w:tcPr>
            <w:tcW w:w="24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Total 30-year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59,331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60,415</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55,559</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4.79%</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color w:val="auto"/>
                <w:w w:val="92"/>
              </w:rPr>
              <w:t>101.8%</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97"/>
        </w:trPr>
        <w:tc>
          <w:tcPr>
            <w:tcW w:w="2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fixed rate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61,855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63,008</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57,784</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4.71%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color w:val="auto"/>
                <w:w w:val="92"/>
              </w:rPr>
              <w:t>101.8%</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jc w:val="both"/>
        <w:ind w:left="640" w:hanging="320"/>
        <w:spacing w:after="0" w:line="24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2023, lower balance specified pools had a weighted average original loan balance of $125,000 and $155,000 for 15-year and 30-year securities, respectively, and HARP pools had a weighted average original LTV of 128% and 138% for 15-year and 30-year securities, respectively.</w:t>
      </w:r>
    </w:p>
    <w:p>
      <w:pPr>
        <w:spacing w:after="0" w:line="2" w:lineRule="exact"/>
        <w:rPr>
          <w:rFonts w:ascii="Arial" w:cs="Arial" w:eastAsia="Arial" w:hAnsi="Arial"/>
          <w:sz w:val="14"/>
          <w:szCs w:val="14"/>
          <w:color w:val="auto"/>
        </w:rPr>
      </w:pPr>
    </w:p>
    <w:p>
      <w:pPr>
        <w:ind w:left="640" w:hanging="32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3"/>
        </w:trPr>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w w:val="90"/>
              </w:rPr>
              <w:t>December 31, 2022</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Includes Net TBA Position</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gridSpan w:val="3"/>
            <w:vMerge w:val="restart"/>
          </w:tcPr>
          <w:p>
            <w:pPr>
              <w:ind w:left="20"/>
              <w:spacing w:after="0" w:line="141" w:lineRule="exact"/>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line="141"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vMerge w:val="restart"/>
          </w:tcPr>
          <w:p>
            <w:pPr>
              <w:ind w:left="20"/>
              <w:spacing w:after="0" w:line="141" w:lineRule="exact"/>
              <w:rPr>
                <w:sz w:val="20"/>
                <w:szCs w:val="20"/>
                <w:color w:val="auto"/>
              </w:rPr>
            </w:pPr>
            <w:r>
              <w:rPr>
                <w:rFonts w:ascii="Arial" w:cs="Arial" w:eastAsia="Arial" w:hAnsi="Arial"/>
                <w:sz w:val="14"/>
                <w:szCs w:val="14"/>
                <w:b w:val="1"/>
                <w:bCs w:val="1"/>
                <w:color w:val="auto"/>
                <w:w w:val="97"/>
              </w:rPr>
              <w:t>Specified Pool</w:t>
            </w:r>
          </w:p>
        </w:tc>
        <w:tc>
          <w:tcPr>
            <w:tcW w:w="1280" w:type="dxa"/>
            <w:vAlign w:val="bottom"/>
            <w:gridSpan w:val="3"/>
            <w:vMerge w:val="restart"/>
          </w:tcPr>
          <w:p>
            <w:pPr>
              <w:jc w:val="center"/>
              <w:ind w:right="360"/>
              <w:spacing w:after="0" w:line="141"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vMerge w:val="restart"/>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Amortized</w:t>
            </w: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98"/>
        </w:trPr>
        <w:tc>
          <w:tcPr>
            <w:tcW w:w="23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3"/>
            <w:vMerge w:val="continue"/>
          </w:tcPr>
          <w:p>
            <w:pPr>
              <w:spacing w:after="0"/>
              <w:rPr>
                <w:sz w:val="17"/>
                <w:szCs w:val="17"/>
                <w:color w:val="auto"/>
              </w:rPr>
            </w:pPr>
          </w:p>
        </w:tc>
        <w:tc>
          <w:tcPr>
            <w:tcW w:w="900" w:type="dxa"/>
            <w:vAlign w:val="bottom"/>
          </w:tcPr>
          <w:p>
            <w:pPr>
              <w:jc w:val="center"/>
              <w:spacing w:after="0" w:line="197"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8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Coupon</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7" w:lineRule="exact"/>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0"/>
              </w:rPr>
              <w:t>Fixed rate</w:t>
            </w:r>
          </w:p>
        </w:tc>
        <w:tc>
          <w:tcPr>
            <w:tcW w:w="1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60" w:type="dxa"/>
            <w:vAlign w:val="bottom"/>
            <w:gridSpan w:val="3"/>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105.2%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88"/>
        </w:trPr>
        <w:tc>
          <w:tcPr>
            <w:tcW w:w="640" w:type="dxa"/>
            <w:vAlign w:val="bottom"/>
          </w:tcPr>
          <w:p>
            <w:pPr>
              <w:ind w:left="340"/>
              <w:spacing w:after="0"/>
              <w:rPr>
                <w:sz w:val="20"/>
                <w:szCs w:val="20"/>
                <w:color w:val="auto"/>
              </w:rPr>
            </w:pPr>
            <w:r>
              <w:rPr>
                <w:rFonts w:ascii="Arial" w:cs="Arial" w:eastAsia="Arial" w:hAnsi="Arial"/>
                <w:sz w:val="14"/>
                <w:szCs w:val="14"/>
                <w:color w:val="auto"/>
                <w:w w:val="87"/>
              </w:rPr>
              <w:t>3.0%</w:t>
            </w:r>
          </w:p>
        </w:tc>
        <w:tc>
          <w:tcPr>
            <w:tcW w:w="1600" w:type="dxa"/>
            <w:vAlign w:val="bottom"/>
          </w:tcPr>
          <w:p>
            <w:pPr>
              <w:jc w:val="right"/>
              <w:ind w:right="1130"/>
              <w:spacing w:after="0"/>
              <w:rPr>
                <w:sz w:val="20"/>
                <w:szCs w:val="20"/>
                <w:color w:val="auto"/>
              </w:rPr>
            </w:pPr>
            <w:r>
              <w:rPr>
                <w:rFonts w:ascii="Arial" w:cs="Arial" w:eastAsia="Arial" w:hAnsi="Arial"/>
                <w:sz w:val="14"/>
                <w:szCs w:val="14"/>
                <w:color w:val="auto"/>
                <w:w w:val="93"/>
              </w:rPr>
              <w:t>- 4.0%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3.43%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Arial" w:cs="Arial" w:eastAsia="Arial" w:hAnsi="Arial"/>
                <w:sz w:val="14"/>
                <w:szCs w:val="14"/>
                <w:color w:val="auto"/>
                <w:w w:val="92"/>
              </w:rPr>
              <w:t>102.2%</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6"/>
        </w:trPr>
        <w:tc>
          <w:tcPr>
            <w:tcW w:w="23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4.55%</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92"/>
              </w:rPr>
              <w:t>102.4%</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144</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98%</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3.25%</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92"/>
              </w:rPr>
              <w:t>102.7%</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184"/>
        </w:trPr>
        <w:tc>
          <w:tcPr>
            <w:tcW w:w="23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60" w:type="dxa"/>
            <w:vAlign w:val="bottom"/>
            <w:gridSpan w:val="3"/>
          </w:tcPr>
          <w:p>
            <w:pPr>
              <w:ind w:left="340"/>
              <w:spacing w:after="0"/>
              <w:rPr>
                <w:sz w:val="20"/>
                <w:szCs w:val="20"/>
                <w:color w:val="auto"/>
              </w:rPr>
            </w:pPr>
            <w:r>
              <w:rPr>
                <w:rFonts w:ascii="Arial" w:cs="Arial" w:eastAsia="Arial" w:hAnsi="Arial"/>
                <w:sz w:val="14"/>
                <w:szCs w:val="14"/>
                <w:color w:val="auto"/>
              </w:rPr>
              <w:t>≤ 2.5%</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2.15%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Arial" w:cs="Arial" w:eastAsia="Arial" w:hAnsi="Arial"/>
                <w:sz w:val="14"/>
                <w:szCs w:val="14"/>
                <w:color w:val="auto"/>
                <w:w w:val="92"/>
              </w:rPr>
              <w:t>103.6%</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7"/>
              </w:rPr>
              <w:t>3.0%</w:t>
            </w:r>
          </w:p>
        </w:tc>
        <w:tc>
          <w:tcPr>
            <w:tcW w:w="1600" w:type="dxa"/>
            <w:vAlign w:val="bottom"/>
            <w:shd w:val="clear" w:color="auto" w:fill="CCEEFF"/>
          </w:tcPr>
          <w:p>
            <w:pPr>
              <w:jc w:val="right"/>
              <w:ind w:right="1130"/>
              <w:spacing w:after="0"/>
              <w:rPr>
                <w:sz w:val="20"/>
                <w:szCs w:val="20"/>
                <w:color w:val="auto"/>
              </w:rPr>
            </w:pPr>
            <w:r>
              <w:rPr>
                <w:rFonts w:ascii="Arial" w:cs="Arial" w:eastAsia="Arial" w:hAnsi="Arial"/>
                <w:sz w:val="14"/>
                <w:szCs w:val="14"/>
                <w:color w:val="auto"/>
                <w:w w:val="93"/>
              </w:rPr>
              <w:t>- 4.0%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102.7%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99%</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4.50%</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92"/>
              </w:rPr>
              <w:t>105.1%</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97"/>
        </w:trPr>
        <w:tc>
          <w:tcPr>
            <w:tcW w:w="23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2.51%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92"/>
              </w:rPr>
              <w:t>103.6%</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68"/>
        </w:trPr>
        <w:tc>
          <w:tcPr>
            <w:tcW w:w="236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30-year: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102.0%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88"/>
        </w:trPr>
        <w:tc>
          <w:tcPr>
            <w:tcW w:w="640" w:type="dxa"/>
            <w:vAlign w:val="bottom"/>
          </w:tcPr>
          <w:p>
            <w:pPr>
              <w:ind w:left="340"/>
              <w:spacing w:after="0"/>
              <w:rPr>
                <w:sz w:val="20"/>
                <w:szCs w:val="20"/>
                <w:color w:val="auto"/>
              </w:rPr>
            </w:pPr>
            <w:r>
              <w:rPr>
                <w:rFonts w:ascii="Arial" w:cs="Arial" w:eastAsia="Arial" w:hAnsi="Arial"/>
                <w:sz w:val="14"/>
                <w:szCs w:val="14"/>
                <w:color w:val="auto"/>
                <w:w w:val="87"/>
              </w:rPr>
              <w:t>3.0%</w:t>
            </w:r>
          </w:p>
        </w:tc>
        <w:tc>
          <w:tcPr>
            <w:tcW w:w="1600" w:type="dxa"/>
            <w:vAlign w:val="bottom"/>
          </w:tcPr>
          <w:p>
            <w:pPr>
              <w:jc w:val="right"/>
              <w:ind w:right="1130"/>
              <w:spacing w:after="0"/>
              <w:rPr>
                <w:sz w:val="20"/>
                <w:szCs w:val="20"/>
                <w:color w:val="auto"/>
              </w:rPr>
            </w:pPr>
            <w:r>
              <w:rPr>
                <w:rFonts w:ascii="Arial" w:cs="Arial" w:eastAsia="Arial" w:hAnsi="Arial"/>
                <w:sz w:val="14"/>
                <w:szCs w:val="14"/>
                <w:color w:val="auto"/>
                <w:w w:val="93"/>
              </w:rPr>
              <w:t>- 4.0%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17,605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78%</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3.66%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Arial" w:cs="Arial" w:eastAsia="Arial" w:hAnsi="Arial"/>
                <w:sz w:val="14"/>
                <w:szCs w:val="14"/>
                <w:color w:val="auto"/>
                <w:w w:val="92"/>
              </w:rPr>
              <w:t>104.6%</w:t>
            </w:r>
          </w:p>
        </w:tc>
        <w:tc>
          <w:tcPr>
            <w:tcW w:w="14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7"/>
              </w:rPr>
              <w:t>4.5%</w:t>
            </w:r>
          </w:p>
        </w:tc>
        <w:tc>
          <w:tcPr>
            <w:tcW w:w="1600" w:type="dxa"/>
            <w:vAlign w:val="bottom"/>
            <w:shd w:val="clear" w:color="auto" w:fill="CCEEFF"/>
          </w:tcPr>
          <w:p>
            <w:pPr>
              <w:jc w:val="right"/>
              <w:ind w:right="1130"/>
              <w:spacing w:after="0"/>
              <w:rPr>
                <w:sz w:val="20"/>
                <w:szCs w:val="20"/>
                <w:color w:val="auto"/>
              </w:rPr>
            </w:pPr>
            <w:r>
              <w:rPr>
                <w:rFonts w:ascii="Arial" w:cs="Arial" w:eastAsia="Arial" w:hAnsi="Arial"/>
                <w:sz w:val="14"/>
                <w:szCs w:val="14"/>
                <w:color w:val="auto"/>
                <w:w w:val="93"/>
              </w:rPr>
              <w:t>- 5.5%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102.9%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 6.0%</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45%</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6.08%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92"/>
              </w:rPr>
              <w:t>103.9%</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190"/>
        </w:trPr>
        <w:tc>
          <w:tcPr>
            <w:tcW w:w="23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58,134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54,781</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4.20%</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92"/>
              </w:rPr>
              <w:t>103.5%</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197"/>
        </w:trPr>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60,660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61,453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57,743</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4.13%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w w:val="92"/>
              </w:rPr>
              <w:t>103.5%</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62"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ind w:left="640" w:hanging="320"/>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2022.</w:t>
      </w:r>
    </w:p>
    <w:p>
      <w:pPr>
        <w:spacing w:after="0" w:line="165"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For additional details regarding our CRT and non-Agency securities, including credit ratings, as of September 30, 2023 and December 31, 2022, please refer to Note 3 of our Consolidated Financial Statements in this Form 10-Q.</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72"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addition to the results presented in accordance with GAAP, our results of operations discussed below include certain non-GAAP financial information, including "economic interest income," "economic interest expense," "net spread and dollar roll income" and "net spread and dollar roll income, excluding 'catch-up' premium amortization, available to common stockholders," and the related per common share measures and certain financial metrics derived from such non-GAAP information.</w:t>
      </w:r>
    </w:p>
    <w:p>
      <w:pPr>
        <w:spacing w:after="0" w:line="12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5"/>
          <w:szCs w:val="15"/>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and (ii) include interest rate swap periodic income/cost, TBA dollar roll income and other miscellaneous interest income/expense. As defined "Net spread and dollar roll income, excluding 'catch-up' premium amortization, available to common stockholders" includes (i) the components of "economic interest income" and "economic interest expense", plus (ii) other interest income/expense, and less (iii) total operating expenses and dividends on preferred stock (GAAP measures).</w:t>
      </w:r>
    </w:p>
    <w:p>
      <w:pPr>
        <w:spacing w:after="0" w:line="105"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measures and one-time events that are not necessarily indicative of our current investment portfolio performance and operations.</w:t>
      </w:r>
    </w:p>
    <w:p>
      <w:pPr>
        <w:spacing w:after="0" w:line="172" w:lineRule="exact"/>
        <w:rPr>
          <w:sz w:val="20"/>
          <w:szCs w:val="20"/>
          <w:color w:val="auto"/>
        </w:rPr>
      </w:pPr>
    </w:p>
    <w:p>
      <w:pPr>
        <w:jc w:val="both"/>
        <w:ind w:firstLine="472"/>
        <w:spacing w:after="0" w:line="301" w:lineRule="auto"/>
        <w:rPr>
          <w:sz w:val="20"/>
          <w:szCs w:val="20"/>
          <w:color w:val="auto"/>
        </w:rPr>
      </w:pPr>
      <w:r>
        <w:rPr>
          <w:rFonts w:ascii="Arial" w:cs="Arial" w:eastAsia="Arial" w:hAnsi="Arial"/>
          <w:sz w:val="15"/>
          <w:szCs w:val="15"/>
          <w:color w:val="auto"/>
        </w:rPr>
        <w:t>Specifically, in the case "net spread and dollar roll income, excluding 'catch-up' premium amortization,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0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Financial Data</w:t>
      </w:r>
    </w:p>
    <w:p>
      <w:pPr>
        <w:spacing w:after="0" w:line="237"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2023 and December 31, 2022 and condensed consolidated statements of comprehensive income and key statistics for the three and nine months ended September 30, 2023 and 2022 (in millions, except per share amounts):</w:t>
      </w:r>
    </w:p>
    <w:p>
      <w:pPr>
        <w:spacing w:after="0" w:line="4"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7"/>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7"/>
                <w:szCs w:val="17"/>
                <w:color w:val="auto"/>
              </w:rPr>
            </w:pPr>
          </w:p>
        </w:tc>
        <w:tc>
          <w:tcPr>
            <w:tcW w:w="1180" w:type="dxa"/>
            <w:vAlign w:val="bottom"/>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6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920" w:type="dxa"/>
            <w:vAlign w:val="bottom"/>
            <w:gridSpan w:val="2"/>
          </w:tcPr>
          <w:p>
            <w:pPr>
              <w:ind w:left="20"/>
              <w:spacing w:after="0" w:line="154" w:lineRule="exact"/>
              <w:rPr>
                <w:sz w:val="20"/>
                <w:szCs w:val="20"/>
                <w:color w:val="auto"/>
              </w:rPr>
            </w:pPr>
            <w:r>
              <w:rPr>
                <w:rFonts w:ascii="Arial" w:cs="Arial" w:eastAsia="Arial" w:hAnsi="Arial"/>
                <w:sz w:val="16"/>
                <w:szCs w:val="16"/>
                <w:color w:val="auto"/>
                <w:w w:val="98"/>
              </w:rPr>
              <w:t>Investment securities, at fair value of $56,922 and $40,904, respectively, and other mortgage credit</w:t>
            </w: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3"/>
              <w:spacing w:after="0"/>
              <w:rPr>
                <w:sz w:val="20"/>
                <w:szCs w:val="20"/>
                <w:color w:val="auto"/>
              </w:rPr>
            </w:pPr>
            <w:r>
              <w:rPr>
                <w:rFonts w:ascii="Arial" w:cs="Arial" w:eastAsia="Arial" w:hAnsi="Arial"/>
                <w:sz w:val="16"/>
                <w:szCs w:val="16"/>
                <w:color w:val="auto"/>
              </w:rPr>
              <w:t>56,967</w:t>
            </w:r>
          </w:p>
        </w:tc>
        <w:tc>
          <w:tcPr>
            <w:tcW w:w="100" w:type="dxa"/>
            <w:vAlign w:val="bottom"/>
          </w:tcPr>
          <w:p>
            <w:pPr>
              <w:spacing w:after="0"/>
              <w:rPr>
                <w:sz w:val="13"/>
                <w:szCs w:val="13"/>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40,929</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69,991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51,748</w:t>
            </w:r>
          </w:p>
        </w:tc>
        <w:tc>
          <w:tcPr>
            <w:tcW w:w="0" w:type="dxa"/>
            <w:vAlign w:val="bottom"/>
          </w:tcPr>
          <w:p>
            <w:pPr>
              <w:spacing w:after="0"/>
              <w:rPr>
                <w:sz w:val="1"/>
                <w:szCs w:val="1"/>
                <w:color w:val="auto"/>
              </w:rPr>
            </w:pPr>
          </w:p>
        </w:tc>
      </w:tr>
      <w:tr>
        <w:trPr>
          <w:trHeight w:val="207"/>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Repurchase agreements and other debt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52,187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36,357</w:t>
            </w:r>
          </w:p>
        </w:tc>
        <w:tc>
          <w:tcPr>
            <w:tcW w:w="0" w:type="dxa"/>
            <w:vAlign w:val="bottom"/>
          </w:tcPr>
          <w:p>
            <w:pPr>
              <w:spacing w:after="0"/>
              <w:rPr>
                <w:sz w:val="1"/>
                <w:szCs w:val="1"/>
                <w:color w:val="auto"/>
              </w:rPr>
            </w:pPr>
          </w:p>
        </w:tc>
      </w:tr>
      <w:tr>
        <w:trPr>
          <w:trHeight w:val="21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43,878</w:t>
            </w:r>
          </w:p>
        </w:tc>
        <w:tc>
          <w:tcPr>
            <w:tcW w:w="0" w:type="dxa"/>
            <w:vAlign w:val="bottom"/>
          </w:tcPr>
          <w:p>
            <w:pPr>
              <w:spacing w:after="0"/>
              <w:rPr>
                <w:sz w:val="1"/>
                <w:szCs w:val="1"/>
                <w:color w:val="auto"/>
              </w:rPr>
            </w:pPr>
          </w:p>
        </w:tc>
      </w:tr>
      <w:tr>
        <w:trPr>
          <w:trHeight w:val="207"/>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7,870</w:t>
            </w:r>
          </w:p>
        </w:tc>
        <w:tc>
          <w:tcPr>
            <w:tcW w:w="0" w:type="dxa"/>
            <w:vAlign w:val="bottom"/>
          </w:tcPr>
          <w:p>
            <w:pPr>
              <w:spacing w:after="0"/>
              <w:rPr>
                <w:sz w:val="1"/>
                <w:szCs w:val="1"/>
                <w:color w:val="auto"/>
              </w:rPr>
            </w:pPr>
          </w:p>
        </w:tc>
      </w:tr>
      <w:tr>
        <w:trPr>
          <w:trHeight w:val="213"/>
        </w:trPr>
        <w:tc>
          <w:tcPr>
            <w:tcW w:w="692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0"/>
                <w:szCs w:val="20"/>
                <w:color w:val="auto"/>
                <w:vertAlign w:val="superscript"/>
              </w:rPr>
              <w:t>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72"/>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0"/>
                <w:szCs w:val="20"/>
                <w:color w:val="auto"/>
                <w:vertAlign w:val="superscript"/>
              </w:rPr>
              <w:t>2</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3"/>
                <w:szCs w:val="23"/>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3" w:name="page34"/>
    <w:bookmarkEnd w:id="33"/>
    <w:tbl>
      <w:tblPr>
        <w:tblLayout w:type="fixed"/>
        <w:tblInd w:w="1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6"/>
        </w:trPr>
        <w:tc>
          <w:tcPr>
            <w:tcW w:w="6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Pr>
          <w:p>
            <w:pPr>
              <w:spacing w:after="0"/>
              <w:rPr>
                <w:sz w:val="16"/>
                <w:szCs w:val="16"/>
                <w:color w:val="auto"/>
              </w:rPr>
            </w:pPr>
          </w:p>
        </w:tc>
        <w:tc>
          <w:tcPr>
            <w:tcW w:w="1600" w:type="dxa"/>
            <w:vAlign w:val="bottom"/>
          </w:tcPr>
          <w:p>
            <w:pPr>
              <w:jc w:val="center"/>
              <w:ind w:right="650"/>
              <w:spacing w:after="0"/>
              <w:rPr>
                <w:sz w:val="20"/>
                <w:szCs w:val="20"/>
                <w:color w:val="auto"/>
              </w:rPr>
            </w:pPr>
            <w:r>
              <w:rPr>
                <w:rFonts w:ascii="Arial" w:cs="Arial" w:eastAsia="Arial" w:hAnsi="Arial"/>
                <w:sz w:val="14"/>
                <w:szCs w:val="14"/>
                <w:b w:val="1"/>
                <w:bCs w:val="1"/>
                <w:color w:val="auto"/>
                <w:w w:val="87"/>
              </w:rPr>
              <w:t>September 30,</w:t>
            </w:r>
          </w:p>
        </w:tc>
      </w:tr>
      <w:tr>
        <w:trPr>
          <w:trHeight w:val="183"/>
        </w:trPr>
        <w:tc>
          <w:tcPr>
            <w:tcW w:w="6140" w:type="dxa"/>
            <w:vAlign w:val="bottom"/>
          </w:tcPr>
          <w:p>
            <w:pPr>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2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0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373</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1,243</w:t>
            </w:r>
          </w:p>
        </w:tc>
      </w:tr>
      <w:tr>
        <w:trPr>
          <w:trHeight w:val="207"/>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303</w:t>
            </w:r>
          </w:p>
        </w:tc>
      </w:tr>
      <w:tr>
        <w:trPr>
          <w:trHeight w:val="203"/>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940</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(2,631)</w:t>
            </w:r>
          </w:p>
        </w:tc>
      </w:tr>
      <w:tr>
        <w:trPr>
          <w:trHeight w:val="21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21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06"/>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8"/>
        </w:trPr>
        <w:tc>
          <w:tcPr>
            <w:tcW w:w="6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(666)</w:t>
            </w:r>
          </w:p>
        </w:tc>
        <w:tc>
          <w:tcPr>
            <w:tcW w:w="16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21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(2,859)</w:t>
            </w:r>
          </w:p>
        </w:tc>
      </w:tr>
      <w:tr>
        <w:trPr>
          <w:trHeight w:val="21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06"/>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Comprehensive loss attributable to common stockholders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8"/>
        </w:trPr>
        <w:tc>
          <w:tcPr>
            <w:tcW w:w="6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528.7</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600.2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526.4</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528.7</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80" w:type="dxa"/>
            <w:vAlign w:val="bottom"/>
            <w:tcBorders>
              <w:bottom w:val="single" w:sz="8" w:color="auto"/>
            </w:tcBorders>
          </w:tcPr>
          <w:p>
            <w:pPr>
              <w:jc w:val="right"/>
              <w:ind w:right="201"/>
              <w:spacing w:after="0" w:line="182"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(0.68)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(1.31)</w:t>
            </w:r>
          </w:p>
        </w:tc>
        <w:tc>
          <w:tcPr>
            <w:tcW w:w="16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(0.58)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(3.47)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80" w:type="dxa"/>
            <w:vAlign w:val="bottom"/>
            <w:tcBorders>
              <w:bottom w:val="single" w:sz="8" w:color="auto"/>
            </w:tcBorders>
          </w:tcPr>
          <w:p>
            <w:pPr>
              <w:jc w:val="right"/>
              <w:ind w:right="201"/>
              <w:spacing w:after="0" w:line="182"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(2.01)</w:t>
            </w:r>
          </w:p>
        </w:tc>
        <w:tc>
          <w:tcPr>
            <w:tcW w:w="16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(0.81)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(5.58)</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380" w:type="dxa"/>
            <w:vAlign w:val="bottom"/>
            <w:tcBorders>
              <w:bottom w:val="single" w:sz="8" w:color="auto"/>
            </w:tcBorders>
          </w:tcPr>
          <w:p>
            <w:pPr>
              <w:jc w:val="right"/>
              <w:ind w:right="201"/>
              <w:spacing w:after="0" w:line="182"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0.36</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0.36</w:t>
            </w:r>
          </w:p>
        </w:tc>
        <w:tc>
          <w:tcPr>
            <w:tcW w:w="16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1.08</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0"/>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investment securities - at par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54,387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46,863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49,491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49,355</w:t>
            </w:r>
          </w:p>
        </w:tc>
      </w:tr>
      <w:tr>
        <w:trPr>
          <w:trHeight w:val="207"/>
        </w:trPr>
        <w:tc>
          <w:tcPr>
            <w:tcW w:w="5980" w:type="dxa"/>
            <w:vAlign w:val="bottom"/>
            <w:gridSpan w:val="2"/>
          </w:tcPr>
          <w:p>
            <w:pPr>
              <w:spacing w:after="0"/>
              <w:rPr>
                <w:sz w:val="20"/>
                <w:szCs w:val="20"/>
                <w:color w:val="auto"/>
              </w:rPr>
            </w:pPr>
            <w:r>
              <w:rPr>
                <w:rFonts w:ascii="Arial" w:cs="Arial" w:eastAsia="Arial" w:hAnsi="Arial"/>
                <w:sz w:val="14"/>
                <w:szCs w:val="14"/>
                <w:color w:val="auto"/>
              </w:rPr>
              <w:t>Average investment securities - at cost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55,665</w:t>
            </w:r>
          </w:p>
        </w:tc>
        <w:tc>
          <w:tcPr>
            <w:tcW w:w="1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48,362</w:t>
            </w:r>
          </w:p>
        </w:tc>
        <w:tc>
          <w:tcPr>
            <w:tcW w:w="1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50,921</w:t>
            </w:r>
          </w:p>
        </w:tc>
        <w:tc>
          <w:tcPr>
            <w:tcW w:w="1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50,897</w:t>
            </w: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net TBA dollar roll position - at cost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7,340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20,331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11,687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21,184</w:t>
            </w:r>
          </w:p>
        </w:tc>
      </w:tr>
      <w:tr>
        <w:trPr>
          <w:trHeight w:val="207"/>
        </w:trPr>
        <w:tc>
          <w:tcPr>
            <w:tcW w:w="5980" w:type="dxa"/>
            <w:vAlign w:val="bottom"/>
            <w:gridSpan w:val="2"/>
          </w:tcPr>
          <w:p>
            <w:pPr>
              <w:spacing w:after="0"/>
              <w:rPr>
                <w:sz w:val="20"/>
                <w:szCs w:val="20"/>
                <w:color w:val="auto"/>
              </w:rPr>
            </w:pPr>
            <w:r>
              <w:rPr>
                <w:rFonts w:ascii="Arial" w:cs="Arial" w:eastAsia="Arial" w:hAnsi="Arial"/>
                <w:sz w:val="14"/>
                <w:szCs w:val="14"/>
                <w:color w:val="auto"/>
              </w:rPr>
              <w:t>Average total assets - at fair value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65,025</w:t>
            </w:r>
          </w:p>
        </w:tc>
        <w:tc>
          <w:tcPr>
            <w:tcW w:w="1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58,701</w:t>
            </w:r>
          </w:p>
        </w:tc>
        <w:tc>
          <w:tcPr>
            <w:tcW w:w="1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61,964</w:t>
            </w:r>
          </w:p>
        </w:tc>
        <w:tc>
          <w:tcPr>
            <w:tcW w:w="1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63,619</w:t>
            </w: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47,073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40,530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42,841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43,344</w:t>
            </w:r>
          </w:p>
        </w:tc>
      </w:tr>
      <w:tr>
        <w:trPr>
          <w:trHeight w:val="210"/>
        </w:trPr>
        <w:tc>
          <w:tcPr>
            <w:tcW w:w="5980" w:type="dxa"/>
            <w:vAlign w:val="bottom"/>
            <w:gridSpan w:val="2"/>
          </w:tcPr>
          <w:p>
            <w:pPr>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7,758</w:t>
            </w:r>
          </w:p>
        </w:tc>
        <w:tc>
          <w:tcPr>
            <w:tcW w:w="12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7,843</w:t>
            </w:r>
          </w:p>
        </w:tc>
        <w:tc>
          <w:tcPr>
            <w:tcW w:w="12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8,748</w:t>
            </w:r>
          </w:p>
        </w:tc>
      </w:tr>
    </w:tbl>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0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7.5:1</w:t>
            </w:r>
          </w:p>
        </w:tc>
        <w:tc>
          <w:tcPr>
            <w:tcW w:w="13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8.1:1</w:t>
            </w:r>
          </w:p>
        </w:tc>
        <w:tc>
          <w:tcPr>
            <w:tcW w:w="12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7.5:1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10"/>
        </w:trPr>
        <w:tc>
          <w:tcPr>
            <w:tcW w:w="5540" w:type="dxa"/>
            <w:vAlign w:val="bottom"/>
          </w:tcPr>
          <w:p>
            <w:pPr>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000" w:type="dxa"/>
            <w:vAlign w:val="bottom"/>
          </w:tcPr>
          <w:p>
            <w:pPr>
              <w:jc w:val="right"/>
              <w:ind w:right="321"/>
              <w:spacing w:after="0"/>
              <w:rPr>
                <w:sz w:val="20"/>
                <w:szCs w:val="20"/>
                <w:color w:val="auto"/>
              </w:rPr>
            </w:pPr>
            <w:r>
              <w:rPr>
                <w:rFonts w:ascii="Arial" w:cs="Arial" w:eastAsia="Arial" w:hAnsi="Arial"/>
                <w:sz w:val="16"/>
                <w:szCs w:val="16"/>
                <w:color w:val="auto"/>
              </w:rPr>
              <w:t>7.9:1</w:t>
            </w:r>
          </w:p>
        </w:tc>
        <w:tc>
          <w:tcPr>
            <w:tcW w:w="1320" w:type="dxa"/>
            <w:vAlign w:val="bottom"/>
          </w:tcPr>
          <w:p>
            <w:pPr>
              <w:jc w:val="right"/>
              <w:ind w:right="341"/>
              <w:spacing w:after="0"/>
              <w:rPr>
                <w:sz w:val="20"/>
                <w:szCs w:val="20"/>
                <w:color w:val="auto"/>
              </w:rPr>
            </w:pPr>
            <w:r>
              <w:rPr>
                <w:rFonts w:ascii="Arial" w:cs="Arial" w:eastAsia="Arial" w:hAnsi="Arial"/>
                <w:sz w:val="16"/>
                <w:szCs w:val="16"/>
                <w:color w:val="auto"/>
              </w:rPr>
              <w:t>8.7:1</w:t>
            </w:r>
          </w:p>
        </w:tc>
        <w:tc>
          <w:tcPr>
            <w:tcW w:w="1280" w:type="dxa"/>
            <w:vAlign w:val="bottom"/>
          </w:tcPr>
          <w:p>
            <w:pPr>
              <w:jc w:val="right"/>
              <w:ind w:right="321"/>
              <w:spacing w:after="0"/>
              <w:rPr>
                <w:sz w:val="20"/>
                <w:szCs w:val="20"/>
                <w:color w:val="auto"/>
              </w:rPr>
            </w:pPr>
            <w:r>
              <w:rPr>
                <w:rFonts w:ascii="Arial" w:cs="Arial" w:eastAsia="Arial" w:hAnsi="Arial"/>
                <w:sz w:val="16"/>
                <w:szCs w:val="16"/>
                <w:color w:val="auto"/>
              </w:rPr>
              <w:t>7.9:1</w:t>
            </w:r>
          </w:p>
        </w:tc>
        <w:tc>
          <w:tcPr>
            <w:tcW w:w="92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18"/>
                <w:szCs w:val="18"/>
                <w:color w:val="auto"/>
                <w:vertAlign w:val="superscript"/>
              </w:rPr>
              <w:t>7</w:t>
            </w:r>
          </w:p>
        </w:tc>
        <w:tc>
          <w:tcPr>
            <w:tcW w:w="20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(10.1)%</w:t>
            </w:r>
          </w:p>
        </w:tc>
        <w:tc>
          <w:tcPr>
            <w:tcW w:w="13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(17.4)%</w:t>
            </w:r>
          </w:p>
        </w:tc>
        <w:tc>
          <w:tcPr>
            <w:tcW w:w="12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07"/>
        </w:trPr>
        <w:tc>
          <w:tcPr>
            <w:tcW w:w="5540" w:type="dxa"/>
            <w:vAlign w:val="bottom"/>
          </w:tcPr>
          <w:p>
            <w:pPr>
              <w:spacing w:after="0"/>
              <w:rPr>
                <w:sz w:val="20"/>
                <w:szCs w:val="20"/>
                <w:color w:val="auto"/>
              </w:rPr>
            </w:pPr>
            <w:r>
              <w:rPr>
                <w:rFonts w:ascii="Arial" w:cs="Arial" w:eastAsia="Arial" w:hAnsi="Arial"/>
                <w:sz w:val="14"/>
                <w:szCs w:val="14"/>
                <w:color w:val="auto"/>
              </w:rPr>
              <w:t>Expenses % of average total assets - annualized</w:t>
            </w:r>
          </w:p>
        </w:tc>
        <w:tc>
          <w:tcPr>
            <w:tcW w:w="2000" w:type="dxa"/>
            <w:vAlign w:val="bottom"/>
          </w:tcPr>
          <w:p>
            <w:pPr>
              <w:jc w:val="right"/>
              <w:ind w:right="321"/>
              <w:spacing w:after="0"/>
              <w:rPr>
                <w:sz w:val="20"/>
                <w:szCs w:val="20"/>
                <w:color w:val="auto"/>
              </w:rPr>
            </w:pPr>
            <w:r>
              <w:rPr>
                <w:rFonts w:ascii="Arial" w:cs="Arial" w:eastAsia="Arial" w:hAnsi="Arial"/>
                <w:sz w:val="16"/>
                <w:szCs w:val="16"/>
                <w:color w:val="auto"/>
              </w:rPr>
              <w:t>0.14 %</w:t>
            </w:r>
          </w:p>
        </w:tc>
        <w:tc>
          <w:tcPr>
            <w:tcW w:w="1320" w:type="dxa"/>
            <w:vAlign w:val="bottom"/>
          </w:tcPr>
          <w:p>
            <w:pPr>
              <w:jc w:val="right"/>
              <w:ind w:right="341"/>
              <w:spacing w:after="0"/>
              <w:rPr>
                <w:sz w:val="20"/>
                <w:szCs w:val="20"/>
                <w:color w:val="auto"/>
              </w:rPr>
            </w:pPr>
            <w:r>
              <w:rPr>
                <w:rFonts w:ascii="Arial" w:cs="Arial" w:eastAsia="Arial" w:hAnsi="Arial"/>
                <w:sz w:val="16"/>
                <w:szCs w:val="16"/>
                <w:color w:val="auto"/>
              </w:rPr>
              <w:t>0.13 %</w:t>
            </w:r>
          </w:p>
        </w:tc>
        <w:tc>
          <w:tcPr>
            <w:tcW w:w="1280" w:type="dxa"/>
            <w:vAlign w:val="bottom"/>
          </w:tcPr>
          <w:p>
            <w:pPr>
              <w:jc w:val="right"/>
              <w:ind w:right="321"/>
              <w:spacing w:after="0"/>
              <w:rPr>
                <w:sz w:val="20"/>
                <w:szCs w:val="20"/>
                <w:color w:val="auto"/>
              </w:rPr>
            </w:pPr>
            <w:r>
              <w:rPr>
                <w:rFonts w:ascii="Arial" w:cs="Arial" w:eastAsia="Arial" w:hAnsi="Arial"/>
                <w:sz w:val="16"/>
                <w:szCs w:val="16"/>
                <w:color w:val="auto"/>
              </w:rPr>
              <w:t>0.15 %</w:t>
            </w:r>
          </w:p>
        </w:tc>
        <w:tc>
          <w:tcPr>
            <w:tcW w:w="920" w:type="dxa"/>
            <w:vAlign w:val="bottom"/>
          </w:tcPr>
          <w:p>
            <w:pPr>
              <w:jc w:val="right"/>
              <w:spacing w:after="0"/>
              <w:rPr>
                <w:sz w:val="20"/>
                <w:szCs w:val="20"/>
                <w:color w:val="auto"/>
              </w:rPr>
            </w:pPr>
            <w:r>
              <w:rPr>
                <w:rFonts w:ascii="Arial" w:cs="Arial" w:eastAsia="Arial" w:hAnsi="Arial"/>
                <w:sz w:val="16"/>
                <w:szCs w:val="16"/>
                <w:color w:val="auto"/>
              </w:rPr>
              <w:t>0.13 %</w:t>
            </w: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Expenses % of average assets, including average net TBA position - annualized</w:t>
            </w:r>
          </w:p>
        </w:tc>
        <w:tc>
          <w:tcPr>
            <w:tcW w:w="20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0.13 %</w:t>
            </w:r>
          </w:p>
        </w:tc>
        <w:tc>
          <w:tcPr>
            <w:tcW w:w="13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0.10 %</w:t>
            </w:r>
          </w:p>
        </w:tc>
        <w:tc>
          <w:tcPr>
            <w:tcW w:w="12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0.12 %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r>
      <w:tr>
        <w:trPr>
          <w:trHeight w:val="203"/>
        </w:trPr>
        <w:tc>
          <w:tcPr>
            <w:tcW w:w="5540" w:type="dxa"/>
            <w:vAlign w:val="bottom"/>
          </w:tcPr>
          <w:p>
            <w:pPr>
              <w:spacing w:after="0"/>
              <w:rPr>
                <w:sz w:val="20"/>
                <w:szCs w:val="20"/>
                <w:color w:val="auto"/>
              </w:rPr>
            </w:pPr>
            <w:r>
              <w:rPr>
                <w:rFonts w:ascii="Arial" w:cs="Arial" w:eastAsia="Arial" w:hAnsi="Arial"/>
                <w:sz w:val="14"/>
                <w:szCs w:val="14"/>
                <w:color w:val="auto"/>
              </w:rPr>
              <w:t>Expenses % of average stockholders' equity - annualized</w:t>
            </w:r>
          </w:p>
        </w:tc>
        <w:tc>
          <w:tcPr>
            <w:tcW w:w="2000" w:type="dxa"/>
            <w:vAlign w:val="bottom"/>
          </w:tcPr>
          <w:p>
            <w:pPr>
              <w:jc w:val="right"/>
              <w:ind w:right="321"/>
              <w:spacing w:after="0"/>
              <w:rPr>
                <w:sz w:val="20"/>
                <w:szCs w:val="20"/>
                <w:color w:val="auto"/>
              </w:rPr>
            </w:pPr>
            <w:r>
              <w:rPr>
                <w:rFonts w:ascii="Arial" w:cs="Arial" w:eastAsia="Arial" w:hAnsi="Arial"/>
                <w:sz w:val="16"/>
                <w:szCs w:val="16"/>
                <w:color w:val="auto"/>
              </w:rPr>
              <w:t>1.19 %</w:t>
            </w:r>
          </w:p>
        </w:tc>
        <w:tc>
          <w:tcPr>
            <w:tcW w:w="1320" w:type="dxa"/>
            <w:vAlign w:val="bottom"/>
          </w:tcPr>
          <w:p>
            <w:pPr>
              <w:jc w:val="right"/>
              <w:ind w:right="341"/>
              <w:spacing w:after="0"/>
              <w:rPr>
                <w:sz w:val="20"/>
                <w:szCs w:val="20"/>
                <w:color w:val="auto"/>
              </w:rPr>
            </w:pPr>
            <w:r>
              <w:rPr>
                <w:rFonts w:ascii="Arial" w:cs="Arial" w:eastAsia="Arial" w:hAnsi="Arial"/>
                <w:sz w:val="16"/>
                <w:szCs w:val="16"/>
                <w:color w:val="auto"/>
              </w:rPr>
              <w:t>0.95 %</w:t>
            </w:r>
          </w:p>
        </w:tc>
        <w:tc>
          <w:tcPr>
            <w:tcW w:w="1280" w:type="dxa"/>
            <w:vAlign w:val="bottom"/>
          </w:tcPr>
          <w:p>
            <w:pPr>
              <w:jc w:val="right"/>
              <w:ind w:right="321"/>
              <w:spacing w:after="0"/>
              <w:rPr>
                <w:sz w:val="20"/>
                <w:szCs w:val="20"/>
                <w:color w:val="auto"/>
              </w:rPr>
            </w:pPr>
            <w:r>
              <w:rPr>
                <w:rFonts w:ascii="Arial" w:cs="Arial" w:eastAsia="Arial" w:hAnsi="Arial"/>
                <w:sz w:val="16"/>
                <w:szCs w:val="16"/>
                <w:color w:val="auto"/>
              </w:rPr>
              <w:t>1.16 %</w:t>
            </w:r>
          </w:p>
        </w:tc>
        <w:tc>
          <w:tcPr>
            <w:tcW w:w="920" w:type="dxa"/>
            <w:vAlign w:val="bottom"/>
          </w:tcPr>
          <w:p>
            <w:pPr>
              <w:jc w:val="right"/>
              <w:spacing w:after="0"/>
              <w:rPr>
                <w:sz w:val="20"/>
                <w:szCs w:val="20"/>
                <w:color w:val="auto"/>
              </w:rPr>
            </w:pPr>
            <w:r>
              <w:rPr>
                <w:rFonts w:ascii="Arial" w:cs="Arial" w:eastAsia="Arial" w:hAnsi="Arial"/>
                <w:sz w:val="16"/>
                <w:szCs w:val="16"/>
                <w:color w:val="auto"/>
              </w:rPr>
              <w:t>0.91 %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ind w:left="640" w:hanging="320"/>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Net book value per common share is calculated as total stockholders' equity, less preferred stock liquidation preference, divided by number of common shares outstanding as of period end.</w:t>
      </w:r>
    </w:p>
    <w:p>
      <w:pPr>
        <w:spacing w:after="0" w:line="28" w:lineRule="exact"/>
        <w:rPr>
          <w:rFonts w:ascii="Arial" w:cs="Arial" w:eastAsia="Arial" w:hAnsi="Arial"/>
          <w:sz w:val="12"/>
          <w:szCs w:val="12"/>
          <w:color w:val="auto"/>
        </w:rPr>
      </w:pPr>
    </w:p>
    <w:p>
      <w:pPr>
        <w:ind w:left="640" w:hanging="32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9" w:lineRule="exact"/>
        <w:rPr>
          <w:rFonts w:ascii="Arial" w:cs="Arial" w:eastAsia="Arial" w:hAnsi="Arial"/>
          <w:sz w:val="14"/>
          <w:szCs w:val="14"/>
          <w:color w:val="auto"/>
        </w:rPr>
      </w:pPr>
    </w:p>
    <w:p>
      <w:pPr>
        <w:ind w:left="640" w:hanging="320"/>
        <w:spacing w:after="0" w:line="254"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ind w:left="640" w:hanging="32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jc w:val="both"/>
        <w:ind w:left="640" w:hanging="320"/>
        <w:spacing w:after="0" w:line="252"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ind w:left="640" w:hanging="320"/>
        <w:spacing w:after="0" w:line="307"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ind w:left="640" w:hanging="320"/>
        <w:spacing w:after="0" w:line="280"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Income and Asset Yields</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following table summarizes our economic interest income (a non-GAAP measure) for the three and nine months ended September 30, 2023 and 2022,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9"/>
          </w:tcPr>
          <w:p>
            <w:pPr>
              <w:ind w:left="560"/>
              <w:spacing w:after="0"/>
              <w:rPr>
                <w:sz w:val="20"/>
                <w:szCs w:val="20"/>
                <w:color w:val="auto"/>
              </w:rPr>
            </w:pPr>
            <w:r>
              <w:rPr>
                <w:rFonts w:ascii="Arial" w:cs="Arial" w:eastAsia="Arial" w:hAnsi="Arial"/>
                <w:sz w:val="14"/>
                <w:szCs w:val="14"/>
                <w:b w:val="1"/>
                <w:bCs w:val="1"/>
                <w:color w:val="auto"/>
                <w:w w:val="92"/>
              </w:rPr>
              <w:t>Three Months Ended September 30,</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gridSpan w:val="9"/>
          </w:tcPr>
          <w:p>
            <w:pPr>
              <w:jc w:val="right"/>
              <w:ind w:right="67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right"/>
              <w:ind w:right="17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170"/>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4.27 %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190"/>
        </w:trPr>
        <w:tc>
          <w:tcPr>
            <w:tcW w:w="4080" w:type="dxa"/>
            <w:vAlign w:val="bottom"/>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2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0.02 %</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593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373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39"/>
        </w:trPr>
        <w:tc>
          <w:tcPr>
            <w:tcW w:w="4080" w:type="dxa"/>
            <w:vAlign w:val="bottom"/>
          </w:tcPr>
          <w:p>
            <w:pPr>
              <w:ind w:left="100"/>
              <w:spacing w:after="0" w:line="139" w:lineRule="exact"/>
              <w:rPr>
                <w:sz w:val="20"/>
                <w:szCs w:val="20"/>
                <w:color w:val="auto"/>
              </w:rPr>
            </w:pPr>
            <w:r>
              <w:rPr>
                <w:rFonts w:ascii="Arial" w:cs="Arial" w:eastAsia="Arial" w:hAnsi="Arial"/>
                <w:sz w:val="14"/>
                <w:szCs w:val="14"/>
                <w:color w:val="auto"/>
              </w:rPr>
              <w:t>Estimated "catch-up" premium amortization cost (benefit) due to</w:t>
            </w:r>
          </w:p>
        </w:tc>
        <w:tc>
          <w:tcPr>
            <w:tcW w:w="120" w:type="dxa"/>
            <w:vAlign w:val="bottom"/>
          </w:tcPr>
          <w:p>
            <w:pPr>
              <w:spacing w:after="0"/>
              <w:rPr>
                <w:sz w:val="12"/>
                <w:szCs w:val="12"/>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32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0.07 %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(243)</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84"/>
        </w:trPr>
        <w:tc>
          <w:tcPr>
            <w:tcW w:w="4080" w:type="dxa"/>
            <w:vAlign w:val="bottom"/>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562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355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2.62 %</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9"/>
                <w:szCs w:val="9"/>
                <w:color w:val="auto"/>
              </w:rPr>
              <w:t>1,2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121"/>
        </w:trPr>
        <w:tc>
          <w:tcPr>
            <w:tcW w:w="4080" w:type="dxa"/>
            <w:vAlign w:val="bottom"/>
            <w:shd w:val="clear" w:color="auto" w:fill="CCEEFF"/>
          </w:tcPr>
          <w:p>
            <w:pPr>
              <w:ind w:left="20"/>
              <w:spacing w:after="0" w:line="121" w:lineRule="exact"/>
              <w:rPr>
                <w:sz w:val="20"/>
                <w:szCs w:val="20"/>
                <w:color w:val="auto"/>
              </w:rPr>
            </w:pPr>
            <w:r>
              <w:rPr>
                <w:rFonts w:ascii="Arial" w:cs="Arial" w:eastAsia="Arial" w:hAnsi="Arial"/>
                <w:sz w:val="14"/>
                <w:szCs w:val="14"/>
                <w:color w:val="auto"/>
                <w:w w:val="98"/>
              </w:rPr>
              <w:t>Economic interest income, excluding "catch-up" amortization (non-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line="168" w:lineRule="exact"/>
              <w:rPr>
                <w:sz w:val="20"/>
                <w:szCs w:val="20"/>
                <w:color w:val="auto"/>
              </w:rPr>
            </w:pPr>
            <w:r>
              <w:rPr>
                <w:rFonts w:ascii="Arial" w:cs="Arial" w:eastAsia="Arial" w:hAnsi="Arial"/>
                <w:sz w:val="14"/>
                <w:szCs w:val="14"/>
                <w:color w:val="auto"/>
              </w:rPr>
              <w:t xml:space="preserve">GAAP measure) </w:t>
            </w:r>
            <w:r>
              <w:rPr>
                <w:rFonts w:ascii="Arial" w:cs="Arial" w:eastAsia="Arial" w:hAnsi="Arial"/>
                <w:sz w:val="18"/>
                <w:szCs w:val="18"/>
                <w:color w:val="auto"/>
                <w:vertAlign w:val="superscript"/>
              </w:rPr>
              <w:t>3</w:t>
            </w: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240"/>
          </w:cols>
          <w:pgMar w:left="320" w:top="868" w:right="339" w:bottom="1440" w:gutter="0" w:footer="0" w:header="0"/>
        </w:sectPr>
      </w:pPr>
    </w:p>
    <w:p>
      <w:pPr>
        <w:ind w:left="20"/>
        <w:spacing w:after="0" w:line="241" w:lineRule="auto"/>
        <w:rPr>
          <w:sz w:val="20"/>
          <w:szCs w:val="20"/>
          <w:color w:val="auto"/>
        </w:rPr>
      </w:pPr>
      <w:r>
        <w:rPr>
          <w:rFonts w:ascii="Arial" w:cs="Arial" w:eastAsia="Arial" w:hAnsi="Arial"/>
          <w:sz w:val="14"/>
          <w:szCs w:val="14"/>
          <w:color w:val="auto"/>
        </w:rPr>
        <w:t>Weighted average actual portfolio CPR for investment securities held during the period</w:t>
      </w:r>
    </w:p>
    <w:p>
      <w:pPr>
        <w:spacing w:after="0" w:line="5" w:lineRule="exact"/>
        <w:rPr>
          <w:sz w:val="20"/>
          <w:szCs w:val="20"/>
          <w:color w:val="auto"/>
        </w:rPr>
      </w:pPr>
    </w:p>
    <w:p>
      <w:pPr>
        <w:ind w:left="20"/>
        <w:spacing w:after="0" w:line="241" w:lineRule="auto"/>
        <w:rPr>
          <w:sz w:val="20"/>
          <w:szCs w:val="20"/>
          <w:color w:val="auto"/>
        </w:rPr>
      </w:pPr>
      <w:r>
        <w:rPr>
          <w:rFonts w:ascii="Arial" w:cs="Arial" w:eastAsia="Arial" w:hAnsi="Arial"/>
          <w:sz w:val="14"/>
          <w:szCs w:val="14"/>
          <w:color w:val="auto"/>
        </w:rPr>
        <w:t>Weighted average projected CPR for the remaining life of investment securities held as of period end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30-year fixed rate mortgage rate as of period end </w:t>
      </w:r>
      <w:r>
        <w:rPr>
          <w:rFonts w:ascii="Arial" w:cs="Arial" w:eastAsia="Arial" w:hAnsi="Arial"/>
          <w:sz w:val="9"/>
          <w:szCs w:val="9"/>
          <w:color w:val="auto"/>
        </w:rPr>
        <w:t>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10-year U.S. Treasury rate as of period end </w:t>
      </w:r>
      <w:r>
        <w:rPr>
          <w:rFonts w:ascii="Arial" w:cs="Arial" w:eastAsia="Arial" w:hAnsi="Arial"/>
          <w:sz w:val="9"/>
          <w:szCs w:val="9"/>
          <w:color w:val="auto"/>
        </w:rPr>
        <w:t>4</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100" w:type="dxa"/>
            <w:vAlign w:val="bottom"/>
          </w:tcPr>
          <w:p>
            <w:pPr>
              <w:jc w:val="right"/>
              <w:ind w:right="630"/>
              <w:spacing w:after="0"/>
              <w:rPr>
                <w:sz w:val="20"/>
                <w:szCs w:val="20"/>
                <w:color w:val="auto"/>
              </w:rPr>
            </w:pPr>
            <w:r>
              <w:rPr>
                <w:rFonts w:ascii="Arial" w:cs="Arial" w:eastAsia="Arial" w:hAnsi="Arial"/>
                <w:sz w:val="14"/>
                <w:szCs w:val="14"/>
                <w:color w:val="auto"/>
              </w:rPr>
              <w:t>7.1 %</w:t>
            </w:r>
          </w:p>
        </w:tc>
        <w:tc>
          <w:tcPr>
            <w:tcW w:w="1800" w:type="dxa"/>
            <w:vAlign w:val="bottom"/>
          </w:tcPr>
          <w:p>
            <w:pPr>
              <w:jc w:val="right"/>
              <w:ind w:right="630"/>
              <w:spacing w:after="0"/>
              <w:rPr>
                <w:sz w:val="20"/>
                <w:szCs w:val="20"/>
                <w:color w:val="auto"/>
              </w:rPr>
            </w:pPr>
            <w:r>
              <w:rPr>
                <w:rFonts w:ascii="Arial" w:cs="Arial" w:eastAsia="Arial" w:hAnsi="Arial"/>
                <w:sz w:val="14"/>
                <w:szCs w:val="14"/>
                <w:color w:val="auto"/>
              </w:rPr>
              <w:t>9.2 %</w:t>
            </w:r>
          </w:p>
        </w:tc>
        <w:tc>
          <w:tcPr>
            <w:tcW w:w="1820" w:type="dxa"/>
            <w:vAlign w:val="bottom"/>
          </w:tcPr>
          <w:p>
            <w:pPr>
              <w:jc w:val="right"/>
              <w:ind w:right="650"/>
              <w:spacing w:after="0"/>
              <w:rPr>
                <w:sz w:val="20"/>
                <w:szCs w:val="20"/>
                <w:color w:val="auto"/>
              </w:rPr>
            </w:pPr>
            <w:r>
              <w:rPr>
                <w:rFonts w:ascii="Arial" w:cs="Arial" w:eastAsia="Arial" w:hAnsi="Arial"/>
                <w:sz w:val="14"/>
                <w:szCs w:val="14"/>
                <w:color w:val="auto"/>
              </w:rPr>
              <w:t>6.3 %</w:t>
            </w:r>
          </w:p>
        </w:tc>
        <w:tc>
          <w:tcPr>
            <w:tcW w:w="1100" w:type="dxa"/>
            <w:vAlign w:val="bottom"/>
          </w:tcPr>
          <w:p>
            <w:pPr>
              <w:jc w:val="right"/>
              <w:spacing w:after="0"/>
              <w:rPr>
                <w:sz w:val="20"/>
                <w:szCs w:val="20"/>
                <w:color w:val="auto"/>
              </w:rPr>
            </w:pPr>
            <w:r>
              <w:rPr>
                <w:rFonts w:ascii="Arial" w:cs="Arial" w:eastAsia="Arial" w:hAnsi="Arial"/>
                <w:sz w:val="14"/>
                <w:szCs w:val="14"/>
                <w:color w:val="auto"/>
              </w:rPr>
              <w:t>12.2 %</w:t>
            </w:r>
          </w:p>
        </w:tc>
      </w:tr>
      <w:tr>
        <w:trPr>
          <w:trHeight w:val="328"/>
        </w:trPr>
        <w:tc>
          <w:tcPr>
            <w:tcW w:w="1100" w:type="dxa"/>
            <w:vAlign w:val="bottom"/>
          </w:tcPr>
          <w:p>
            <w:pPr>
              <w:jc w:val="right"/>
              <w:ind w:right="630"/>
              <w:spacing w:after="0"/>
              <w:rPr>
                <w:sz w:val="20"/>
                <w:szCs w:val="20"/>
                <w:color w:val="auto"/>
              </w:rPr>
            </w:pPr>
            <w:r>
              <w:rPr>
                <w:rFonts w:ascii="Arial" w:cs="Arial" w:eastAsia="Arial" w:hAnsi="Arial"/>
                <w:sz w:val="14"/>
                <w:szCs w:val="14"/>
                <w:color w:val="auto"/>
              </w:rPr>
              <w:t>8.3 %</w:t>
            </w:r>
          </w:p>
        </w:tc>
        <w:tc>
          <w:tcPr>
            <w:tcW w:w="1800" w:type="dxa"/>
            <w:vAlign w:val="bottom"/>
          </w:tcPr>
          <w:p>
            <w:pPr>
              <w:jc w:val="right"/>
              <w:ind w:right="630"/>
              <w:spacing w:after="0"/>
              <w:rPr>
                <w:sz w:val="20"/>
                <w:szCs w:val="20"/>
                <w:color w:val="auto"/>
              </w:rPr>
            </w:pPr>
            <w:r>
              <w:rPr>
                <w:rFonts w:ascii="Arial" w:cs="Arial" w:eastAsia="Arial" w:hAnsi="Arial"/>
                <w:sz w:val="14"/>
                <w:szCs w:val="14"/>
                <w:color w:val="auto"/>
              </w:rPr>
              <w:t>7.0 %</w:t>
            </w:r>
          </w:p>
        </w:tc>
        <w:tc>
          <w:tcPr>
            <w:tcW w:w="1820" w:type="dxa"/>
            <w:vAlign w:val="bottom"/>
          </w:tcPr>
          <w:p>
            <w:pPr>
              <w:jc w:val="right"/>
              <w:ind w:right="650"/>
              <w:spacing w:after="0"/>
              <w:rPr>
                <w:sz w:val="20"/>
                <w:szCs w:val="20"/>
                <w:color w:val="auto"/>
              </w:rPr>
            </w:pPr>
            <w:r>
              <w:rPr>
                <w:rFonts w:ascii="Arial" w:cs="Arial" w:eastAsia="Arial" w:hAnsi="Arial"/>
                <w:sz w:val="14"/>
                <w:szCs w:val="14"/>
                <w:color w:val="auto"/>
              </w:rPr>
              <w:t>8.3 %</w:t>
            </w:r>
          </w:p>
        </w:tc>
        <w:tc>
          <w:tcPr>
            <w:tcW w:w="110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97"/>
        </w:trPr>
        <w:tc>
          <w:tcPr>
            <w:tcW w:w="1100" w:type="dxa"/>
            <w:vAlign w:val="bottom"/>
          </w:tcPr>
          <w:p>
            <w:pPr>
              <w:jc w:val="right"/>
              <w:ind w:right="630"/>
              <w:spacing w:after="0"/>
              <w:rPr>
                <w:sz w:val="20"/>
                <w:szCs w:val="20"/>
                <w:color w:val="auto"/>
              </w:rPr>
            </w:pPr>
            <w:r>
              <w:rPr>
                <w:rFonts w:ascii="Arial" w:cs="Arial" w:eastAsia="Arial" w:hAnsi="Arial"/>
                <w:sz w:val="14"/>
                <w:szCs w:val="14"/>
                <w:color w:val="auto"/>
                <w:w w:val="87"/>
              </w:rPr>
              <w:t>7.41 %</w:t>
            </w:r>
          </w:p>
        </w:tc>
        <w:tc>
          <w:tcPr>
            <w:tcW w:w="1800" w:type="dxa"/>
            <w:vAlign w:val="bottom"/>
          </w:tcPr>
          <w:p>
            <w:pPr>
              <w:jc w:val="right"/>
              <w:ind w:right="630"/>
              <w:spacing w:after="0"/>
              <w:rPr>
                <w:sz w:val="20"/>
                <w:szCs w:val="20"/>
                <w:color w:val="auto"/>
              </w:rPr>
            </w:pPr>
            <w:r>
              <w:rPr>
                <w:rFonts w:ascii="Arial" w:cs="Arial" w:eastAsia="Arial" w:hAnsi="Arial"/>
                <w:sz w:val="14"/>
                <w:szCs w:val="14"/>
                <w:color w:val="auto"/>
              </w:rPr>
              <w:t>6.72 %</w:t>
            </w:r>
          </w:p>
        </w:tc>
        <w:tc>
          <w:tcPr>
            <w:tcW w:w="1820" w:type="dxa"/>
            <w:vAlign w:val="bottom"/>
          </w:tcPr>
          <w:p>
            <w:pPr>
              <w:jc w:val="right"/>
              <w:ind w:right="650"/>
              <w:spacing w:after="0"/>
              <w:rPr>
                <w:sz w:val="20"/>
                <w:szCs w:val="20"/>
                <w:color w:val="auto"/>
              </w:rPr>
            </w:pPr>
            <w:r>
              <w:rPr>
                <w:rFonts w:ascii="Arial" w:cs="Arial" w:eastAsia="Arial" w:hAnsi="Arial"/>
                <w:sz w:val="14"/>
                <w:szCs w:val="14"/>
                <w:color w:val="auto"/>
              </w:rPr>
              <w:t>7.41 %</w:t>
            </w:r>
          </w:p>
        </w:tc>
        <w:tc>
          <w:tcPr>
            <w:tcW w:w="1100" w:type="dxa"/>
            <w:vAlign w:val="bottom"/>
          </w:tcPr>
          <w:p>
            <w:pPr>
              <w:jc w:val="right"/>
              <w:spacing w:after="0"/>
              <w:rPr>
                <w:sz w:val="20"/>
                <w:szCs w:val="20"/>
                <w:color w:val="auto"/>
              </w:rPr>
            </w:pPr>
            <w:r>
              <w:rPr>
                <w:rFonts w:ascii="Arial" w:cs="Arial" w:eastAsia="Arial" w:hAnsi="Arial"/>
                <w:sz w:val="14"/>
                <w:szCs w:val="14"/>
                <w:color w:val="auto"/>
              </w:rPr>
              <w:t>6.72 %</w:t>
            </w:r>
          </w:p>
        </w:tc>
      </w:tr>
      <w:tr>
        <w:trPr>
          <w:trHeight w:val="197"/>
        </w:trPr>
        <w:tc>
          <w:tcPr>
            <w:tcW w:w="1100" w:type="dxa"/>
            <w:vAlign w:val="bottom"/>
          </w:tcPr>
          <w:p>
            <w:pPr>
              <w:jc w:val="right"/>
              <w:ind w:right="630"/>
              <w:spacing w:after="0"/>
              <w:rPr>
                <w:sz w:val="20"/>
                <w:szCs w:val="20"/>
                <w:color w:val="auto"/>
              </w:rPr>
            </w:pPr>
            <w:r>
              <w:rPr>
                <w:rFonts w:ascii="Arial" w:cs="Arial" w:eastAsia="Arial" w:hAnsi="Arial"/>
                <w:sz w:val="14"/>
                <w:szCs w:val="14"/>
                <w:color w:val="auto"/>
                <w:w w:val="87"/>
              </w:rPr>
              <w:t>4.57 %</w:t>
            </w:r>
          </w:p>
        </w:tc>
        <w:tc>
          <w:tcPr>
            <w:tcW w:w="1800" w:type="dxa"/>
            <w:vAlign w:val="bottom"/>
          </w:tcPr>
          <w:p>
            <w:pPr>
              <w:jc w:val="right"/>
              <w:ind w:right="630"/>
              <w:spacing w:after="0"/>
              <w:rPr>
                <w:sz w:val="20"/>
                <w:szCs w:val="20"/>
                <w:color w:val="auto"/>
              </w:rPr>
            </w:pPr>
            <w:r>
              <w:rPr>
                <w:rFonts w:ascii="Arial" w:cs="Arial" w:eastAsia="Arial" w:hAnsi="Arial"/>
                <w:sz w:val="14"/>
                <w:szCs w:val="14"/>
                <w:color w:val="auto"/>
              </w:rPr>
              <w:t>3.83 %</w:t>
            </w:r>
          </w:p>
        </w:tc>
        <w:tc>
          <w:tcPr>
            <w:tcW w:w="1820" w:type="dxa"/>
            <w:vAlign w:val="bottom"/>
          </w:tcPr>
          <w:p>
            <w:pPr>
              <w:jc w:val="right"/>
              <w:ind w:right="650"/>
              <w:spacing w:after="0"/>
              <w:rPr>
                <w:sz w:val="20"/>
                <w:szCs w:val="20"/>
                <w:color w:val="auto"/>
              </w:rPr>
            </w:pPr>
            <w:r>
              <w:rPr>
                <w:rFonts w:ascii="Arial" w:cs="Arial" w:eastAsia="Arial" w:hAnsi="Arial"/>
                <w:sz w:val="14"/>
                <w:szCs w:val="14"/>
                <w:color w:val="auto"/>
              </w:rPr>
              <w:t>4.57 %</w:t>
            </w:r>
          </w:p>
        </w:tc>
        <w:tc>
          <w:tcPr>
            <w:tcW w:w="1100" w:type="dxa"/>
            <w:vAlign w:val="bottom"/>
          </w:tcPr>
          <w:p>
            <w:pPr>
              <w:jc w:val="right"/>
              <w:spacing w:after="0"/>
              <w:rPr>
                <w:sz w:val="20"/>
                <w:szCs w:val="20"/>
                <w:color w:val="auto"/>
              </w:rPr>
            </w:pPr>
            <w:r>
              <w:rPr>
                <w:rFonts w:ascii="Arial" w:cs="Arial" w:eastAsia="Arial" w:hAnsi="Arial"/>
                <w:sz w:val="14"/>
                <w:szCs w:val="14"/>
                <w:color w:val="auto"/>
              </w:rPr>
              <w:t>3.83 %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-650875</wp:posOffset>
            </wp:positionV>
            <wp:extent cx="7136130" cy="208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828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-234315</wp:posOffset>
            </wp:positionV>
            <wp:extent cx="7136130" cy="125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2509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3900" w:space="580"/>
            <w:col w:w="6760"/>
          </w:cols>
          <w:pgMar w:left="320" w:top="868" w:right="339" w:bottom="1440" w:gutter="0" w:footer="0" w:header="0"/>
          <w:type w:val="continuous"/>
        </w:sectPr>
      </w:pPr>
    </w:p>
    <w:p>
      <w:pPr>
        <w:ind w:left="640" w:hanging="320"/>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8" w:lineRule="exact"/>
        <w:rPr>
          <w:rFonts w:ascii="Arial" w:cs="Arial" w:eastAsia="Arial" w:hAnsi="Arial"/>
          <w:sz w:val="14"/>
          <w:szCs w:val="14"/>
          <w:color w:val="auto"/>
        </w:rPr>
      </w:pPr>
    </w:p>
    <w:p>
      <w:pPr>
        <w:jc w:val="both"/>
        <w:ind w:left="640" w:hanging="320"/>
        <w:spacing w:after="0" w:line="249"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 Expense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 TBA price for</w:t>
      </w:r>
      <w:r>
        <w:rPr>
          <w:rFonts w:ascii="Arial" w:cs="Arial" w:eastAsia="Arial" w:hAnsi="Arial"/>
          <w:sz w:val="14"/>
          <w:szCs w:val="14"/>
          <w:i w:val="1"/>
          <w:iCs w:val="1"/>
          <w:color w:val="auto"/>
        </w:rPr>
        <w:t xml:space="preserve"> </w:t>
      </w:r>
      <w:r>
        <w:rPr>
          <w:rFonts w:ascii="Arial" w:cs="Arial" w:eastAsia="Arial" w:hAnsi="Arial"/>
          <w:sz w:val="14"/>
          <w:szCs w:val="14"/>
          <w:color w:val="auto"/>
        </w:rPr>
        <w:t>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ind w:left="640" w:hanging="320"/>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20" w:lineRule="exact"/>
        <w:rPr>
          <w:rFonts w:ascii="Arial" w:cs="Arial" w:eastAsia="Arial" w:hAnsi="Arial"/>
          <w:sz w:val="13"/>
          <w:szCs w:val="13"/>
          <w:color w:val="auto"/>
        </w:rPr>
      </w:pPr>
    </w:p>
    <w:p>
      <w:pPr>
        <w:ind w:left="640" w:hanging="320"/>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30-year fixed rate mortgage rates are sourced from Clear Blue. 10-year U.S. Treasury rates are sourced from Bloomberg.</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principal elements impacting our economic interest income are the average size of our investment portfolio and the average yield on our securities.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includes a summary of the estimated impact of each of these elements on our economic interest income for the three and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compared to the prior year period (in millions):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35" w:name="page36"/>
    <w:bookmarkEnd w:id="35"/>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113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1365" cy="8255"/>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Periods ended September 30, 2023 vs. September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Total Increase /</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1"/>
                <w:szCs w:val="11"/>
                <w:color w:val="auto"/>
              </w:rPr>
            </w:pPr>
          </w:p>
        </w:tc>
        <w:tc>
          <w:tcPr>
            <w:tcW w:w="1100" w:type="dxa"/>
            <w:vAlign w:val="bottom"/>
          </w:tcPr>
          <w:p>
            <w:pPr>
              <w:jc w:val="right"/>
              <w:ind w:right="490"/>
              <w:spacing w:after="0" w:line="135"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(Decrease)</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5"/>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0"/>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24"/>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Increase /</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1"/>
                <w:szCs w:val="11"/>
                <w:color w:val="auto"/>
              </w:rPr>
            </w:pPr>
          </w:p>
        </w:tc>
        <w:tc>
          <w:tcPr>
            <w:tcW w:w="1100" w:type="dxa"/>
            <w:vAlign w:val="bottom"/>
          </w:tcPr>
          <w:p>
            <w:pPr>
              <w:jc w:val="right"/>
              <w:ind w:right="490"/>
              <w:spacing w:after="0" w:line="128"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5"/>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158</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0"/>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ind w:left="100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7"/>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428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6"/>
              </w:rPr>
              <w:t>(68)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Our average investment portfolio, inclusive of TBAs (at cost), decreased 8% and 13% for the three and nine months ended September 30, 2023, respectively, compared to the prior year period, primarily due to a decline in stockholders' equity and operating with a lower "at risk" leverage ratio. The average yield on our investment portfolio, including TBA implied asset yields and excluding "catch-up" premium amortization, increased 89 and 120 basis points for the three and nine months ended September 30, 2023, respectively, mostly due to changes in our asset composition as we shifted the portfolio higher in coupon to benefit from higher asset yields and wider mortgage spreads.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w:t>
      </w:r>
    </w:p>
    <w:p>
      <w:pPr>
        <w:spacing w:after="0" w:line="172"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01"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for further discussion of TBA securities and dollar roll transactions). Repurchase agreements used to fund short-term investments in U.S.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9"/>
          </w:tcPr>
          <w:p>
            <w:pPr>
              <w:jc w:val="center"/>
              <w:ind w:right="120"/>
              <w:spacing w:after="0"/>
              <w:rPr>
                <w:sz w:val="20"/>
                <w:szCs w:val="20"/>
                <w:color w:val="auto"/>
              </w:rPr>
            </w:pPr>
            <w:r>
              <w:rPr>
                <w:rFonts w:ascii="Arial" w:cs="Arial" w:eastAsia="Arial" w:hAnsi="Arial"/>
                <w:sz w:val="12"/>
                <w:szCs w:val="12"/>
                <w:b w:val="1"/>
                <w:bCs w:val="1"/>
                <w:color w:val="auto"/>
                <w:w w:val="90"/>
              </w:rPr>
              <w:t>Investment Securities Repurchase Agreements and</w:t>
            </w:r>
          </w:p>
        </w:tc>
        <w:tc>
          <w:tcPr>
            <w:tcW w:w="140" w:type="dxa"/>
            <w:vAlign w:val="bottom"/>
          </w:tcPr>
          <w:p>
            <w:pPr>
              <w:spacing w:after="0"/>
              <w:rPr>
                <w:sz w:val="12"/>
                <w:szCs w:val="12"/>
                <w:color w:val="auto"/>
              </w:rPr>
            </w:pPr>
          </w:p>
        </w:tc>
        <w:tc>
          <w:tcPr>
            <w:tcW w:w="1700" w:type="dxa"/>
            <w:vAlign w:val="bottom"/>
            <w:gridSpan w:val="4"/>
          </w:tcPr>
          <w:p>
            <w:pPr>
              <w:jc w:val="right"/>
              <w:ind w:right="392"/>
              <w:spacing w:after="0"/>
              <w:rPr>
                <w:sz w:val="20"/>
                <w:szCs w:val="20"/>
                <w:color w:val="auto"/>
              </w:rPr>
            </w:pPr>
            <w:r>
              <w:rPr>
                <w:rFonts w:ascii="Arial" w:cs="Arial" w:eastAsia="Arial" w:hAnsi="Arial"/>
                <w:sz w:val="12"/>
                <w:szCs w:val="12"/>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Tangible Net Book</w:t>
            </w: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Arial" w:cs="Arial" w:eastAsia="Arial" w:hAnsi="Arial"/>
                <w:sz w:val="11"/>
                <w:szCs w:val="11"/>
                <w:b w:val="1"/>
                <w:bCs w:val="1"/>
                <w:color w:val="auto"/>
              </w:rPr>
              <w:t xml:space="preserve">Other Debt </w:t>
            </w:r>
            <w:r>
              <w:rPr>
                <w:rFonts w:ascii="Arial" w:cs="Arial" w:eastAsia="Arial" w:hAnsi="Arial"/>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92"/>
              <w:spacing w:after="0" w:line="118"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3"/>
                <w:szCs w:val="13"/>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tcPr>
          <w:p>
            <w:pPr>
              <w:jc w:val="center"/>
              <w:ind w:right="120"/>
              <w:spacing w:after="0" w:line="85" w:lineRule="exact"/>
              <w:rPr>
                <w:sz w:val="20"/>
                <w:szCs w:val="20"/>
                <w:color w:val="auto"/>
              </w:rPr>
            </w:pPr>
            <w:r>
              <w:rPr>
                <w:rFonts w:ascii="Arial" w:cs="Arial" w:eastAsia="Arial" w:hAnsi="Arial"/>
                <w:sz w:val="9"/>
                <w:szCs w:val="9"/>
                <w:b w:val="1"/>
                <w:bCs w:val="1"/>
                <w:color w:val="auto"/>
              </w:rPr>
              <w:t>Average Tangible Net</w:t>
            </w:r>
          </w:p>
        </w:tc>
        <w:tc>
          <w:tcPr>
            <w:tcW w:w="130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Value "At Risk"</w:t>
            </w: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w w:val="95"/>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Maximum</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3"/>
              </w:rPr>
              <w:t>Ending</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93"/>
              </w:rPr>
              <w:t>Average Daily</w:t>
            </w:r>
          </w:p>
        </w:tc>
        <w:tc>
          <w:tcPr>
            <w:tcW w:w="14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18" w:lineRule="exact"/>
              <w:rPr>
                <w:sz w:val="20"/>
                <w:szCs w:val="20"/>
                <w:color w:val="auto"/>
              </w:rPr>
            </w:pPr>
            <w:r>
              <w:rPr>
                <w:rFonts w:ascii="Arial" w:cs="Arial" w:eastAsia="Arial" w:hAnsi="Arial"/>
                <w:sz w:val="12"/>
                <w:szCs w:val="12"/>
                <w:b w:val="1"/>
                <w:bCs w:val="1"/>
                <w:color w:val="auto"/>
                <w:w w:val="91"/>
              </w:rPr>
              <w:t>Book Value</w:t>
            </w:r>
          </w:p>
        </w:tc>
        <w:tc>
          <w:tcPr>
            <w:tcW w:w="13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Leverage</w:t>
            </w: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18" w:lineRule="exact"/>
              <w:rPr>
                <w:sz w:val="20"/>
                <w:szCs w:val="20"/>
                <w:color w:val="auto"/>
              </w:rPr>
            </w:pPr>
            <w:r>
              <w:rPr>
                <w:rFonts w:ascii="Arial" w:cs="Arial" w:eastAsia="Arial" w:hAnsi="Arial"/>
                <w:sz w:val="12"/>
                <w:szCs w:val="12"/>
                <w:b w:val="1"/>
                <w:bCs w:val="1"/>
                <w:color w:val="auto"/>
                <w:w w:val="95"/>
              </w:rPr>
              <w:t>"At Risk" Leverage</w:t>
            </w:r>
          </w:p>
        </w:tc>
        <w:tc>
          <w:tcPr>
            <w:tcW w:w="13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84"/>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Quarter Ended</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Daily 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Amount</w:t>
            </w:r>
          </w:p>
        </w:tc>
        <w:tc>
          <w:tcPr>
            <w:tcW w:w="14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 xml:space="preserve">during the Period </w:t>
            </w:r>
            <w:r>
              <w:rPr>
                <w:rFonts w:ascii="Arial" w:cs="Arial" w:eastAsia="Arial" w:hAnsi="Arial"/>
                <w:sz w:val="15"/>
                <w:szCs w:val="15"/>
                <w:b w:val="1"/>
                <w:bCs w:val="1"/>
                <w:color w:val="auto"/>
                <w:w w:val="92"/>
                <w:vertAlign w:val="superscript"/>
              </w:rPr>
              <w:t>3</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Period End </w:t>
            </w:r>
            <w:r>
              <w:rPr>
                <w:rFonts w:ascii="Arial" w:cs="Arial" w:eastAsia="Arial" w:hAnsi="Arial"/>
                <w:sz w:val="15"/>
                <w:szCs w:val="15"/>
                <w:b w:val="1"/>
                <w:bCs w:val="1"/>
                <w:color w:val="auto"/>
                <w:w w:val="91"/>
                <w:vertAlign w:val="superscript"/>
              </w:rPr>
              <w:t>4</w:t>
            </w:r>
          </w:p>
        </w:tc>
        <w:tc>
          <w:tcPr>
            <w:tcW w:w="0" w:type="dxa"/>
            <w:vAlign w:val="bottom"/>
          </w:tcPr>
          <w:p>
            <w:pPr>
              <w:spacing w:after="0"/>
              <w:rPr>
                <w:sz w:val="1"/>
                <w:szCs w:val="1"/>
                <w:color w:val="auto"/>
              </w:rPr>
            </w:pPr>
          </w:p>
        </w:tc>
      </w:tr>
      <w:tr>
        <w:trPr>
          <w:trHeight w:val="19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September 30, 2023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47,073</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52,888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51,931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2,407</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7.9:1</w:t>
            </w:r>
          </w:p>
        </w:tc>
        <w:tc>
          <w:tcPr>
            <w:tcW w:w="0" w:type="dxa"/>
            <w:vAlign w:val="bottom"/>
          </w:tcPr>
          <w:p>
            <w:pPr>
              <w:spacing w:after="0"/>
              <w:rPr>
                <w:sz w:val="1"/>
                <w:szCs w:val="1"/>
                <w:color w:val="auto"/>
              </w:rPr>
            </w:pPr>
          </w:p>
        </w:tc>
      </w:tr>
      <w:tr>
        <w:trPr>
          <w:trHeight w:val="188"/>
        </w:trPr>
        <w:tc>
          <w:tcPr>
            <w:tcW w:w="3600" w:type="dxa"/>
            <w:vAlign w:val="bottom"/>
            <w:gridSpan w:val="2"/>
          </w:tcPr>
          <w:p>
            <w:pPr>
              <w:spacing w:after="0"/>
              <w:rPr>
                <w:sz w:val="20"/>
                <w:szCs w:val="20"/>
                <w:color w:val="auto"/>
              </w:rPr>
            </w:pPr>
            <w:r>
              <w:rPr>
                <w:rFonts w:ascii="Arial" w:cs="Arial" w:eastAsia="Arial" w:hAnsi="Arial"/>
                <w:sz w:val="14"/>
                <w:szCs w:val="14"/>
                <w:color w:val="auto"/>
              </w:rPr>
              <w:t>June 30, 2023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41,546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42,408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40,962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9,985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10,320</w:t>
            </w:r>
          </w:p>
        </w:tc>
        <w:tc>
          <w:tcPr>
            <w:tcW w:w="1400" w:type="dxa"/>
            <w:vAlign w:val="bottom"/>
            <w:gridSpan w:val="2"/>
          </w:tcPr>
          <w:p>
            <w:pPr>
              <w:jc w:val="center"/>
              <w:ind w:left="10"/>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06"/>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39,824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42,022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10,385</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89"/>
              </w:rPr>
              <w:t>7.7:1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188"/>
        </w:trPr>
        <w:tc>
          <w:tcPr>
            <w:tcW w:w="360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35,486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39,399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36,002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18,988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18,407</w:t>
            </w:r>
          </w:p>
        </w:tc>
        <w:tc>
          <w:tcPr>
            <w:tcW w:w="1400" w:type="dxa"/>
            <w:vAlign w:val="bottom"/>
            <w:gridSpan w:val="2"/>
          </w:tcPr>
          <w:p>
            <w:pPr>
              <w:jc w:val="center"/>
              <w:ind w:left="10"/>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0" w:type="dxa"/>
            <w:vAlign w:val="bottom"/>
          </w:tcPr>
          <w:p>
            <w:pPr>
              <w:spacing w:after="0"/>
              <w:rPr>
                <w:sz w:val="1"/>
                <w:szCs w:val="1"/>
                <w:color w:val="auto"/>
              </w:rPr>
            </w:pPr>
          </w:p>
        </w:tc>
      </w:tr>
      <w:tr>
        <w:trPr>
          <w:trHeight w:val="206"/>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40,530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39,169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19,116</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89"/>
              </w:rPr>
              <w:t>8.1:1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8.7:1</w:t>
            </w:r>
          </w:p>
        </w:tc>
        <w:tc>
          <w:tcPr>
            <w:tcW w:w="0" w:type="dxa"/>
            <w:vAlign w:val="bottom"/>
          </w:tcPr>
          <w:p>
            <w:pPr>
              <w:spacing w:after="0"/>
              <w:rPr>
                <w:sz w:val="1"/>
                <w:szCs w:val="1"/>
                <w:color w:val="auto"/>
              </w:rPr>
            </w:pPr>
          </w:p>
        </w:tc>
      </w:tr>
      <w:tr>
        <w:trPr>
          <w:trHeight w:val="188"/>
        </w:trPr>
        <w:tc>
          <w:tcPr>
            <w:tcW w:w="3600" w:type="dxa"/>
            <w:vAlign w:val="bottom"/>
            <w:gridSpan w:val="2"/>
          </w:tcPr>
          <w:p>
            <w:pPr>
              <w:spacing w:after="0"/>
              <w:rPr>
                <w:sz w:val="20"/>
                <w:szCs w:val="20"/>
                <w:color w:val="auto"/>
              </w:rPr>
            </w:pPr>
            <w:r>
              <w:rPr>
                <w:rFonts w:ascii="Arial" w:cs="Arial" w:eastAsia="Arial" w:hAnsi="Arial"/>
                <w:sz w:val="14"/>
                <w:szCs w:val="14"/>
                <w:color w:val="auto"/>
              </w:rPr>
              <w:t>June 30, 2022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42,997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44,243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41,406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19,653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16,001</w:t>
            </w:r>
          </w:p>
        </w:tc>
        <w:tc>
          <w:tcPr>
            <w:tcW w:w="1400" w:type="dxa"/>
            <w:vAlign w:val="bottom"/>
            <w:gridSpan w:val="2"/>
          </w:tcPr>
          <w:p>
            <w:pPr>
              <w:jc w:val="center"/>
              <w:ind w:left="10"/>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0" w:type="dxa"/>
            <w:vAlign w:val="bottom"/>
          </w:tcPr>
          <w:p>
            <w:pPr>
              <w:spacing w:after="0"/>
              <w:rPr>
                <w:sz w:val="1"/>
                <w:szCs w:val="1"/>
                <w:color w:val="auto"/>
              </w:rPr>
            </w:pPr>
          </w:p>
        </w:tc>
      </w:tr>
      <w:tr>
        <w:trPr>
          <w:trHeight w:val="206"/>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46,570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44,150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20,152</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5" w:lineRule="exact"/>
        <w:rPr>
          <w:rFonts w:ascii="Arial" w:cs="Arial" w:eastAsia="Arial" w:hAnsi="Arial"/>
          <w:sz w:val="14"/>
          <w:szCs w:val="14"/>
          <w:color w:val="auto"/>
        </w:rPr>
      </w:pPr>
    </w:p>
    <w:p>
      <w:pPr>
        <w:ind w:left="640" w:hanging="320"/>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 Includes forward settling non-Agency securities.</w:t>
      </w:r>
    </w:p>
    <w:p>
      <w:pPr>
        <w:spacing w:after="0" w:line="9" w:lineRule="exact"/>
        <w:rPr>
          <w:rFonts w:ascii="Arial" w:cs="Arial" w:eastAsia="Arial" w:hAnsi="Arial"/>
          <w:sz w:val="14"/>
          <w:szCs w:val="14"/>
          <w:color w:val="auto"/>
        </w:rPr>
      </w:pPr>
    </w:p>
    <w:p>
      <w:pPr>
        <w:ind w:left="640" w:hanging="320"/>
        <w:spacing w:after="0" w:line="352" w:lineRule="auto"/>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6" w:name="page37"/>
    <w:bookmarkEnd w:id="36"/>
    <w:p>
      <w:pPr>
        <w:jc w:val="both"/>
        <w:ind w:left="640" w:hanging="320"/>
        <w:spacing w:after="0" w:line="267"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Expense and Aggregate Cost of Funds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The following table summarizes our economic interest expense and aggregate cost of funds (non-GAAP measures) for the three and nine months ended September 30, 2023 and 2022 (dollars in millions), which includes the combination of interest expense on repurchase agreements and other debt used to fund acquisitions of investment securities (GAAP measure), implied financing cost (benefit) of our TBA securities and interest rate swap periodic cost (benefit):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10"/>
          </w:tcPr>
          <w:p>
            <w:pPr>
              <w:jc w:val="right"/>
              <w:ind w:right="59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3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9"/>
                <w:szCs w:val="9"/>
                <w:b w:val="1"/>
                <w:bCs w:val="1"/>
                <w:color w:val="auto"/>
              </w:rPr>
              <w:t>1</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660" w:type="dxa"/>
            <w:vAlign w:val="bottom"/>
          </w:tcPr>
          <w:p>
            <w:pPr>
              <w:jc w:val="right"/>
              <w:ind w:right="130"/>
              <w:spacing w:after="0" w:line="135"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20" w:type="dxa"/>
            <w:vAlign w:val="bottom"/>
          </w:tcPr>
          <w:p>
            <w:pPr>
              <w:jc w:val="right"/>
              <w:ind w:right="130"/>
              <w:spacing w:after="0" w:line="135" w:lineRule="exact"/>
              <w:rPr>
                <w:sz w:val="20"/>
                <w:szCs w:val="20"/>
                <w:color w:val="auto"/>
              </w:rPr>
            </w:pPr>
            <w:r>
              <w:rPr>
                <w:rFonts w:ascii="Arial" w:cs="Arial" w:eastAsia="Arial" w:hAnsi="Arial"/>
                <w:sz w:val="14"/>
                <w:szCs w:val="14"/>
                <w:b w:val="1"/>
                <w:bCs w:val="1"/>
                <w:color w:val="auto"/>
                <w:w w:val="82"/>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640" w:type="dxa"/>
            <w:vAlign w:val="bottom"/>
          </w:tcPr>
          <w:p>
            <w:pPr>
              <w:jc w:val="right"/>
              <w:ind w:right="130"/>
              <w:spacing w:after="0" w:line="135" w:lineRule="exact"/>
              <w:rPr>
                <w:sz w:val="20"/>
                <w:szCs w:val="20"/>
                <w:color w:val="auto"/>
              </w:rPr>
            </w:pPr>
            <w:r>
              <w:rPr>
                <w:rFonts w:ascii="Arial" w:cs="Arial" w:eastAsia="Arial" w:hAnsi="Arial"/>
                <w:sz w:val="14"/>
                <w:szCs w:val="14"/>
                <w:b w:val="1"/>
                <w:bCs w:val="1"/>
                <w:color w:val="auto"/>
                <w:w w:val="87"/>
              </w:rPr>
              <w:t>Cost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30"/>
              <w:spacing w:after="0" w:line="135" w:lineRule="exact"/>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0"/>
              </w:rPr>
              <w:t>Funds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5"/>
              </w:rPr>
              <w:t>Investment securities repurchase agreement and other debt - interest</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5.37 %</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0.92 %</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 (GAAP measure)</w:t>
            </w: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9"/>
                <w:szCs w:val="9"/>
                <w:color w:val="auto"/>
              </w:rPr>
              <w:t>2,3</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4"/>
                <w:szCs w:val="14"/>
                <w:color w:val="auto"/>
                <w:w w:val="96"/>
              </w:rPr>
              <w:t>Economic interest expense - before interest rate swap periodic cost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0.74 %</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4"/>
                <w:szCs w:val="14"/>
                <w:color w:val="auto"/>
              </w:rPr>
              <w:t xml:space="preserve">(income), net </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 xml:space="preserve">Interest rate swap periodic cost (benefit), net </w:t>
            </w:r>
            <w:r>
              <w:rPr>
                <w:rFonts w:ascii="Arial" w:cs="Arial" w:eastAsia="Arial" w:hAnsi="Arial"/>
                <w:sz w:val="9"/>
                <w:szCs w:val="9"/>
                <w:color w:val="auto"/>
              </w:rPr>
              <w:t>2,5,6</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22"/>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5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40" w:hanging="320"/>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jc w:val="both"/>
        <w:ind w:left="640" w:hanging="320"/>
        <w:spacing w:after="0" w:line="252"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40" w:hanging="320"/>
        <w:spacing w:after="0" w:line="244"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investment securities repurchase agreements, other debt and TBA securities outstanding during the period and their respective cost of funds.</w:t>
      </w:r>
    </w:p>
    <w:p>
      <w:pPr>
        <w:ind w:left="640" w:hanging="320"/>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Interest rate swap periodic cost (benefit) is measured as a percent of average mortgage borrowings outstanding for the period.</w:t>
      </w:r>
    </w:p>
    <w:p>
      <w:pPr>
        <w:spacing w:after="0" w:line="9" w:lineRule="exact"/>
        <w:rPr>
          <w:rFonts w:ascii="Arial" w:cs="Arial" w:eastAsia="Arial" w:hAnsi="Arial"/>
          <w:sz w:val="14"/>
          <w:szCs w:val="14"/>
          <w:color w:val="auto"/>
        </w:rPr>
      </w:pPr>
    </w:p>
    <w:p>
      <w:pPr>
        <w:jc w:val="both"/>
        <w:ind w:left="640" w:hanging="320"/>
        <w:spacing w:after="0" w:line="261"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2023, we began reporting price alignment interest income (expense) ("PAI") on interest swap margin deposits posted by or (to) us in other interest income (expense), net. PAI was previously reported in interest rate swap periodic cost (benefit). Both current and former categorizations are components of net spread and dollar roll income. Prior year amounts have been reclassified and our economic interest expense and cost of funds have been restated to conform to the current period's presentation.</w:t>
      </w:r>
    </w:p>
    <w:p>
      <w:pPr>
        <w:spacing w:after="0" w:line="207"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nine months ended September 30, 2023 compared to the prior year period (in millions):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67030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3060"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2023 vs.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6703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3060" cy="8255"/>
                    </a:xfrm>
                    <a:prstGeom prst="rect">
                      <a:avLst/>
                    </a:prstGeom>
                    <a:noFill/>
                  </pic:spPr>
                </pic:pic>
              </a:graphicData>
            </a:graphic>
          </wp:anchor>
        </w:drawing>
      </w:r>
    </w:p>
    <w:p>
      <w:pPr>
        <w:spacing w:after="0" w:line="2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Due to Change in Average</w:t>
      </w:r>
    </w:p>
    <w:p>
      <w:pPr>
        <w:sectPr>
          <w:pgSz w:w="11900" w:h="16838" w:orient="portrait"/>
          <w:cols w:equalWidth="0" w:num="1">
            <w:col w:w="11240"/>
          </w:cols>
          <w:pgMar w:left="320" w:top="868" w:right="339" w:bottom="1440" w:gutter="0" w:footer="0" w:header="0"/>
        </w:sectPr>
      </w:pPr>
    </w:p>
    <w:p>
      <w:pPr>
        <w:spacing w:after="0" w:line="18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Three months ended:</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Investment securities repurchase agreement and other debt interest expense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TBA dollar roll income - implied interest benefit/expense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 periodic income/cost</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change in economic interest benefit/expense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60" w:type="dxa"/>
            <w:vAlign w:val="bottom"/>
          </w:tcPr>
          <w:p>
            <w:pPr>
              <w:spacing w:after="0"/>
              <w:rPr>
                <w:sz w:val="12"/>
                <w:szCs w:val="12"/>
                <w:color w:val="auto"/>
              </w:rPr>
            </w:pPr>
          </w:p>
        </w:tc>
        <w:tc>
          <w:tcPr>
            <w:tcW w:w="13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Total Increase /</w:t>
            </w: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Borrowing / Swap</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90"/>
              <w:spacing w:after="0" w:line="148" w:lineRule="exact"/>
              <w:rPr>
                <w:sz w:val="20"/>
                <w:szCs w:val="20"/>
                <w:color w:val="auto"/>
              </w:rPr>
            </w:pPr>
            <w:r>
              <w:rPr>
                <w:rFonts w:ascii="Arial" w:cs="Arial" w:eastAsia="Arial" w:hAnsi="Arial"/>
                <w:sz w:val="14"/>
                <w:szCs w:val="14"/>
                <w:b w:val="1"/>
                <w:bCs w:val="1"/>
                <w:color w:val="auto"/>
                <w:w w:val="91"/>
              </w:rPr>
              <w:t>Borrowing / Swap</w:t>
            </w:r>
          </w:p>
        </w:tc>
      </w:tr>
      <w:tr>
        <w:trPr>
          <w:trHeight w:val="188"/>
        </w:trPr>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6"/>
                <w:szCs w:val="16"/>
                <w:color w:val="auto"/>
              </w:rPr>
            </w:pPr>
          </w:p>
        </w:tc>
        <w:tc>
          <w:tcPr>
            <w:tcW w:w="1260" w:type="dxa"/>
            <w:vAlign w:val="bottom"/>
          </w:tcPr>
          <w:p>
            <w:pPr>
              <w:jc w:val="right"/>
              <w:ind w:right="490"/>
              <w:spacing w:after="0"/>
              <w:rPr>
                <w:sz w:val="20"/>
                <w:szCs w:val="20"/>
                <w:color w:val="auto"/>
              </w:rPr>
            </w:pPr>
            <w:r>
              <w:rPr>
                <w:rFonts w:ascii="Arial" w:cs="Arial" w:eastAsia="Arial" w:hAnsi="Arial"/>
                <w:sz w:val="14"/>
                <w:szCs w:val="14"/>
                <w:b w:val="1"/>
                <w:bCs w:val="1"/>
                <w:color w:val="auto"/>
              </w:rPr>
              <w:t>Rate</w:t>
            </w:r>
          </w:p>
        </w:tc>
      </w:tr>
      <w:tr>
        <w:trPr>
          <w:trHeight w:val="177"/>
        </w:trPr>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center"/>
              <w:ind w:left="930"/>
              <w:spacing w:after="0"/>
              <w:rPr>
                <w:sz w:val="20"/>
                <w:szCs w:val="20"/>
                <w:color w:val="auto"/>
              </w:rPr>
            </w:pPr>
            <w:r>
              <w:rPr>
                <w:rFonts w:ascii="Arial" w:cs="Arial" w:eastAsia="Arial" w:hAnsi="Arial"/>
                <w:sz w:val="14"/>
                <w:szCs w:val="14"/>
                <w:color w:val="auto"/>
                <w:w w:val="89"/>
              </w:rPr>
              <w:t>32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w:t>
            </w:r>
          </w:p>
        </w:tc>
      </w:tr>
      <w:tr>
        <w:trPr>
          <w:trHeight w:val="191"/>
        </w:trPr>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left="910"/>
              <w:spacing w:after="0"/>
              <w:rPr>
                <w:sz w:val="20"/>
                <w:szCs w:val="20"/>
                <w:color w:val="auto"/>
              </w:rPr>
            </w:pPr>
            <w:r>
              <w:rPr>
                <w:rFonts w:ascii="Arial" w:cs="Arial" w:eastAsia="Arial" w:hAnsi="Arial"/>
                <w:sz w:val="14"/>
                <w:szCs w:val="14"/>
                <w:color w:val="auto"/>
                <w:w w:val="96"/>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97"/>
        </w:trPr>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950"/>
              <w:spacing w:after="0"/>
              <w:rPr>
                <w:sz w:val="20"/>
                <w:szCs w:val="20"/>
                <w:color w:val="auto"/>
              </w:rPr>
            </w:pPr>
            <w:r>
              <w:rPr>
                <w:rFonts w:ascii="Arial" w:cs="Arial" w:eastAsia="Arial" w:hAnsi="Arial"/>
                <w:sz w:val="14"/>
                <w:szCs w:val="14"/>
                <w:color w:val="auto"/>
                <w:w w:val="76"/>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(358)</w:t>
            </w:r>
          </w:p>
        </w:tc>
      </w:tr>
      <w:tr>
        <w:trPr>
          <w:trHeight w:val="24"/>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center"/>
              <w:ind w:left="910"/>
              <w:spacing w:after="0"/>
              <w:rPr>
                <w:sz w:val="20"/>
                <w:szCs w:val="20"/>
                <w:color w:val="auto"/>
              </w:rPr>
            </w:pPr>
            <w:r>
              <w:rPr>
                <w:rFonts w:ascii="Arial" w:cs="Arial" w:eastAsia="Arial" w:hAnsi="Arial"/>
                <w:sz w:val="14"/>
                <w:szCs w:val="14"/>
                <w:color w:val="auto"/>
                <w:w w:val="96"/>
              </w:rPr>
              <w:t>(17)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6"/>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-290830</wp:posOffset>
            </wp:positionV>
            <wp:extent cx="6703060" cy="125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3060" cy="12509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-15875</wp:posOffset>
            </wp:positionV>
            <wp:extent cx="670306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3060" cy="13335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-548640</wp:posOffset>
            </wp:positionV>
            <wp:extent cx="6703060" cy="13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3060" cy="13335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800" w:space="720"/>
            <w:col w:w="4720"/>
          </w:cols>
          <w:pgMar w:left="320" w:top="868" w:right="339" w:bottom="1440" w:gutter="0" w:footer="0" w:header="0"/>
          <w:type w:val="continuous"/>
        </w:sectPr>
      </w:pPr>
    </w:p>
    <w:p>
      <w:pPr>
        <w:ind w:left="8680"/>
        <w:spacing w:after="0"/>
        <w:rPr>
          <w:sz w:val="20"/>
          <w:szCs w:val="20"/>
          <w:color w:val="auto"/>
        </w:rPr>
      </w:pPr>
      <w:r>
        <w:rPr>
          <w:rFonts w:ascii="Arial" w:cs="Arial" w:eastAsia="Arial" w:hAnsi="Arial"/>
          <w:sz w:val="14"/>
          <w:szCs w:val="14"/>
          <w:b w:val="1"/>
          <w:bCs w:val="1"/>
          <w:color w:val="auto"/>
        </w:rPr>
        <w:t>Due to Change in Average</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618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gridSpan w:val="2"/>
            <w:shd w:val="clear" w:color="auto" w:fill="CCEEFF"/>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Total Increase /</w:t>
            </w:r>
          </w:p>
        </w:tc>
        <w:tc>
          <w:tcPr>
            <w:tcW w:w="1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gridSpan w:val="2"/>
            <w:shd w:val="clear" w:color="auto" w:fill="CCEEFF"/>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90"/>
              <w:spacing w:after="0" w:line="148" w:lineRule="exact"/>
              <w:rPr>
                <w:sz w:val="20"/>
                <w:szCs w:val="20"/>
                <w:color w:val="auto"/>
              </w:rPr>
            </w:pPr>
            <w:r>
              <w:rPr>
                <w:rFonts w:ascii="Arial" w:cs="Arial" w:eastAsia="Arial" w:hAnsi="Arial"/>
                <w:sz w:val="14"/>
                <w:szCs w:val="14"/>
                <w:b w:val="1"/>
                <w:bCs w:val="1"/>
                <w:color w:val="auto"/>
                <w:w w:val="91"/>
              </w:rPr>
              <w:t>Borrowing / Swap</w:t>
            </w:r>
          </w:p>
        </w:tc>
        <w:tc>
          <w:tcPr>
            <w:tcW w:w="0" w:type="dxa"/>
            <w:vAlign w:val="bottom"/>
          </w:tcPr>
          <w:p>
            <w:pPr>
              <w:spacing w:after="0"/>
              <w:rPr>
                <w:sz w:val="1"/>
                <w:szCs w:val="1"/>
                <w:color w:val="auto"/>
              </w:rPr>
            </w:pPr>
          </w:p>
        </w:tc>
      </w:tr>
      <w:tr>
        <w:trPr>
          <w:trHeight w:val="193"/>
        </w:trPr>
        <w:tc>
          <w:tcPr>
            <w:tcW w:w="6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1"/>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repurchase agreement and other debt interest expense</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06"/>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9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rate swap periodic income/cost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222"/>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37" w:name="page38"/>
    <w:bookmarkEnd w:id="37"/>
    <w:p>
      <w:pPr>
        <w:jc w:val="both"/>
        <w:ind w:firstLine="433"/>
        <w:spacing w:after="0" w:line="298" w:lineRule="auto"/>
        <w:rPr>
          <w:sz w:val="20"/>
          <w:szCs w:val="20"/>
          <w:color w:val="auto"/>
        </w:rPr>
      </w:pPr>
      <w:r>
        <w:rPr>
          <w:rFonts w:ascii="Arial" w:cs="Arial" w:eastAsia="Arial" w:hAnsi="Arial"/>
          <w:sz w:val="16"/>
          <w:szCs w:val="16"/>
          <w:color w:val="auto"/>
        </w:rPr>
        <w:t>Our average mortgage borrowings, inclusive of TBAs, decreased 11% and 15% for the three and nine months ended September 30, 2023, respectively, due to a decline in our asset base. The average interest rate on our mortgage borrowings, excluding the impact interest rate swap period income/cost, increased 350 and 421 basis points for the three and nine months ended September 30, 2023, respectively, due to higher short-term interest rates.</w:t>
      </w:r>
    </w:p>
    <w:p>
      <w:pPr>
        <w:spacing w:after="0" w:line="128"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7"/>
          <w:szCs w:val="17"/>
          <w:color w:val="auto"/>
        </w:rPr>
        <w:t>Interest rate swap periodic income increased for the three and nine months ended September 30, 2023 primarily due to higher receive rates on our pay-fixed swaps. The following is a summary of our average interest rate swaps outstanding and the related average swap pay and receive rates for the three and nine months ended September 30, 2023 (dollars in millions). Amounts exclude forward starting swaps not yet in effect.</w:t>
      </w: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2040" w:type="dxa"/>
            <w:vAlign w:val="bottom"/>
            <w:gridSpan w:val="4"/>
          </w:tcPr>
          <w:p>
            <w:pPr>
              <w:jc w:val="right"/>
              <w:ind w:right="470"/>
              <w:spacing w:after="0" w:line="14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58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Ratio of Interest Rate Swaps (Excluding Forward Starting Swaps) to Mortgage Borrowings</w:t>
            </w:r>
          </w:p>
        </w:tc>
        <w:tc>
          <w:tcPr>
            <w:tcW w:w="260" w:type="dxa"/>
            <w:vAlign w:val="bottom"/>
          </w:tcPr>
          <w:p>
            <w:pPr>
              <w:spacing w:after="0"/>
              <w:rPr>
                <w:sz w:val="10"/>
                <w:szCs w:val="10"/>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0"/>
        </w:trPr>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investment securities repo and other debt outstanding</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47,073</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40,530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42,841</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43,344</w:t>
            </w:r>
          </w:p>
        </w:tc>
        <w:tc>
          <w:tcPr>
            <w:tcW w:w="0" w:type="dxa"/>
            <w:vAlign w:val="bottom"/>
          </w:tcPr>
          <w:p>
            <w:pPr>
              <w:spacing w:after="0"/>
              <w:rPr>
                <w:sz w:val="1"/>
                <w:szCs w:val="1"/>
                <w:color w:val="auto"/>
              </w:rPr>
            </w:pPr>
          </w:p>
        </w:tc>
      </w:tr>
      <w:tr>
        <w:trPr>
          <w:trHeight w:val="190"/>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dollar roll position outstanding - at cost</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7,340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20,331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11,687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21,184</w:t>
            </w:r>
          </w:p>
        </w:tc>
        <w:tc>
          <w:tcPr>
            <w:tcW w:w="0" w:type="dxa"/>
            <w:vAlign w:val="bottom"/>
          </w:tcPr>
          <w:p>
            <w:pPr>
              <w:spacing w:after="0"/>
              <w:rPr>
                <w:sz w:val="1"/>
                <w:szCs w:val="1"/>
                <w:color w:val="auto"/>
              </w:rPr>
            </w:pPr>
          </w:p>
        </w:tc>
      </w:tr>
      <w:tr>
        <w:trPr>
          <w:trHeight w:val="197"/>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54,413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60,861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54,528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64,528</w:t>
            </w:r>
          </w:p>
        </w:tc>
        <w:tc>
          <w:tcPr>
            <w:tcW w:w="0" w:type="dxa"/>
            <w:vAlign w:val="bottom"/>
          </w:tcPr>
          <w:p>
            <w:pPr>
              <w:spacing w:after="0"/>
              <w:rPr>
                <w:sz w:val="1"/>
                <w:szCs w:val="1"/>
                <w:color w:val="auto"/>
              </w:rPr>
            </w:pPr>
          </w:p>
        </w:tc>
      </w:tr>
      <w:tr>
        <w:trPr>
          <w:trHeight w:val="190"/>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 net</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46,808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49,147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48,153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50,484</w:t>
            </w:r>
          </w:p>
        </w:tc>
        <w:tc>
          <w:tcPr>
            <w:tcW w:w="0" w:type="dxa"/>
            <w:vAlign w:val="bottom"/>
          </w:tcPr>
          <w:p>
            <w:pPr>
              <w:spacing w:after="0"/>
              <w:rPr>
                <w:sz w:val="1"/>
                <w:szCs w:val="1"/>
                <w:color w:val="auto"/>
              </w:rPr>
            </w:pPr>
          </w:p>
        </w:tc>
      </w:tr>
      <w:tr>
        <w:trPr>
          <w:trHeight w:val="222"/>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5"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Average interest rate swap pay-fixed rate (excluding forward starting swaps)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interest rate swap receive-floating rate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100" w:type="dxa"/>
            <w:vAlign w:val="bottom"/>
          </w:tcPr>
          <w:p>
            <w:pPr>
              <w:jc w:val="right"/>
              <w:spacing w:after="0"/>
              <w:rPr>
                <w:sz w:val="20"/>
                <w:szCs w:val="20"/>
                <w:color w:val="auto"/>
              </w:rPr>
            </w:pPr>
            <w:r>
              <w:rPr>
                <w:rFonts w:ascii="Arial" w:cs="Arial" w:eastAsia="Arial" w:hAnsi="Arial"/>
                <w:sz w:val="14"/>
                <w:szCs w:val="14"/>
                <w:color w:val="auto"/>
              </w:rPr>
              <w:t>0.64 %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0.25 %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0.51 %</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0.25 %</w:t>
            </w:r>
          </w:p>
        </w:tc>
      </w:tr>
      <w:tr>
        <w:trPr>
          <w:trHeight w:val="197"/>
        </w:trPr>
        <w:tc>
          <w:tcPr>
            <w:tcW w:w="110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(0.97)%</w:t>
            </w:r>
          </w:p>
        </w:tc>
      </w:tr>
      <w:tr>
        <w:trPr>
          <w:trHeight w:val="24"/>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r>
      <w:tr>
        <w:trPr>
          <w:trHeight w:val="26"/>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-415925</wp:posOffset>
            </wp:positionV>
            <wp:extent cx="7136130" cy="125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2509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-165735</wp:posOffset>
            </wp:positionV>
            <wp:extent cx="7136130" cy="149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045" w:right="339" w:bottom="1440" w:gutter="0" w:footer="0" w:header="0"/>
          <w:type w:val="continuous"/>
        </w:sectPr>
      </w:pPr>
    </w:p>
    <w:p>
      <w:pPr>
        <w:spacing w:after="0" w:line="50"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For the three and nine months ended September 30, 2023, we had an average forward starting net pay and (receive) fixed rate swap balance of $(0.9) billion and $(0.3) billion, respectively, and for the three and nine months ended September 30, 2022 of zero and $31 million, respectively. Forward starting interest rate swaps do not impact our economic interest expense and aggregate cost of funds until they commence accruing net interest settlements on their forward start dates.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Spread</w:t>
      </w:r>
    </w:p>
    <w:p>
      <w:pPr>
        <w:spacing w:after="0" w:line="172"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7"/>
          <w:szCs w:val="17"/>
          <w:color w:val="auto"/>
        </w:rPr>
        <w:t>The following table presents a summary of our net interest spread (including the impact of TBA dollar roll income, interest rate swaps and excluding "catch-up" premium amortization) for the three and nine months ended September 30, 2023 and 2022:</w:t>
      </w:r>
    </w:p>
    <w:tbl>
      <w:tblPr>
        <w:tblLayout w:type="fixed"/>
        <w:tblInd w:w="0" w:type="dxa"/>
        <w:tblCellMar>
          <w:top w:w="0" w:type="dxa"/>
          <w:left w:w="0" w:type="dxa"/>
          <w:bottom w:w="0" w:type="dxa"/>
          <w:right w:w="0" w:type="dxa"/>
        </w:tblCellMar>
      </w:tblPr>
      <w:tr>
        <w:trPr>
          <w:trHeight w:val="141"/>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Three Months Ended September</w:t>
            </w:r>
          </w:p>
        </w:tc>
        <w:tc>
          <w:tcPr>
            <w:tcW w:w="228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1"/>
              </w:rPr>
              <w:t>Nine Months Ended</w:t>
            </w:r>
          </w:p>
        </w:tc>
      </w:tr>
      <w:tr>
        <w:trPr>
          <w:trHeight w:val="190"/>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tcBorders>
              <w:bottom w:val="single" w:sz="8" w:color="auto"/>
            </w:tcBorders>
          </w:tcPr>
          <w:p>
            <w:pPr>
              <w:spacing w:after="0"/>
              <w:rPr>
                <w:sz w:val="16"/>
                <w:szCs w:val="16"/>
                <w:color w:val="auto"/>
              </w:rPr>
            </w:pPr>
          </w:p>
        </w:tc>
      </w:tr>
      <w:tr>
        <w:trPr>
          <w:trHeight w:val="190"/>
        </w:trPr>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0" w:type="dxa"/>
            <w:vAlign w:val="bottom"/>
          </w:tcPr>
          <w:p>
            <w:pPr>
              <w:jc w:val="right"/>
              <w:ind w:right="29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330"/>
              <w:spacing w:after="0"/>
              <w:rPr>
                <w:sz w:val="20"/>
                <w:szCs w:val="20"/>
                <w:color w:val="auto"/>
              </w:rPr>
            </w:pPr>
            <w:r>
              <w:rPr>
                <w:rFonts w:ascii="Arial" w:cs="Arial" w:eastAsia="Arial" w:hAnsi="Arial"/>
                <w:sz w:val="14"/>
                <w:szCs w:val="14"/>
                <w:b w:val="1"/>
                <w:bCs w:val="1"/>
                <w:color w:val="auto"/>
                <w:w w:val="89"/>
              </w:rPr>
              <w:t>2022</w:t>
            </w:r>
          </w:p>
        </w:tc>
      </w:tr>
      <w:tr>
        <w:trPr>
          <w:trHeight w:val="197"/>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2.80 %</w:t>
            </w:r>
          </w:p>
        </w:tc>
      </w:tr>
      <w:tr>
        <w:trPr>
          <w:trHeight w:val="190"/>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r>
      <w:tr>
        <w:trPr>
          <w:trHeight w:val="222"/>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Net Spread and Dollar Roll Income</w:t>
      </w:r>
    </w:p>
    <w:p>
      <w:pPr>
        <w:spacing w:after="0" w:line="172"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The following table presents a reconciliation of net spread and dollar roll income, excluding "catch-up" premium amortization, available to common stockholders (non-GAAP measure) from comprehensive income (loss) available (attributable) to common stockholders (the most comparable GAAP financial measure) for the three and nine months ended September 30, 2023 and 2022 (dollars in millions):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8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6"/>
                <w:szCs w:val="16"/>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 loss attributable to common stockholders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Adjustments to exclude realized and unrealized (gains) losses reported through net income: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loss on sale of investment securities,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88"/>
        </w:trPr>
        <w:tc>
          <w:tcPr>
            <w:tcW w:w="7080" w:type="dxa"/>
            <w:vAlign w:val="bottom"/>
          </w:tcPr>
          <w:p>
            <w:pPr>
              <w:ind w:left="120"/>
              <w:spacing w:after="0"/>
              <w:rPr>
                <w:sz w:val="20"/>
                <w:szCs w:val="20"/>
                <w:color w:val="auto"/>
              </w:rPr>
            </w:pPr>
            <w:r>
              <w:rPr>
                <w:rFonts w:ascii="Arial" w:cs="Arial" w:eastAsia="Arial" w:hAnsi="Arial"/>
                <w:sz w:val="14"/>
                <w:szCs w:val="14"/>
                <w:color w:val="auto"/>
              </w:rPr>
              <w:t>Unrealized loss on investment securities measured at fair value through net income, net</w:t>
            </w: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20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derivative instruments and other securities,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Adjustment to exclude unrealized loss reported through other comprehensive income: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loss on available-for-sale securities measure at fair value through other comprehensive income,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120"/>
              <w:spacing w:after="0" w:line="204"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97"/>
        </w:trPr>
        <w:tc>
          <w:tcPr>
            <w:tcW w:w="7080" w:type="dxa"/>
            <w:vAlign w:val="bottom"/>
          </w:tcPr>
          <w:p>
            <w:pPr>
              <w:ind w:left="120"/>
              <w:spacing w:after="0" w:line="197" w:lineRule="exact"/>
              <w:rPr>
                <w:sz w:val="20"/>
                <w:szCs w:val="20"/>
                <w:color w:val="auto"/>
              </w:rPr>
            </w:pPr>
            <w:r>
              <w:rPr>
                <w:rFonts w:ascii="Arial" w:cs="Arial" w:eastAsia="Arial" w:hAnsi="Arial"/>
                <w:sz w:val="14"/>
                <w:szCs w:val="14"/>
                <w:color w:val="auto"/>
              </w:rPr>
              <w:t xml:space="preserve">Interest rate swap periodic income (cost), net </w:t>
            </w:r>
            <w:r>
              <w:rPr>
                <w:rFonts w:ascii="Arial" w:cs="Arial" w:eastAsia="Arial" w:hAnsi="Arial"/>
                <w:sz w:val="18"/>
                <w:szCs w:val="18"/>
                <w:color w:val="auto"/>
                <w:vertAlign w:val="superscript"/>
              </w:rPr>
              <w:t>1,4</w:t>
            </w:r>
          </w:p>
        </w:tc>
        <w:tc>
          <w:tcPr>
            <w:tcW w:w="2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1,654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120"/>
              <w:spacing w:after="0" w:line="197" w:lineRule="exact"/>
              <w:rPr>
                <w:sz w:val="20"/>
                <w:szCs w:val="20"/>
                <w:color w:val="auto"/>
              </w:rPr>
            </w:pPr>
            <w:r>
              <w:rPr>
                <w:rFonts w:ascii="Arial" w:cs="Arial" w:eastAsia="Arial" w:hAnsi="Arial"/>
                <w:sz w:val="14"/>
                <w:szCs w:val="14"/>
                <w:color w:val="auto"/>
              </w:rPr>
              <w:t xml:space="preserve">Other interest income (expense), net </w:t>
            </w:r>
            <w:r>
              <w:rPr>
                <w:rFonts w:ascii="Arial" w:cs="Arial" w:eastAsia="Arial" w:hAnsi="Arial"/>
                <w:sz w:val="18"/>
                <w:szCs w:val="18"/>
                <w:color w:val="auto"/>
                <w:vertAlign w:val="superscript"/>
              </w:rPr>
              <w:t>1,3,4</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1"/>
        </w:trPr>
        <w:tc>
          <w:tcPr>
            <w:tcW w:w="7080" w:type="dxa"/>
            <w:vAlign w:val="bottom"/>
          </w:tcPr>
          <w:p>
            <w:pPr>
              <w:spacing w:after="0"/>
              <w:rPr>
                <w:sz w:val="20"/>
                <w:szCs w:val="20"/>
                <w:color w:val="auto"/>
              </w:rPr>
            </w:pPr>
            <w:r>
              <w:rPr>
                <w:rFonts w:ascii="Arial" w:cs="Arial" w:eastAsia="Arial" w:hAnsi="Arial"/>
                <w:sz w:val="14"/>
                <w:szCs w:val="14"/>
                <w:b w:val="1"/>
                <w:bCs w:val="1"/>
                <w:color w:val="auto"/>
              </w:rPr>
              <w:t>Net spread and dollar roll income available to common stockholders (non-GAAP measure)</w:t>
            </w:r>
          </w:p>
        </w:tc>
        <w:tc>
          <w:tcPr>
            <w:tcW w:w="20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06"/>
        </w:trPr>
        <w:tc>
          <w:tcPr>
            <w:tcW w:w="7080" w:type="dxa"/>
            <w:vAlign w:val="bottom"/>
            <w:shd w:val="clear" w:color="auto" w:fill="CCEEFF"/>
          </w:tcPr>
          <w:p>
            <w:pPr>
              <w:ind w:left="120"/>
              <w:spacing w:after="0" w:line="206" w:lineRule="exact"/>
              <w:rPr>
                <w:sz w:val="20"/>
                <w:szCs w:val="20"/>
                <w:color w:val="auto"/>
              </w:rPr>
            </w:pPr>
            <w:r>
              <w:rPr>
                <w:rFonts w:ascii="Arial" w:cs="Arial" w:eastAsia="Arial" w:hAnsi="Arial"/>
                <w:sz w:val="14"/>
                <w:szCs w:val="14"/>
                <w:color w:val="auto"/>
              </w:rPr>
              <w:t xml:space="preserve">Estimated "catch-up" premium amortization cost (benefit) due to change in CPR forecast </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11"/>
        </w:trPr>
        <w:tc>
          <w:tcPr>
            <w:tcW w:w="7080" w:type="dxa"/>
            <w:vAlign w:val="bottom"/>
          </w:tcPr>
          <w:p>
            <w:pPr>
              <w:spacing w:after="0" w:line="111" w:lineRule="exact"/>
              <w:rPr>
                <w:sz w:val="20"/>
                <w:szCs w:val="20"/>
                <w:color w:val="auto"/>
              </w:rPr>
            </w:pPr>
            <w:r>
              <w:rPr>
                <w:rFonts w:ascii="Arial" w:cs="Arial" w:eastAsia="Arial" w:hAnsi="Arial"/>
                <w:sz w:val="12"/>
                <w:szCs w:val="12"/>
                <w:b w:val="1"/>
                <w:bCs w:val="1"/>
                <w:color w:val="auto"/>
              </w:rPr>
              <w:t>Net spread and dollar roll income, excluding "catch-up" premium amortization, available to common stockholders</w:t>
            </w: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9"/>
                <w:szCs w:val="9"/>
                <w:color w:val="auto"/>
              </w:rPr>
            </w:pP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9"/>
                <w:szCs w:val="9"/>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1,214</w:t>
            </w:r>
          </w:p>
        </w:tc>
        <w:tc>
          <w:tcPr>
            <w:tcW w:w="140" w:type="dxa"/>
            <w:vAlign w:val="bottom"/>
          </w:tcPr>
          <w:p>
            <w:pPr>
              <w:spacing w:after="0"/>
              <w:rPr>
                <w:sz w:val="9"/>
                <w:szCs w:val="9"/>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4"/>
                <w:szCs w:val="14"/>
                <w:b w:val="1"/>
                <w:bCs w:val="1"/>
                <w:color w:val="auto"/>
              </w:rPr>
              <w:t>(non-GAAP measure)</w:t>
            </w: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080" w:type="dxa"/>
            <w:vAlign w:val="bottom"/>
          </w:tcPr>
          <w:p>
            <w:pPr>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622.0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600.2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526.4</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601.3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tcPr>
          <w:p>
            <w:pPr>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tcPr>
          <w:p>
            <w:pPr>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5" w:lineRule="exact"/>
        <w:rPr>
          <w:rFonts w:ascii="Arial" w:cs="Arial" w:eastAsia="Arial" w:hAnsi="Arial"/>
          <w:sz w:val="14"/>
          <w:szCs w:val="14"/>
          <w:color w:val="auto"/>
        </w:rPr>
      </w:pPr>
    </w:p>
    <w:p>
      <w:pPr>
        <w:ind w:left="640" w:hanging="320"/>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interest income in our consolidated statements of comprehensive income.</w:t>
      </w:r>
    </w:p>
    <w:p>
      <w:pPr>
        <w:spacing w:after="0" w:line="9" w:lineRule="exact"/>
        <w:rPr>
          <w:rFonts w:ascii="Arial" w:cs="Arial" w:eastAsia="Arial" w:hAnsi="Arial"/>
          <w:sz w:val="14"/>
          <w:szCs w:val="14"/>
          <w:color w:val="auto"/>
        </w:rPr>
      </w:pPr>
    </w:p>
    <w:p>
      <w:pPr>
        <w:ind w:left="640" w:hanging="320"/>
        <w:spacing w:after="0" w:line="247"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640" w:hanging="320"/>
        <w:spacing w:after="0" w:line="262"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2023, we began reporting PAI in other interest income (expense), net. PAI was previously reported in interest rate swap periodic income (cost). Prior year amounts have been reclassified to conform to the current period's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Investment Securities, Net</w:t>
      </w:r>
    </w:p>
    <w:p>
      <w:pPr>
        <w:spacing w:after="0" w:line="172"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The following table is a summary of our net gain (loss) on investment securities for the three and nine months ended September 30, 2023 and 2022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r>
      <w:tr>
        <w:trPr>
          <w:trHeight w:val="197"/>
        </w:trPr>
        <w:tc>
          <w:tcPr>
            <w:tcW w:w="7040" w:type="dxa"/>
            <w:vAlign w:val="bottom"/>
            <w:gridSpan w:val="2"/>
          </w:tcPr>
          <w:p>
            <w:pPr>
              <w:ind w:left="20"/>
              <w:spacing w:after="0" w:line="197"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10"/>
              <w:spacing w:after="0"/>
              <w:rPr>
                <w:sz w:val="20"/>
                <w:szCs w:val="20"/>
                <w:color w:val="auto"/>
              </w:rPr>
            </w:pPr>
            <w:r>
              <w:rPr>
                <w:rFonts w:ascii="Arial" w:cs="Arial" w:eastAsia="Arial" w:hAnsi="Arial"/>
                <w:sz w:val="14"/>
                <w:szCs w:val="14"/>
                <w:b w:val="1"/>
                <w:bCs w:val="1"/>
                <w:color w:val="auto"/>
                <w:w w:val="83"/>
              </w:rPr>
              <w:t>2022</w:t>
            </w:r>
          </w:p>
        </w:tc>
      </w:tr>
      <w:tr>
        <w:trPr>
          <w:trHeight w:val="19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Loss on sale of investment securities, net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w:t>
            </w:r>
          </w:p>
        </w:tc>
      </w:tr>
      <w:tr>
        <w:trPr>
          <w:trHeight w:val="197"/>
        </w:trPr>
        <w:tc>
          <w:tcPr>
            <w:tcW w:w="7040" w:type="dxa"/>
            <w:vAlign w:val="bottom"/>
            <w:gridSpan w:val="2"/>
          </w:tcPr>
          <w:p>
            <w:pPr>
              <w:ind w:left="20"/>
              <w:spacing w:after="0" w:line="197" w:lineRule="exact"/>
              <w:rPr>
                <w:sz w:val="20"/>
                <w:szCs w:val="20"/>
                <w:color w:val="auto"/>
              </w:rPr>
            </w:pPr>
            <w:r>
              <w:rPr>
                <w:rFonts w:ascii="Arial" w:cs="Arial" w:eastAsia="Arial" w:hAnsi="Arial"/>
                <w:sz w:val="14"/>
                <w:szCs w:val="14"/>
                <w:color w:val="auto"/>
              </w:rPr>
              <w:t xml:space="preserve">Unrealized (loss) gain on investment securities measured at fair value through net income, net </w:t>
            </w:r>
            <w:r>
              <w:rPr>
                <w:rFonts w:ascii="Arial" w:cs="Arial" w:eastAsia="Arial" w:hAnsi="Arial"/>
                <w:sz w:val="18"/>
                <w:szCs w:val="18"/>
                <w:color w:val="auto"/>
                <w:vertAlign w:val="superscript"/>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(5,257)</w:t>
            </w:r>
          </w:p>
        </w:tc>
      </w:tr>
      <w:tr>
        <w:trPr>
          <w:trHeight w:val="19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(loss) gain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197"/>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Total loss on investment securities, net</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(8,213)</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4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40" w:hanging="320"/>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Gain (Loss) on Derivative Instruments and Other Securities, Net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is a summary of our gain (loss) on derivative instruments and other securities, net for the three and nine months ended September 30,</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2023 and 2022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8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6"/>
                <w:szCs w:val="16"/>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71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r>
      <w:tr>
        <w:trPr>
          <w:trHeight w:val="197"/>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securities, dollar roll income</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color w:val="auto"/>
              </w:rPr>
              <w:t>TBA securities, mark-to-market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(3,483)</w:t>
            </w:r>
          </w:p>
        </w:tc>
      </w:tr>
      <w:tr>
        <w:trPr>
          <w:trHeight w:val="206"/>
        </w:trPr>
        <w:tc>
          <w:tcPr>
            <w:tcW w:w="7180" w:type="dxa"/>
            <w:vAlign w:val="bottom"/>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Interest rate swaps, periodic income (cost)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color w:val="auto"/>
              </w:rPr>
              <w:t>Interest rate swaps, mark-to-market gain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3,993</w:t>
            </w:r>
          </w:p>
        </w:tc>
      </w:tr>
      <w:tr>
        <w:trPr>
          <w:trHeight w:val="20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swaps - buy protection</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866</w:t>
            </w:r>
          </w:p>
        </w:tc>
      </w:tr>
      <w:tr>
        <w:trPr>
          <w:trHeight w:val="20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futures contracts - short position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r>
      <w:tr>
        <w:trPr>
          <w:trHeight w:val="188"/>
        </w:trPr>
        <w:tc>
          <w:tcPr>
            <w:tcW w:w="7180" w:type="dxa"/>
            <w:vAlign w:val="bottom"/>
          </w:tcPr>
          <w:p>
            <w:pPr>
              <w:ind w:left="20"/>
              <w:spacing w:after="0"/>
              <w:rPr>
                <w:sz w:val="20"/>
                <w:szCs w:val="20"/>
                <w:color w:val="auto"/>
              </w:rPr>
            </w:pPr>
            <w:r>
              <w:rPr>
                <w:rFonts w:ascii="Arial" w:cs="Arial" w:eastAsia="Arial" w:hAnsi="Arial"/>
                <w:sz w:val="14"/>
                <w:szCs w:val="14"/>
                <w:color w:val="auto"/>
              </w:rPr>
              <w:t>SOFR futures contracts - long position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180" w:type="dxa"/>
            <w:vAlign w:val="bottom"/>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Other interest income (expense),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gain (loss), net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22"/>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73" w:lineRule="exact"/>
        <w:rPr>
          <w:sz w:val="20"/>
          <w:szCs w:val="20"/>
          <w:color w:val="auto"/>
        </w:rPr>
      </w:pPr>
    </w:p>
    <w:p>
      <w:pPr>
        <w:ind w:left="640" w:hanging="320"/>
        <w:spacing w:after="0" w:line="260"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2023, we began reporting PAI in other interest income (expense), net. PAI was previously reported in interest rate swap periodic income (cost). Prior year amounts have been reclassified to conform to the current period's presentation.</w:t>
      </w:r>
    </w:p>
    <w:p>
      <w:pPr>
        <w:spacing w:after="0" w:line="64"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8"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most recent Annual Report on Form 10-K and Item 3. </w:t>
      </w:r>
      <w:r>
        <w:rPr>
          <w:rFonts w:ascii="Arial" w:cs="Arial" w:eastAsia="Arial" w:hAnsi="Arial"/>
          <w:sz w:val="16"/>
          <w:szCs w:val="16"/>
          <w:i w:val="1"/>
          <w:iCs w:val="1"/>
          <w:color w:val="auto"/>
        </w:rPr>
        <w:t xml:space="preserve">Quantitative and Qualitative Disclosures of Market Risks </w:t>
      </w:r>
      <w:r>
        <w:rPr>
          <w:rFonts w:ascii="Arial" w:cs="Arial" w:eastAsia="Arial" w:hAnsi="Arial"/>
          <w:sz w:val="16"/>
          <w:szCs w:val="16"/>
          <w:color w:val="auto"/>
        </w:rPr>
        <w:t>in this Form 10-Q. In assessing our liquidity, we consider a number of factors, including our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 and Financing Sources</w:t>
      </w:r>
    </w:p>
    <w:p>
      <w:pPr>
        <w:spacing w:after="0" w:line="172"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7.9x and 7.4x as of September 30, 2023 and December 31, 2022, respectively. The following table includes a summary of our mortgage borrowings outstanding as of September 30, 2023 and December 31, 2022 (dollars in millions). For additional details of our mortgage borrowings refer to Notes 2, 4 and 5 to our Consolidated Financial Statements in this Form 10-Q.</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September 30, 2023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520"/>
              <w:spacing w:after="0"/>
              <w:rPr>
                <w:sz w:val="20"/>
                <w:szCs w:val="20"/>
                <w:color w:val="auto"/>
              </w:rPr>
            </w:pPr>
            <w:r>
              <w:rPr>
                <w:rFonts w:ascii="Arial" w:cs="Arial" w:eastAsia="Arial" w:hAnsi="Arial"/>
                <w:sz w:val="14"/>
                <w:szCs w:val="14"/>
                <w:b w:val="1"/>
                <w:bCs w:val="1"/>
                <w:color w:val="auto"/>
                <w:w w:val="88"/>
              </w:rPr>
              <w:t>December 31, 2022</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jc w:val="right"/>
              <w:ind w:right="10"/>
              <w:spacing w:after="0"/>
              <w:rPr>
                <w:sz w:val="20"/>
                <w:szCs w:val="20"/>
                <w:color w:val="auto"/>
              </w:rPr>
            </w:pPr>
            <w:r>
              <w:rPr>
                <w:rFonts w:ascii="Arial" w:cs="Arial" w:eastAsia="Arial" w:hAnsi="Arial"/>
                <w:sz w:val="14"/>
                <w:szCs w:val="14"/>
                <w:b w:val="1"/>
                <w:bCs w:val="1"/>
                <w:color w:val="auto"/>
                <w:w w:val="96"/>
              </w:rPr>
              <w:t>%</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720" w:type="dxa"/>
            <w:vAlign w:val="bottom"/>
            <w:tcBorders>
              <w:top w:val="single" w:sz="8" w:color="auto"/>
            </w:tcBorders>
            <w:shd w:val="clear" w:color="auto" w:fill="CCEEFF"/>
          </w:tcPr>
          <w:p>
            <w:pPr>
              <w:ind w:left="20"/>
              <w:spacing w:after="0" w:line="197" w:lineRule="exact"/>
              <w:rPr>
                <w:sz w:val="20"/>
                <w:szCs w:val="20"/>
                <w:color w:val="auto"/>
              </w:rPr>
            </w:pPr>
            <w:r>
              <w:rPr>
                <w:rFonts w:ascii="Arial" w:cs="Arial" w:eastAsia="Arial" w:hAnsi="Arial"/>
                <w:sz w:val="14"/>
                <w:szCs w:val="14"/>
                <w:color w:val="auto"/>
              </w:rPr>
              <w:t xml:space="preserve">Investment securities repurchase agreements </w:t>
            </w:r>
            <w:r>
              <w:rPr>
                <w:rFonts w:ascii="Arial" w:cs="Arial" w:eastAsia="Arial" w:hAnsi="Arial"/>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51,851</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35,907</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90"/>
        </w:trPr>
        <w:tc>
          <w:tcPr>
            <w:tcW w:w="584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51,931</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90"/>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18,407</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54,338</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53" w:lineRule="auto"/>
        <w:tabs>
          <w:tab w:leader="none" w:pos="6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Agency RMBS, CRT and non-Agency MBS repurchase agreements. Excludes U.S. Treasury repurchase agreements totaling $256 million and $355 million as of September 30, 2023 and December 31, 2022, respectively.</w:t>
      </w:r>
    </w:p>
    <w:p>
      <w:pPr>
        <w:ind w:left="640" w:hanging="320"/>
        <w:spacing w:after="0" w:line="268"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September 30, 2023 and December 31, 2022, 43% and 48%, respectively, of our total repurchase agreements, including 43% and 48% or our investment securities repurchase agreements, respectively, were funded through the Fixed Income Clearing Corporation's GCF Repo service.</w:t>
      </w:r>
    </w:p>
    <w:p>
      <w:pPr>
        <w:spacing w:after="0" w:line="124"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10"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prevailing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Collateral Requirements and Unencumbered Assets</w:t>
      </w:r>
    </w:p>
    <w:p>
      <w:pPr>
        <w:spacing w:after="0" w:line="17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7"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September 30, 2023, we had met all our margin requirements.</w:t>
      </w:r>
    </w:p>
    <w:p>
      <w:pPr>
        <w:spacing w:after="0" w:line="118"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September 30, 2023, approximately 4% of our investment portfolio consisted of TBA securities, which are not subject to monthly principal pay-downs. The remainder of our portfolio primarily consisted of Agency RMBS, which had an average one-year CPR forecast of 6%.</w:t>
      </w:r>
    </w:p>
    <w:p>
      <w:pPr>
        <w:spacing w:after="0" w:line="130"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9"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Haircut levels and minimum margin requirements imposed by our counterparties reduce the amount of our unencumbered assets and limit the amount we can borrow against our investment securities. During the nine months ended September 30, 2023, haircuts on our repo funding arrangements remained stable. As of September 30, 2023, the weighted average haircut on our repurchase agreements was approximately 3.7% of the value of our collateral, compared to 3.7% as of December 31, 2022.</w:t>
      </w:r>
    </w:p>
    <w:p>
      <w:pPr>
        <w:spacing w:after="0" w:line="124"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To mitigate the risk of margins calls, we seek to maintain excess liquidity by holding unencumbered liquid assets that can be used to satisfy collateral requirements, collateralize additional borrowings or sold for cash. As of September 30, 2023, our unencumbered assets totaled approximately $3.7 billion, or 53% of tangible equity, consisting of $3.6 billion of unencumbered cash and Agency RMBS and $0.1 billion of unencumbered credit assets. This compares to $4.4 billion of unencumbered assets, or 60% of tangible equity, as of December 31, 2022, consisting of $4.3 billion of unencumbered cash and Agency RMBS and $0.1 billion of unencumbered credit assets.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Counterparty Risk</w:t>
      </w:r>
    </w:p>
    <w:p>
      <w:pPr>
        <w:spacing w:after="0" w:line="17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2" w:name="page43"/>
    <w:bookmarkEnd w:id="42"/>
    <w:p>
      <w:pPr>
        <w:jc w:val="both"/>
        <w:ind w:firstLine="433"/>
        <w:spacing w:after="0" w:line="286" w:lineRule="auto"/>
        <w:rPr>
          <w:sz w:val="20"/>
          <w:szCs w:val="20"/>
          <w:color w:val="auto"/>
        </w:rPr>
      </w:pPr>
      <w:r>
        <w:rPr>
          <w:rFonts w:ascii="Arial" w:cs="Arial" w:eastAsia="Arial" w:hAnsi="Arial"/>
          <w:sz w:val="16"/>
          <w:szCs w:val="16"/>
          <w:color w:val="auto"/>
        </w:rPr>
        <w:t>As of September 30, 2023, our maximum amount at risk (or the excess/shortfall of the value of collateral pledged/received over our repurchase agreement liabilities/reverse repurchase agreement receivables) with any of our repurchase agreement counterparties, excluding the FICC, was less than 4% of our tangible stockholders' equity, with our top five repo counterparties, excluding the FICC, representing approximately 9% of our tangible stockholders' equity. As of September 30, 2023, less than 12% of our tangible stockholder's equity was at risk with the FICC. Excluding central clearing exchanges, as of September 30, 2023, our amount at risk with any counterparty to our derivative agreements was less than 1% of our stockholders' equity.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Sales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Arial" w:cs="Arial" w:eastAsia="Arial" w:hAnsi="Arial"/>
          <w:sz w:val="17"/>
          <w:szCs w:val="17"/>
          <w:i w:val="1"/>
          <w:iCs w:val="1"/>
          <w:color w:val="auto"/>
        </w:rPr>
        <w:t>Trends and Recent Market Impacts</w:t>
      </w:r>
      <w:r>
        <w:rPr>
          <w:rFonts w:ascii="Arial" w:cs="Arial" w:eastAsia="Arial" w:hAnsi="Arial"/>
          <w:sz w:val="17"/>
          <w:szCs w:val="17"/>
          <w:color w:val="auto"/>
        </w:rPr>
        <w:t xml:space="preserve"> of this Management Discussion and Analysis for further information regarding Agency RMBS and TBA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Markets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if any.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8"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As of September 30, 2023,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2023, we had not guaranteed obligations of unconsolidated entities or entered into a commitment or intent to provide funding to such entities.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49" w:lineRule="exact"/>
        <w:rPr>
          <w:sz w:val="20"/>
          <w:szCs w:val="20"/>
          <w:color w:val="auto"/>
        </w:rPr>
      </w:pPr>
    </w:p>
    <w:p>
      <w:pPr>
        <w:ind w:left="640" w:hanging="242"/>
        <w:spacing w:after="0" w:line="289"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the yield curve;</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mortgage prepayment rates on the loans underlying our Agency RMBS;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availability and terms of financing and our hedge positions;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market value of our assets, including from changes in net interest spreads, market liquidity or depth, and changes in our "at risk" leverage or hedge positions;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effectiveness of our risk mitigation strategies;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3" w:name="page44"/>
    <w:bookmarkEnd w:id="43"/>
    <w:p>
      <w:pPr>
        <w:ind w:left="640" w:right="420" w:hanging="242"/>
        <w:spacing w:after="0" w:line="273"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conditions in the market for Agency RMBS and other mortgage securities, including changes in the available supply of such securities or investor appetite therefor;</w:t>
      </w:r>
    </w:p>
    <w:p>
      <w:pPr>
        <w:spacing w:after="0" w:line="14" w:lineRule="exact"/>
        <w:rPr>
          <w:rFonts w:ascii="Arial" w:cs="Arial" w:eastAsia="Arial" w:hAnsi="Arial"/>
          <w:sz w:val="17"/>
          <w:szCs w:val="17"/>
          <w:color w:val="auto"/>
        </w:rPr>
      </w:pPr>
    </w:p>
    <w:p>
      <w:pPr>
        <w:ind w:left="620" w:hanging="222"/>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actions by the federal, state, or local governments that affect the economy, the housing sector or financial markets;</w:t>
      </w:r>
    </w:p>
    <w:p>
      <w:pPr>
        <w:spacing w:after="0" w:line="15" w:lineRule="exact"/>
        <w:rPr>
          <w:rFonts w:ascii="Arial" w:cs="Arial" w:eastAsia="Arial" w:hAnsi="Arial"/>
          <w:sz w:val="17"/>
          <w:szCs w:val="17"/>
          <w:color w:val="auto"/>
        </w:rPr>
      </w:pPr>
    </w:p>
    <w:p>
      <w:pPr>
        <w:ind w:left="620" w:hanging="222"/>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ongoing availability of personnel and systems to conduct our operations;</w:t>
      </w:r>
    </w:p>
    <w:p>
      <w:pPr>
        <w:spacing w:after="0" w:line="52" w:lineRule="exact"/>
        <w:rPr>
          <w:rFonts w:ascii="Arial" w:cs="Arial" w:eastAsia="Arial" w:hAnsi="Arial"/>
          <w:sz w:val="17"/>
          <w:szCs w:val="17"/>
          <w:color w:val="auto"/>
        </w:rPr>
      </w:pPr>
    </w:p>
    <w:p>
      <w:pPr>
        <w:ind w:left="620" w:hanging="222"/>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to laws, regulations, rules or policies that affect U.S. housing finance activity, the GSE's or the markets for Agency RMBS; and</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legislative or regulatory changes that affect our status as a REIT, our exemption from the Investment Company Act of 1940 or the mortgage markets in which we participate.</w:t>
      </w:r>
    </w:p>
    <w:p>
      <w:pPr>
        <w:spacing w:after="0" w:line="1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78"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2"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0"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2"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0.2 years as of September 30, 2023, compared to 0.4 years as of December 31, 2022.</w:t>
      </w:r>
    </w:p>
    <w:p>
      <w:pPr>
        <w:spacing w:after="0" w:line="127"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tangible net book value per common share as of September 30, 2023 and December 31, 2022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2023 and December 31,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4" w:name="page45"/>
    <w:bookmarkEnd w:id="44"/>
    <w:p>
      <w:pPr>
        <w:jc w:val="both"/>
        <w:ind w:firstLine="433"/>
        <w:spacing w:after="0" w:line="268" w:lineRule="auto"/>
        <w:rPr>
          <w:sz w:val="20"/>
          <w:szCs w:val="20"/>
          <w:color w:val="auto"/>
        </w:rPr>
      </w:pPr>
      <w:r>
        <w:rPr>
          <w:rFonts w:ascii="Arial" w:cs="Arial" w:eastAsia="Arial" w:hAnsi="Arial"/>
          <w:sz w:val="17"/>
          <w:szCs w:val="17"/>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September 30, 2023</w:t>
            </w:r>
          </w:p>
        </w:tc>
        <w:tc>
          <w:tcPr>
            <w:tcW w:w="2780" w:type="dxa"/>
            <w:vAlign w:val="bottom"/>
            <w:tcBorders>
              <w:top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Estimated Change in</w:t>
            </w:r>
          </w:p>
        </w:tc>
        <w:tc>
          <w:tcPr>
            <w:tcW w:w="13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9"/>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Change in</w:t>
            </w:r>
          </w:p>
        </w:tc>
        <w:tc>
          <w:tcPr>
            <w:tcW w:w="13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9"/>
              </w:rPr>
              <w:t>Estimated Change in</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Tangible Net Book</w:t>
            </w: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Value Per Common</w:t>
            </w:r>
          </w:p>
        </w:tc>
        <w:tc>
          <w:tcPr>
            <w:tcW w:w="0" w:type="dxa"/>
            <w:vAlign w:val="bottom"/>
          </w:tcPr>
          <w:p>
            <w:pPr>
              <w:spacing w:after="0"/>
              <w:rPr>
                <w:sz w:val="1"/>
                <w:szCs w:val="1"/>
                <w:color w:val="auto"/>
              </w:rPr>
            </w:pPr>
          </w:p>
        </w:tc>
      </w:tr>
      <w:tr>
        <w:trPr>
          <w:trHeight w:val="183"/>
        </w:trPr>
        <w:tc>
          <w:tcPr>
            <w:tcW w:w="308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4"/>
        </w:trPr>
        <w:tc>
          <w:tcPr>
            <w:tcW w:w="2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-75 Basis Points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+0.3%</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0" w:type="dxa"/>
            <w:vAlign w:val="bottom"/>
          </w:tcPr>
          <w:p>
            <w:pPr>
              <w:spacing w:after="0"/>
              <w:rPr>
                <w:sz w:val="1"/>
                <w:szCs w:val="1"/>
                <w:color w:val="auto"/>
              </w:rPr>
            </w:pPr>
          </w:p>
        </w:tc>
      </w:tr>
      <w:tr>
        <w:trPr>
          <w:trHeight w:val="188"/>
        </w:trPr>
        <w:tc>
          <w:tcPr>
            <w:tcW w:w="308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+0.8%</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+0.6%</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188"/>
        </w:trPr>
        <w:tc>
          <w:tcPr>
            <w:tcW w:w="3080" w:type="dxa"/>
            <w:vAlign w:val="bottom"/>
            <w:gridSpan w:val="2"/>
          </w:tcPr>
          <w:p>
            <w:pPr>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06"/>
        </w:trPr>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-0.3%</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0" w:type="dxa"/>
            <w:vAlign w:val="bottom"/>
          </w:tcPr>
          <w:p>
            <w:pPr>
              <w:spacing w:after="0"/>
              <w:rPr>
                <w:sz w:val="1"/>
                <w:szCs w:val="1"/>
                <w:color w:val="auto"/>
              </w:rPr>
            </w:pPr>
          </w:p>
        </w:tc>
      </w:tr>
      <w:tr>
        <w:trPr>
          <w:trHeight w:val="179"/>
        </w:trPr>
        <w:tc>
          <w:tcPr>
            <w:tcW w:w="3080" w:type="dxa"/>
            <w:vAlign w:val="bottom"/>
            <w:gridSpan w:val="2"/>
          </w:tcPr>
          <w:p>
            <w:pPr>
              <w:spacing w:after="0"/>
              <w:rPr>
                <w:sz w:val="20"/>
                <w:szCs w:val="20"/>
                <w:color w:val="auto"/>
              </w:rPr>
            </w:pPr>
            <w:r>
              <w:rPr>
                <w:rFonts w:ascii="Arial" w:cs="Arial" w:eastAsia="Arial" w:hAnsi="Arial"/>
                <w:sz w:val="14"/>
                <w:szCs w:val="14"/>
                <w:color w:val="auto"/>
              </w:rPr>
              <w:t>+75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-0.5%</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6" w:lineRule="exact"/>
        <w:rPr>
          <w:sz w:val="20"/>
          <w:szCs w:val="20"/>
          <w:color w:val="auto"/>
        </w:rPr>
      </w:pPr>
    </w:p>
    <w:p>
      <w:pPr>
        <w:ind w:left="640" w:hanging="320"/>
        <w:spacing w:after="0" w:line="251"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20"/>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Risk and Extension Risk</w:t>
      </w:r>
    </w:p>
    <w:p>
      <w:pPr>
        <w:spacing w:after="0" w:line="172"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7"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4"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As of September 30, 2023 and December 31, 2022, our investment securities (excluding TBAs) had a weighted average projected CPR of 8.3% and 7.4%, respectively, and a weighted average yield of 4.37% and 3.37%,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p>
      <w:pPr>
        <w:spacing w:after="0" w:line="2"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2023</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2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Projected CPR</w:t>
            </w:r>
          </w:p>
        </w:tc>
        <w:tc>
          <w:tcPr>
            <w:tcW w:w="1440" w:type="dxa"/>
            <w:vAlign w:val="bottom"/>
            <w:gridSpan w:val="2"/>
          </w:tcPr>
          <w:p>
            <w:pPr>
              <w:jc w:val="center"/>
              <w:ind w:right="180"/>
              <w:spacing w:after="0" w:line="196" w:lineRule="exact"/>
              <w:rPr>
                <w:sz w:val="20"/>
                <w:szCs w:val="20"/>
                <w:color w:val="auto"/>
              </w:rPr>
            </w:pPr>
            <w:r>
              <w:rPr>
                <w:rFonts w:ascii="Arial" w:cs="Arial" w:eastAsia="Arial" w:hAnsi="Arial"/>
                <w:sz w:val="14"/>
                <w:szCs w:val="14"/>
                <w:b w:val="1"/>
                <w:bCs w:val="1"/>
                <w:color w:val="auto"/>
                <w:w w:val="85"/>
              </w:rPr>
              <w:t xml:space="preserve">Asset Yield </w:t>
            </w:r>
            <w:r>
              <w:rPr>
                <w:rFonts w:ascii="Arial" w:cs="Arial" w:eastAsia="Arial" w:hAnsi="Arial"/>
                <w:sz w:val="18"/>
                <w:szCs w:val="18"/>
                <w:b w:val="1"/>
                <w:bCs w:val="1"/>
                <w:color w:val="auto"/>
                <w:w w:val="85"/>
                <w:vertAlign w:val="superscript"/>
              </w:rPr>
              <w:t>2</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Projected CPR</w:t>
            </w:r>
          </w:p>
        </w:tc>
        <w:tc>
          <w:tcPr>
            <w:tcW w:w="1300" w:type="dxa"/>
            <w:vAlign w:val="bottom"/>
          </w:tcPr>
          <w:p>
            <w:pPr>
              <w:jc w:val="center"/>
              <w:spacing w:after="0" w:line="196" w:lineRule="exact"/>
              <w:rPr>
                <w:sz w:val="20"/>
                <w:szCs w:val="20"/>
                <w:color w:val="auto"/>
              </w:rPr>
            </w:pPr>
            <w:r>
              <w:rPr>
                <w:rFonts w:ascii="Arial" w:cs="Arial" w:eastAsia="Arial" w:hAnsi="Arial"/>
                <w:sz w:val="14"/>
                <w:szCs w:val="14"/>
                <w:b w:val="1"/>
                <w:bCs w:val="1"/>
                <w:color w:val="auto"/>
                <w:w w:val="85"/>
              </w:rPr>
              <w:t xml:space="preserve">Asset Yield </w:t>
            </w:r>
            <w:r>
              <w:rPr>
                <w:rFonts w:ascii="Arial" w:cs="Arial" w:eastAsia="Arial" w:hAnsi="Arial"/>
                <w:sz w:val="18"/>
                <w:szCs w:val="18"/>
                <w:b w:val="1"/>
                <w:bCs w:val="1"/>
                <w:color w:val="auto"/>
                <w:w w:val="85"/>
                <w:vertAlign w:val="superscript"/>
              </w:rPr>
              <w:t>2</w:t>
            </w:r>
          </w:p>
        </w:tc>
        <w:tc>
          <w:tcPr>
            <w:tcW w:w="0" w:type="dxa"/>
            <w:vAlign w:val="bottom"/>
          </w:tcPr>
          <w:p>
            <w:pPr>
              <w:spacing w:after="0"/>
              <w:rPr>
                <w:sz w:val="1"/>
                <w:szCs w:val="1"/>
                <w:color w:val="auto"/>
              </w:rPr>
            </w:pPr>
          </w:p>
        </w:tc>
      </w:tr>
      <w:tr>
        <w:trPr>
          <w:trHeight w:val="19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11.5%</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4.32%</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8.3%</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3.33%</w:t>
            </w:r>
          </w:p>
        </w:tc>
        <w:tc>
          <w:tcPr>
            <w:tcW w:w="0" w:type="dxa"/>
            <w:vAlign w:val="bottom"/>
          </w:tcPr>
          <w:p>
            <w:pPr>
              <w:spacing w:after="0"/>
              <w:rPr>
                <w:sz w:val="1"/>
                <w:szCs w:val="1"/>
                <w:color w:val="auto"/>
              </w:rPr>
            </w:pPr>
          </w:p>
        </w:tc>
      </w:tr>
      <w:tr>
        <w:trPr>
          <w:trHeight w:val="188"/>
        </w:trPr>
        <w:tc>
          <w:tcPr>
            <w:tcW w:w="318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10.0%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4.34%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3.34%</w:t>
            </w:r>
          </w:p>
        </w:tc>
        <w:tc>
          <w:tcPr>
            <w:tcW w:w="0" w:type="dxa"/>
            <w:vAlign w:val="bottom"/>
          </w:tcPr>
          <w:p>
            <w:pPr>
              <w:spacing w:after="0"/>
              <w:rPr>
                <w:sz w:val="1"/>
                <w:szCs w:val="1"/>
                <w:color w:val="auto"/>
              </w:rPr>
            </w:pPr>
          </w:p>
        </w:tc>
      </w:tr>
      <w:tr>
        <w:trPr>
          <w:trHeight w:val="206"/>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9.0%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3.36%</w:t>
            </w:r>
          </w:p>
        </w:tc>
        <w:tc>
          <w:tcPr>
            <w:tcW w:w="0" w:type="dxa"/>
            <w:vAlign w:val="bottom"/>
          </w:tcPr>
          <w:p>
            <w:pPr>
              <w:spacing w:after="0"/>
              <w:rPr>
                <w:sz w:val="1"/>
                <w:szCs w:val="1"/>
                <w:color w:val="auto"/>
              </w:rPr>
            </w:pPr>
          </w:p>
        </w:tc>
      </w:tr>
      <w:tr>
        <w:trPr>
          <w:trHeight w:val="188"/>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8.3%</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4.37%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3.37%</w:t>
            </w:r>
          </w:p>
        </w:tc>
        <w:tc>
          <w:tcPr>
            <w:tcW w:w="0" w:type="dxa"/>
            <w:vAlign w:val="bottom"/>
          </w:tcPr>
          <w:p>
            <w:pPr>
              <w:spacing w:after="0"/>
              <w:rPr>
                <w:sz w:val="1"/>
                <w:szCs w:val="1"/>
                <w:color w:val="auto"/>
              </w:rPr>
            </w:pPr>
          </w:p>
        </w:tc>
      </w:tr>
      <w:tr>
        <w:trPr>
          <w:trHeight w:val="206"/>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8.0%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3.38%</w:t>
            </w:r>
          </w:p>
        </w:tc>
        <w:tc>
          <w:tcPr>
            <w:tcW w:w="0" w:type="dxa"/>
            <w:vAlign w:val="bottom"/>
          </w:tcPr>
          <w:p>
            <w:pPr>
              <w:spacing w:after="0"/>
              <w:rPr>
                <w:sz w:val="1"/>
                <w:szCs w:val="1"/>
                <w:color w:val="auto"/>
              </w:rPr>
            </w:pPr>
          </w:p>
        </w:tc>
      </w:tr>
      <w:tr>
        <w:trPr>
          <w:trHeight w:val="188"/>
        </w:trPr>
        <w:tc>
          <w:tcPr>
            <w:tcW w:w="318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7.7%</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4.38%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7.0%</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3.39%</w:t>
            </w:r>
          </w:p>
        </w:tc>
        <w:tc>
          <w:tcPr>
            <w:tcW w:w="0" w:type="dxa"/>
            <w:vAlign w:val="bottom"/>
          </w:tcPr>
          <w:p>
            <w:pPr>
              <w:spacing w:after="0"/>
              <w:rPr>
                <w:sz w:val="1"/>
                <w:szCs w:val="1"/>
                <w:color w:val="auto"/>
              </w:rPr>
            </w:pPr>
          </w:p>
        </w:tc>
      </w:tr>
      <w:tr>
        <w:trPr>
          <w:trHeight w:val="206"/>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7.4%</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Derived from models that are dependent on inputs and assumptions and assumes a static portfolio. Actual results could differ materially from these estimates. Table excludes TBA securities.</w:t>
      </w:r>
    </w:p>
    <w:p>
      <w:pPr>
        <w:spacing w:after="0" w:line="22" w:lineRule="exact"/>
        <w:rPr>
          <w:rFonts w:ascii="Arial" w:cs="Arial" w:eastAsia="Arial" w:hAnsi="Arial"/>
          <w:sz w:val="12"/>
          <w:szCs w:val="12"/>
          <w:color w:val="auto"/>
        </w:rPr>
      </w:pPr>
    </w:p>
    <w:p>
      <w:pPr>
        <w:ind w:left="640" w:hanging="320"/>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w:t>
      </w:r>
    </w:p>
    <w:p>
      <w:pPr>
        <w:spacing w:after="0" w:line="172"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2023 and December 31, 2022 should spreads widen or tighten by 10, 25 and 50 basis points. The estimated impact of changes in spreads is in addition to our interest rate shock sensitivity included in the interest rate shock table above. The table below assumes a spread duration of 5.2 and 5.8 years as of September 30, 2023 and December 31, 2022,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2023</w:t>
            </w:r>
          </w:p>
        </w:tc>
        <w:tc>
          <w:tcPr>
            <w:tcW w:w="272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Estimated Change in</w:t>
            </w:r>
          </w:p>
        </w:tc>
        <w:tc>
          <w:tcPr>
            <w:tcW w:w="13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89"/>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Estimated Change in</w:t>
            </w:r>
          </w:p>
        </w:tc>
        <w:tc>
          <w:tcPr>
            <w:tcW w:w="13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89"/>
              </w:rPr>
              <w:t>Estimated Change in</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Tangible Net Book</w:t>
            </w:r>
          </w:p>
        </w:tc>
        <w:tc>
          <w:tcPr>
            <w:tcW w:w="0" w:type="dxa"/>
            <w:vAlign w:val="bottom"/>
          </w:tcPr>
          <w:p>
            <w:pPr>
              <w:spacing w:after="0"/>
              <w:rPr>
                <w:sz w:val="1"/>
                <w:szCs w:val="1"/>
                <w:color w:val="auto"/>
              </w:rPr>
            </w:pPr>
          </w:p>
        </w:tc>
      </w:tr>
      <w:tr>
        <w:trPr>
          <w:trHeight w:val="144"/>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MBS Spread</w:t>
            </w: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Portfolio Market</w:t>
            </w:r>
          </w:p>
        </w:tc>
        <w:tc>
          <w:tcPr>
            <w:tcW w:w="14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Value Per Common</w:t>
            </w: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Portfolio Market</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Value Per Common</w:t>
            </w:r>
          </w:p>
        </w:tc>
        <w:tc>
          <w:tcPr>
            <w:tcW w:w="0" w:type="dxa"/>
            <w:vAlign w:val="bottom"/>
          </w:tcPr>
          <w:p>
            <w:pPr>
              <w:spacing w:after="0"/>
              <w:rPr>
                <w:sz w:val="1"/>
                <w:szCs w:val="1"/>
                <w:color w:val="auto"/>
              </w:rPr>
            </w:pPr>
          </w:p>
        </w:tc>
      </w:tr>
      <w:tr>
        <w:trPr>
          <w:trHeight w:val="190"/>
        </w:trPr>
        <w:tc>
          <w:tcPr>
            <w:tcW w:w="3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97"/>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+2.6%</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+29.7%</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+30.6%</w:t>
            </w:r>
          </w:p>
        </w:tc>
        <w:tc>
          <w:tcPr>
            <w:tcW w:w="0" w:type="dxa"/>
            <w:vAlign w:val="bottom"/>
          </w:tcPr>
          <w:p>
            <w:pPr>
              <w:spacing w:after="0"/>
              <w:rPr>
                <w:sz w:val="1"/>
                <w:szCs w:val="1"/>
                <w:color w:val="auto"/>
              </w:rPr>
            </w:pPr>
          </w:p>
        </w:tc>
      </w:tr>
      <w:tr>
        <w:trPr>
          <w:trHeight w:val="188"/>
        </w:trPr>
        <w:tc>
          <w:tcPr>
            <w:tcW w:w="3160" w:type="dxa"/>
            <w:vAlign w:val="bottom"/>
            <w:gridSpan w:val="2"/>
          </w:tcPr>
          <w:p>
            <w:pPr>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+15.3%</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0" w:type="dxa"/>
            <w:vAlign w:val="bottom"/>
          </w:tcPr>
          <w:p>
            <w:pPr>
              <w:spacing w:after="0"/>
              <w:rPr>
                <w:sz w:val="1"/>
                <w:szCs w:val="1"/>
                <w:color w:val="auto"/>
              </w:rPr>
            </w:pPr>
          </w:p>
        </w:tc>
      </w:tr>
      <w:tr>
        <w:trPr>
          <w:trHeight w:val="188"/>
        </w:trPr>
        <w:tc>
          <w:tcPr>
            <w:tcW w:w="3160" w:type="dxa"/>
            <w:vAlign w:val="bottom"/>
            <w:gridSpan w:val="2"/>
          </w:tcPr>
          <w:p>
            <w:pPr>
              <w:spacing w:after="0"/>
              <w:rPr>
                <w:sz w:val="20"/>
                <w:szCs w:val="20"/>
                <w:color w:val="auto"/>
              </w:rPr>
            </w:pPr>
            <w:r>
              <w:rPr>
                <w:rFonts w:ascii="Arial" w:cs="Arial" w:eastAsia="Arial" w:hAnsi="Arial"/>
                <w:sz w:val="14"/>
                <w:szCs w:val="14"/>
                <w:color w:val="auto"/>
              </w:rPr>
              <w:t>+10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-15.3%</w:t>
            </w: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-2.6%</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-29.7%</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-30.6%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6" w:lineRule="exact"/>
        <w:rPr>
          <w:sz w:val="20"/>
          <w:szCs w:val="20"/>
          <w:color w:val="auto"/>
        </w:rPr>
      </w:pPr>
    </w:p>
    <w:p>
      <w:pPr>
        <w:ind w:left="640" w:hanging="320"/>
        <w:spacing w:after="0" w:line="246"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20"/>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172"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6" w:name="page47"/>
    <w:bookmarkEnd w:id="46"/>
    <w:p>
      <w:pPr>
        <w:jc w:val="both"/>
        <w:spacing w:after="0" w:line="289" w:lineRule="auto"/>
        <w:rPr>
          <w:sz w:val="20"/>
          <w:szCs w:val="20"/>
          <w:color w:val="auto"/>
        </w:rPr>
      </w:pPr>
      <w:r>
        <w:rPr>
          <w:rFonts w:ascii="Arial" w:cs="Arial" w:eastAsia="Arial" w:hAnsi="Arial"/>
          <w:sz w:val="17"/>
          <w:szCs w:val="17"/>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06"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 xml:space="preserve">As of September 30, 2023,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4"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September 30, 2023, our maximum amount at risk with any counterparty related to our repurchase agreements and derivative agreements was less than 4% and 1%, respectively, of tangible stockholders' equity.</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25"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0"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We, including our Chief Executive Officer and Chief Financial Officer, evaluated the effectiveness of the design and operation of our disclosure controls and procedures as of September 30, 2023. Based on the foregoing, our Chief Executive Officer and Chief Financial Officer concluded that our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9"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125"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have been no material changes to the risk factors previously disclosed in our Annual Report on Form 10-K for the year ended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125"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During the three months ended September 30, 2023,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6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 Exhibit Index</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7" w:lineRule="exact"/>
        <w:rPr>
          <w:sz w:val="20"/>
          <w:szCs w:val="20"/>
          <w:color w:val="auto"/>
        </w:rPr>
      </w:pPr>
    </w:p>
    <w:p>
      <w:pPr>
        <w:jc w:val="both"/>
        <w:ind w:left="500" w:hanging="1258"/>
        <w:spacing w:after="0" w:line="289" w:lineRule="auto"/>
        <w:tabs>
          <w:tab w:leader="none" w:pos="480" w:val="left"/>
        </w:tabs>
        <w:rPr>
          <w:rFonts w:ascii="Arial" w:cs="Arial" w:eastAsia="Arial" w:hAnsi="Arial"/>
          <w:sz w:val="17"/>
          <w:szCs w:val="17"/>
          <w:color w:val="auto"/>
        </w:rPr>
      </w:pPr>
      <w:hyperlink r:id="rId79">
        <w:r>
          <w:rPr>
            <w:rFonts w:ascii="Arial" w:cs="Arial" w:eastAsia="Arial" w:hAnsi="Arial"/>
            <w:sz w:val="17"/>
            <w:szCs w:val="17"/>
            <w:color w:val="auto"/>
          </w:rPr>
          <w:t>*3.1</w:t>
        </w:r>
      </w:hyperlink>
      <w:r>
        <w:rPr>
          <w:rFonts w:ascii="Arial" w:cs="Arial" w:eastAsia="Arial" w:hAnsi="Arial"/>
          <w:sz w:val="17"/>
          <w:szCs w:val="17"/>
          <w:color w:val="auto"/>
        </w:rPr>
        <w:tab/>
      </w:r>
      <w:hyperlink r:id="rId79">
        <w:r>
          <w:rPr>
            <w:rFonts w:ascii="Arial" w:cs="Arial" w:eastAsia="Arial" w:hAnsi="Arial"/>
            <w:sz w:val="17"/>
            <w:szCs w:val="17"/>
            <w:color w:val="auto"/>
          </w:rPr>
          <w:t>AGNC Investment Corp. Amended and Restated Certificate of Incorporation, as amended, incorporated by reference from Exhibit 3.1 of Form 10-K for</w:t>
        </w:r>
      </w:hyperlink>
      <w:r>
        <w:rPr>
          <w:rFonts w:ascii="Arial" w:cs="Arial" w:eastAsia="Arial" w:hAnsi="Arial"/>
          <w:sz w:val="17"/>
          <w:szCs w:val="17"/>
          <w:color w:val="auto"/>
        </w:rPr>
        <w:t xml:space="preserve"> </w:t>
      </w:r>
      <w:hyperlink r:id="rId79">
        <w:r>
          <w:rPr>
            <w:rFonts w:ascii="Arial" w:cs="Arial" w:eastAsia="Arial" w:hAnsi="Arial"/>
            <w:sz w:val="17"/>
            <w:szCs w:val="17"/>
            <w:color w:val="auto"/>
          </w:rPr>
          <w:t>the year ended December 31, 2021 (File No. 001-34057), filed February 23, 2022.</w:t>
        </w:r>
      </w:hyperlink>
    </w:p>
    <w:p>
      <w:pPr>
        <w:spacing w:after="0" w:line="106" w:lineRule="exact"/>
        <w:rPr>
          <w:rFonts w:ascii="Arial" w:cs="Arial" w:eastAsia="Arial" w:hAnsi="Arial"/>
          <w:sz w:val="17"/>
          <w:szCs w:val="17"/>
          <w:color w:val="auto"/>
        </w:rPr>
      </w:pPr>
    </w:p>
    <w:p>
      <w:pPr>
        <w:spacing w:after="0"/>
        <w:tabs>
          <w:tab w:leader="none" w:pos="540" w:val="left"/>
        </w:tabs>
        <w:rPr>
          <w:rFonts w:ascii="Arial" w:cs="Arial" w:eastAsia="Arial" w:hAnsi="Arial"/>
          <w:sz w:val="16"/>
          <w:szCs w:val="16"/>
          <w:color w:val="auto"/>
        </w:rPr>
      </w:pPr>
      <w:hyperlink r:id="rId80">
        <w:r>
          <w:rPr>
            <w:rFonts w:ascii="Arial" w:cs="Arial" w:eastAsia="Arial" w:hAnsi="Arial"/>
            <w:sz w:val="17"/>
            <w:szCs w:val="17"/>
            <w:color w:val="auto"/>
          </w:rPr>
          <w:t>*3.2</w:t>
        </w:r>
      </w:hyperlink>
      <w:r>
        <w:rPr>
          <w:rFonts w:ascii="Arial" w:cs="Arial" w:eastAsia="Arial" w:hAnsi="Arial"/>
          <w:sz w:val="17"/>
          <w:szCs w:val="17"/>
          <w:color w:val="auto"/>
        </w:rPr>
        <w:tab/>
      </w:r>
      <w:hyperlink r:id="rId81">
        <w:r>
          <w:rPr>
            <w:rFonts w:ascii="Arial" w:cs="Arial" w:eastAsia="Arial" w:hAnsi="Arial"/>
            <w:sz w:val="16"/>
            <w:szCs w:val="16"/>
            <w:color w:val="auto"/>
          </w:rPr>
          <w:t>AGNC Investment Corp. Amended and Restated Bylaws, as amended, incorporated herein by reference to Exhibit 3.1 of Form 8-K (File No. 001-</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81">
        <w:r>
          <w:rPr>
            <w:rFonts w:ascii="Arial" w:cs="Arial" w:eastAsia="Arial" w:hAnsi="Arial"/>
            <w:sz w:val="17"/>
            <w:szCs w:val="17"/>
            <w:color w:val="auto"/>
          </w:rPr>
          <w:t>34057), filed July 21, 2023.</w:t>
        </w:r>
      </w:hyperlink>
    </w:p>
    <w:p>
      <w:pPr>
        <w:spacing w:after="0" w:line="160" w:lineRule="exact"/>
        <w:rPr>
          <w:sz w:val="20"/>
          <w:szCs w:val="20"/>
          <w:color w:val="auto"/>
        </w:rPr>
      </w:pPr>
    </w:p>
    <w:p>
      <w:pPr>
        <w:jc w:val="both"/>
        <w:ind w:left="560" w:hanging="1258"/>
        <w:spacing w:after="0" w:line="289" w:lineRule="auto"/>
        <w:tabs>
          <w:tab w:leader="none" w:pos="540" w:val="left"/>
        </w:tabs>
        <w:rPr>
          <w:rFonts w:ascii="Arial" w:cs="Arial" w:eastAsia="Arial" w:hAnsi="Arial"/>
          <w:sz w:val="17"/>
          <w:szCs w:val="17"/>
          <w:color w:val="auto"/>
        </w:rPr>
      </w:pPr>
      <w:hyperlink r:id="rId82">
        <w:r>
          <w:rPr>
            <w:rFonts w:ascii="Arial" w:cs="Arial" w:eastAsia="Arial" w:hAnsi="Arial"/>
            <w:sz w:val="17"/>
            <w:szCs w:val="17"/>
            <w:color w:val="auto"/>
          </w:rPr>
          <w:t>*3.3</w:t>
        </w:r>
      </w:hyperlink>
      <w:r>
        <w:rPr>
          <w:rFonts w:ascii="Arial" w:cs="Arial" w:eastAsia="Arial" w:hAnsi="Arial"/>
          <w:sz w:val="17"/>
          <w:szCs w:val="17"/>
          <w:color w:val="auto"/>
        </w:rPr>
        <w:tab/>
      </w:r>
      <w:hyperlink r:id="rId82">
        <w:r>
          <w:rPr>
            <w:rFonts w:ascii="Arial" w:cs="Arial" w:eastAsia="Arial" w:hAnsi="Arial"/>
            <w:sz w:val="17"/>
            <w:szCs w:val="17"/>
            <w:color w:val="auto"/>
          </w:rPr>
          <w:t>Certificate of Designations of 7.00% Series C Fixed-to-Floating Rate Cumulative Redeemable Preferred Stock, incorporated herein by reference to</w:t>
        </w:r>
      </w:hyperlink>
      <w:r>
        <w:rPr>
          <w:rFonts w:ascii="Arial" w:cs="Arial" w:eastAsia="Arial" w:hAnsi="Arial"/>
          <w:sz w:val="17"/>
          <w:szCs w:val="17"/>
          <w:color w:val="auto"/>
        </w:rPr>
        <w:t xml:space="preserve"> </w:t>
      </w:r>
      <w:hyperlink r:id="rId82">
        <w:r>
          <w:rPr>
            <w:rFonts w:ascii="Arial" w:cs="Arial" w:eastAsia="Arial" w:hAnsi="Arial"/>
            <w:sz w:val="17"/>
            <w:szCs w:val="17"/>
            <w:color w:val="auto"/>
          </w:rPr>
          <w:t>Exhibit 3.5 of Form 8-A (File No. 001-34057), filed August 18, 2017.</w:t>
        </w:r>
      </w:hyperlink>
    </w:p>
    <w:p>
      <w:pPr>
        <w:spacing w:after="0" w:line="106" w:lineRule="exact"/>
        <w:rPr>
          <w:rFonts w:ascii="Arial" w:cs="Arial" w:eastAsia="Arial" w:hAnsi="Arial"/>
          <w:sz w:val="17"/>
          <w:szCs w:val="17"/>
          <w:color w:val="auto"/>
        </w:rPr>
      </w:pPr>
    </w:p>
    <w:p>
      <w:pPr>
        <w:jc w:val="both"/>
        <w:ind w:left="540" w:hanging="1258"/>
        <w:spacing w:after="0" w:line="289" w:lineRule="auto"/>
        <w:tabs>
          <w:tab w:leader="none" w:pos="520" w:val="left"/>
        </w:tabs>
        <w:rPr>
          <w:rFonts w:ascii="Arial" w:cs="Arial" w:eastAsia="Arial" w:hAnsi="Arial"/>
          <w:sz w:val="17"/>
          <w:szCs w:val="17"/>
          <w:color w:val="auto"/>
        </w:rPr>
      </w:pPr>
      <w:hyperlink r:id="rId83">
        <w:r>
          <w:rPr>
            <w:rFonts w:ascii="Arial" w:cs="Arial" w:eastAsia="Arial" w:hAnsi="Arial"/>
            <w:sz w:val="17"/>
            <w:szCs w:val="17"/>
            <w:color w:val="auto"/>
          </w:rPr>
          <w:t>*3.4</w:t>
        </w:r>
      </w:hyperlink>
      <w:r>
        <w:rPr>
          <w:rFonts w:ascii="Arial" w:cs="Arial" w:eastAsia="Arial" w:hAnsi="Arial"/>
          <w:sz w:val="17"/>
          <w:szCs w:val="17"/>
          <w:color w:val="auto"/>
        </w:rPr>
        <w:tab/>
      </w:r>
      <w:hyperlink r:id="rId83">
        <w:r>
          <w:rPr>
            <w:rFonts w:ascii="Arial" w:cs="Arial" w:eastAsia="Arial" w:hAnsi="Arial"/>
            <w:sz w:val="17"/>
            <w:szCs w:val="17"/>
            <w:color w:val="auto"/>
          </w:rPr>
          <w:t>Certificate of Elimination of 8.000% Series A Cumulative Redeemable Preferred Stock, incorporated herein by reference to Exhibit 3.1 of Form 8-K</w:t>
        </w:r>
      </w:hyperlink>
      <w:r>
        <w:rPr>
          <w:rFonts w:ascii="Arial" w:cs="Arial" w:eastAsia="Arial" w:hAnsi="Arial"/>
          <w:sz w:val="17"/>
          <w:szCs w:val="17"/>
          <w:color w:val="auto"/>
        </w:rPr>
        <w:t xml:space="preserve"> </w:t>
      </w:r>
      <w:hyperlink r:id="rId83">
        <w:r>
          <w:rPr>
            <w:rFonts w:ascii="Arial" w:cs="Arial" w:eastAsia="Arial" w:hAnsi="Arial"/>
            <w:sz w:val="17"/>
            <w:szCs w:val="17"/>
            <w:color w:val="auto"/>
          </w:rPr>
          <w:t>(File No 001-34057), filed October 26, 2017.</w:t>
        </w:r>
      </w:hyperlink>
    </w:p>
    <w:p>
      <w:pPr>
        <w:spacing w:after="0" w:line="106" w:lineRule="exact"/>
        <w:rPr>
          <w:rFonts w:ascii="Arial" w:cs="Arial" w:eastAsia="Arial" w:hAnsi="Arial"/>
          <w:sz w:val="17"/>
          <w:szCs w:val="17"/>
          <w:color w:val="auto"/>
        </w:rPr>
      </w:pPr>
    </w:p>
    <w:p>
      <w:pPr>
        <w:jc w:val="both"/>
        <w:ind w:left="560" w:hanging="1258"/>
        <w:spacing w:after="0" w:line="289" w:lineRule="auto"/>
        <w:tabs>
          <w:tab w:leader="none" w:pos="540" w:val="left"/>
        </w:tabs>
        <w:rPr>
          <w:rFonts w:ascii="Arial" w:cs="Arial" w:eastAsia="Arial" w:hAnsi="Arial"/>
          <w:sz w:val="17"/>
          <w:szCs w:val="17"/>
          <w:color w:val="auto"/>
        </w:rPr>
      </w:pPr>
      <w:hyperlink r:id="rId84">
        <w:r>
          <w:rPr>
            <w:rFonts w:ascii="Arial" w:cs="Arial" w:eastAsia="Arial" w:hAnsi="Arial"/>
            <w:sz w:val="17"/>
            <w:szCs w:val="17"/>
            <w:color w:val="auto"/>
          </w:rPr>
          <w:t>*3.5</w:t>
        </w:r>
      </w:hyperlink>
      <w:r>
        <w:rPr>
          <w:rFonts w:ascii="Arial" w:cs="Arial" w:eastAsia="Arial" w:hAnsi="Arial"/>
          <w:sz w:val="17"/>
          <w:szCs w:val="17"/>
          <w:color w:val="auto"/>
        </w:rPr>
        <w:tab/>
      </w:r>
      <w:hyperlink r:id="rId84">
        <w:r>
          <w:rPr>
            <w:rFonts w:ascii="Arial" w:cs="Arial" w:eastAsia="Arial" w:hAnsi="Arial"/>
            <w:sz w:val="17"/>
            <w:szCs w:val="17"/>
            <w:color w:val="auto"/>
          </w:rPr>
          <w:t>Certificate of Designations of 6.875% Series D Fixed-to-Floating Rate Cumulative Redeemable Preferred Stock, incorporated herein by reference to</w:t>
        </w:r>
      </w:hyperlink>
      <w:r>
        <w:rPr>
          <w:rFonts w:ascii="Arial" w:cs="Arial" w:eastAsia="Arial" w:hAnsi="Arial"/>
          <w:sz w:val="17"/>
          <w:szCs w:val="17"/>
          <w:color w:val="auto"/>
        </w:rPr>
        <w:t xml:space="preserve"> </w:t>
      </w:r>
      <w:hyperlink r:id="rId84">
        <w:r>
          <w:rPr>
            <w:rFonts w:ascii="Arial" w:cs="Arial" w:eastAsia="Arial" w:hAnsi="Arial"/>
            <w:sz w:val="17"/>
            <w:szCs w:val="17"/>
            <w:color w:val="auto"/>
          </w:rPr>
          <w:t>Exhibit 3.5 of Form 8-A (File No 001-34057), filed March 6, 2019.</w:t>
        </w:r>
      </w:hyperlink>
    </w:p>
    <w:p>
      <w:pPr>
        <w:spacing w:after="0" w:line="106" w:lineRule="exact"/>
        <w:rPr>
          <w:rFonts w:ascii="Arial" w:cs="Arial" w:eastAsia="Arial" w:hAnsi="Arial"/>
          <w:sz w:val="17"/>
          <w:szCs w:val="17"/>
          <w:color w:val="auto"/>
        </w:rPr>
      </w:pPr>
    </w:p>
    <w:p>
      <w:pPr>
        <w:jc w:val="both"/>
        <w:ind w:left="580" w:hanging="1258"/>
        <w:spacing w:after="0" w:line="289" w:lineRule="auto"/>
        <w:tabs>
          <w:tab w:leader="none" w:pos="560" w:val="left"/>
        </w:tabs>
        <w:rPr>
          <w:rFonts w:ascii="Arial" w:cs="Arial" w:eastAsia="Arial" w:hAnsi="Arial"/>
          <w:sz w:val="17"/>
          <w:szCs w:val="17"/>
          <w:color w:val="auto"/>
        </w:rPr>
      </w:pPr>
      <w:hyperlink r:id="rId85">
        <w:r>
          <w:rPr>
            <w:rFonts w:ascii="Arial" w:cs="Arial" w:eastAsia="Arial" w:hAnsi="Arial"/>
            <w:sz w:val="17"/>
            <w:szCs w:val="17"/>
            <w:color w:val="auto"/>
          </w:rPr>
          <w:t>*3.6</w:t>
        </w:r>
      </w:hyperlink>
      <w:r>
        <w:rPr>
          <w:rFonts w:ascii="Arial" w:cs="Arial" w:eastAsia="Arial" w:hAnsi="Arial"/>
          <w:sz w:val="17"/>
          <w:szCs w:val="17"/>
          <w:color w:val="auto"/>
        </w:rPr>
        <w:tab/>
      </w:r>
      <w:hyperlink r:id="rId85">
        <w:r>
          <w:rPr>
            <w:rFonts w:ascii="Arial" w:cs="Arial" w:eastAsia="Arial" w:hAnsi="Arial"/>
            <w:sz w:val="17"/>
            <w:szCs w:val="17"/>
            <w:color w:val="auto"/>
          </w:rPr>
          <w:t>Certificate of Designations of 6.50% Series E Fixed-to-Floating Rate Cumulative Redeemable Preferred Stock, incorporated herein by reference to</w:t>
        </w:r>
      </w:hyperlink>
      <w:r>
        <w:rPr>
          <w:rFonts w:ascii="Arial" w:cs="Arial" w:eastAsia="Arial" w:hAnsi="Arial"/>
          <w:sz w:val="17"/>
          <w:szCs w:val="17"/>
          <w:color w:val="auto"/>
        </w:rPr>
        <w:t xml:space="preserve"> </w:t>
      </w:r>
      <w:hyperlink r:id="rId85">
        <w:r>
          <w:rPr>
            <w:rFonts w:ascii="Arial" w:cs="Arial" w:eastAsia="Arial" w:hAnsi="Arial"/>
            <w:sz w:val="17"/>
            <w:szCs w:val="17"/>
            <w:color w:val="auto"/>
          </w:rPr>
          <w:t>Exhibit 3.6 of Form 8-A (File No 001-34057), filed October 3, 2019.</w:t>
        </w:r>
      </w:hyperlink>
    </w:p>
    <w:p>
      <w:pPr>
        <w:spacing w:after="0" w:line="106" w:lineRule="exact"/>
        <w:rPr>
          <w:rFonts w:ascii="Arial" w:cs="Arial" w:eastAsia="Arial" w:hAnsi="Arial"/>
          <w:sz w:val="17"/>
          <w:szCs w:val="17"/>
          <w:color w:val="auto"/>
        </w:rPr>
      </w:pPr>
    </w:p>
    <w:p>
      <w:pPr>
        <w:jc w:val="both"/>
        <w:ind w:left="540" w:hanging="1258"/>
        <w:spacing w:after="0" w:line="289" w:lineRule="auto"/>
        <w:tabs>
          <w:tab w:leader="none" w:pos="520" w:val="left"/>
        </w:tabs>
        <w:rPr>
          <w:rFonts w:ascii="Arial" w:cs="Arial" w:eastAsia="Arial" w:hAnsi="Arial"/>
          <w:sz w:val="17"/>
          <w:szCs w:val="17"/>
          <w:color w:val="auto"/>
        </w:rPr>
      </w:pPr>
      <w:hyperlink r:id="rId86">
        <w:r>
          <w:rPr>
            <w:rFonts w:ascii="Arial" w:cs="Arial" w:eastAsia="Arial" w:hAnsi="Arial"/>
            <w:sz w:val="17"/>
            <w:szCs w:val="17"/>
            <w:color w:val="auto"/>
          </w:rPr>
          <w:t>*3.7</w:t>
        </w:r>
      </w:hyperlink>
      <w:r>
        <w:rPr>
          <w:rFonts w:ascii="Arial" w:cs="Arial" w:eastAsia="Arial" w:hAnsi="Arial"/>
          <w:sz w:val="17"/>
          <w:szCs w:val="17"/>
          <w:color w:val="auto"/>
        </w:rPr>
        <w:tab/>
      </w:r>
      <w:hyperlink r:id="rId86">
        <w:r>
          <w:rPr>
            <w:rFonts w:ascii="Arial" w:cs="Arial" w:eastAsia="Arial" w:hAnsi="Arial"/>
            <w:sz w:val="17"/>
            <w:szCs w:val="17"/>
            <w:color w:val="auto"/>
          </w:rPr>
          <w:t>Certificate of Elimination of 7.750% Series B Cumulative Redeemable Preferred Stock, incorporated herein by reference to Exhibit 3.1 of Form 8-K</w:t>
        </w:r>
      </w:hyperlink>
      <w:r>
        <w:rPr>
          <w:rFonts w:ascii="Arial" w:cs="Arial" w:eastAsia="Arial" w:hAnsi="Arial"/>
          <w:sz w:val="17"/>
          <w:szCs w:val="17"/>
          <w:color w:val="auto"/>
        </w:rPr>
        <w:t xml:space="preserve"> </w:t>
      </w:r>
      <w:hyperlink r:id="rId86">
        <w:r>
          <w:rPr>
            <w:rFonts w:ascii="Arial" w:cs="Arial" w:eastAsia="Arial" w:hAnsi="Arial"/>
            <w:sz w:val="17"/>
            <w:szCs w:val="17"/>
            <w:color w:val="auto"/>
          </w:rPr>
          <w:t>(File No 001-34057), filed December 13, 2019.</w:t>
        </w:r>
      </w:hyperlink>
    </w:p>
    <w:p>
      <w:pPr>
        <w:spacing w:after="0" w:line="106" w:lineRule="exact"/>
        <w:rPr>
          <w:rFonts w:ascii="Arial" w:cs="Arial" w:eastAsia="Arial" w:hAnsi="Arial"/>
          <w:sz w:val="17"/>
          <w:szCs w:val="17"/>
          <w:color w:val="auto"/>
        </w:rPr>
      </w:pPr>
    </w:p>
    <w:p>
      <w:pPr>
        <w:jc w:val="both"/>
        <w:ind w:left="560" w:hanging="1258"/>
        <w:spacing w:after="0" w:line="289" w:lineRule="auto"/>
        <w:tabs>
          <w:tab w:leader="none" w:pos="540" w:val="left"/>
        </w:tabs>
        <w:rPr>
          <w:rFonts w:ascii="Arial" w:cs="Arial" w:eastAsia="Arial" w:hAnsi="Arial"/>
          <w:sz w:val="17"/>
          <w:szCs w:val="17"/>
          <w:color w:val="auto"/>
        </w:rPr>
      </w:pPr>
      <w:hyperlink r:id="rId87">
        <w:r>
          <w:rPr>
            <w:rFonts w:ascii="Arial" w:cs="Arial" w:eastAsia="Arial" w:hAnsi="Arial"/>
            <w:sz w:val="17"/>
            <w:szCs w:val="17"/>
            <w:color w:val="auto"/>
          </w:rPr>
          <w:t>*3.8</w:t>
        </w:r>
      </w:hyperlink>
      <w:r>
        <w:rPr>
          <w:rFonts w:ascii="Arial" w:cs="Arial" w:eastAsia="Arial" w:hAnsi="Arial"/>
          <w:sz w:val="17"/>
          <w:szCs w:val="17"/>
          <w:color w:val="auto"/>
        </w:rPr>
        <w:tab/>
      </w:r>
      <w:hyperlink r:id="rId87">
        <w:r>
          <w:rPr>
            <w:rFonts w:ascii="Arial" w:cs="Arial" w:eastAsia="Arial" w:hAnsi="Arial"/>
            <w:sz w:val="17"/>
            <w:szCs w:val="17"/>
            <w:color w:val="auto"/>
          </w:rPr>
          <w:t>Certificate of Designations of 6.125% Series F Fixed-to-Floating Rate Cumulative Redeemable Preferred Stock, incorporated herein by reference to</w:t>
        </w:r>
      </w:hyperlink>
      <w:r>
        <w:rPr>
          <w:rFonts w:ascii="Arial" w:cs="Arial" w:eastAsia="Arial" w:hAnsi="Arial"/>
          <w:sz w:val="17"/>
          <w:szCs w:val="17"/>
          <w:color w:val="auto"/>
        </w:rPr>
        <w:t xml:space="preserve"> </w:t>
      </w:r>
      <w:hyperlink r:id="rId87">
        <w:r>
          <w:rPr>
            <w:rFonts w:ascii="Arial" w:cs="Arial" w:eastAsia="Arial" w:hAnsi="Arial"/>
            <w:sz w:val="17"/>
            <w:szCs w:val="17"/>
            <w:color w:val="auto"/>
          </w:rPr>
          <w:t>Exhibit 3.6 of Form 8-A (File No 001-34057), filed February 11, 2020.</w:t>
        </w:r>
      </w:hyperlink>
    </w:p>
    <w:p>
      <w:pPr>
        <w:spacing w:after="0" w:line="106" w:lineRule="exact"/>
        <w:rPr>
          <w:rFonts w:ascii="Arial" w:cs="Arial" w:eastAsia="Arial" w:hAnsi="Arial"/>
          <w:sz w:val="17"/>
          <w:szCs w:val="17"/>
          <w:color w:val="auto"/>
        </w:rPr>
      </w:pPr>
    </w:p>
    <w:p>
      <w:pPr>
        <w:jc w:val="both"/>
        <w:ind w:left="480" w:hanging="1258"/>
        <w:spacing w:after="0" w:line="289" w:lineRule="auto"/>
        <w:tabs>
          <w:tab w:leader="none" w:pos="460" w:val="left"/>
        </w:tabs>
        <w:rPr>
          <w:rFonts w:ascii="Arial" w:cs="Arial" w:eastAsia="Arial" w:hAnsi="Arial"/>
          <w:sz w:val="17"/>
          <w:szCs w:val="17"/>
          <w:color w:val="auto"/>
        </w:rPr>
      </w:pPr>
      <w:hyperlink r:id="rId88">
        <w:r>
          <w:rPr>
            <w:rFonts w:ascii="Arial" w:cs="Arial" w:eastAsia="Arial" w:hAnsi="Arial"/>
            <w:sz w:val="17"/>
            <w:szCs w:val="17"/>
            <w:color w:val="auto"/>
          </w:rPr>
          <w:t>*3.9</w:t>
        </w:r>
      </w:hyperlink>
      <w:r>
        <w:rPr>
          <w:rFonts w:ascii="Arial" w:cs="Arial" w:eastAsia="Arial" w:hAnsi="Arial"/>
          <w:sz w:val="17"/>
          <w:szCs w:val="17"/>
          <w:color w:val="auto"/>
        </w:rPr>
        <w:tab/>
      </w:r>
      <w:hyperlink r:id="rId88">
        <w:r>
          <w:rPr>
            <w:rFonts w:ascii="Arial" w:cs="Arial" w:eastAsia="Arial" w:hAnsi="Arial"/>
            <w:sz w:val="17"/>
            <w:szCs w:val="17"/>
            <w:color w:val="auto"/>
          </w:rPr>
          <w:t>Certificate of Designations of 7.75% Series G Fixed-Rate Reset Cumulative Redeemable Preferred Stock, incorporated herein by reference to Exhibit 3.7</w:t>
        </w:r>
      </w:hyperlink>
      <w:r>
        <w:rPr>
          <w:rFonts w:ascii="Arial" w:cs="Arial" w:eastAsia="Arial" w:hAnsi="Arial"/>
          <w:sz w:val="17"/>
          <w:szCs w:val="17"/>
          <w:color w:val="auto"/>
        </w:rPr>
        <w:t xml:space="preserve"> </w:t>
      </w:r>
      <w:hyperlink r:id="rId88">
        <w:r>
          <w:rPr>
            <w:rFonts w:ascii="Arial" w:cs="Arial" w:eastAsia="Arial" w:hAnsi="Arial"/>
            <w:sz w:val="17"/>
            <w:szCs w:val="17"/>
            <w:color w:val="auto"/>
          </w:rPr>
          <w:t>of Form 8-A (File No 001-34057), filed September 14, 2022.</w:t>
        </w:r>
      </w:hyperlink>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p>
      <w:pPr>
        <w:jc w:val="both"/>
        <w:ind w:left="620" w:hanging="1258"/>
        <w:spacing w:after="0" w:line="273" w:lineRule="auto"/>
        <w:tabs>
          <w:tab w:leader="none" w:pos="600" w:val="left"/>
        </w:tabs>
        <w:rPr>
          <w:rFonts w:ascii="Arial" w:cs="Arial" w:eastAsia="Arial" w:hAnsi="Arial"/>
          <w:sz w:val="17"/>
          <w:szCs w:val="17"/>
          <w:color w:val="auto"/>
        </w:rPr>
      </w:pPr>
      <w:hyperlink r:id="rId79">
        <w:r>
          <w:rPr>
            <w:rFonts w:ascii="Arial" w:cs="Arial" w:eastAsia="Arial" w:hAnsi="Arial"/>
            <w:sz w:val="17"/>
            <w:szCs w:val="17"/>
            <w:color w:val="auto"/>
          </w:rPr>
          <w:t>*4.1</w:t>
        </w:r>
      </w:hyperlink>
      <w:r>
        <w:rPr>
          <w:rFonts w:ascii="Arial" w:cs="Arial" w:eastAsia="Arial" w:hAnsi="Arial"/>
          <w:sz w:val="17"/>
          <w:szCs w:val="17"/>
          <w:color w:val="auto"/>
        </w:rPr>
        <w:tab/>
      </w:r>
      <w:hyperlink r:id="rId79">
        <w:r>
          <w:rPr>
            <w:rFonts w:ascii="Arial" w:cs="Arial" w:eastAsia="Arial" w:hAnsi="Arial"/>
            <w:sz w:val="17"/>
            <w:szCs w:val="17"/>
            <w:color w:val="auto"/>
          </w:rPr>
          <w:t>Instruments defining the rights of holders of securities: See Article IV of our Amended and Restated Certificate of Incorporation, as amended,</w:t>
        </w:r>
      </w:hyperlink>
      <w:r>
        <w:rPr>
          <w:rFonts w:ascii="Arial" w:cs="Arial" w:eastAsia="Arial" w:hAnsi="Arial"/>
          <w:sz w:val="17"/>
          <w:szCs w:val="17"/>
          <w:color w:val="auto"/>
        </w:rPr>
        <w:t xml:space="preserve"> </w:t>
      </w:r>
      <w:hyperlink r:id="rId79">
        <w:r>
          <w:rPr>
            <w:rFonts w:ascii="Arial" w:cs="Arial" w:eastAsia="Arial" w:hAnsi="Arial"/>
            <w:sz w:val="17"/>
            <w:szCs w:val="17"/>
            <w:color w:val="auto"/>
          </w:rPr>
          <w:t>incorporated herein by reference to Exhibit 3.1 of Form 10-K for the year ended December 31, 2021 (File No. 001-34057), filed February 23,</w:t>
        </w:r>
      </w:hyperlink>
      <w:r>
        <w:rPr>
          <w:rFonts w:ascii="Arial" w:cs="Arial" w:eastAsia="Arial" w:hAnsi="Arial"/>
          <w:sz w:val="17"/>
          <w:szCs w:val="17"/>
          <w:color w:val="auto"/>
        </w:rPr>
        <w:t xml:space="preserve"> </w:t>
      </w:r>
      <w:hyperlink r:id="rId79">
        <w:r>
          <w:rPr>
            <w:rFonts w:ascii="Arial" w:cs="Arial" w:eastAsia="Arial" w:hAnsi="Arial"/>
            <w:sz w:val="17"/>
            <w:szCs w:val="17"/>
            <w:color w:val="auto"/>
          </w:rPr>
          <w:t>2022.</w:t>
        </w:r>
      </w:hyperlink>
    </w:p>
    <w:p>
      <w:pPr>
        <w:spacing w:after="0" w:line="120" w:lineRule="exact"/>
        <w:rPr>
          <w:rFonts w:ascii="Arial" w:cs="Arial" w:eastAsia="Arial" w:hAnsi="Arial"/>
          <w:sz w:val="17"/>
          <w:szCs w:val="17"/>
          <w:color w:val="auto"/>
        </w:rPr>
      </w:pPr>
    </w:p>
    <w:p>
      <w:pPr>
        <w:jc w:val="both"/>
        <w:ind w:left="580" w:hanging="1258"/>
        <w:spacing w:after="0" w:line="289" w:lineRule="auto"/>
        <w:tabs>
          <w:tab w:leader="none" w:pos="560" w:val="left"/>
        </w:tabs>
        <w:rPr>
          <w:rFonts w:ascii="Arial" w:cs="Arial" w:eastAsia="Arial" w:hAnsi="Arial"/>
          <w:sz w:val="17"/>
          <w:szCs w:val="17"/>
          <w:color w:val="auto"/>
        </w:rPr>
      </w:pPr>
      <w:hyperlink r:id="rId80">
        <w:r>
          <w:rPr>
            <w:rFonts w:ascii="Arial" w:cs="Arial" w:eastAsia="Arial" w:hAnsi="Arial"/>
            <w:sz w:val="17"/>
            <w:szCs w:val="17"/>
            <w:color w:val="auto"/>
          </w:rPr>
          <w:t>*4.2</w:t>
        </w:r>
      </w:hyperlink>
      <w:r>
        <w:rPr>
          <w:rFonts w:ascii="Arial" w:cs="Arial" w:eastAsia="Arial" w:hAnsi="Arial"/>
          <w:sz w:val="17"/>
          <w:szCs w:val="17"/>
          <w:color w:val="auto"/>
        </w:rPr>
        <w:tab/>
      </w:r>
      <w:hyperlink r:id="rId81">
        <w:r>
          <w:rPr>
            <w:rFonts w:ascii="Arial" w:cs="Arial" w:eastAsia="Arial" w:hAnsi="Arial"/>
            <w:sz w:val="17"/>
            <w:szCs w:val="17"/>
            <w:color w:val="auto"/>
          </w:rPr>
          <w:t>Instruments defining the rights of holders of securities: See Article VI of our Amended and Restated Bylaws, as amended, incorporated herein by</w:t>
        </w:r>
      </w:hyperlink>
      <w:r>
        <w:rPr>
          <w:rFonts w:ascii="Arial" w:cs="Arial" w:eastAsia="Arial" w:hAnsi="Arial"/>
          <w:sz w:val="17"/>
          <w:szCs w:val="17"/>
          <w:color w:val="auto"/>
        </w:rPr>
        <w:t xml:space="preserve"> </w:t>
      </w:r>
      <w:hyperlink r:id="rId81">
        <w:r>
          <w:rPr>
            <w:rFonts w:ascii="Arial" w:cs="Arial" w:eastAsia="Arial" w:hAnsi="Arial"/>
            <w:sz w:val="17"/>
            <w:szCs w:val="17"/>
            <w:color w:val="auto"/>
          </w:rPr>
          <w:t>reference to Exhibit 3.1 of Form 8-K, filed July 21, 2023.</w:t>
        </w:r>
      </w:hyperlink>
    </w:p>
    <w:p>
      <w:pPr>
        <w:spacing w:after="0" w:line="106" w:lineRule="exact"/>
        <w:rPr>
          <w:rFonts w:ascii="Arial" w:cs="Arial" w:eastAsia="Arial" w:hAnsi="Arial"/>
          <w:sz w:val="17"/>
          <w:szCs w:val="17"/>
          <w:color w:val="auto"/>
        </w:rPr>
      </w:pPr>
    </w:p>
    <w:p>
      <w:pPr>
        <w:spacing w:after="0"/>
        <w:tabs>
          <w:tab w:leader="none" w:pos="460" w:val="left"/>
        </w:tabs>
        <w:rPr>
          <w:rFonts w:ascii="Arial" w:cs="Arial" w:eastAsia="Arial" w:hAnsi="Arial"/>
          <w:sz w:val="16"/>
          <w:szCs w:val="16"/>
          <w:color w:val="auto"/>
        </w:rPr>
      </w:pPr>
      <w:hyperlink r:id="rId90">
        <w:r>
          <w:rPr>
            <w:rFonts w:ascii="Arial" w:cs="Arial" w:eastAsia="Arial" w:hAnsi="Arial"/>
            <w:sz w:val="17"/>
            <w:szCs w:val="17"/>
            <w:color w:val="auto"/>
          </w:rPr>
          <w:t>*4.3</w:t>
        </w:r>
      </w:hyperlink>
      <w:r>
        <w:rPr>
          <w:rFonts w:ascii="Arial" w:cs="Arial" w:eastAsia="Arial" w:hAnsi="Arial"/>
          <w:sz w:val="17"/>
          <w:szCs w:val="17"/>
          <w:color w:val="auto"/>
        </w:rPr>
        <w:tab/>
      </w:r>
      <w:hyperlink r:id="rId90">
        <w:r>
          <w:rPr>
            <w:rFonts w:ascii="Arial" w:cs="Arial" w:eastAsia="Arial" w:hAnsi="Arial"/>
            <w:sz w:val="16"/>
            <w:szCs w:val="16"/>
            <w:color w:val="auto"/>
          </w:rPr>
          <w:t>Form of Certificate for Common Stock, incorporated herein by reference to Exhibit 4.3 of Form 10-Q for the quarter ended September 30, 2022 (File No.</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90">
        <w:r>
          <w:rPr>
            <w:rFonts w:ascii="Arial" w:cs="Arial" w:eastAsia="Arial" w:hAnsi="Arial"/>
            <w:sz w:val="17"/>
            <w:szCs w:val="17"/>
            <w:color w:val="auto"/>
          </w:rPr>
          <w:t>001-34057), filed November 7, 2022.</w:t>
        </w:r>
      </w:hyperlink>
    </w:p>
    <w:p>
      <w:pPr>
        <w:spacing w:after="0" w:line="160" w:lineRule="exact"/>
        <w:rPr>
          <w:sz w:val="20"/>
          <w:szCs w:val="20"/>
          <w:color w:val="auto"/>
        </w:rPr>
      </w:pPr>
    </w:p>
    <w:p>
      <w:pPr>
        <w:jc w:val="both"/>
        <w:ind w:left="480" w:hanging="1258"/>
        <w:spacing w:after="0" w:line="289" w:lineRule="auto"/>
        <w:tabs>
          <w:tab w:leader="none" w:pos="460" w:val="left"/>
        </w:tabs>
        <w:rPr>
          <w:rFonts w:ascii="Arial" w:cs="Arial" w:eastAsia="Arial" w:hAnsi="Arial"/>
          <w:sz w:val="17"/>
          <w:szCs w:val="17"/>
          <w:color w:val="auto"/>
        </w:rPr>
      </w:pPr>
      <w:hyperlink r:id="rId91">
        <w:r>
          <w:rPr>
            <w:rFonts w:ascii="Arial" w:cs="Arial" w:eastAsia="Arial" w:hAnsi="Arial"/>
            <w:sz w:val="17"/>
            <w:szCs w:val="17"/>
            <w:color w:val="auto"/>
          </w:rPr>
          <w:t>*4.4</w:t>
        </w:r>
      </w:hyperlink>
      <w:r>
        <w:rPr>
          <w:rFonts w:ascii="Arial" w:cs="Arial" w:eastAsia="Arial" w:hAnsi="Arial"/>
          <w:sz w:val="17"/>
          <w:szCs w:val="17"/>
          <w:color w:val="auto"/>
        </w:rPr>
        <w:tab/>
      </w:r>
      <w:hyperlink r:id="rId91">
        <w:r>
          <w:rPr>
            <w:rFonts w:ascii="Arial" w:cs="Arial" w:eastAsia="Arial" w:hAnsi="Arial"/>
            <w:sz w:val="17"/>
            <w:szCs w:val="17"/>
            <w:color w:val="auto"/>
          </w:rPr>
          <w:t>Specimen 7.00% Series C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91">
        <w:r>
          <w:rPr>
            <w:rFonts w:ascii="Arial" w:cs="Arial" w:eastAsia="Arial" w:hAnsi="Arial"/>
            <w:sz w:val="17"/>
            <w:szCs w:val="17"/>
            <w:color w:val="auto"/>
          </w:rPr>
          <w:t>Form 8-A (File No. 001-34057), filed August 18, 2017.</w:t>
        </w:r>
      </w:hyperlink>
    </w:p>
    <w:p>
      <w:pPr>
        <w:spacing w:after="0" w:line="106" w:lineRule="exact"/>
        <w:rPr>
          <w:rFonts w:ascii="Arial" w:cs="Arial" w:eastAsia="Arial" w:hAnsi="Arial"/>
          <w:sz w:val="17"/>
          <w:szCs w:val="17"/>
          <w:color w:val="auto"/>
        </w:rPr>
      </w:pPr>
    </w:p>
    <w:p>
      <w:pPr>
        <w:jc w:val="both"/>
        <w:ind w:left="520" w:hanging="1258"/>
        <w:spacing w:after="0" w:line="289" w:lineRule="auto"/>
        <w:tabs>
          <w:tab w:leader="none" w:pos="500" w:val="left"/>
        </w:tabs>
        <w:rPr>
          <w:rFonts w:ascii="Arial" w:cs="Arial" w:eastAsia="Arial" w:hAnsi="Arial"/>
          <w:sz w:val="17"/>
          <w:szCs w:val="17"/>
          <w:color w:val="auto"/>
        </w:rPr>
      </w:pPr>
      <w:hyperlink r:id="rId92">
        <w:r>
          <w:rPr>
            <w:rFonts w:ascii="Arial" w:cs="Arial" w:eastAsia="Arial" w:hAnsi="Arial"/>
            <w:sz w:val="17"/>
            <w:szCs w:val="17"/>
            <w:color w:val="auto"/>
          </w:rPr>
          <w:t>*4.5</w:t>
        </w:r>
      </w:hyperlink>
      <w:r>
        <w:rPr>
          <w:rFonts w:ascii="Arial" w:cs="Arial" w:eastAsia="Arial" w:hAnsi="Arial"/>
          <w:sz w:val="17"/>
          <w:szCs w:val="17"/>
          <w:color w:val="auto"/>
        </w:rPr>
        <w:tab/>
      </w:r>
      <w:hyperlink r:id="rId92">
        <w:r>
          <w:rPr>
            <w:rFonts w:ascii="Arial" w:cs="Arial" w:eastAsia="Arial" w:hAnsi="Arial"/>
            <w:sz w:val="17"/>
            <w:szCs w:val="17"/>
            <w:color w:val="auto"/>
          </w:rPr>
          <w:t>Specimen 6.875% Series D Fixed-to-Floating Rate Cumulative Redeemable Preferred Stock Certificate, incorporated herein by reference to Exhibit 4.1</w:t>
        </w:r>
      </w:hyperlink>
      <w:r>
        <w:rPr>
          <w:rFonts w:ascii="Arial" w:cs="Arial" w:eastAsia="Arial" w:hAnsi="Arial"/>
          <w:sz w:val="17"/>
          <w:szCs w:val="17"/>
          <w:color w:val="auto"/>
        </w:rPr>
        <w:t xml:space="preserve"> </w:t>
      </w:r>
      <w:hyperlink r:id="rId92">
        <w:r>
          <w:rPr>
            <w:rFonts w:ascii="Arial" w:cs="Arial" w:eastAsia="Arial" w:hAnsi="Arial"/>
            <w:sz w:val="17"/>
            <w:szCs w:val="17"/>
            <w:color w:val="auto"/>
          </w:rPr>
          <w:t>of Form 8-A (File No. 001-34057), filed March 6, 2019.</w:t>
        </w:r>
      </w:hyperlink>
    </w:p>
    <w:p>
      <w:pPr>
        <w:spacing w:after="0" w:line="106" w:lineRule="exact"/>
        <w:rPr>
          <w:rFonts w:ascii="Arial" w:cs="Arial" w:eastAsia="Arial" w:hAnsi="Arial"/>
          <w:sz w:val="17"/>
          <w:szCs w:val="17"/>
          <w:color w:val="auto"/>
        </w:rPr>
      </w:pPr>
    </w:p>
    <w:p>
      <w:pPr>
        <w:jc w:val="both"/>
        <w:ind w:left="500" w:hanging="1258"/>
        <w:spacing w:after="0" w:line="289" w:lineRule="auto"/>
        <w:tabs>
          <w:tab w:leader="none" w:pos="480" w:val="left"/>
        </w:tabs>
        <w:rPr>
          <w:rFonts w:ascii="Arial" w:cs="Arial" w:eastAsia="Arial" w:hAnsi="Arial"/>
          <w:sz w:val="17"/>
          <w:szCs w:val="17"/>
          <w:color w:val="auto"/>
        </w:rPr>
      </w:pPr>
      <w:hyperlink r:id="rId93">
        <w:r>
          <w:rPr>
            <w:rFonts w:ascii="Arial" w:cs="Arial" w:eastAsia="Arial" w:hAnsi="Arial"/>
            <w:sz w:val="17"/>
            <w:szCs w:val="17"/>
            <w:color w:val="auto"/>
          </w:rPr>
          <w:t>*4.6</w:t>
        </w:r>
      </w:hyperlink>
      <w:r>
        <w:rPr>
          <w:rFonts w:ascii="Arial" w:cs="Arial" w:eastAsia="Arial" w:hAnsi="Arial"/>
          <w:sz w:val="17"/>
          <w:szCs w:val="17"/>
          <w:color w:val="auto"/>
        </w:rPr>
        <w:tab/>
      </w:r>
      <w:hyperlink r:id="rId93">
        <w:r>
          <w:rPr>
            <w:rFonts w:ascii="Arial" w:cs="Arial" w:eastAsia="Arial" w:hAnsi="Arial"/>
            <w:sz w:val="17"/>
            <w:szCs w:val="17"/>
            <w:color w:val="auto"/>
          </w:rPr>
          <w:t>Specimen 6.50% Series E Fixed-to-Floating Rate Cumulative Redeemable Preferred Stock Certificate, incorporated herein by reference to Exhibit 4.1 of</w:t>
        </w:r>
      </w:hyperlink>
      <w:r>
        <w:rPr>
          <w:rFonts w:ascii="Arial" w:cs="Arial" w:eastAsia="Arial" w:hAnsi="Arial"/>
          <w:sz w:val="17"/>
          <w:szCs w:val="17"/>
          <w:color w:val="auto"/>
        </w:rPr>
        <w:t xml:space="preserve"> </w:t>
      </w:r>
      <w:hyperlink r:id="rId93">
        <w:r>
          <w:rPr>
            <w:rFonts w:ascii="Arial" w:cs="Arial" w:eastAsia="Arial" w:hAnsi="Arial"/>
            <w:sz w:val="17"/>
            <w:szCs w:val="17"/>
            <w:color w:val="auto"/>
          </w:rPr>
          <w:t>Form 8-A (File No. 001-34057), filed October 3, 2019.</w:t>
        </w:r>
      </w:hyperlink>
    </w:p>
    <w:p>
      <w:pPr>
        <w:spacing w:after="0" w:line="106" w:lineRule="exact"/>
        <w:rPr>
          <w:rFonts w:ascii="Arial" w:cs="Arial" w:eastAsia="Arial" w:hAnsi="Arial"/>
          <w:sz w:val="17"/>
          <w:szCs w:val="17"/>
          <w:color w:val="auto"/>
        </w:rPr>
      </w:pPr>
    </w:p>
    <w:p>
      <w:pPr>
        <w:jc w:val="both"/>
        <w:ind w:left="520" w:hanging="1258"/>
        <w:spacing w:after="0" w:line="289" w:lineRule="auto"/>
        <w:tabs>
          <w:tab w:leader="none" w:pos="500" w:val="left"/>
        </w:tabs>
        <w:rPr>
          <w:rFonts w:ascii="Arial" w:cs="Arial" w:eastAsia="Arial" w:hAnsi="Arial"/>
          <w:sz w:val="17"/>
          <w:szCs w:val="17"/>
          <w:color w:val="auto"/>
        </w:rPr>
      </w:pPr>
      <w:hyperlink r:id="rId94">
        <w:r>
          <w:rPr>
            <w:rFonts w:ascii="Arial" w:cs="Arial" w:eastAsia="Arial" w:hAnsi="Arial"/>
            <w:sz w:val="17"/>
            <w:szCs w:val="17"/>
            <w:color w:val="auto"/>
          </w:rPr>
          <w:t>*4.7</w:t>
        </w:r>
      </w:hyperlink>
      <w:r>
        <w:rPr>
          <w:rFonts w:ascii="Arial" w:cs="Arial" w:eastAsia="Arial" w:hAnsi="Arial"/>
          <w:sz w:val="17"/>
          <w:szCs w:val="17"/>
          <w:color w:val="auto"/>
        </w:rPr>
        <w:tab/>
      </w:r>
      <w:hyperlink r:id="rId94">
        <w:r>
          <w:rPr>
            <w:rFonts w:ascii="Arial" w:cs="Arial" w:eastAsia="Arial" w:hAnsi="Arial"/>
            <w:sz w:val="17"/>
            <w:szCs w:val="17"/>
            <w:color w:val="auto"/>
          </w:rPr>
          <w:t>Specimen 6.125% Series F Fixed-to-Floating Rate Cumulative Redeemable Preferred Stock Certificate, incorporated herein by reference to Exhibit 4.1</w:t>
        </w:r>
      </w:hyperlink>
      <w:r>
        <w:rPr>
          <w:rFonts w:ascii="Arial" w:cs="Arial" w:eastAsia="Arial" w:hAnsi="Arial"/>
          <w:sz w:val="17"/>
          <w:szCs w:val="17"/>
          <w:color w:val="auto"/>
        </w:rPr>
        <w:t xml:space="preserve"> </w:t>
      </w:r>
      <w:hyperlink r:id="rId94">
        <w:r>
          <w:rPr>
            <w:rFonts w:ascii="Arial" w:cs="Arial" w:eastAsia="Arial" w:hAnsi="Arial"/>
            <w:sz w:val="17"/>
            <w:szCs w:val="17"/>
            <w:color w:val="auto"/>
          </w:rPr>
          <w:t>of Form 8-A (File No 001-34057), filed February 11, 2020.</w:t>
        </w:r>
      </w:hyperlink>
    </w:p>
    <w:p>
      <w:pPr>
        <w:spacing w:after="0" w:line="106"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95">
        <w:r>
          <w:rPr>
            <w:rFonts w:ascii="Arial" w:cs="Arial" w:eastAsia="Arial" w:hAnsi="Arial"/>
            <w:sz w:val="17"/>
            <w:szCs w:val="17"/>
            <w:color w:val="auto"/>
          </w:rPr>
          <w:t>*4.8</w:t>
        </w:r>
      </w:hyperlink>
      <w:r>
        <w:rPr>
          <w:rFonts w:ascii="Arial" w:cs="Arial" w:eastAsia="Arial" w:hAnsi="Arial"/>
          <w:sz w:val="17"/>
          <w:szCs w:val="17"/>
          <w:color w:val="auto"/>
        </w:rPr>
        <w:tab/>
      </w:r>
      <w:hyperlink r:id="rId95">
        <w:r>
          <w:rPr>
            <w:rFonts w:ascii="Arial" w:cs="Arial" w:eastAsia="Arial" w:hAnsi="Arial"/>
            <w:sz w:val="15"/>
            <w:szCs w:val="15"/>
            <w:color w:val="auto"/>
          </w:rPr>
          <w:t>Specimen 7.75% Series G Fixed-Rate Reset Cumulative Redeemable Preferred Stock Certificate, incorporated herein by reference to Exhibit 4.1 of Form</w:t>
        </w:r>
      </w:hyperlink>
    </w:p>
    <w:p>
      <w:pPr>
        <w:spacing w:after="0" w:line="26" w:lineRule="exact"/>
        <w:rPr>
          <w:sz w:val="20"/>
          <w:szCs w:val="20"/>
          <w:color w:val="auto"/>
        </w:rPr>
      </w:pPr>
    </w:p>
    <w:p>
      <w:pPr>
        <w:ind w:left="1260"/>
        <w:spacing w:after="0"/>
        <w:rPr>
          <w:rFonts w:ascii="Arial" w:cs="Arial" w:eastAsia="Arial" w:hAnsi="Arial"/>
          <w:sz w:val="17"/>
          <w:szCs w:val="17"/>
          <w:color w:val="auto"/>
        </w:rPr>
      </w:pPr>
      <w:hyperlink r:id="rId95">
        <w:r>
          <w:rPr>
            <w:rFonts w:ascii="Arial" w:cs="Arial" w:eastAsia="Arial" w:hAnsi="Arial"/>
            <w:sz w:val="17"/>
            <w:szCs w:val="17"/>
            <w:color w:val="auto"/>
          </w:rPr>
          <w:t>8-A (File No 001-34057), filed September 14, 2022.</w:t>
        </w:r>
      </w:hyperlink>
    </w:p>
    <w:p>
      <w:pPr>
        <w:spacing w:after="0" w:line="160" w:lineRule="exact"/>
        <w:rPr>
          <w:sz w:val="20"/>
          <w:szCs w:val="20"/>
          <w:color w:val="auto"/>
        </w:rPr>
      </w:pPr>
    </w:p>
    <w:p>
      <w:pPr>
        <w:jc w:val="both"/>
        <w:ind w:left="520" w:hanging="1258"/>
        <w:spacing w:after="0" w:line="273" w:lineRule="auto"/>
        <w:tabs>
          <w:tab w:leader="none" w:pos="500" w:val="left"/>
        </w:tabs>
        <w:rPr>
          <w:rFonts w:ascii="Arial" w:cs="Arial" w:eastAsia="Arial" w:hAnsi="Arial"/>
          <w:sz w:val="17"/>
          <w:szCs w:val="17"/>
          <w:color w:val="auto"/>
        </w:rPr>
      </w:pPr>
      <w:hyperlink r:id="rId96">
        <w:r>
          <w:rPr>
            <w:rFonts w:ascii="Arial" w:cs="Arial" w:eastAsia="Arial" w:hAnsi="Arial"/>
            <w:sz w:val="17"/>
            <w:szCs w:val="17"/>
            <w:color w:val="auto"/>
          </w:rPr>
          <w:t>*4.9</w:t>
        </w:r>
      </w:hyperlink>
      <w:r>
        <w:rPr>
          <w:rFonts w:ascii="Arial" w:cs="Arial" w:eastAsia="Arial" w:hAnsi="Arial"/>
          <w:sz w:val="17"/>
          <w:szCs w:val="17"/>
          <w:color w:val="auto"/>
        </w:rPr>
        <w:tab/>
      </w:r>
      <w:hyperlink r:id="rId96">
        <w:r>
          <w:rPr>
            <w:rFonts w:ascii="Arial" w:cs="Arial" w:eastAsia="Arial" w:hAnsi="Arial"/>
            <w:sz w:val="17"/>
            <w:szCs w:val="17"/>
            <w:color w:val="auto"/>
          </w:rPr>
          <w:t>Deposit Agreement relating to 7.00% Series C Fixed-to-Floating Rate Cumulative Redeemable Preferred Stock, dated August 22, 2017, among AGNC</w:t>
        </w:r>
      </w:hyperlink>
      <w:r>
        <w:rPr>
          <w:rFonts w:ascii="Arial" w:cs="Arial" w:eastAsia="Arial" w:hAnsi="Arial"/>
          <w:sz w:val="17"/>
          <w:szCs w:val="17"/>
          <w:color w:val="auto"/>
        </w:rPr>
        <w:t xml:space="preserve"> </w:t>
      </w:r>
      <w:hyperlink r:id="rId96">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96">
        <w:r>
          <w:rPr>
            <w:rFonts w:ascii="Arial" w:cs="Arial" w:eastAsia="Arial" w:hAnsi="Arial"/>
            <w:sz w:val="17"/>
            <w:szCs w:val="17"/>
            <w:color w:val="auto"/>
          </w:rPr>
          <w:t>Exhibit 4.2 of Form 8-K (File No. 001-34057) filed August 22, 2017.</w:t>
        </w:r>
      </w:hyperlink>
    </w:p>
    <w:p>
      <w:pPr>
        <w:spacing w:after="0" w:line="120" w:lineRule="exact"/>
        <w:rPr>
          <w:rFonts w:ascii="Arial" w:cs="Arial" w:eastAsia="Arial" w:hAnsi="Arial"/>
          <w:sz w:val="17"/>
          <w:szCs w:val="17"/>
          <w:color w:val="auto"/>
        </w:rPr>
      </w:pPr>
    </w:p>
    <w:p>
      <w:pPr>
        <w:jc w:val="both"/>
        <w:ind w:left="660" w:hanging="1258"/>
        <w:spacing w:after="0" w:line="273" w:lineRule="auto"/>
        <w:tabs>
          <w:tab w:leader="none" w:pos="640" w:val="left"/>
        </w:tabs>
        <w:rPr>
          <w:rFonts w:ascii="Arial" w:cs="Arial" w:eastAsia="Arial" w:hAnsi="Arial"/>
          <w:sz w:val="17"/>
          <w:szCs w:val="17"/>
          <w:color w:val="auto"/>
        </w:rPr>
      </w:pPr>
      <w:hyperlink r:id="rId96">
        <w:r>
          <w:rPr>
            <w:rFonts w:ascii="Arial" w:cs="Arial" w:eastAsia="Arial" w:hAnsi="Arial"/>
            <w:sz w:val="17"/>
            <w:szCs w:val="17"/>
            <w:color w:val="auto"/>
          </w:rPr>
          <w:t>*4.10</w:t>
        </w:r>
      </w:hyperlink>
      <w:r>
        <w:rPr>
          <w:rFonts w:ascii="Arial" w:cs="Arial" w:eastAsia="Arial" w:hAnsi="Arial"/>
          <w:sz w:val="17"/>
          <w:szCs w:val="17"/>
          <w:color w:val="auto"/>
        </w:rPr>
        <w:tab/>
      </w:r>
      <w:hyperlink r:id="rId96">
        <w:r>
          <w:rPr>
            <w:rFonts w:ascii="Arial" w:cs="Arial" w:eastAsia="Arial" w:hAnsi="Arial"/>
            <w:sz w:val="17"/>
            <w:szCs w:val="17"/>
            <w:color w:val="auto"/>
          </w:rPr>
          <w:t>Form of Depositary Receipt representing 1/1,000th of a share of 7.00% Series C Fixed-to-Floating Rate Cumulative Redeemable Preferred Stock</w:t>
        </w:r>
      </w:hyperlink>
      <w:r>
        <w:rPr>
          <w:rFonts w:ascii="Arial" w:cs="Arial" w:eastAsia="Arial" w:hAnsi="Arial"/>
          <w:sz w:val="17"/>
          <w:szCs w:val="17"/>
          <w:color w:val="auto"/>
        </w:rPr>
        <w:t xml:space="preserve"> </w:t>
      </w:r>
      <w:hyperlink r:id="rId96">
        <w:r>
          <w:rPr>
            <w:rFonts w:ascii="Arial" w:cs="Arial" w:eastAsia="Arial" w:hAnsi="Arial"/>
            <w:sz w:val="17"/>
            <w:szCs w:val="17"/>
            <w:color w:val="auto"/>
          </w:rPr>
          <w:t>(included as part of Exhibit 4.9), incorporated herein by reference to Exhibit A of Exhibit 4.2 of Form 8-K (File No. 001-34057) filed August</w:t>
        </w:r>
      </w:hyperlink>
      <w:r>
        <w:rPr>
          <w:rFonts w:ascii="Arial" w:cs="Arial" w:eastAsia="Arial" w:hAnsi="Arial"/>
          <w:sz w:val="17"/>
          <w:szCs w:val="17"/>
          <w:color w:val="auto"/>
        </w:rPr>
        <w:t xml:space="preserve"> </w:t>
      </w:r>
      <w:hyperlink r:id="rId96">
        <w:r>
          <w:rPr>
            <w:rFonts w:ascii="Arial" w:cs="Arial" w:eastAsia="Arial" w:hAnsi="Arial"/>
            <w:sz w:val="17"/>
            <w:szCs w:val="17"/>
            <w:color w:val="auto"/>
          </w:rPr>
          <w:t>22, 2017.</w:t>
        </w:r>
      </w:hyperlink>
    </w:p>
    <w:p>
      <w:pPr>
        <w:spacing w:after="0" w:line="120" w:lineRule="exact"/>
        <w:rPr>
          <w:rFonts w:ascii="Arial" w:cs="Arial" w:eastAsia="Arial" w:hAnsi="Arial"/>
          <w:sz w:val="17"/>
          <w:szCs w:val="17"/>
          <w:color w:val="auto"/>
        </w:rPr>
      </w:pPr>
    </w:p>
    <w:p>
      <w:pPr>
        <w:jc w:val="both"/>
        <w:ind w:left="600" w:hanging="1258"/>
        <w:spacing w:after="0" w:line="273" w:lineRule="auto"/>
        <w:tabs>
          <w:tab w:leader="none" w:pos="580" w:val="left"/>
        </w:tabs>
        <w:rPr>
          <w:rFonts w:ascii="Arial" w:cs="Arial" w:eastAsia="Arial" w:hAnsi="Arial"/>
          <w:sz w:val="17"/>
          <w:szCs w:val="17"/>
          <w:color w:val="auto"/>
        </w:rPr>
      </w:pPr>
      <w:hyperlink r:id="rId97">
        <w:r>
          <w:rPr>
            <w:rFonts w:ascii="Arial" w:cs="Arial" w:eastAsia="Arial" w:hAnsi="Arial"/>
            <w:sz w:val="17"/>
            <w:szCs w:val="17"/>
            <w:color w:val="auto"/>
          </w:rPr>
          <w:t>*4.11</w:t>
        </w:r>
      </w:hyperlink>
      <w:r>
        <w:rPr>
          <w:rFonts w:ascii="Arial" w:cs="Arial" w:eastAsia="Arial" w:hAnsi="Arial"/>
          <w:sz w:val="17"/>
          <w:szCs w:val="17"/>
          <w:color w:val="auto"/>
        </w:rPr>
        <w:tab/>
      </w:r>
      <w:hyperlink r:id="rId97">
        <w:r>
          <w:rPr>
            <w:rFonts w:ascii="Arial" w:cs="Arial" w:eastAsia="Arial" w:hAnsi="Arial"/>
            <w:sz w:val="17"/>
            <w:szCs w:val="17"/>
            <w:color w:val="auto"/>
          </w:rPr>
          <w:t>Deposit Agreement relating to 6.875% Series D Fixed-to-Floating Rate Cumulative Redeemable Preferred Stock, dated March 6, 2019, among AGNC</w:t>
        </w:r>
      </w:hyperlink>
      <w:r>
        <w:rPr>
          <w:rFonts w:ascii="Arial" w:cs="Arial" w:eastAsia="Arial" w:hAnsi="Arial"/>
          <w:sz w:val="17"/>
          <w:szCs w:val="17"/>
          <w:color w:val="auto"/>
        </w:rPr>
        <w:t xml:space="preserve"> </w:t>
      </w:r>
      <w:hyperlink r:id="rId97">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97">
        <w:r>
          <w:rPr>
            <w:rFonts w:ascii="Arial" w:cs="Arial" w:eastAsia="Arial" w:hAnsi="Arial"/>
            <w:sz w:val="17"/>
            <w:szCs w:val="17"/>
            <w:color w:val="auto"/>
          </w:rPr>
          <w:t>Exhibit 4.2 of Form 8-K (File No. 001-34057) filed March 6, 2019.</w:t>
        </w:r>
      </w:hyperlink>
    </w:p>
    <w:p>
      <w:pPr>
        <w:spacing w:after="0" w:line="120" w:lineRule="exact"/>
        <w:rPr>
          <w:rFonts w:ascii="Arial" w:cs="Arial" w:eastAsia="Arial" w:hAnsi="Arial"/>
          <w:sz w:val="17"/>
          <w:szCs w:val="17"/>
          <w:color w:val="auto"/>
        </w:rPr>
      </w:pPr>
    </w:p>
    <w:p>
      <w:pPr>
        <w:jc w:val="both"/>
        <w:ind w:left="640" w:hanging="1258"/>
        <w:spacing w:after="0" w:line="273" w:lineRule="auto"/>
        <w:tabs>
          <w:tab w:leader="none" w:pos="620" w:val="left"/>
        </w:tabs>
        <w:rPr>
          <w:rFonts w:ascii="Arial" w:cs="Arial" w:eastAsia="Arial" w:hAnsi="Arial"/>
          <w:sz w:val="17"/>
          <w:szCs w:val="17"/>
          <w:color w:val="auto"/>
        </w:rPr>
      </w:pPr>
      <w:hyperlink r:id="rId97">
        <w:r>
          <w:rPr>
            <w:rFonts w:ascii="Arial" w:cs="Arial" w:eastAsia="Arial" w:hAnsi="Arial"/>
            <w:sz w:val="17"/>
            <w:szCs w:val="17"/>
            <w:color w:val="auto"/>
          </w:rPr>
          <w:t>*4.12</w:t>
        </w:r>
      </w:hyperlink>
      <w:r>
        <w:rPr>
          <w:rFonts w:ascii="Arial" w:cs="Arial" w:eastAsia="Arial" w:hAnsi="Arial"/>
          <w:sz w:val="17"/>
          <w:szCs w:val="17"/>
          <w:color w:val="auto"/>
        </w:rPr>
        <w:tab/>
      </w:r>
      <w:hyperlink r:id="rId97">
        <w:r>
          <w:rPr>
            <w:rFonts w:ascii="Arial" w:cs="Arial" w:eastAsia="Arial" w:hAnsi="Arial"/>
            <w:sz w:val="17"/>
            <w:szCs w:val="17"/>
            <w:color w:val="auto"/>
          </w:rPr>
          <w:t>Form of Depositary Receipt representing 1/1,000th of a share of 6.875% Series D Fixed-to-Floating Rate Cumulative Redeemable Preferred Stock</w:t>
        </w:r>
      </w:hyperlink>
      <w:r>
        <w:rPr>
          <w:rFonts w:ascii="Arial" w:cs="Arial" w:eastAsia="Arial" w:hAnsi="Arial"/>
          <w:sz w:val="17"/>
          <w:szCs w:val="17"/>
          <w:color w:val="auto"/>
        </w:rPr>
        <w:t xml:space="preserve"> </w:t>
      </w:r>
      <w:hyperlink r:id="rId97">
        <w:r>
          <w:rPr>
            <w:rFonts w:ascii="Arial" w:cs="Arial" w:eastAsia="Arial" w:hAnsi="Arial"/>
            <w:sz w:val="17"/>
            <w:szCs w:val="17"/>
            <w:color w:val="auto"/>
          </w:rPr>
          <w:t>(included as part of Exhibit 4.11), incorporated herein by reference to Exhibit A of Exhibit 4.2 of Form 8-K (File No. 001-34057) filed March</w:t>
        </w:r>
      </w:hyperlink>
      <w:r>
        <w:rPr>
          <w:rFonts w:ascii="Arial" w:cs="Arial" w:eastAsia="Arial" w:hAnsi="Arial"/>
          <w:sz w:val="17"/>
          <w:szCs w:val="17"/>
          <w:color w:val="auto"/>
        </w:rPr>
        <w:t xml:space="preserve"> </w:t>
      </w:r>
      <w:hyperlink r:id="rId97">
        <w:r>
          <w:rPr>
            <w:rFonts w:ascii="Arial" w:cs="Arial" w:eastAsia="Arial" w:hAnsi="Arial"/>
            <w:sz w:val="17"/>
            <w:szCs w:val="17"/>
            <w:color w:val="auto"/>
          </w:rPr>
          <w:t>6, 2019.</w:t>
        </w:r>
      </w:hyperlink>
    </w:p>
    <w:p>
      <w:pPr>
        <w:spacing w:after="0" w:line="120" w:lineRule="exact"/>
        <w:rPr>
          <w:rFonts w:ascii="Arial" w:cs="Arial" w:eastAsia="Arial" w:hAnsi="Arial"/>
          <w:sz w:val="17"/>
          <w:szCs w:val="17"/>
          <w:color w:val="auto"/>
        </w:rPr>
      </w:pPr>
    </w:p>
    <w:p>
      <w:pPr>
        <w:ind w:left="580" w:right="140" w:hanging="1258"/>
        <w:spacing w:after="0" w:line="273" w:lineRule="auto"/>
        <w:tabs>
          <w:tab w:leader="none" w:pos="560" w:val="left"/>
        </w:tabs>
        <w:rPr>
          <w:rFonts w:ascii="Arial" w:cs="Arial" w:eastAsia="Arial" w:hAnsi="Arial"/>
          <w:sz w:val="17"/>
          <w:szCs w:val="17"/>
          <w:color w:val="auto"/>
        </w:rPr>
      </w:pPr>
      <w:hyperlink r:id="rId98">
        <w:r>
          <w:rPr>
            <w:rFonts w:ascii="Arial" w:cs="Arial" w:eastAsia="Arial" w:hAnsi="Arial"/>
            <w:sz w:val="17"/>
            <w:szCs w:val="17"/>
            <w:color w:val="auto"/>
          </w:rPr>
          <w:t>*4.13</w:t>
        </w:r>
      </w:hyperlink>
      <w:r>
        <w:rPr>
          <w:rFonts w:ascii="Arial" w:cs="Arial" w:eastAsia="Arial" w:hAnsi="Arial"/>
          <w:sz w:val="17"/>
          <w:szCs w:val="17"/>
          <w:color w:val="auto"/>
        </w:rPr>
        <w:tab/>
      </w:r>
      <w:hyperlink r:id="rId98">
        <w:r>
          <w:rPr>
            <w:rFonts w:ascii="Arial" w:cs="Arial" w:eastAsia="Arial" w:hAnsi="Arial"/>
            <w:sz w:val="17"/>
            <w:szCs w:val="17"/>
            <w:color w:val="auto"/>
          </w:rPr>
          <w:t>Deposit Agreement relating to 6.50% Series E Fixed-to-Floating Rate Cumulative Redeemable Preferred Stock, dated October 3, 2019, among AGNC</w:t>
        </w:r>
      </w:hyperlink>
      <w:r>
        <w:rPr>
          <w:rFonts w:ascii="Arial" w:cs="Arial" w:eastAsia="Arial" w:hAnsi="Arial"/>
          <w:sz w:val="17"/>
          <w:szCs w:val="17"/>
          <w:color w:val="auto"/>
        </w:rPr>
        <w:t xml:space="preserve"> </w:t>
      </w:r>
      <w:hyperlink r:id="rId98">
        <w:r>
          <w:rPr>
            <w:rFonts w:ascii="Arial" w:cs="Arial" w:eastAsia="Arial" w:hAnsi="Arial"/>
            <w:sz w:val="17"/>
            <w:szCs w:val="17"/>
            <w:color w:val="auto"/>
          </w:rPr>
          <w:t>Investment Corp., Computershare Inc. and Computershare Trust Company, N.A., jointly as depositary, incorporated herein by reference to</w:t>
        </w:r>
      </w:hyperlink>
      <w:r>
        <w:rPr>
          <w:rFonts w:ascii="Arial" w:cs="Arial" w:eastAsia="Arial" w:hAnsi="Arial"/>
          <w:sz w:val="17"/>
          <w:szCs w:val="17"/>
          <w:color w:val="auto"/>
        </w:rPr>
        <w:t xml:space="preserve"> </w:t>
      </w:r>
      <w:hyperlink r:id="rId98">
        <w:r>
          <w:rPr>
            <w:rFonts w:ascii="Arial" w:cs="Arial" w:eastAsia="Arial" w:hAnsi="Arial"/>
            <w:sz w:val="17"/>
            <w:szCs w:val="17"/>
            <w:color w:val="auto"/>
          </w:rPr>
          <w:t>Exhibit 4.2 of Form 8-K (File No. 001-34057) filed October 3, 2019.</w:t>
        </w:r>
      </w:hyperlink>
    </w:p>
    <w:p>
      <w:pPr>
        <w:spacing w:after="0" w:line="120" w:lineRule="exact"/>
        <w:rPr>
          <w:rFonts w:ascii="Arial" w:cs="Arial" w:eastAsia="Arial" w:hAnsi="Arial"/>
          <w:sz w:val="17"/>
          <w:szCs w:val="17"/>
          <w:color w:val="auto"/>
        </w:rPr>
      </w:pPr>
    </w:p>
    <w:p>
      <w:pPr>
        <w:jc w:val="both"/>
        <w:ind w:left="580" w:right="520" w:hanging="1258"/>
        <w:spacing w:after="0" w:line="273" w:lineRule="auto"/>
        <w:tabs>
          <w:tab w:leader="none" w:pos="560" w:val="left"/>
        </w:tabs>
        <w:rPr>
          <w:rFonts w:ascii="Arial" w:cs="Arial" w:eastAsia="Arial" w:hAnsi="Arial"/>
          <w:sz w:val="17"/>
          <w:szCs w:val="17"/>
          <w:color w:val="auto"/>
        </w:rPr>
      </w:pPr>
      <w:hyperlink r:id="rId98">
        <w:r>
          <w:rPr>
            <w:rFonts w:ascii="Arial" w:cs="Arial" w:eastAsia="Arial" w:hAnsi="Arial"/>
            <w:sz w:val="17"/>
            <w:szCs w:val="17"/>
            <w:color w:val="auto"/>
          </w:rPr>
          <w:t>*4.14</w:t>
        </w:r>
      </w:hyperlink>
      <w:r>
        <w:rPr>
          <w:rFonts w:ascii="Arial" w:cs="Arial" w:eastAsia="Arial" w:hAnsi="Arial"/>
          <w:sz w:val="17"/>
          <w:szCs w:val="17"/>
          <w:color w:val="auto"/>
        </w:rPr>
        <w:tab/>
      </w:r>
      <w:hyperlink r:id="rId98">
        <w:r>
          <w:rPr>
            <w:rFonts w:ascii="Arial" w:cs="Arial" w:eastAsia="Arial" w:hAnsi="Arial"/>
            <w:sz w:val="17"/>
            <w:szCs w:val="17"/>
            <w:color w:val="auto"/>
          </w:rPr>
          <w:t>Form of Depositary Receipt representing 1/1,000th of a share of 6.50% Series E Fixed-to-Floating Rate Cumulative Redeemable Preferred Stock</w:t>
        </w:r>
      </w:hyperlink>
      <w:r>
        <w:rPr>
          <w:rFonts w:ascii="Arial" w:cs="Arial" w:eastAsia="Arial" w:hAnsi="Arial"/>
          <w:sz w:val="17"/>
          <w:szCs w:val="17"/>
          <w:color w:val="auto"/>
        </w:rPr>
        <w:t xml:space="preserve"> </w:t>
      </w:r>
      <w:hyperlink r:id="rId98">
        <w:r>
          <w:rPr>
            <w:rFonts w:ascii="Arial" w:cs="Arial" w:eastAsia="Arial" w:hAnsi="Arial"/>
            <w:sz w:val="17"/>
            <w:szCs w:val="17"/>
            <w:color w:val="auto"/>
          </w:rPr>
          <w:t>(included as part of Exhibit 4.13), incorporated herein by reference to Exhibit A of Exhibit 4.2 of Form 8-K (File No. 001-34057) filed</w:t>
        </w:r>
      </w:hyperlink>
      <w:r>
        <w:rPr>
          <w:rFonts w:ascii="Arial" w:cs="Arial" w:eastAsia="Arial" w:hAnsi="Arial"/>
          <w:sz w:val="17"/>
          <w:szCs w:val="17"/>
          <w:color w:val="auto"/>
        </w:rPr>
        <w:t xml:space="preserve"> </w:t>
      </w:r>
      <w:hyperlink r:id="rId98">
        <w:r>
          <w:rPr>
            <w:rFonts w:ascii="Arial" w:cs="Arial" w:eastAsia="Arial" w:hAnsi="Arial"/>
            <w:sz w:val="17"/>
            <w:szCs w:val="17"/>
            <w:color w:val="auto"/>
          </w:rPr>
          <w:t>October 3, 2019.</w:t>
        </w:r>
      </w:hyperlink>
    </w:p>
    <w:p>
      <w:pPr>
        <w:spacing w:after="0" w:line="120" w:lineRule="exact"/>
        <w:rPr>
          <w:rFonts w:ascii="Arial" w:cs="Arial" w:eastAsia="Arial" w:hAnsi="Arial"/>
          <w:sz w:val="17"/>
          <w:szCs w:val="17"/>
          <w:color w:val="auto"/>
        </w:rPr>
      </w:pPr>
    </w:p>
    <w:p>
      <w:pPr>
        <w:ind w:left="580" w:right="460" w:hanging="1258"/>
        <w:spacing w:after="0" w:line="273" w:lineRule="auto"/>
        <w:tabs>
          <w:tab w:leader="none" w:pos="560" w:val="left"/>
        </w:tabs>
        <w:rPr>
          <w:rFonts w:ascii="Arial" w:cs="Arial" w:eastAsia="Arial" w:hAnsi="Arial"/>
          <w:sz w:val="17"/>
          <w:szCs w:val="17"/>
          <w:color w:val="auto"/>
        </w:rPr>
      </w:pPr>
      <w:hyperlink r:id="rId99">
        <w:r>
          <w:rPr>
            <w:rFonts w:ascii="Arial" w:cs="Arial" w:eastAsia="Arial" w:hAnsi="Arial"/>
            <w:sz w:val="17"/>
            <w:szCs w:val="17"/>
            <w:color w:val="auto"/>
          </w:rPr>
          <w:t>*4.15</w:t>
        </w:r>
      </w:hyperlink>
      <w:r>
        <w:rPr>
          <w:rFonts w:ascii="Arial" w:cs="Arial" w:eastAsia="Arial" w:hAnsi="Arial"/>
          <w:sz w:val="17"/>
          <w:szCs w:val="17"/>
          <w:color w:val="auto"/>
        </w:rPr>
        <w:tab/>
      </w:r>
      <w:hyperlink r:id="rId99">
        <w:r>
          <w:rPr>
            <w:rFonts w:ascii="Arial" w:cs="Arial" w:eastAsia="Arial" w:hAnsi="Arial"/>
            <w:sz w:val="17"/>
            <w:szCs w:val="17"/>
            <w:color w:val="auto"/>
          </w:rPr>
          <w:t>Deposit Agreement relating to 6.125% Series F Fixed-to-Floating Rate Cumulative Redeemable Preferred Stock, dated February 11, 2020, among</w:t>
        </w:r>
      </w:hyperlink>
      <w:r>
        <w:rPr>
          <w:rFonts w:ascii="Arial" w:cs="Arial" w:eastAsia="Arial" w:hAnsi="Arial"/>
          <w:sz w:val="17"/>
          <w:szCs w:val="17"/>
          <w:color w:val="auto"/>
        </w:rPr>
        <w:t xml:space="preserve"> </w:t>
      </w:r>
      <w:hyperlink r:id="rId99">
        <w:r>
          <w:rPr>
            <w:rFonts w:ascii="Arial" w:cs="Arial" w:eastAsia="Arial" w:hAnsi="Arial"/>
            <w:sz w:val="17"/>
            <w:szCs w:val="17"/>
            <w:color w:val="auto"/>
          </w:rPr>
          <w:t>AGNC Investment Corp., Computershare Inc. and Computershare Trust Company, N.A., jointly as depositary, incorporated herein by</w:t>
        </w:r>
      </w:hyperlink>
      <w:r>
        <w:rPr>
          <w:rFonts w:ascii="Arial" w:cs="Arial" w:eastAsia="Arial" w:hAnsi="Arial"/>
          <w:sz w:val="17"/>
          <w:szCs w:val="17"/>
          <w:color w:val="auto"/>
        </w:rPr>
        <w:t xml:space="preserve"> </w:t>
      </w:r>
      <w:hyperlink r:id="rId99">
        <w:r>
          <w:rPr>
            <w:rFonts w:ascii="Arial" w:cs="Arial" w:eastAsia="Arial" w:hAnsi="Arial"/>
            <w:sz w:val="17"/>
            <w:szCs w:val="17"/>
            <w:color w:val="auto"/>
          </w:rPr>
          <w:t>reference to Exhibit 4.1 of Form 8-K (File No. 001-34057) filed February 11, 2020.</w:t>
        </w:r>
      </w:hyperlink>
    </w:p>
    <w:p>
      <w:pPr>
        <w:spacing w:after="0" w:line="120" w:lineRule="exact"/>
        <w:rPr>
          <w:rFonts w:ascii="Arial" w:cs="Arial" w:eastAsia="Arial" w:hAnsi="Arial"/>
          <w:sz w:val="17"/>
          <w:szCs w:val="17"/>
          <w:color w:val="auto"/>
        </w:rPr>
      </w:pPr>
    </w:p>
    <w:p>
      <w:pPr>
        <w:ind w:left="580" w:right="440" w:hanging="1258"/>
        <w:spacing w:after="0" w:line="273" w:lineRule="auto"/>
        <w:tabs>
          <w:tab w:leader="none" w:pos="560" w:val="left"/>
        </w:tabs>
        <w:rPr>
          <w:rFonts w:ascii="Arial" w:cs="Arial" w:eastAsia="Arial" w:hAnsi="Arial"/>
          <w:sz w:val="17"/>
          <w:szCs w:val="17"/>
          <w:color w:val="auto"/>
        </w:rPr>
      </w:pPr>
      <w:hyperlink r:id="rId99">
        <w:r>
          <w:rPr>
            <w:rFonts w:ascii="Arial" w:cs="Arial" w:eastAsia="Arial" w:hAnsi="Arial"/>
            <w:sz w:val="17"/>
            <w:szCs w:val="17"/>
            <w:color w:val="auto"/>
          </w:rPr>
          <w:t>*4.16</w:t>
        </w:r>
      </w:hyperlink>
      <w:r>
        <w:rPr>
          <w:rFonts w:ascii="Arial" w:cs="Arial" w:eastAsia="Arial" w:hAnsi="Arial"/>
          <w:sz w:val="17"/>
          <w:szCs w:val="17"/>
          <w:color w:val="auto"/>
        </w:rPr>
        <w:tab/>
      </w:r>
      <w:hyperlink r:id="rId99">
        <w:r>
          <w:rPr>
            <w:rFonts w:ascii="Arial" w:cs="Arial" w:eastAsia="Arial" w:hAnsi="Arial"/>
            <w:sz w:val="17"/>
            <w:szCs w:val="17"/>
            <w:color w:val="auto"/>
          </w:rPr>
          <w:t>Form of Depositary Receipt representing 1/1,000th of a share of 6.125% Series F Fixed-to-Floating Rate Cumulative Redeemable Preferred Stock</w:t>
        </w:r>
      </w:hyperlink>
      <w:r>
        <w:rPr>
          <w:rFonts w:ascii="Arial" w:cs="Arial" w:eastAsia="Arial" w:hAnsi="Arial"/>
          <w:sz w:val="17"/>
          <w:szCs w:val="17"/>
          <w:color w:val="auto"/>
        </w:rPr>
        <w:t xml:space="preserve"> </w:t>
      </w:r>
      <w:hyperlink r:id="rId99">
        <w:r>
          <w:rPr>
            <w:rFonts w:ascii="Arial" w:cs="Arial" w:eastAsia="Arial" w:hAnsi="Arial"/>
            <w:sz w:val="17"/>
            <w:szCs w:val="17"/>
            <w:color w:val="auto"/>
          </w:rPr>
          <w:t>(included as part of Exhibit 4.15), incorporated herein by reference to Exhibit A of Exhibit 4.1 of Form 8-K (File No. 001-34057) filed</w:t>
        </w:r>
      </w:hyperlink>
      <w:r>
        <w:rPr>
          <w:rFonts w:ascii="Arial" w:cs="Arial" w:eastAsia="Arial" w:hAnsi="Arial"/>
          <w:sz w:val="17"/>
          <w:szCs w:val="17"/>
          <w:color w:val="auto"/>
        </w:rPr>
        <w:t xml:space="preserve"> </w:t>
      </w:r>
      <w:hyperlink r:id="rId99">
        <w:r>
          <w:rPr>
            <w:rFonts w:ascii="Arial" w:cs="Arial" w:eastAsia="Arial" w:hAnsi="Arial"/>
            <w:sz w:val="17"/>
            <w:szCs w:val="17"/>
            <w:color w:val="auto"/>
          </w:rPr>
          <w:t>February 11, 2020.</w:t>
        </w:r>
      </w:hyperlink>
    </w:p>
    <w:p>
      <w:pPr>
        <w:spacing w:after="0" w:line="120" w:lineRule="exact"/>
        <w:rPr>
          <w:rFonts w:ascii="Arial" w:cs="Arial" w:eastAsia="Arial" w:hAnsi="Arial"/>
          <w:sz w:val="17"/>
          <w:szCs w:val="17"/>
          <w:color w:val="auto"/>
        </w:rPr>
      </w:pPr>
    </w:p>
    <w:p>
      <w:pPr>
        <w:ind w:left="580" w:right="240" w:hanging="1258"/>
        <w:spacing w:after="0" w:line="289" w:lineRule="auto"/>
        <w:tabs>
          <w:tab w:leader="none" w:pos="560" w:val="left"/>
        </w:tabs>
        <w:rPr>
          <w:rFonts w:ascii="Arial" w:cs="Arial" w:eastAsia="Arial" w:hAnsi="Arial"/>
          <w:sz w:val="17"/>
          <w:szCs w:val="17"/>
          <w:color w:val="auto"/>
        </w:rPr>
      </w:pPr>
      <w:hyperlink r:id="rId100">
        <w:r>
          <w:rPr>
            <w:rFonts w:ascii="Arial" w:cs="Arial" w:eastAsia="Arial" w:hAnsi="Arial"/>
            <w:sz w:val="17"/>
            <w:szCs w:val="17"/>
            <w:color w:val="auto"/>
          </w:rPr>
          <w:t>*4.17</w:t>
        </w:r>
      </w:hyperlink>
      <w:r>
        <w:rPr>
          <w:rFonts w:ascii="Arial" w:cs="Arial" w:eastAsia="Arial" w:hAnsi="Arial"/>
          <w:sz w:val="17"/>
          <w:szCs w:val="17"/>
          <w:color w:val="auto"/>
        </w:rPr>
        <w:tab/>
      </w:r>
      <w:hyperlink r:id="rId100">
        <w:r>
          <w:rPr>
            <w:rFonts w:ascii="Arial" w:cs="Arial" w:eastAsia="Arial" w:hAnsi="Arial"/>
            <w:sz w:val="17"/>
            <w:szCs w:val="17"/>
            <w:color w:val="auto"/>
          </w:rPr>
          <w:t>Deposit Agreement relating to 7.75% Series G Fixed-Rate Reset Cumulative Redeemable Preferred Stock, dated September 14, 2022, among AGNC</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Investment Corp., Computershare Inc. and Computershare Trust</w:t>
        </w:r>
      </w:hyperlink>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9" w:name="page50"/>
    <w:bookmarkEnd w:id="49"/>
    <w:p>
      <w:pPr>
        <w:ind w:left="1260" w:right="140"/>
        <w:spacing w:after="0" w:line="289" w:lineRule="auto"/>
        <w:rPr>
          <w:rFonts w:ascii="Arial" w:cs="Arial" w:eastAsia="Arial" w:hAnsi="Arial"/>
          <w:sz w:val="17"/>
          <w:szCs w:val="17"/>
          <w:color w:val="auto"/>
        </w:rPr>
      </w:pPr>
      <w:hyperlink r:id="rId100">
        <w:r>
          <w:rPr>
            <w:rFonts w:ascii="Arial" w:cs="Arial" w:eastAsia="Arial" w:hAnsi="Arial"/>
            <w:sz w:val="17"/>
            <w:szCs w:val="17"/>
            <w:color w:val="auto"/>
          </w:rPr>
          <w:t>Company, N.A., jointly as depositary, incorporated herein by reference to Exhibit 4.2 of Form 8-K (File No. 001-34057) filed September 14,</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2022.</w:t>
        </w:r>
      </w:hyperlink>
    </w:p>
    <w:p>
      <w:pPr>
        <w:spacing w:after="0" w:line="106" w:lineRule="exact"/>
        <w:rPr>
          <w:sz w:val="20"/>
          <w:szCs w:val="20"/>
          <w:color w:val="auto"/>
        </w:rPr>
      </w:pPr>
    </w:p>
    <w:p>
      <w:pPr>
        <w:ind w:left="580" w:hanging="1258"/>
        <w:spacing w:after="0" w:line="273" w:lineRule="auto"/>
        <w:tabs>
          <w:tab w:leader="none" w:pos="560" w:val="left"/>
        </w:tabs>
        <w:rPr>
          <w:rFonts w:ascii="Arial" w:cs="Arial" w:eastAsia="Arial" w:hAnsi="Arial"/>
          <w:sz w:val="17"/>
          <w:szCs w:val="17"/>
          <w:color w:val="auto"/>
        </w:rPr>
      </w:pPr>
      <w:hyperlink r:id="rId100">
        <w:r>
          <w:rPr>
            <w:rFonts w:ascii="Arial" w:cs="Arial" w:eastAsia="Arial" w:hAnsi="Arial"/>
            <w:sz w:val="17"/>
            <w:szCs w:val="17"/>
            <w:color w:val="auto"/>
          </w:rPr>
          <w:t>*4.18</w:t>
        </w:r>
      </w:hyperlink>
      <w:r>
        <w:rPr>
          <w:rFonts w:ascii="Arial" w:cs="Arial" w:eastAsia="Arial" w:hAnsi="Arial"/>
          <w:sz w:val="17"/>
          <w:szCs w:val="17"/>
          <w:color w:val="auto"/>
        </w:rPr>
        <w:tab/>
      </w:r>
      <w:hyperlink r:id="rId100">
        <w:r>
          <w:rPr>
            <w:rFonts w:ascii="Arial" w:cs="Arial" w:eastAsia="Arial" w:hAnsi="Arial"/>
            <w:sz w:val="17"/>
            <w:szCs w:val="17"/>
            <w:color w:val="auto"/>
          </w:rPr>
          <w:t>Form of Depositary Receipt representing 1/1,000th of a share of 7.75% Series G Fixed-Rate Reset Cumulative Redeemable Preferred Stock (included as</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part of Exhibit 4.17), incorporated herein by reference to Exhibit A of Exhibit 4.2 of Form 8-K (File No. 001-34057) filed September 14,</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2022.</w:t>
        </w:r>
      </w:hyperlink>
    </w:p>
    <w:p>
      <w:pPr>
        <w:spacing w:after="0" w:line="120" w:lineRule="exact"/>
        <w:rPr>
          <w:rFonts w:ascii="Arial" w:cs="Arial" w:eastAsia="Arial" w:hAnsi="Arial"/>
          <w:sz w:val="17"/>
          <w:szCs w:val="17"/>
          <w:color w:val="auto"/>
        </w:rPr>
      </w:pPr>
    </w:p>
    <w:p>
      <w:pPr>
        <w:spacing w:after="0"/>
        <w:tabs>
          <w:tab w:leader="none" w:pos="4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CEO Pursuant to Section 302(a) of the Sarbanes-Oxley Act of 2002.</w:t>
      </w:r>
    </w:p>
    <w:p>
      <w:pPr>
        <w:spacing w:after="0" w:line="172" w:lineRule="exact"/>
        <w:rPr>
          <w:rFonts w:ascii="Arial" w:cs="Arial" w:eastAsia="Arial" w:hAnsi="Arial"/>
          <w:sz w:val="17"/>
          <w:szCs w:val="17"/>
          <w:color w:val="auto"/>
        </w:rPr>
      </w:pPr>
    </w:p>
    <w:p>
      <w:pPr>
        <w:spacing w:after="0"/>
        <w:tabs>
          <w:tab w:leader="none" w:pos="4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CFO Pursuant to Section 302(a) of the Sarbanes-Oxley Act of 2002.</w:t>
      </w:r>
    </w:p>
    <w:p>
      <w:pPr>
        <w:spacing w:after="0" w:line="172" w:lineRule="exact"/>
        <w:rPr>
          <w:rFonts w:ascii="Arial" w:cs="Arial" w:eastAsia="Arial" w:hAnsi="Arial"/>
          <w:sz w:val="17"/>
          <w:szCs w:val="17"/>
          <w:color w:val="auto"/>
        </w:rPr>
      </w:pPr>
    </w:p>
    <w:p>
      <w:pPr>
        <w:spacing w:after="0"/>
        <w:tabs>
          <w:tab w:leader="none" w:pos="3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Certification of CEO and CFO Pursuant to Section 906 of the Sarbanes-Oxley Act of 2002.</w:t>
      </w:r>
    </w:p>
    <w:p>
      <w:pPr>
        <w:sectPr>
          <w:pgSz w:w="11900" w:h="16838" w:orient="portrait"/>
          <w:cols w:equalWidth="0" w:num="1">
            <w:col w:w="11240"/>
          </w:cols>
          <w:pgMar w:left="320" w:top="1032" w:right="339" w:bottom="1440" w:gutter="0" w:footer="0" w:header="0"/>
        </w:sectPr>
      </w:pPr>
    </w:p>
    <w:p>
      <w:pPr>
        <w:spacing w:after="0" w:line="17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15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5"/>
          <w:szCs w:val="15"/>
          <w:color w:val="auto"/>
        </w:rPr>
        <w:t>The instance document does not appear in the interactive data file because its XBRL tags are embedded within the inline XBRL document</w:t>
      </w:r>
    </w:p>
    <w:p>
      <w:pPr>
        <w:spacing w:after="0" w:line="194" w:lineRule="exact"/>
        <w:rPr>
          <w:rFonts w:ascii="Arial" w:cs="Arial" w:eastAsia="Arial" w:hAnsi="Arial"/>
          <w:sz w:val="17"/>
          <w:szCs w:val="17"/>
          <w:color w:val="auto"/>
        </w:rPr>
      </w:pPr>
    </w:p>
    <w:p>
      <w:pPr>
        <w:sectPr>
          <w:pgSz w:w="11900" w:h="16838" w:orient="portrait"/>
          <w:cols w:equalWidth="0" w:num="2">
            <w:col w:w="760" w:space="180"/>
            <w:col w:w="10300"/>
          </w:cols>
          <w:pgMar w:left="320" w:top="1032"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Schema Document</w:t>
      </w:r>
    </w:p>
    <w:p>
      <w:pPr>
        <w:spacing w:after="0" w:line="194" w:lineRule="exact"/>
        <w:rPr>
          <w:rFonts w:ascii="Arial" w:cs="Arial" w:eastAsia="Arial" w:hAnsi="Arial"/>
          <w:sz w:val="17"/>
          <w:szCs w:val="17"/>
          <w:color w:val="auto"/>
        </w:rPr>
      </w:pPr>
    </w:p>
    <w:p>
      <w:pPr>
        <w:sectPr>
          <w:pgSz w:w="11900" w:h="16838" w:orient="portrait"/>
          <w:cols w:equalWidth="0" w:num="2">
            <w:col w:w="820" w:space="180"/>
            <w:col w:w="10240"/>
          </w:cols>
          <w:pgMar w:left="320" w:top="103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101.CAL**</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83" w:lineRule="exact"/>
        <w:rPr>
          <w:rFonts w:ascii="Arial" w:cs="Arial" w:eastAsia="Arial" w:hAnsi="Arial"/>
          <w:sz w:val="17"/>
          <w:szCs w:val="17"/>
          <w:color w:val="auto"/>
        </w:rPr>
      </w:pPr>
    </w:p>
    <w:p>
      <w:pPr>
        <w:sectPr>
          <w:pgSz w:w="11900" w:h="16838" w:orient="portrait"/>
          <w:cols w:equalWidth="0" w:num="2">
            <w:col w:w="840" w:space="160"/>
            <w:col w:w="10240"/>
          </w:cols>
          <w:pgMar w:left="320" w:top="103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101.LAB**</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83" w:lineRule="exact"/>
        <w:rPr>
          <w:rFonts w:ascii="Arial" w:cs="Arial" w:eastAsia="Arial" w:hAnsi="Arial"/>
          <w:sz w:val="17"/>
          <w:szCs w:val="17"/>
          <w:color w:val="auto"/>
        </w:rPr>
      </w:pPr>
    </w:p>
    <w:p>
      <w:pPr>
        <w:sectPr>
          <w:pgSz w:w="11900" w:h="16838" w:orient="portrait"/>
          <w:cols w:equalWidth="0" w:num="2">
            <w:col w:w="840" w:space="160"/>
            <w:col w:w="10240"/>
          </w:cols>
          <w:pgMar w:left="320" w:top="1032"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3" w:lineRule="exact"/>
        <w:rPr>
          <w:rFonts w:ascii="Arial" w:cs="Arial" w:eastAsia="Arial" w:hAnsi="Arial"/>
          <w:sz w:val="17"/>
          <w:szCs w:val="17"/>
          <w:color w:val="auto"/>
        </w:rPr>
      </w:pPr>
    </w:p>
    <w:p>
      <w:pPr>
        <w:sectPr>
          <w:pgSz w:w="11900" w:h="16838" w:orient="portrait"/>
          <w:cols w:equalWidth="0" w:num="2">
            <w:col w:w="800" w:space="180"/>
            <w:col w:w="10260"/>
          </w:cols>
          <w:pgMar w:left="320" w:top="103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37" w:lineRule="exact"/>
        <w:rPr>
          <w:rFonts w:ascii="Arial" w:cs="Arial" w:eastAsia="Arial" w:hAnsi="Arial"/>
          <w:sz w:val="17"/>
          <w:szCs w:val="17"/>
          <w:color w:val="auto"/>
        </w:rPr>
      </w:pPr>
    </w:p>
    <w:p>
      <w:pPr>
        <w:sectPr>
          <w:pgSz w:w="11900" w:h="16838" w:orient="portrait"/>
          <w:cols w:equalWidth="0" w:num="2">
            <w:col w:w="820" w:space="180"/>
            <w:col w:w="10240"/>
          </w:cols>
          <w:pgMar w:left="320" w:top="1032" w:right="339" w:bottom="1440" w:gutter="0" w:footer="0" w:header="0"/>
          <w:type w:val="continuous"/>
        </w:sectPr>
      </w:pPr>
    </w:p>
    <w:p>
      <w:pPr>
        <w:spacing w:after="0"/>
        <w:rPr>
          <w:sz w:val="20"/>
          <w:szCs w:val="20"/>
          <w:color w:val="auto"/>
        </w:rPr>
      </w:pPr>
      <w:r>
        <w:rPr>
          <w:rFonts w:ascii="Arial" w:cs="Arial" w:eastAsia="Arial" w:hAnsi="Arial"/>
          <w:sz w:val="10"/>
          <w:szCs w:val="10"/>
          <w:color w:val="auto"/>
        </w:rPr>
        <w:t>________________________________</w:t>
      </w:r>
    </w:p>
    <w:p>
      <w:pPr>
        <w:spacing w:after="0" w:line="7" w:lineRule="exact"/>
        <w:rPr>
          <w:rFonts w:ascii="Arial" w:cs="Arial" w:eastAsia="Arial" w:hAnsi="Arial"/>
          <w:sz w:val="17"/>
          <w:szCs w:val="17"/>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Previously filed</w:t>
      </w:r>
    </w:p>
    <w:p>
      <w:pPr>
        <w:spacing w:after="0" w:line="23" w:lineRule="exact"/>
        <w:rPr>
          <w:rFonts w:ascii="Arial" w:cs="Arial" w:eastAsia="Arial" w:hAnsi="Arial"/>
          <w:sz w:val="17"/>
          <w:szCs w:val="17"/>
          <w:color w:val="auto"/>
        </w:rPr>
      </w:pPr>
    </w:p>
    <w:p>
      <w:pPr>
        <w:ind w:left="640" w:right="680" w:hanging="635"/>
        <w:spacing w:after="0" w:line="275"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exhibit is being furnished rather than filed, and shall not be deemed incorporated by reference into any filing, in accordance with Item 601 of Regulation S-K</w:t>
      </w:r>
    </w:p>
    <w:p>
      <w:pPr>
        <w:spacing w:after="0" w:line="196" w:lineRule="exact"/>
        <w:rPr>
          <w:rFonts w:ascii="Arial" w:cs="Arial" w:eastAsia="Arial" w:hAnsi="Arial"/>
          <w:sz w:val="17"/>
          <w:szCs w:val="17"/>
          <w:color w:val="auto"/>
        </w:rPr>
      </w:pPr>
    </w:p>
    <w:p>
      <w:pPr>
        <w:ind w:left="440"/>
        <w:spacing w:after="0"/>
        <w:tabs>
          <w:tab w:leader="none" w:pos="8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6"/>
          <w:szCs w:val="16"/>
          <w:color w:val="auto"/>
        </w:rPr>
        <w:t>Exhibits</w:t>
      </w:r>
    </w:p>
    <w:p>
      <w:pPr>
        <w:spacing w:after="0" w:line="26" w:lineRule="exact"/>
        <w:rPr>
          <w:rFonts w:ascii="Arial" w:cs="Arial" w:eastAsia="Arial" w:hAnsi="Arial"/>
          <w:sz w:val="17"/>
          <w:szCs w:val="17"/>
          <w:color w:val="auto"/>
        </w:rPr>
      </w:pPr>
    </w:p>
    <w:p>
      <w:pPr>
        <w:ind w:left="780"/>
        <w:spacing w:after="0"/>
        <w:rPr>
          <w:sz w:val="20"/>
          <w:szCs w:val="20"/>
          <w:color w:val="auto"/>
        </w:rPr>
      </w:pPr>
      <w:r>
        <w:rPr>
          <w:rFonts w:ascii="Arial" w:cs="Arial" w:eastAsia="Arial" w:hAnsi="Arial"/>
          <w:sz w:val="17"/>
          <w:szCs w:val="17"/>
          <w:color w:val="auto"/>
        </w:rPr>
        <w:t>See the exhibits filed herewith.</w:t>
      </w:r>
    </w:p>
    <w:p>
      <w:pPr>
        <w:spacing w:after="0" w:line="212" w:lineRule="exact"/>
        <w:rPr>
          <w:rFonts w:ascii="Arial" w:cs="Arial" w:eastAsia="Arial" w:hAnsi="Arial"/>
          <w:sz w:val="17"/>
          <w:szCs w:val="17"/>
          <w:color w:val="auto"/>
        </w:rPr>
      </w:pPr>
    </w:p>
    <w:p>
      <w:pPr>
        <w:ind w:left="660" w:right="7600" w:hanging="222"/>
        <w:spacing w:after="0" w:line="289" w:lineRule="auto"/>
        <w:tabs>
          <w:tab w:leader="none" w:pos="8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Additional financial statement schedules None.</w:t>
      </w: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type w:val="continuous"/>
        </w:sectPr>
      </w:pPr>
    </w:p>
    <w:bookmarkStart w:id="50" w:name="page51"/>
    <w:bookmarkEnd w:id="50"/>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178"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AGNC I</w:t>
      </w:r>
      <w:r>
        <w:rPr>
          <w:rFonts w:ascii="Arial" w:cs="Arial" w:eastAsia="Arial" w:hAnsi="Arial"/>
          <w:sz w:val="13"/>
          <w:szCs w:val="13"/>
          <w:color w:val="auto"/>
        </w:rPr>
        <w:t>NVESTMENT</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p>
    <w:p>
      <w:pPr>
        <w:spacing w:after="0" w:line="93" w:lineRule="exact"/>
        <w:rPr>
          <w:sz w:val="20"/>
          <w:szCs w:val="20"/>
          <w:color w:val="auto"/>
        </w:rPr>
      </w:pPr>
    </w:p>
    <w:p>
      <w:pPr>
        <w:ind w:left="5560"/>
        <w:spacing w:after="0"/>
        <w:tabs>
          <w:tab w:leader="none" w:pos="7780" w:val="left"/>
          <w:tab w:leader="none" w:pos="8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25400</wp:posOffset>
            </wp:positionV>
            <wp:extent cx="32639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Peter J. Federico</w:t>
      </w:r>
    </w:p>
    <w:p>
      <w:pPr>
        <w:jc w:val="center"/>
        <w:ind w:left="6020"/>
        <w:spacing w:after="0" w:line="215" w:lineRule="auto"/>
        <w:rPr>
          <w:sz w:val="20"/>
          <w:szCs w:val="20"/>
          <w:color w:val="auto"/>
        </w:rPr>
      </w:pPr>
      <w:r>
        <w:rPr>
          <w:rFonts w:ascii="Arial" w:cs="Arial" w:eastAsia="Arial" w:hAnsi="Arial"/>
          <w:sz w:val="14"/>
          <w:szCs w:val="14"/>
          <w:b w:val="1"/>
          <w:bCs w:val="1"/>
          <w:color w:val="auto"/>
        </w:rPr>
        <w:t>President and</w:t>
      </w:r>
    </w:p>
    <w:p>
      <w:pPr>
        <w:jc w:val="center"/>
        <w:ind w:left="6020"/>
        <w:spacing w:after="0"/>
        <w:rPr>
          <w:sz w:val="20"/>
          <w:szCs w:val="20"/>
          <w:color w:val="auto"/>
        </w:rPr>
      </w:pPr>
      <w:r>
        <w:rPr>
          <w:rFonts w:ascii="Arial" w:cs="Arial" w:eastAsia="Arial" w:hAnsi="Arial"/>
          <w:sz w:val="14"/>
          <w:szCs w:val="14"/>
          <w:b w:val="1"/>
          <w:bCs w:val="1"/>
          <w:color w:val="auto"/>
        </w:rPr>
        <w:t>Chief Executive Officer (Principal Executive Officer)</w:t>
      </w:r>
    </w:p>
    <w:p>
      <w:pPr>
        <w:spacing w:after="0" w:line="1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Date:</w:t>
        <w:tab/>
        <w:t>November 6, 2023</w:t>
      </w:r>
    </w:p>
    <w:p>
      <w:pPr>
        <w:spacing w:after="0" w:line="290" w:lineRule="exact"/>
        <w:rPr>
          <w:sz w:val="20"/>
          <w:szCs w:val="20"/>
          <w:color w:val="auto"/>
        </w:rPr>
      </w:pPr>
    </w:p>
    <w:p>
      <w:pPr>
        <w:ind w:left="5560"/>
        <w:spacing w:after="0"/>
        <w:tabs>
          <w:tab w:leader="none" w:pos="7840" w:val="left"/>
          <w:tab w:leader="none" w:pos="8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tab/>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25400</wp:posOffset>
            </wp:positionV>
            <wp:extent cx="32639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Bernice E. Bell</w:t>
      </w:r>
    </w:p>
    <w:p>
      <w:pPr>
        <w:ind w:left="7760"/>
        <w:spacing w:after="0" w:line="215" w:lineRule="auto"/>
        <w:rPr>
          <w:sz w:val="20"/>
          <w:szCs w:val="20"/>
          <w:color w:val="auto"/>
        </w:rPr>
      </w:pPr>
      <w:r>
        <w:rPr>
          <w:rFonts w:ascii="Arial" w:cs="Arial" w:eastAsia="Arial" w:hAnsi="Arial"/>
          <w:sz w:val="14"/>
          <w:szCs w:val="14"/>
          <w:b w:val="1"/>
          <w:bCs w:val="1"/>
          <w:color w:val="auto"/>
        </w:rPr>
        <w:t>Executive Vice President and</w:t>
      </w:r>
    </w:p>
    <w:p>
      <w:pPr>
        <w:ind w:left="6320"/>
        <w:spacing w:after="0" w:line="210" w:lineRule="auto"/>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20"/>
        <w:spacing w:after="0"/>
        <w:rPr>
          <w:sz w:val="20"/>
          <w:szCs w:val="20"/>
          <w:color w:val="auto"/>
        </w:rPr>
      </w:pPr>
      <w:r>
        <w:rPr>
          <w:rFonts w:ascii="Arial" w:cs="Arial" w:eastAsia="Arial" w:hAnsi="Arial"/>
          <w:sz w:val="14"/>
          <w:szCs w:val="14"/>
          <w:b w:val="1"/>
          <w:bCs w:val="1"/>
          <w:color w:val="auto"/>
        </w:rPr>
        <w:t>Officer)</w:t>
      </w:r>
    </w:p>
    <w:p>
      <w:pPr>
        <w:spacing w:after="0" w:line="30"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Date:</w:t>
        <w:tab/>
        <w:t>November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060"/>
          </w:cols>
          <w:pgMar w:left="320" w:top="869" w:right="51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Peter J. Federico, certify that:</w:t>
      </w:r>
    </w:p>
    <w:p>
      <w:pPr>
        <w:spacing w:after="0" w:line="159" w:lineRule="exact"/>
        <w:rPr>
          <w:sz w:val="20"/>
          <w:szCs w:val="20"/>
          <w:color w:val="auto"/>
        </w:rPr>
      </w:pPr>
    </w:p>
    <w:p>
      <w:pPr>
        <w:ind w:left="740" w:hanging="302"/>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AGNC Investment Corp.;</w:t>
      </w:r>
    </w:p>
    <w:p>
      <w:pPr>
        <w:spacing w:after="0" w:line="158" w:lineRule="exact"/>
        <w:rPr>
          <w:rFonts w:ascii="Arial" w:cs="Arial" w:eastAsia="Arial" w:hAnsi="Arial"/>
          <w:sz w:val="17"/>
          <w:szCs w:val="17"/>
          <w:color w:val="auto"/>
        </w:rPr>
      </w:pPr>
    </w:p>
    <w:p>
      <w:pPr>
        <w:jc w:val="both"/>
        <w:ind w:left="840" w:hanging="402"/>
        <w:spacing w:after="0" w:line="273" w:lineRule="auto"/>
        <w:tabs>
          <w:tab w:leader="none" w:pos="7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840" w:hanging="402"/>
        <w:spacing w:after="0" w:line="289" w:lineRule="auto"/>
        <w:tabs>
          <w:tab w:leader="none" w:pos="799"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840" w:hanging="402"/>
        <w:spacing w:after="0" w:line="273" w:lineRule="auto"/>
        <w:tabs>
          <w:tab w:leader="none" w:pos="8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jc w:val="both"/>
        <w:ind w:left="1380" w:hanging="392"/>
        <w:spacing w:after="0" w:line="273" w:lineRule="auto"/>
        <w:tabs>
          <w:tab w:leader="none" w:pos="1382"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7"/>
          <w:szCs w:val="17"/>
          <w:color w:val="auto"/>
        </w:rPr>
      </w:pPr>
    </w:p>
    <w:p>
      <w:pPr>
        <w:jc w:val="both"/>
        <w:ind w:left="1380" w:hanging="392"/>
        <w:spacing w:after="0" w:line="273" w:lineRule="auto"/>
        <w:tabs>
          <w:tab w:leader="none" w:pos="142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380" w:hanging="392"/>
        <w:spacing w:after="0" w:line="322" w:lineRule="auto"/>
        <w:tabs>
          <w:tab w:leader="none" w:pos="1441"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80" w:hanging="392"/>
        <w:spacing w:after="0" w:line="273" w:lineRule="auto"/>
        <w:tabs>
          <w:tab w:leader="none" w:pos="1445"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left="840" w:hanging="402"/>
        <w:spacing w:after="0" w:line="289" w:lineRule="auto"/>
        <w:tabs>
          <w:tab w:leader="none" w:pos="7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7"/>
          <w:szCs w:val="17"/>
          <w:color w:val="auto"/>
        </w:rPr>
      </w:pPr>
    </w:p>
    <w:p>
      <w:pPr>
        <w:ind w:left="1380" w:hanging="392"/>
        <w:spacing w:after="0" w:line="289" w:lineRule="auto"/>
        <w:tabs>
          <w:tab w:leader="none" w:pos="147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80" w:hanging="392"/>
        <w:spacing w:after="0" w:line="289" w:lineRule="auto"/>
        <w:tabs>
          <w:tab w:leader="none" w:pos="14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November 6, 2023</w:t>
      </w:r>
    </w:p>
    <w:p>
      <w:pPr>
        <w:spacing w:after="0" w:line="224"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25400</wp:posOffset>
            </wp:positionV>
            <wp:extent cx="2348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Peter J. Federico</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President and Chief Executive Officer (Principal</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Executive Officer)</w:t>
      </w:r>
    </w:p>
    <w:p>
      <w:pPr>
        <w:sectPr>
          <w:pgSz w:w="11900" w:h="16838" w:orient="portrait"/>
          <w:cols w:equalWidth="0" w:num="1">
            <w:col w:w="11240"/>
          </w:cols>
          <w:pgMar w:left="320" w:top="87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I, Bernice E. Bell, certify that:</w:t>
      </w:r>
    </w:p>
    <w:p>
      <w:pPr>
        <w:spacing w:after="0" w:line="159" w:lineRule="exact"/>
        <w:rPr>
          <w:sz w:val="20"/>
          <w:szCs w:val="20"/>
          <w:color w:val="auto"/>
        </w:rPr>
      </w:pPr>
    </w:p>
    <w:p>
      <w:pPr>
        <w:ind w:left="740" w:hanging="302"/>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AGNC Investment Corp;</w:t>
      </w:r>
    </w:p>
    <w:p>
      <w:pPr>
        <w:spacing w:after="0" w:line="158" w:lineRule="exact"/>
        <w:rPr>
          <w:rFonts w:ascii="Arial" w:cs="Arial" w:eastAsia="Arial" w:hAnsi="Arial"/>
          <w:sz w:val="17"/>
          <w:szCs w:val="17"/>
          <w:color w:val="auto"/>
        </w:rPr>
      </w:pPr>
    </w:p>
    <w:p>
      <w:pPr>
        <w:jc w:val="both"/>
        <w:ind w:left="840" w:hanging="402"/>
        <w:spacing w:after="0" w:line="273" w:lineRule="auto"/>
        <w:tabs>
          <w:tab w:leader="none" w:pos="7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840" w:hanging="402"/>
        <w:spacing w:after="0" w:line="289" w:lineRule="auto"/>
        <w:tabs>
          <w:tab w:leader="none" w:pos="7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840" w:hanging="402"/>
        <w:spacing w:after="0" w:line="273" w:lineRule="auto"/>
        <w:tabs>
          <w:tab w:leader="none" w:pos="8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jc w:val="both"/>
        <w:ind w:left="1380" w:hanging="392"/>
        <w:spacing w:after="0" w:line="273" w:lineRule="auto"/>
        <w:tabs>
          <w:tab w:leader="none" w:pos="1382"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6" w:lineRule="exact"/>
        <w:rPr>
          <w:rFonts w:ascii="Arial" w:cs="Arial" w:eastAsia="Arial" w:hAnsi="Arial"/>
          <w:sz w:val="17"/>
          <w:szCs w:val="17"/>
          <w:color w:val="auto"/>
        </w:rPr>
      </w:pPr>
    </w:p>
    <w:p>
      <w:pPr>
        <w:jc w:val="both"/>
        <w:ind w:left="1380" w:hanging="392"/>
        <w:spacing w:after="0" w:line="273" w:lineRule="auto"/>
        <w:tabs>
          <w:tab w:leader="none" w:pos="142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380" w:hanging="392"/>
        <w:spacing w:after="0" w:line="322" w:lineRule="auto"/>
        <w:tabs>
          <w:tab w:leader="none" w:pos="144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80" w:hanging="392"/>
        <w:spacing w:after="0" w:line="273" w:lineRule="auto"/>
        <w:tabs>
          <w:tab w:leader="none" w:pos="1445"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left="840" w:hanging="402"/>
        <w:spacing w:after="0" w:line="289" w:lineRule="auto"/>
        <w:tabs>
          <w:tab w:leader="none" w:pos="7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7"/>
          <w:szCs w:val="17"/>
          <w:color w:val="auto"/>
        </w:rPr>
      </w:pPr>
    </w:p>
    <w:p>
      <w:pPr>
        <w:ind w:left="1380" w:hanging="392"/>
        <w:spacing w:after="0" w:line="289" w:lineRule="auto"/>
        <w:tabs>
          <w:tab w:leader="none" w:pos="135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80" w:hanging="392"/>
        <w:spacing w:after="0" w:line="289" w:lineRule="auto"/>
        <w:tabs>
          <w:tab w:leader="none" w:pos="1429"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November 6, 2023</w:t>
      </w:r>
    </w:p>
    <w:p>
      <w:pPr>
        <w:spacing w:after="0" w:line="224"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7"/>
          <w:szCs w:val="17"/>
          <w:color w:val="auto"/>
        </w:rPr>
        <w:t>/s/</w:t>
        <w:tab/>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25400</wp:posOffset>
            </wp:positionV>
            <wp:extent cx="2348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Bernice E. Bell</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Executive Vice President and Chief Financial</w:t>
      </w:r>
    </w:p>
    <w:p>
      <w:pPr>
        <w:ind w:left="620"/>
        <w:spacing w:after="0"/>
        <w:rPr>
          <w:sz w:val="20"/>
          <w:szCs w:val="20"/>
          <w:color w:val="auto"/>
        </w:rPr>
      </w:pPr>
      <w:r>
        <w:rPr>
          <w:rFonts w:ascii="Arial" w:cs="Arial" w:eastAsia="Arial" w:hAnsi="Arial"/>
          <w:sz w:val="17"/>
          <w:szCs w:val="17"/>
          <w:color w:val="auto"/>
        </w:rPr>
        <w:t>Officer (Principal Financial Officer)</w:t>
      </w:r>
    </w:p>
    <w:p>
      <w:pPr>
        <w:sectPr>
          <w:pgSz w:w="11900" w:h="16838" w:orient="portrait"/>
          <w:cols w:equalWidth="0" w:num="1">
            <w:col w:w="11240"/>
          </w:cols>
          <w:pgMar w:left="320" w:top="87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color w:val="auto"/>
        </w:rPr>
        <w:t>Exhibit 32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60" w:lineRule="exact"/>
        <w:rPr>
          <w:sz w:val="20"/>
          <w:szCs w:val="20"/>
          <w:color w:val="auto"/>
        </w:rPr>
      </w:pPr>
    </w:p>
    <w:p>
      <w:pPr>
        <w:ind w:right="700" w:firstLine="315"/>
        <w:spacing w:after="0" w:line="322" w:lineRule="auto"/>
        <w:rPr>
          <w:sz w:val="20"/>
          <w:szCs w:val="20"/>
          <w:color w:val="auto"/>
        </w:rPr>
      </w:pPr>
      <w:r>
        <w:rPr>
          <w:rFonts w:ascii="Arial" w:cs="Arial" w:eastAsia="Arial" w:hAnsi="Arial"/>
          <w:sz w:val="16"/>
          <w:szCs w:val="16"/>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83" w:lineRule="exact"/>
        <w:rPr>
          <w:sz w:val="20"/>
          <w:szCs w:val="20"/>
          <w:color w:val="auto"/>
        </w:rPr>
      </w:pPr>
    </w:p>
    <w:p>
      <w:pPr>
        <w:ind w:left="640" w:right="80" w:hanging="320"/>
        <w:spacing w:after="0" w:line="289"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2023 (the “Report”) fully complies with the requirements of Section 13(a) of the Securities Exchange Act of 1934 (15 U.S.C. 78m); and</w:t>
      </w:r>
    </w:p>
    <w:p>
      <w:pPr>
        <w:spacing w:after="0" w:line="106" w:lineRule="exact"/>
        <w:rPr>
          <w:rFonts w:ascii="Arial" w:cs="Arial" w:eastAsia="Arial" w:hAnsi="Arial"/>
          <w:sz w:val="17"/>
          <w:szCs w:val="17"/>
          <w:color w:val="auto"/>
        </w:rPr>
      </w:pPr>
    </w:p>
    <w:p>
      <w:pPr>
        <w:ind w:left="640" w:hanging="320"/>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Peter J. Federico</w:t>
            </w:r>
          </w:p>
        </w:tc>
      </w:tr>
      <w:tr>
        <w:trPr>
          <w:trHeight w:val="185"/>
        </w:trPr>
        <w:tc>
          <w:tcPr>
            <w:tcW w:w="700" w:type="dxa"/>
            <w:vAlign w:val="bottom"/>
          </w:tcPr>
          <w:p>
            <w:pPr>
              <w:spacing w:after="0" w:line="185"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November 6, 2023</w:t>
            </w:r>
          </w:p>
        </w:tc>
      </w:tr>
      <w:tr>
        <w:trPr>
          <w:trHeight w:val="479"/>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Bernice E. Bell</w:t>
            </w:r>
          </w:p>
        </w:tc>
      </w:tr>
      <w:tr>
        <w:trPr>
          <w:trHeight w:val="185"/>
        </w:trPr>
        <w:tc>
          <w:tcPr>
            <w:tcW w:w="700" w:type="dxa"/>
            <w:vAlign w:val="bottom"/>
          </w:tcPr>
          <w:p>
            <w:pPr>
              <w:spacing w:after="0" w:line="185"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Executive Vice President and</w:t>
            </w:r>
          </w:p>
        </w:tc>
      </w:tr>
      <w:tr>
        <w:trPr>
          <w:trHeight w:val="222"/>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(Principal Financial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November 6, 2023</w:t>
            </w:r>
          </w:p>
        </w:tc>
      </w:tr>
    </w:tbl>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7"/>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4"/>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3"/>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9"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79" Type="http://schemas.openxmlformats.org/officeDocument/2006/relationships/hyperlink" Target="http://www.sec.gov/Archives/edgar/data/1423689/000142368922000014/agncexhibit3112312110-k.htm" TargetMode="External"/><Relationship Id="rId80" Type="http://schemas.openxmlformats.org/officeDocument/2006/relationships/hyperlink" Target="http://www.sec.gov/Archives/edgar/data/1423689/000142368921000017/arbylaws-march2021vrevised.htm" TargetMode="External"/><Relationship Id="rId81" Type="http://schemas.openxmlformats.org/officeDocument/2006/relationships/hyperlink" Target="http://www.sec.gov/Archives/edgar/data/1423689/000142368923000046/bylaws72023-ex.htm" TargetMode="External"/><Relationship Id="rId82" Type="http://schemas.openxmlformats.org/officeDocument/2006/relationships/hyperlink" Target="http://www.sec.gov/Archives/edgar/data/1423689/000142368917000044/ex35certificateofdesignati.htm" TargetMode="External"/><Relationship Id="rId83" Type="http://schemas.openxmlformats.org/officeDocument/2006/relationships/hyperlink" Target="http://www.sec.gov/Archives/edgar/data/1423689/000142368917000065/certificateofelimination.htm" TargetMode="External"/><Relationship Id="rId84" Type="http://schemas.openxmlformats.org/officeDocument/2006/relationships/hyperlink" Target="http://www.sec.gov/Archives/edgar/data/1423689/000142368919000019/certificateofdesignations.htm" TargetMode="External"/><Relationship Id="rId85" Type="http://schemas.openxmlformats.org/officeDocument/2006/relationships/hyperlink" Target="http://www.sec.gov/Archives/edgar/data/1423689/000142368919000064/certofdesignations.htm" TargetMode="External"/><Relationship Id="rId86" Type="http://schemas.openxmlformats.org/officeDocument/2006/relationships/hyperlink" Target="http://www.sec.gov/Archives/edgar/data/1423689/000142368919000078/certificateofeliminati.htm" TargetMode="External"/><Relationship Id="rId87" Type="http://schemas.openxmlformats.org/officeDocument/2006/relationships/hyperlink" Target="http://www.sec.gov/Archives/edgar/data/1423689/000142368920000012/certificateofdesignations-.htm" TargetMode="External"/><Relationship Id="rId88" Type="http://schemas.openxmlformats.org/officeDocument/2006/relationships/hyperlink" Target="http://www.sec.gov/Archives/edgar/data/1423689/000142368922000061/seriesgcertificateofdesign.htm" TargetMode="External"/><Relationship Id="rId90" Type="http://schemas.openxmlformats.org/officeDocument/2006/relationships/hyperlink" Target="http://www.sec.gov/Archives/edgar/data/1423689/000142368922000076/exhibit43.htm" TargetMode="External"/><Relationship Id="rId91" Type="http://schemas.openxmlformats.org/officeDocument/2006/relationships/hyperlink" Target="http://www.sec.gov/Archives/edgar/data/1423689/000142368917000044/exhibit41.htm" TargetMode="External"/><Relationship Id="rId92" Type="http://schemas.openxmlformats.org/officeDocument/2006/relationships/hyperlink" Target="http://www.sec.gov/Archives/edgar/data/1423689/000142368919000019/stockcertificateb98.htm" TargetMode="External"/><Relationship Id="rId93" Type="http://schemas.openxmlformats.org/officeDocument/2006/relationships/hyperlink" Target="http://www.sec.gov/Archives/edgar/data/1423689/000142368919000064/stockcertificate.htm" TargetMode="External"/><Relationship Id="rId94" Type="http://schemas.openxmlformats.org/officeDocument/2006/relationships/hyperlink" Target="http://www.sec.gov/Archives/edgar/data/1423689/000142368920000012/stockcertificate.htm" TargetMode="External"/><Relationship Id="rId95" Type="http://schemas.openxmlformats.org/officeDocument/2006/relationships/hyperlink" Target="http://www.sec.gov/Archives/edgar/data/1423689/000142368922000061/stockcertificate1.htm" TargetMode="External"/><Relationship Id="rId96" Type="http://schemas.openxmlformats.org/officeDocument/2006/relationships/hyperlink" Target="http://www.sec.gov/Archives/edgar/data/1423689/000142368917000049/depositagreement.htm" TargetMode="External"/><Relationship Id="rId97" Type="http://schemas.openxmlformats.org/officeDocument/2006/relationships/hyperlink" Target="http://www.sec.gov/Archives/edgar/data/1423689/000142368919000021/prefddepositagmt.htm" TargetMode="External"/><Relationship Id="rId98" Type="http://schemas.openxmlformats.org/officeDocument/2006/relationships/hyperlink" Target="http://www.sec.gov/Archives/edgar/data/1423689/000142368919000068/depositagmt-prefe.htm" TargetMode="External"/><Relationship Id="rId99" Type="http://schemas.openxmlformats.org/officeDocument/2006/relationships/hyperlink" Target="http://www.sec.gov/Archives/edgar/data/1423689/000142368920000014/depositaryagmt-seriesf.htm" TargetMode="External"/><Relationship Id="rId100" Type="http://schemas.openxmlformats.org/officeDocument/2006/relationships/hyperlink" Target="http://www.sec.gov/Archives/edgar/data/1423689/000142368922000069/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2023-11-06T15:46:58Z</dcterms:created>
  <dcterms:modified xsi:type="dcterms:W3CDTF">2023-11-06T15:46:58Z</dcterms:modified>
</cp:coreProperties>
</file>