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0557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055745"/>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WILKUS MALON</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700" w:type="dxa"/>
            <w:vAlign w:val="bottom"/>
            <w:tcBorders>
              <w:top w:val="single" w:sz="8" w:color="0000EE"/>
              <w:bottom w:val="single" w:sz="8" w:color="9A9A9A"/>
            </w:tcBorders>
          </w:tcPr>
          <w:p>
            <w:pPr>
              <w:spacing w:after="0"/>
              <w:rPr>
                <w:sz w:val="15"/>
                <w:szCs w:val="15"/>
                <w:color w:val="auto"/>
              </w:rPr>
            </w:pPr>
          </w:p>
        </w:tc>
        <w:tc>
          <w:tcPr>
            <w:tcW w:w="152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05/14/2008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American Capital Agency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AGNC</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64"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68"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2 BETHESDA METRO CENTER</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14TH FLOOR</w:t>
      </w:r>
    </w:p>
    <w:p>
      <w:pPr>
        <w:spacing w:after="0" w:line="300"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820" w:type="dxa"/>
            <w:vAlign w:val="bottom"/>
          </w:tcPr>
          <w:p>
            <w:pPr>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4"/>
                <w:szCs w:val="14"/>
                <w:color w:val="auto"/>
              </w:rPr>
            </w:pPr>
          </w:p>
        </w:tc>
      </w:tr>
      <w:tr>
        <w:trPr>
          <w:trHeight w:val="242"/>
        </w:trPr>
        <w:tc>
          <w:tcPr>
            <w:tcW w:w="1820" w:type="dxa"/>
            <w:vAlign w:val="bottom"/>
          </w:tcPr>
          <w:p>
            <w:pPr>
              <w:ind w:left="40"/>
              <w:spacing w:after="0"/>
              <w:rPr>
                <w:sz w:val="20"/>
                <w:szCs w:val="20"/>
                <w:color w:val="auto"/>
              </w:rPr>
            </w:pPr>
            <w:r>
              <w:rPr>
                <w:rFonts w:ascii="Arial" w:cs="Arial" w:eastAsia="Arial" w:hAnsi="Arial"/>
                <w:sz w:val="18"/>
                <w:szCs w:val="18"/>
                <w:color w:val="0000FF"/>
              </w:rPr>
              <w:t>BETHESDA  MD</w:t>
            </w:r>
          </w:p>
        </w:tc>
        <w:tc>
          <w:tcPr>
            <w:tcW w:w="820" w:type="dxa"/>
            <w:vAlign w:val="bottom"/>
          </w:tcPr>
          <w:p>
            <w:pPr>
              <w:jc w:val="right"/>
              <w:spacing w:after="0"/>
              <w:rPr>
                <w:sz w:val="20"/>
                <w:szCs w:val="20"/>
                <w:color w:val="auto"/>
              </w:rPr>
            </w:pPr>
            <w:r>
              <w:rPr>
                <w:rFonts w:ascii="Arial" w:cs="Arial" w:eastAsia="Arial" w:hAnsi="Arial"/>
                <w:sz w:val="18"/>
                <w:szCs w:val="18"/>
                <w:color w:val="0000FF"/>
              </w:rPr>
              <w:t>20814</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6" w:type="dxa"/>
        <w:tblCellMar>
          <w:top w:w="0" w:type="dxa"/>
          <w:left w:w="0" w:type="dxa"/>
          <w:bottom w:w="0" w:type="dxa"/>
          <w:right w:w="0" w:type="dxa"/>
        </w:tblCellMar>
      </w:tblPr>
      <w:tr>
        <w:trPr>
          <w:trHeight w:val="222"/>
        </w:trPr>
        <w:tc>
          <w:tcPr>
            <w:tcW w:w="220" w:type="dxa"/>
            <w:vAlign w:val="bottom"/>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786"/>
        <w:spacing w:after="0"/>
        <w:rPr>
          <w:sz w:val="20"/>
          <w:szCs w:val="20"/>
          <w:color w:val="auto"/>
        </w:rPr>
      </w:pPr>
      <w:r>
        <w:rPr>
          <w:rFonts w:ascii="Arial" w:cs="Arial" w:eastAsia="Arial" w:hAnsi="Arial"/>
          <w:sz w:val="18"/>
          <w:szCs w:val="18"/>
          <w:color w:val="0000FF"/>
        </w:rPr>
        <w:t>CEO, COB &amp; President</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97"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00"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71"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3140" w:type="dxa"/>
            <w:vAlign w:val="bottom"/>
          </w:tcPr>
          <w:p>
            <w:pPr>
              <w:ind w:left="60"/>
              <w:spacing w:after="0"/>
              <w:rPr>
                <w:sz w:val="20"/>
                <w:szCs w:val="20"/>
                <w:color w:val="auto"/>
              </w:rPr>
            </w:pPr>
            <w:r>
              <w:rPr>
                <w:rFonts w:ascii="Arial" w:cs="Arial" w:eastAsia="Arial" w:hAnsi="Arial"/>
                <w:sz w:val="18"/>
                <w:szCs w:val="18"/>
                <w:color w:val="0000FF"/>
                <w:w w:val="90"/>
              </w:rPr>
              <w:t>Common Stock, par value $0.01 per share</w:t>
            </w:r>
          </w:p>
        </w:tc>
        <w:tc>
          <w:tcPr>
            <w:tcW w:w="4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500" w:type="dxa"/>
            <w:vAlign w:val="bottom"/>
          </w:tcPr>
          <w:p>
            <w:pPr>
              <w:jc w:val="right"/>
              <w:ind w:right="547"/>
              <w:spacing w:after="0"/>
              <w:rPr>
                <w:sz w:val="20"/>
                <w:szCs w:val="20"/>
                <w:color w:val="auto"/>
              </w:rPr>
            </w:pPr>
            <w:r>
              <w:rPr>
                <w:rFonts w:ascii="Arial" w:cs="Arial" w:eastAsia="Arial" w:hAnsi="Arial"/>
                <w:sz w:val="18"/>
                <w:szCs w:val="18"/>
                <w:color w:val="0000FF"/>
              </w:rPr>
              <w:t>0</w:t>
            </w:r>
          </w:p>
        </w:tc>
        <w:tc>
          <w:tcPr>
            <w:tcW w:w="1220" w:type="dxa"/>
            <w:vAlign w:val="bottom"/>
          </w:tcPr>
          <w:p>
            <w:pPr>
              <w:ind w:left="980"/>
              <w:spacing w:after="0"/>
              <w:rPr>
                <w:sz w:val="20"/>
                <w:szCs w:val="20"/>
                <w:color w:val="auto"/>
              </w:rPr>
            </w:pPr>
            <w:r>
              <w:rPr>
                <w:rFonts w:ascii="Arial" w:cs="Arial" w:eastAsia="Arial" w:hAnsi="Arial"/>
                <w:sz w:val="18"/>
                <w:szCs w:val="18"/>
                <w:color w:val="0000FF"/>
              </w:rPr>
              <w:t>D</w:t>
            </w:r>
          </w:p>
        </w:tc>
        <w:tc>
          <w:tcPr>
            <w:tcW w:w="8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3140" w:type="dxa"/>
            <w:vAlign w:val="bottom"/>
            <w:tcBorders>
              <w:bottom w:val="single" w:sz="8" w:color="2C2C2C"/>
            </w:tcBorders>
          </w:tcPr>
          <w:p>
            <w:pPr>
              <w:spacing w:after="0"/>
              <w:rPr>
                <w:sz w:val="8"/>
                <w:szCs w:val="8"/>
                <w:color w:val="auto"/>
              </w:rPr>
            </w:pPr>
          </w:p>
        </w:tc>
        <w:tc>
          <w:tcPr>
            <w:tcW w:w="440" w:type="dxa"/>
            <w:vAlign w:val="bottom"/>
            <w:tcBorders>
              <w:bottom w:val="single" w:sz="8" w:color="2C2C2C"/>
            </w:tcBorders>
          </w:tcPr>
          <w:p>
            <w:pPr>
              <w:spacing w:after="0"/>
              <w:rPr>
                <w:sz w:val="8"/>
                <w:szCs w:val="8"/>
                <w:color w:val="auto"/>
              </w:rPr>
            </w:pPr>
          </w:p>
        </w:tc>
        <w:tc>
          <w:tcPr>
            <w:tcW w:w="4400" w:type="dxa"/>
            <w:vAlign w:val="bottom"/>
            <w:tcBorders>
              <w:bottom w:val="single" w:sz="8" w:color="2C2C2C"/>
            </w:tcBorders>
            <w:gridSpan w:val="4"/>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6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3140" w:type="dxa"/>
            <w:vAlign w:val="bottom"/>
            <w:tcBorders>
              <w:top w:val="single" w:sz="8" w:color="2C2C2C"/>
            </w:tcBorders>
          </w:tcPr>
          <w:p>
            <w:pPr>
              <w:spacing w:after="0"/>
              <w:rPr>
                <w:sz w:val="19"/>
                <w:szCs w:val="19"/>
                <w:color w:val="auto"/>
              </w:rPr>
            </w:pPr>
          </w:p>
        </w:tc>
        <w:tc>
          <w:tcPr>
            <w:tcW w:w="440" w:type="dxa"/>
            <w:vAlign w:val="bottom"/>
            <w:tcBorders>
              <w:top w:val="single" w:sz="8" w:color="2C2C2C"/>
            </w:tcBorders>
          </w:tcPr>
          <w:p>
            <w:pPr>
              <w:spacing w:after="0"/>
              <w:rPr>
                <w:sz w:val="19"/>
                <w:szCs w:val="19"/>
                <w:color w:val="auto"/>
              </w:rPr>
            </w:pPr>
          </w:p>
        </w:tc>
        <w:tc>
          <w:tcPr>
            <w:tcW w:w="4400" w:type="dxa"/>
            <w:vAlign w:val="bottom"/>
            <w:tcBorders>
              <w:top w:val="single" w:sz="8" w:color="2C2C2C"/>
            </w:tcBorders>
            <w:gridSpan w:val="4"/>
          </w:tcPr>
          <w:p>
            <w:pPr>
              <w:ind w:left="4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3140" w:type="dxa"/>
            <w:vAlign w:val="bottom"/>
          </w:tcPr>
          <w:p>
            <w:pPr>
              <w:spacing w:after="0"/>
              <w:rPr>
                <w:sz w:val="20"/>
                <w:szCs w:val="20"/>
                <w:color w:val="auto"/>
              </w:rPr>
            </w:pPr>
          </w:p>
        </w:tc>
        <w:tc>
          <w:tcPr>
            <w:tcW w:w="5720" w:type="dxa"/>
            <w:vAlign w:val="bottom"/>
            <w:gridSpan w:val="6"/>
          </w:tcPr>
          <w:p>
            <w:pPr>
              <w:ind w:left="1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31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14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44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0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3140" w:type="dxa"/>
            <w:vAlign w:val="bottom"/>
          </w:tcPr>
          <w:p>
            <w:pPr>
              <w:spacing w:after="0"/>
              <w:rPr>
                <w:sz w:val="6"/>
                <w:szCs w:val="6"/>
                <w:color w:val="auto"/>
              </w:rPr>
            </w:pPr>
          </w:p>
        </w:tc>
        <w:tc>
          <w:tcPr>
            <w:tcW w:w="44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6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140" w:type="dxa"/>
            <w:vAlign w:val="bottom"/>
          </w:tcPr>
          <w:p>
            <w:pPr>
              <w:spacing w:after="0"/>
              <w:rPr>
                <w:sz w:val="4"/>
                <w:szCs w:val="4"/>
                <w:color w:val="auto"/>
              </w:rPr>
            </w:pPr>
          </w:p>
        </w:tc>
        <w:tc>
          <w:tcPr>
            <w:tcW w:w="4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00" w:type="dxa"/>
            <w:vAlign w:val="bottom"/>
          </w:tcPr>
          <w:p>
            <w:pPr>
              <w:spacing w:after="0"/>
              <w:rPr>
                <w:sz w:val="4"/>
                <w:szCs w:val="4"/>
                <w:color w:val="auto"/>
              </w:rPr>
            </w:pPr>
          </w:p>
        </w:tc>
        <w:tc>
          <w:tcPr>
            <w:tcW w:w="1220" w:type="dxa"/>
            <w:vAlign w:val="bottom"/>
            <w:vMerge w:val="restart"/>
          </w:tcPr>
          <w:p>
            <w:pPr>
              <w:ind w:left="62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20" w:type="dxa"/>
            <w:vAlign w:val="bottom"/>
            <w:vMerge w:val="continue"/>
          </w:tcPr>
          <w:p>
            <w:pPr>
              <w:spacing w:after="0"/>
              <w:rPr>
                <w:sz w:val="12"/>
                <w:szCs w:val="12"/>
                <w:color w:val="auto"/>
              </w:rPr>
            </w:pP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20" w:type="dxa"/>
            <w:vAlign w:val="bottom"/>
          </w:tcPr>
          <w:p>
            <w:pPr>
              <w:ind w:left="62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20" w:type="dxa"/>
            <w:vAlign w:val="bottom"/>
          </w:tcPr>
          <w:p>
            <w:pPr>
              <w:ind w:left="62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00" w:type="dxa"/>
            <w:vAlign w:val="bottom"/>
          </w:tcPr>
          <w:p>
            <w:pPr>
              <w:spacing w:after="0"/>
              <w:rPr>
                <w:sz w:val="12"/>
                <w:szCs w:val="12"/>
                <w:color w:val="auto"/>
              </w:rPr>
            </w:pPr>
          </w:p>
        </w:tc>
        <w:tc>
          <w:tcPr>
            <w:tcW w:w="1220" w:type="dxa"/>
            <w:vAlign w:val="bottom"/>
          </w:tcPr>
          <w:p>
            <w:pPr>
              <w:ind w:left="62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3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0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220" w:type="dxa"/>
            <w:vAlign w:val="bottom"/>
          </w:tcPr>
          <w:p>
            <w:pPr>
              <w:ind w:left="62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39"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Cydonii Fairfax,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9906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99060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Attorney-in-Fact for the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07124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71245"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Reporting Person pursuant to</w:t>
      </w:r>
      <w:r>
        <w:rPr>
          <w:sz w:val="20"/>
          <w:szCs w:val="20"/>
          <w:color w:val="auto"/>
        </w:rPr>
        <w:tab/>
      </w:r>
      <w:r>
        <w:rPr>
          <w:rFonts w:ascii="Arial" w:cs="Arial" w:eastAsia="Arial" w:hAnsi="Arial"/>
          <w:sz w:val="15"/>
          <w:szCs w:val="15"/>
          <w:color w:val="0000FF"/>
        </w:rPr>
        <w:t>05/14/2008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the Power of Attorney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22618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226185"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hereto as Exhibit 24.1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97853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978535"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Exhibit 24.1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779" w:firstLine="843"/>
        <w:spacing w:after="0" w:line="271" w:lineRule="auto"/>
        <w:rPr>
          <w:sz w:val="20"/>
          <w:szCs w:val="20"/>
          <w:color w:val="auto"/>
        </w:rPr>
      </w:pPr>
      <w:r>
        <w:rPr>
          <w:rFonts w:ascii="Courier New" w:cs="Courier New" w:eastAsia="Courier New" w:hAnsi="Courier New"/>
          <w:sz w:val="16"/>
          <w:szCs w:val="16"/>
          <w:color w:val="auto"/>
        </w:rPr>
        <w:t>Know all by these presents, that the undersigned hereby constitutes and appoints each of John R. Erickson, Samuel A. Flax, and Cydonii V. Fairfax, as the undersigned's true and lawful attorney-in-fact to execute and file on behalf of the undersigned in the undersigned's capacity as a Director and/or Officer of American Capital Agency Corp. ("American Capital") all necessary and/or required applications, reports, registrations, information, documents and instruments filed or required to be filed by American Capital or the undersigned with the Securities and Exchange Commission ("SEC"), any stock exchanges or any governmental official or agency, including without limitation:</w:t>
      </w:r>
    </w:p>
    <w:p>
      <w:pPr>
        <w:spacing w:after="0" w:line="184" w:lineRule="exact"/>
        <w:rPr>
          <w:sz w:val="20"/>
          <w:szCs w:val="20"/>
          <w:color w:val="auto"/>
        </w:rPr>
      </w:pPr>
    </w:p>
    <w:p>
      <w:pPr>
        <w:ind w:right="1679" w:firstLine="8"/>
        <w:spacing w:after="0" w:line="236" w:lineRule="auto"/>
        <w:tabs>
          <w:tab w:leader="none" w:pos="843"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and file Forms 3, 4 and 5 in accordance with Section 16(a) of the Securities Exchange Act of 1934 and the rules thereunder and a Form ID, Uniform Application for Access codes to file on EDGAR;</w:t>
      </w:r>
    </w:p>
    <w:p>
      <w:pPr>
        <w:spacing w:after="0" w:line="208" w:lineRule="exact"/>
        <w:rPr>
          <w:rFonts w:ascii="Courier New" w:cs="Courier New" w:eastAsia="Courier New" w:hAnsi="Courier New"/>
          <w:sz w:val="18"/>
          <w:szCs w:val="18"/>
          <w:color w:val="auto"/>
        </w:rPr>
      </w:pPr>
    </w:p>
    <w:p>
      <w:pPr>
        <w:ind w:right="1579" w:firstLine="8"/>
        <w:spacing w:after="0" w:line="237" w:lineRule="auto"/>
        <w:tabs>
          <w:tab w:leader="none" w:pos="843"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5 or Form ID and timely file such Forms 3, 4, 5 or Form ID, including amendments thereto;</w:t>
      </w:r>
    </w:p>
    <w:p>
      <w:pPr>
        <w:spacing w:after="0" w:line="207" w:lineRule="exact"/>
        <w:rPr>
          <w:rFonts w:ascii="Courier New" w:cs="Courier New" w:eastAsia="Courier New" w:hAnsi="Courier New"/>
          <w:sz w:val="18"/>
          <w:szCs w:val="18"/>
          <w:color w:val="auto"/>
        </w:rPr>
      </w:pPr>
    </w:p>
    <w:p>
      <w:pPr>
        <w:ind w:right="1459" w:firstLine="8"/>
        <w:spacing w:after="0" w:line="235" w:lineRule="auto"/>
        <w:tabs>
          <w:tab w:leader="none" w:pos="843"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and file Form 144 in accordance with Rule 144 of the Securities Act of 1933, as amended, and the rules thereunder;</w:t>
      </w:r>
    </w:p>
    <w:p>
      <w:pPr>
        <w:spacing w:after="0" w:line="208" w:lineRule="exact"/>
        <w:rPr>
          <w:rFonts w:ascii="Courier New" w:cs="Courier New" w:eastAsia="Courier New" w:hAnsi="Courier New"/>
          <w:sz w:val="18"/>
          <w:szCs w:val="18"/>
          <w:color w:val="auto"/>
        </w:rPr>
      </w:pPr>
    </w:p>
    <w:p>
      <w:pPr>
        <w:ind w:right="1579" w:firstLine="8"/>
        <w:spacing w:after="0" w:line="236" w:lineRule="auto"/>
        <w:tabs>
          <w:tab w:leader="none" w:pos="843"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144 and timely file such Form 144;</w:t>
      </w:r>
    </w:p>
    <w:p>
      <w:pPr>
        <w:spacing w:after="0" w:line="203"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and file Schedules 13D and 13G in accordance with all applicable</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laws;</w:t>
      </w:r>
    </w:p>
    <w:p>
      <w:pPr>
        <w:spacing w:after="0" w:line="207" w:lineRule="exact"/>
        <w:rPr>
          <w:rFonts w:ascii="Courier New" w:cs="Courier New" w:eastAsia="Courier New" w:hAnsi="Courier New"/>
          <w:sz w:val="18"/>
          <w:szCs w:val="18"/>
          <w:color w:val="auto"/>
        </w:rPr>
      </w:pPr>
    </w:p>
    <w:p>
      <w:pPr>
        <w:ind w:right="1779" w:firstLine="8"/>
        <w:spacing w:after="0" w:line="237" w:lineRule="auto"/>
        <w:tabs>
          <w:tab w:leader="none" w:pos="843"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[REMAINDER OF THIS PAGE LEFT INTENTIONALLY BLANK]</w:t>
      </w:r>
    </w:p>
    <w:p>
      <w:pPr>
        <w:spacing w:after="0" w:line="200" w:lineRule="exact"/>
        <w:rPr>
          <w:sz w:val="20"/>
          <w:szCs w:val="20"/>
          <w:color w:val="auto"/>
        </w:rPr>
      </w:pPr>
    </w:p>
    <w:p>
      <w:pPr>
        <w:spacing w:after="0" w:line="209" w:lineRule="exact"/>
        <w:rPr>
          <w:sz w:val="20"/>
          <w:szCs w:val="20"/>
          <w:color w:val="auto"/>
        </w:rPr>
      </w:pPr>
    </w:p>
    <w:p>
      <w:pPr>
        <w:ind w:right="1039" w:firstLine="843"/>
        <w:spacing w:after="0" w:line="268" w:lineRule="auto"/>
        <w:rPr>
          <w:sz w:val="20"/>
          <w:szCs w:val="20"/>
          <w:color w:val="auto"/>
        </w:rPr>
      </w:pPr>
      <w:r>
        <w:rPr>
          <w:rFonts w:ascii="Courier New" w:cs="Courier New" w:eastAsia="Courier New" w:hAnsi="Courier New"/>
          <w:sz w:val="16"/>
          <w:szCs w:val="16"/>
          <w:color w:val="auto"/>
        </w:rPr>
        <w:t>The undersigned hereby grants to such attorney-in-fact full power and authority to do and perform any and every act and thing whatsoever requisite, necessary,</w:t>
      </w:r>
    </w:p>
    <w:p>
      <w:pPr>
        <w:ind w:right="1779"/>
        <w:spacing w:after="0" w:line="238" w:lineRule="auto"/>
        <w:rPr>
          <w:sz w:val="20"/>
          <w:szCs w:val="20"/>
          <w:color w:val="auto"/>
        </w:rPr>
      </w:pPr>
      <w:r>
        <w:rPr>
          <w:rFonts w:ascii="Courier New" w:cs="Courier New" w:eastAsia="Courier New" w:hAnsi="Courier New"/>
          <w:sz w:val="18"/>
          <w:szCs w:val="18"/>
          <w:color w:val="auto"/>
        </w:rPr>
        <w:t>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Each of the attorneys-in-fact named herein shall have the power to act hereunder with or without the other. The undersigned acknowledges that the foregoing attorneys-in-fact, in serving in such capacity at the request of the undersigned, are not assuming, nor is American Capital assuming, any of the undersigned's responsibilities to comply with Section 16 of the Securities Exchange Act of 1934.</w:t>
      </w:r>
    </w:p>
    <w:p>
      <w:pPr>
        <w:spacing w:after="0" w:line="207"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on the date set forth below.</w:t>
      </w:r>
    </w:p>
    <w:p>
      <w:pPr>
        <w:spacing w:after="0" w:line="203"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Signature</w:t>
      </w:r>
      <w:r>
        <w:rPr>
          <w:sz w:val="20"/>
          <w:szCs w:val="20"/>
          <w:color w:val="auto"/>
        </w:rPr>
        <w:tab/>
      </w:r>
      <w:r>
        <w:rPr>
          <w:rFonts w:ascii="Courier New" w:cs="Courier New" w:eastAsia="Courier New" w:hAnsi="Courier New"/>
          <w:sz w:val="18"/>
          <w:szCs w:val="18"/>
          <w:color w:val="auto"/>
        </w:rPr>
        <w:t>Date</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 Malon Wilkus</w:t>
      </w:r>
    </w:p>
    <w:p>
      <w:pPr>
        <w:ind w:left="860"/>
        <w:spacing w:after="0" w:line="238" w:lineRule="auto"/>
        <w:rPr>
          <w:sz w:val="20"/>
          <w:szCs w:val="20"/>
          <w:color w:val="auto"/>
        </w:rPr>
      </w:pPr>
      <w:r>
        <w:rPr>
          <w:rFonts w:ascii="Courier New" w:cs="Courier New" w:eastAsia="Courier New" w:hAnsi="Courier New"/>
          <w:sz w:val="18"/>
          <w:szCs w:val="18"/>
          <w:color w:val="auto"/>
        </w:rPr>
        <w:t>May 12, 2008</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1" Type="http://schemas.openxmlformats.org/officeDocument/2006/relationships/hyperlink" Target="http://www.sec.gov/cgi-bin/browse-edgar?action=getcompany&amp;CIK=0001053749" TargetMode="External"/><Relationship Id="rId12"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2019-12-24T02:15:42Z</dcterms:created>
  <dcterms:modified xsi:type="dcterms:W3CDTF">2019-12-24T02:15:42Z</dcterms:modified>
</cp:coreProperties>
</file>